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04"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04" w:before="12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w:t>
      </w:r>
    </w:p>
    <w:p>
      <w:pPr>
        <w:pStyle w:val="TextBody"/>
        <w:bidi w:val="0"/>
        <w:spacing w:lineRule="auto" w:line="204"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04" w:before="20" w:after="283"/>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from____________to____________</w:t>
      </w:r>
    </w:p>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001-33812</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w:t>
      </w:r>
    </w:p>
    <w:p>
      <w:pPr>
        <w:pStyle w:val="TextBody"/>
        <w:bidi w:val="0"/>
        <w:spacing w:lineRule="auto" w:line="228" w:before="120" w:after="283"/>
        <w:jc w:val="center"/>
        <w:rPr/>
      </w:pPr>
      <w:r>
        <w:rPr/>
        <w:drawing>
          <wp:inline distT="0" distB="0" distL="0" distR="0">
            <wp:extent cx="10668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285750"/>
                    </a:xfrm>
                    <a:prstGeom prst="rect">
                      <a:avLst/>
                    </a:prstGeom>
                  </pic:spPr>
                </pic:pic>
              </a:graphicData>
            </a:graphic>
          </wp:inline>
        </w:drawing>
      </w:r>
      <w:bookmarkStart w:id="0" w:name="i-1"/>
      <w:bookmarkEnd w:id="0"/>
      <w:r>
        <w:rPr>
          <w:rFonts w:ascii="Times New Roman;serif" w:hAnsi="Times New Roman;serif"/>
          <w:b w:val="false"/>
          <w:color w:val="000000"/>
          <w:sz w:val="24"/>
        </w:rPr>
        <w:br/>
      </w:r>
      <w:r>
        <w:rPr>
          <w:rFonts w:ascii="Times New Roman;serif" w:hAnsi="Times New Roman;serif"/>
          <w:b/>
          <w:color w:val="000000"/>
          <w:sz w:val="20"/>
        </w:rPr>
        <w:t>MSCI INC.</w:t>
      </w:r>
    </w:p>
    <w:p>
      <w:pPr>
        <w:pStyle w:val="TextBody"/>
        <w:bidi w:val="0"/>
        <w:spacing w:lineRule="auto" w:line="204"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w:t>
      </w:r>
    </w:p>
    <w:tbl>
      <w:tblPr>
        <w:tblW w:w="5157" w:type="dxa"/>
        <w:jc w:val="center"/>
        <w:tblInd w:w="0" w:type="dxa"/>
        <w:tblLayout w:type="fixed"/>
        <w:tblCellMar>
          <w:top w:w="28" w:type="dxa"/>
          <w:left w:w="28" w:type="dxa"/>
          <w:bottom w:w="28" w:type="dxa"/>
          <w:right w:w="28" w:type="dxa"/>
        </w:tblCellMar>
      </w:tblPr>
      <w:tblGrid>
        <w:gridCol w:w="1091"/>
        <w:gridCol w:w="957"/>
        <w:gridCol w:w="967"/>
        <w:gridCol w:w="109"/>
        <w:gridCol w:w="109"/>
        <w:gridCol w:w="109"/>
        <w:gridCol w:w="530"/>
        <w:gridCol w:w="530"/>
        <w:gridCol w:w="755"/>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13-4038723</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 World Trade Center</w:t>
            </w:r>
          </w:p>
          <w:p>
            <w:pPr>
              <w:pStyle w:val="TableContents"/>
              <w:bidi w:val="0"/>
              <w:spacing w:lineRule="auto" w:line="288" w:before="0" w:after="0"/>
              <w:jc w:val="center"/>
              <w:rPr/>
            </w:pPr>
            <w:r>
              <w:rPr>
                <w:rFonts w:ascii="Times New Roman;serif" w:hAnsi="Times New Roman;serif"/>
                <w:b/>
                <w:color w:val="000000"/>
                <w:sz w:val="20"/>
              </w:rPr>
              <w:t>250 Greenwich Street, 49</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10007</w:t>
            </w:r>
          </w:p>
        </w:tc>
      </w:tr>
      <w:tr>
        <w:trPr/>
        <w:tc>
          <w:tcPr>
            <w:tcW w:w="30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804-3900</w:t>
      </w:r>
    </w:p>
    <w:p>
      <w:pPr>
        <w:pStyle w:val="TextBody"/>
        <w:bidi w:val="0"/>
        <w:spacing w:lineRule="auto" w:line="204"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897" w:type="dxa"/>
        <w:jc w:val="center"/>
        <w:tblInd w:w="0" w:type="dxa"/>
        <w:tblLayout w:type="fixed"/>
        <w:tblCellMar>
          <w:top w:w="28" w:type="dxa"/>
          <w:left w:w="28" w:type="dxa"/>
          <w:bottom w:w="28" w:type="dxa"/>
          <w:right w:w="28" w:type="dxa"/>
        </w:tblCellMar>
      </w:tblPr>
      <w:tblGrid>
        <w:gridCol w:w="1197"/>
        <w:gridCol w:w="1054"/>
        <w:gridCol w:w="1063"/>
        <w:gridCol w:w="109"/>
        <w:gridCol w:w="109"/>
        <w:gridCol w:w="109"/>
        <w:gridCol w:w="409"/>
        <w:gridCol w:w="409"/>
        <w:gridCol w:w="411"/>
        <w:gridCol w:w="109"/>
        <w:gridCol w:w="109"/>
        <w:gridCol w:w="109"/>
        <w:gridCol w:w="791"/>
        <w:gridCol w:w="791"/>
        <w:gridCol w:w="1118"/>
      </w:tblGrid>
      <w:tr>
        <w:trPr/>
        <w:tc>
          <w:tcPr>
            <w:tcW w:w="119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MSCI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04"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w:t>
      </w:r>
    </w:p>
    <w:p>
      <w:pPr>
        <w:pStyle w:val="TextBody"/>
        <w:bidi w:val="0"/>
        <w:spacing w:lineRule="auto" w:line="204" w:before="12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04"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04"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04"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04"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04" w:before="120" w:after="283"/>
        <w:jc w:val="left"/>
        <w:rPr>
          <w:rFonts w:ascii="Times New Roman;serif" w:hAnsi="Times New Roman;serif"/>
          <w:b w:val="false"/>
          <w:color w:val="000000"/>
          <w:sz w:val="20"/>
        </w:rPr>
      </w:pPr>
      <w:r>
        <w:rPr>
          <w:rFonts w:ascii="Times New Roman;serif" w:hAnsi="Times New Roman;serif"/>
          <w:b w:val="false"/>
          <w:color w:val="000000"/>
          <w:sz w:val="20"/>
        </w:rPr>
        <w:t>As of October 13, 2026, there were 71.5 million shares of the registrant’s Common Stock, par value $0.01,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FOR THE QUARTER ENDED SEPTEMBER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65"/>
        <w:gridCol w:w="234"/>
        <w:gridCol w:w="235"/>
        <w:gridCol w:w="3041"/>
        <w:gridCol w:w="2956"/>
        <w:gridCol w:w="2961"/>
        <w:gridCol w:w="149"/>
        <w:gridCol w:w="149"/>
        <w:gridCol w:w="215"/>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6">
              <w:r>
                <w:rPr>
                  <w:rStyle w:val="InternetLink"/>
                  <w:rFonts w:ascii="Times New Roman;serif" w:hAnsi="Times New Roman;serif"/>
                  <w:b w:val="false"/>
                  <w:i/>
                  <w:color w:val="0000FF"/>
                  <w:sz w:val="20"/>
                  <w:u w:val="single"/>
                </w:rPr>
                <w:t>Part I – Financial Information</w:t>
              </w:r>
            </w:hyperlink>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9">
              <w:r>
                <w:rPr>
                  <w:rStyle w:val="InternetLink"/>
                  <w:rFonts w:ascii="Times New Roman;serif" w:hAnsi="Times New Roman;serif"/>
                  <w:b w:val="false"/>
                  <w:strike w:val="false"/>
                  <w:dstrike w:val="false"/>
                  <w:color w:val="000000"/>
                  <w:sz w:val="20"/>
                  <w:u w:val="none"/>
                  <w:effect w:val="none"/>
                </w:rPr>
                <w:t>Item 1.</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9">
              <w:r>
                <w:rPr>
                  <w:rStyle w:val="InternetLink"/>
                  <w:rFonts w:ascii="Times New Roman;serif" w:hAnsi="Times New Roman;serif"/>
                  <w:b w:val="false"/>
                  <w:color w:val="0000FF"/>
                  <w:sz w:val="20"/>
                  <w:u w:val="single"/>
                </w:rPr>
                <w:t>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19">
              <w:r>
                <w:rPr>
                  <w:rStyle w:val="InternetLink"/>
                  <w:rFonts w:ascii="Times New Roman;serif" w:hAnsi="Times New Roman;serif"/>
                  <w:b w:val="false"/>
                  <w:strike w:val="false"/>
                  <w:dstrike w:val="false"/>
                  <w:color w:val="000000"/>
                  <w:sz w:val="20"/>
                  <w:u w:val="none"/>
                  <w:effect w:val="none"/>
                </w:rPr>
                <w:t>4</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22">
              <w:r>
                <w:rPr>
                  <w:rStyle w:val="InternetLink"/>
                  <w:rFonts w:ascii="Times New Roman;serif" w:hAnsi="Times New Roman;serif"/>
                  <w:b w:val="false"/>
                  <w:color w:val="0000FF"/>
                  <w:sz w:val="20"/>
                  <w:u w:val="single"/>
                </w:rPr>
                <w:t>Condensed Consolidated Statements of Financial Condition as of September 30,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22">
              <w:r>
                <w:rPr>
                  <w:rStyle w:val="InternetLink"/>
                  <w:rFonts w:ascii="Times New Roman;serif" w:hAnsi="Times New Roman;serif"/>
                  <w:b w:val="false"/>
                  <w:strike w:val="false"/>
                  <w:dstrike w:val="false"/>
                  <w:color w:val="000000"/>
                  <w:sz w:val="20"/>
                  <w:u w:val="none"/>
                  <w:effect w:val="none"/>
                </w:rPr>
                <w:t>4</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25">
              <w:r>
                <w:rPr>
                  <w:rStyle w:val="InternetLink"/>
                  <w:rFonts w:ascii="Times New Roman;serif" w:hAnsi="Times New Roman;serif"/>
                  <w:b w:val="false"/>
                  <w:color w:val="0000FF"/>
                  <w:sz w:val="20"/>
                  <w:u w:val="single"/>
                </w:rPr>
                <w:t>Condensed Consolidated Statements of Income for the three and nine months ended September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25">
              <w:r>
                <w:rPr>
                  <w:rStyle w:val="InternetLink"/>
                  <w:rFonts w:ascii="Times New Roman;serif" w:hAnsi="Times New Roman;serif"/>
                  <w:b w:val="false"/>
                  <w:strike w:val="false"/>
                  <w:dstrike w:val="false"/>
                  <w:color w:val="000000"/>
                  <w:sz w:val="20"/>
                  <w:u w:val="none"/>
                  <w:effect w:val="none"/>
                </w:rPr>
                <w:t>5</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28">
              <w:r>
                <w:rPr>
                  <w:rStyle w:val="InternetLink"/>
                  <w:rFonts w:ascii="Times New Roman;serif" w:hAnsi="Times New Roman;serif"/>
                  <w:b w:val="false"/>
                  <w:color w:val="000080"/>
                  <w:sz w:val="20"/>
                  <w:u w:val="single"/>
                </w:rPr>
                <w:t>Condensed Consolidated Statements of Comprehensive Income for the three and nine months ended September</w:t>
              </w:r>
            </w:hyperlink>
            <w:hyperlink w:anchor="i936cb2ea948f4ff393b390270d33fd81_28">
              <w:r>
                <w:rPr>
                  <w:rStyle w:val="InternetLink"/>
                  <w:rFonts w:ascii="Times New Roman;serif" w:hAnsi="Times New Roman;serif"/>
                  <w:b w:val="false"/>
                  <w:color w:val="000080"/>
                  <w:sz w:val="20"/>
                  <w:u w:val="single"/>
                </w:rPr>
                <w:t xml:space="preserve"> </w:t>
              </w:r>
            </w:hyperlink>
            <w:hyperlink w:anchor="i936cb2ea948f4ff393b390270d33fd81_28">
              <w:r>
                <w:rPr>
                  <w:rStyle w:val="InternetLink"/>
                  <w:rFonts w:ascii="Times New Roman;serif" w:hAnsi="Times New Roman;serif"/>
                  <w:b w:val="false"/>
                  <w:color w:val="000080"/>
                  <w:sz w:val="20"/>
                  <w:u w:val="single"/>
                </w:rPr>
                <w:t>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28">
              <w:r>
                <w:rPr>
                  <w:rStyle w:val="InternetLink"/>
                  <w:rFonts w:ascii="Times New Roman;serif" w:hAnsi="Times New Roman;serif"/>
                  <w:b w:val="false"/>
                  <w:strike w:val="false"/>
                  <w:dstrike w:val="false"/>
                  <w:color w:val="000000"/>
                  <w:sz w:val="20"/>
                  <w:u w:val="none"/>
                  <w:effect w:val="none"/>
                </w:rPr>
                <w:t>6</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31">
              <w:r>
                <w:rPr>
                  <w:rStyle w:val="InternetLink"/>
                  <w:rFonts w:ascii="Times New Roman;serif" w:hAnsi="Times New Roman;serif"/>
                  <w:b w:val="false"/>
                  <w:color w:val="0000FF"/>
                  <w:sz w:val="20"/>
                  <w:u w:val="single"/>
                </w:rPr>
                <w:t>Condensed Consolidated Statements of Shareholders' Equity (Deficit) for the three and nine months ended September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31">
              <w:r>
                <w:rPr>
                  <w:rStyle w:val="InternetLink"/>
                  <w:rFonts w:ascii="Times New Roman;serif" w:hAnsi="Times New Roman;serif"/>
                  <w:b w:val="false"/>
                  <w:strike w:val="false"/>
                  <w:dstrike w:val="false"/>
                  <w:color w:val="000000"/>
                  <w:sz w:val="20"/>
                  <w:u w:val="none"/>
                  <w:effect w:val="none"/>
                </w:rPr>
                <w:t>7</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34">
              <w:r>
                <w:rPr>
                  <w:rStyle w:val="InternetLink"/>
                  <w:rFonts w:ascii="Times New Roman;serif" w:hAnsi="Times New Roman;serif"/>
                  <w:b w:val="false"/>
                  <w:color w:val="0000FF"/>
                  <w:sz w:val="20"/>
                  <w:u w:val="single"/>
                </w:rPr>
                <w:t>Condensed Consolidated Statements of Cash Flows for the nine months ended September 30,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34">
              <w:r>
                <w:rPr>
                  <w:rStyle w:val="InternetLink"/>
                  <w:rFonts w:ascii="Times New Roman;serif" w:hAnsi="Times New Roman;serif"/>
                  <w:b w:val="false"/>
                  <w:strike w:val="false"/>
                  <w:dstrike w:val="false"/>
                  <w:color w:val="000000"/>
                  <w:sz w:val="20"/>
                  <w:u w:val="none"/>
                  <w:effect w:val="none"/>
                </w:rPr>
                <w:t>9</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37">
              <w:r>
                <w:rPr>
                  <w:rStyle w:val="InternetLink"/>
                  <w:rFonts w:ascii="Times New Roman;serif" w:hAnsi="Times New Roman;serif"/>
                  <w:b w:val="false"/>
                  <w:color w:val="0000FF"/>
                  <w:sz w:val="20"/>
                  <w:u w:val="single"/>
                </w:rPr>
                <w:t>Notes to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37">
              <w:r>
                <w:rPr>
                  <w:rStyle w:val="InternetLink"/>
                  <w:rFonts w:ascii="Times New Roman;serif" w:hAnsi="Times New Roman;serif"/>
                  <w:b w:val="false"/>
                  <w:strike w:val="false"/>
                  <w:dstrike w:val="false"/>
                  <w:color w:val="000000"/>
                  <w:sz w:val="20"/>
                  <w:u w:val="none"/>
                  <w:effect w:val="none"/>
                </w:rPr>
                <w:t>10</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40">
              <w:r>
                <w:rPr>
                  <w:rStyle w:val="InternetLink"/>
                  <w:rFonts w:ascii="Times New Roman;serif" w:hAnsi="Times New Roman;serif"/>
                  <w:b w:val="false"/>
                  <w:color w:val="0000FF"/>
                  <w:sz w:val="20"/>
                  <w:u w:val="single"/>
                </w:rPr>
                <w:t>1. Introduction and Basis of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40">
              <w:r>
                <w:rPr>
                  <w:rStyle w:val="InternetLink"/>
                  <w:rFonts w:ascii="Times New Roman;serif" w:hAnsi="Times New Roman;serif"/>
                  <w:b w:val="false"/>
                  <w:strike w:val="false"/>
                  <w:dstrike w:val="false"/>
                  <w:color w:val="000000"/>
                  <w:sz w:val="20"/>
                  <w:u w:val="none"/>
                  <w:effect w:val="none"/>
                </w:rPr>
                <w:t>10</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43">
              <w:r>
                <w:rPr>
                  <w:rStyle w:val="InternetLink"/>
                  <w:rFonts w:ascii="Times New Roman;serif" w:hAnsi="Times New Roman;serif"/>
                  <w:b w:val="false"/>
                  <w:color w:val="0000FF"/>
                  <w:sz w:val="20"/>
                  <w:u w:val="single"/>
                </w:rPr>
                <w:t>2. Recent Accounting Pronouncements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43">
              <w:r>
                <w:rPr>
                  <w:rStyle w:val="InternetLink"/>
                  <w:rFonts w:ascii="Times New Roman;serif" w:hAnsi="Times New Roman;serif"/>
                  <w:b w:val="false"/>
                  <w:strike w:val="false"/>
                  <w:dstrike w:val="false"/>
                  <w:color w:val="000000"/>
                  <w:sz w:val="20"/>
                  <w:u w:val="none"/>
                  <w:effect w:val="none"/>
                </w:rPr>
                <w:t>11</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46">
              <w:r>
                <w:rPr>
                  <w:rStyle w:val="InternetLink"/>
                  <w:rFonts w:ascii="Times New Roman;serif" w:hAnsi="Times New Roman;serif"/>
                  <w:b w:val="false"/>
                  <w:color w:val="0000FF"/>
                  <w:sz w:val="20"/>
                  <w:u w:val="single"/>
                </w:rPr>
                <w:t>3. Revenue Recognition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46">
              <w:r>
                <w:rPr>
                  <w:rStyle w:val="InternetLink"/>
                  <w:rFonts w:ascii="Times New Roman;serif" w:hAnsi="Times New Roman;serif"/>
                  <w:b w:val="false"/>
                  <w:strike w:val="false"/>
                  <w:dstrike w:val="false"/>
                  <w:color w:val="000000"/>
                  <w:sz w:val="20"/>
                  <w:u w:val="none"/>
                  <w:effect w:val="none"/>
                </w:rPr>
                <w:t>11</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52">
              <w:r>
                <w:rPr>
                  <w:rStyle w:val="InternetLink"/>
                  <w:rFonts w:ascii="Times New Roman;serif" w:hAnsi="Times New Roman;serif"/>
                  <w:b w:val="false"/>
                  <w:color w:val="0000FF"/>
                  <w:sz w:val="20"/>
                  <w:u w:val="single"/>
                </w:rPr>
                <w:t>4. Earnings Per Common Share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52">
              <w:r>
                <w:rPr>
                  <w:rStyle w:val="InternetLink"/>
                  <w:rFonts w:ascii="Times New Roman;serif" w:hAnsi="Times New Roman;serif"/>
                  <w:b w:val="false"/>
                  <w:strike w:val="false"/>
                  <w:dstrike w:val="false"/>
                  <w:color w:val="000000"/>
                  <w:sz w:val="20"/>
                  <w:u w:val="none"/>
                  <w:effect w:val="none"/>
                </w:rPr>
                <w:t>13</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55">
              <w:r>
                <w:rPr>
                  <w:rStyle w:val="InternetLink"/>
                  <w:rFonts w:ascii="Times New Roman;serif" w:hAnsi="Times New Roman;serif"/>
                  <w:b w:val="false"/>
                  <w:color w:val="0000FF"/>
                  <w:sz w:val="20"/>
                  <w:u w:val="single"/>
                </w:rPr>
                <w:t>5. Acquisitions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55">
              <w:r>
                <w:rPr>
                  <w:rStyle w:val="InternetLink"/>
                  <w:rFonts w:ascii="Times New Roman;serif" w:hAnsi="Times New Roman;serif"/>
                  <w:b w:val="false"/>
                  <w:strike w:val="false"/>
                  <w:dstrike w:val="false"/>
                  <w:color w:val="000000"/>
                  <w:sz w:val="20"/>
                  <w:u w:val="none"/>
                  <w:effect w:val="none"/>
                </w:rPr>
                <w:t>13</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58">
              <w:r>
                <w:rPr>
                  <w:rStyle w:val="InternetLink"/>
                  <w:rFonts w:ascii="Times New Roman;serif" w:hAnsi="Times New Roman;serif"/>
                  <w:b w:val="false"/>
                  <w:color w:val="0000FF"/>
                  <w:sz w:val="20"/>
                  <w:u w:val="single"/>
                </w:rPr>
                <w:t>6. Goodwill and Intangible Assets, Net</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58">
              <w:r>
                <w:rPr>
                  <w:rStyle w:val="InternetLink"/>
                  <w:rFonts w:ascii="Times New Roman;serif" w:hAnsi="Times New Roman;serif"/>
                  <w:b w:val="false"/>
                  <w:strike w:val="false"/>
                  <w:dstrike w:val="false"/>
                  <w:color w:val="000000"/>
                  <w:sz w:val="20"/>
                  <w:u w:val="none"/>
                  <w:effect w:val="none"/>
                </w:rPr>
                <w:t>14</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61">
              <w:r>
                <w:rPr>
                  <w:rStyle w:val="InternetLink"/>
                  <w:rFonts w:ascii="Times New Roman;serif" w:hAnsi="Times New Roman;serif"/>
                  <w:b w:val="false"/>
                  <w:color w:val="0000FF"/>
                  <w:sz w:val="20"/>
                  <w:u w:val="single"/>
                </w:rPr>
                <w:t>7. Debt</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61">
              <w:r>
                <w:rPr>
                  <w:rStyle w:val="InternetLink"/>
                  <w:rFonts w:ascii="Times New Roman;serif" w:hAnsi="Times New Roman;serif"/>
                  <w:b w:val="false"/>
                  <w:strike w:val="false"/>
                  <w:dstrike w:val="false"/>
                  <w:color w:val="000000"/>
                  <w:sz w:val="20"/>
                  <w:u w:val="none"/>
                  <w:effect w:val="none"/>
                </w:rPr>
                <w:t>16</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64">
              <w:r>
                <w:rPr>
                  <w:rStyle w:val="InternetLink"/>
                  <w:rFonts w:ascii="Times New Roman;serif" w:hAnsi="Times New Roman;serif"/>
                  <w:b w:val="false"/>
                  <w:color w:val="0000FF"/>
                  <w:sz w:val="20"/>
                  <w:u w:val="single"/>
                </w:rPr>
                <w:t>8. Leases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64">
              <w:r>
                <w:rPr>
                  <w:rStyle w:val="InternetLink"/>
                  <w:rFonts w:ascii="Times New Roman;serif" w:hAnsi="Times New Roman;serif"/>
                  <w:b w:val="false"/>
                  <w:strike w:val="false"/>
                  <w:dstrike w:val="false"/>
                  <w:color w:val="000000"/>
                  <w:sz w:val="20"/>
                  <w:u w:val="none"/>
                  <w:effect w:val="none"/>
                </w:rPr>
                <w:t>17</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67">
              <w:r>
                <w:rPr>
                  <w:rStyle w:val="InternetLink"/>
                  <w:rFonts w:ascii="Times New Roman;serif" w:hAnsi="Times New Roman;serif"/>
                  <w:b w:val="false"/>
                  <w:color w:val="0000FF"/>
                  <w:sz w:val="20"/>
                  <w:u w:val="single"/>
                </w:rPr>
                <w:t>9. Shareholders’ Equity (Deficit)</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67">
              <w:r>
                <w:rPr>
                  <w:rStyle w:val="InternetLink"/>
                  <w:rFonts w:ascii="Times New Roman;serif" w:hAnsi="Times New Roman;serif"/>
                  <w:b w:val="false"/>
                  <w:strike w:val="false"/>
                  <w:dstrike w:val="false"/>
                  <w:color w:val="000000"/>
                  <w:sz w:val="20"/>
                  <w:u w:val="none"/>
                  <w:effect w:val="none"/>
                </w:rPr>
                <w:t>18</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70">
              <w:r>
                <w:rPr>
                  <w:rStyle w:val="InternetLink"/>
                  <w:rFonts w:ascii="Times New Roman;serif" w:hAnsi="Times New Roman;serif"/>
                  <w:b w:val="false"/>
                  <w:color w:val="0000FF"/>
                  <w:sz w:val="20"/>
                  <w:u w:val="single"/>
                </w:rPr>
                <w:t>10. Income Taxes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70">
              <w:r>
                <w:rPr>
                  <w:rStyle w:val="InternetLink"/>
                  <w:rFonts w:ascii="Times New Roman;serif" w:hAnsi="Times New Roman;serif"/>
                  <w:b w:val="false"/>
                  <w:strike w:val="false"/>
                  <w:dstrike w:val="false"/>
                  <w:color w:val="000000"/>
                  <w:sz w:val="20"/>
                  <w:u w:val="none"/>
                  <w:effect w:val="none"/>
                </w:rPr>
                <w:t>20</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73">
              <w:r>
                <w:rPr>
                  <w:rStyle w:val="InternetLink"/>
                  <w:rFonts w:ascii="Times New Roman;serif" w:hAnsi="Times New Roman;serif"/>
                  <w:b w:val="false"/>
                  <w:color w:val="0000FF"/>
                  <w:sz w:val="20"/>
                  <w:u w:val="single"/>
                </w:rPr>
                <w:t>11.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73">
              <w:r>
                <w:rPr>
                  <w:rStyle w:val="InternetLink"/>
                  <w:rFonts w:ascii="Times New Roman;serif" w:hAnsi="Times New Roman;serif"/>
                  <w:b w:val="false"/>
                  <w:strike w:val="false"/>
                  <w:dstrike w:val="false"/>
                  <w:color w:val="000000"/>
                  <w:sz w:val="20"/>
                  <w:u w:val="none"/>
                  <w:effect w:val="none"/>
                </w:rPr>
                <w:t>20</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76">
              <w:r>
                <w:rPr>
                  <w:rStyle w:val="InternetLink"/>
                  <w:rFonts w:ascii="Times New Roman;serif" w:hAnsi="Times New Roman;serif"/>
                  <w:b w:val="false"/>
                  <w:color w:val="0000FF"/>
                  <w:sz w:val="20"/>
                  <w:u w:val="single"/>
                </w:rPr>
                <w:t>12. Subsequent Events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76">
              <w:r>
                <w:rPr>
                  <w:rStyle w:val="InternetLink"/>
                  <w:rFonts w:ascii="Times New Roman;serif" w:hAnsi="Times New Roman;serif"/>
                  <w:b w:val="false"/>
                  <w:strike w:val="false"/>
                  <w:dstrike w:val="false"/>
                  <w:color w:val="000000"/>
                  <w:sz w:val="20"/>
                  <w:u w:val="none"/>
                  <w:effect w:val="none"/>
                </w:rPr>
                <w:t>23</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76">
              <w:r>
                <w:rPr>
                  <w:rStyle w:val="InternetLink"/>
                  <w:rFonts w:ascii="Times New Roman;serif" w:hAnsi="Times New Roman;serif"/>
                  <w:b w:val="false"/>
                  <w:strike w:val="false"/>
                  <w:dstrike w:val="false"/>
                  <w:color w:val="000000"/>
                  <w:sz w:val="20"/>
                  <w:u w:val="none"/>
                  <w:effect w:val="none"/>
                </w:rPr>
                <w:t>Item 2.</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79">
              <w:r>
                <w:rPr>
                  <w:rStyle w:val="InternetLink"/>
                  <w:rFonts w:ascii="Times New Roman;serif" w:hAnsi="Times New Roman;serif"/>
                  <w:b w:val="false"/>
                  <w:strike w:val="false"/>
                  <w:dstrike w:val="false"/>
                  <w:color w:val="000000"/>
                  <w:sz w:val="20"/>
                  <w:u w:val="none"/>
                  <w:effect w:val="none"/>
                </w:rPr>
                <w:t>24</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66">
              <w:r>
                <w:rPr>
                  <w:rStyle w:val="InternetLink"/>
                  <w:rFonts w:ascii="Times New Roman;serif" w:hAnsi="Times New Roman;serif"/>
                  <w:b w:val="false"/>
                  <w:strike w:val="false"/>
                  <w:dstrike w:val="false"/>
                  <w:color w:val="000000"/>
                  <w:sz w:val="20"/>
                  <w:u w:val="none"/>
                  <w:effect w:val="none"/>
                </w:rPr>
                <w:t>Item 3.</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72">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72">
              <w:r>
                <w:rPr>
                  <w:rStyle w:val="InternetLink"/>
                  <w:rFonts w:ascii="Times New Roman;serif" w:hAnsi="Times New Roman;serif"/>
                  <w:b w:val="false"/>
                  <w:strike w:val="false"/>
                  <w:dstrike w:val="false"/>
                  <w:color w:val="000000"/>
                  <w:sz w:val="20"/>
                  <w:u w:val="none"/>
                  <w:effect w:val="none"/>
                </w:rPr>
                <w:t>41</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69">
              <w:r>
                <w:rPr>
                  <w:rStyle w:val="InternetLink"/>
                  <w:rFonts w:ascii="Times New Roman;serif" w:hAnsi="Times New Roman;serif"/>
                  <w:b w:val="false"/>
                  <w:strike w:val="false"/>
                  <w:dstrike w:val="false"/>
                  <w:color w:val="000000"/>
                  <w:sz w:val="20"/>
                  <w:u w:val="none"/>
                  <w:effect w:val="none"/>
                </w:rPr>
                <w:t>Item 4.</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75">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75">
              <w:r>
                <w:rPr>
                  <w:rStyle w:val="InternetLink"/>
                  <w:rFonts w:ascii="Times New Roman;serif" w:hAnsi="Times New Roman;serif"/>
                  <w:b w:val="false"/>
                  <w:strike w:val="false"/>
                  <w:dstrike w:val="false"/>
                  <w:color w:val="000000"/>
                  <w:sz w:val="20"/>
                  <w:u w:val="none"/>
                  <w:effect w:val="none"/>
                </w:rPr>
                <w:t>42</w:t>
              </w:r>
            </w:hyperlink>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72">
              <w:r>
                <w:rPr>
                  <w:rStyle w:val="InternetLink"/>
                  <w:rFonts w:ascii="Times New Roman;serif" w:hAnsi="Times New Roman;serif"/>
                  <w:b w:val="false"/>
                  <w:i/>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75">
              <w:r>
                <w:rPr>
                  <w:rStyle w:val="InternetLink"/>
                  <w:rFonts w:ascii="Times New Roman;serif" w:hAnsi="Times New Roman;serif"/>
                  <w:b w:val="false"/>
                  <w:strike w:val="false"/>
                  <w:dstrike w:val="false"/>
                  <w:color w:val="000000"/>
                  <w:sz w:val="20"/>
                  <w:u w:val="none"/>
                  <w:effect w:val="none"/>
                </w:rPr>
                <w:t>Item 1.</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81">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81">
              <w:r>
                <w:rPr>
                  <w:rStyle w:val="InternetLink"/>
                  <w:rFonts w:ascii="Times New Roman;serif" w:hAnsi="Times New Roman;serif"/>
                  <w:b w:val="false"/>
                  <w:strike w:val="false"/>
                  <w:dstrike w:val="false"/>
                  <w:color w:val="000000"/>
                  <w:sz w:val="20"/>
                  <w:u w:val="none"/>
                  <w:effect w:val="none"/>
                </w:rPr>
                <w:t>43</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78">
              <w:r>
                <w:rPr>
                  <w:rStyle w:val="InternetLink"/>
                  <w:rFonts w:ascii="Times New Roman;serif" w:hAnsi="Times New Roman;serif"/>
                  <w:b w:val="false"/>
                  <w:strike w:val="false"/>
                  <w:dstrike w:val="false"/>
                  <w:color w:val="000000"/>
                  <w:sz w:val="20"/>
                  <w:u w:val="none"/>
                  <w:effect w:val="none"/>
                </w:rPr>
                <w:t>Item 1A.</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84">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84">
              <w:r>
                <w:rPr>
                  <w:rStyle w:val="InternetLink"/>
                  <w:rFonts w:ascii="Times New Roman;serif" w:hAnsi="Times New Roman;serif"/>
                  <w:b w:val="false"/>
                  <w:strike w:val="false"/>
                  <w:dstrike w:val="false"/>
                  <w:color w:val="000000"/>
                  <w:sz w:val="20"/>
                  <w:u w:val="none"/>
                  <w:effect w:val="none"/>
                </w:rPr>
                <w:t>43</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81">
              <w:r>
                <w:rPr>
                  <w:rStyle w:val="InternetLink"/>
                  <w:rFonts w:ascii="Times New Roman;serif" w:hAnsi="Times New Roman;serif"/>
                  <w:b w:val="false"/>
                  <w:strike w:val="false"/>
                  <w:dstrike w:val="false"/>
                  <w:color w:val="000000"/>
                  <w:sz w:val="20"/>
                  <w:u w:val="none"/>
                  <w:effect w:val="none"/>
                </w:rPr>
                <w:t>Item 2.</w:t>
              </w:r>
            </w:hyperlink>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87">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87">
              <w:r>
                <w:rPr>
                  <w:rStyle w:val="InternetLink"/>
                  <w:rFonts w:ascii="Times New Roman;serif" w:hAnsi="Times New Roman;serif"/>
                  <w:b w:val="false"/>
                  <w:strike w:val="false"/>
                  <w:dstrike w:val="false"/>
                  <w:color w:val="000000"/>
                  <w:sz w:val="20"/>
                  <w:u w:val="none"/>
                  <w:effect w:val="none"/>
                </w:rPr>
                <w:t>43</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90">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90">
              <w:r>
                <w:rPr>
                  <w:rStyle w:val="InternetLink"/>
                  <w:rFonts w:ascii="Times New Roman;serif" w:hAnsi="Times New Roman;serif"/>
                  <w:b w:val="false"/>
                  <w:strike w:val="false"/>
                  <w:dstrike w:val="false"/>
                  <w:color w:val="000000"/>
                  <w:sz w:val="20"/>
                  <w:u w:val="none"/>
                  <w:effect w:val="none"/>
                </w:rPr>
                <w:t>43</w:t>
              </w:r>
            </w:hyperlink>
          </w:p>
        </w:tc>
      </w:tr>
      <w:tr>
        <w:trPr/>
        <w:tc>
          <w:tcPr>
            <w:tcW w:w="7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5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36cb2ea948f4ff393b390270d33fd81_196">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936cb2ea948f4ff393b390270d33fd81_196">
              <w:r>
                <w:rPr>
                  <w:rStyle w:val="InternetLink"/>
                  <w:rFonts w:ascii="Times New Roman;serif" w:hAnsi="Times New Roman;serif"/>
                  <w:b w:val="false"/>
                  <w:strike w:val="false"/>
                  <w:dstrike w:val="false"/>
                  <w:color w:val="000000"/>
                  <w:sz w:val="20"/>
                  <w:u w:val="none"/>
                  <w:effect w:val="non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AVAILABLE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is located at 7 World Trade Center, 250 Greenwich Street, 49th Floor, New York, New York, 10007, and our telephone number is (212) 804-3900. We maintain a website on the internet at www.msci.com. The contents of our website are not a part of or incorporated by reference in this Quarterly Report on Form 10-Q.</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Securities and Exchange Commission (“SEC”). The SEC maintains a website that contains reports, proxy and information statements and other information that we file electronically with the SEC at www.sec.gov. We also make available free of charge, on or through our website, these reports, proxy statements and other information as soon as reasonably practicable following the time they are electronically filed with or furnished to the SEC. To access these, click on the “SEC Filings” link under the “Financial Information” tab found on our investor relations homepage (https://ir.msci.com).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our investor relations website ir.msci.com and our social media outlets, such as LinkedIn or X (@MSCI_Inc), as channels of distribution of Company information. The information we post through these channels may be deemed material.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investors should monitor these channels, in addition to following our press releases, SEC filings and public conference calls and webcasts. In addition, you may automatically receive email alerts and other information about us when you enroll your email address by visiting the “Email Alerts” on our investor relations homepage at https://ir.msci.com/email-alerts. The contents of our website, including our investor relations website, and our social media channels are not, however, a part of or incorporated by reference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FORWARD-LOOKING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included in this Quarterly Report on Form 10-Q,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 These forward-looking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the use of words such as “may,” “could,” “expect,” “intend,” “plan,” “seek,” “anticipate,” “believe,” “estimate,” “predict,” “potential” or “continue,” or the negative of these terms or other comparable terminology. Statements concerning our financial position, business strategy and plans or objectives for future operations are forward-looking statements.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 Such risks and uncertainties include those set forth under “Risk Factors” in Part I, Item 1A of the 2025 Annual Report on Form 10-K filed with the SEC on February 6, 2026. If any of these risks or uncertainties materialize, or if MSCI’s underlying assumptions prove to be incorrect, actual results may vary significantly from what MSCI projected. Any forward-looking statement reflects our current views with respect to future events, levels of activity, performance or achievements and is subject to these and other risks, uncertainties and assumptions relating to our operations, results of operations, growth strategy and liquidity. The forward-looking statements in this report speak only as of the time they are made and do not necessarily reflect our outlook at any other point in time. MSCI assumes no obligation to publicly update or revise these forward-looking statements for any reason, whether as a result of new information, future events, or otherwise, except as required by law. Therefore, readers should carefully review the risk factors set forth in our Annual Report on Form 10-K and in other reports or documents we file from time to time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978"/>
        <w:gridCol w:w="2214"/>
        <w:gridCol w:w="2220"/>
        <w:gridCol w:w="109"/>
        <w:gridCol w:w="109"/>
        <w:gridCol w:w="109"/>
        <w:gridCol w:w="207"/>
        <w:gridCol w:w="732"/>
        <w:gridCol w:w="115"/>
        <w:gridCol w:w="109"/>
        <w:gridCol w:w="109"/>
        <w:gridCol w:w="109"/>
        <w:gridCol w:w="203"/>
        <w:gridCol w:w="718"/>
        <w:gridCol w:w="164"/>
      </w:tblGrid>
      <w:tr>
        <w:trPr/>
        <w:tc>
          <w:tcPr>
            <w:tcW w:w="2978"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7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(includes restricted cash of $3.6 and $3.7 at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allowances of $7.4 and $6.4 at September 30, 2026 and December 31, 2025,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1,644.8 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equipment and leasehold improvements,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Right of 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5,595.3 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5,702.5 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1,574.9 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8,611.7 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8,357.0 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(see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100.0 shares authorized; no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750.0 common shares authorized; 134.5 and 134.4 common shares issued and 71.7 and 73.6 common shares outstanding at September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shares, at cost (62.8 and 60.8 common shares held at September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(10,958.2)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shareholders’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(3,016.4)</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(2,654.5)</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7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5,595.3 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5,702.5 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1753"/>
        <w:gridCol w:w="1525"/>
        <w:gridCol w:w="152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75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462" w:type="dxa"/>
        <w:jc w:val="left"/>
        <w:tblInd w:w="0" w:type="dxa"/>
        <w:tblLayout w:type="fixed"/>
        <w:tblCellMar>
          <w:top w:w="28" w:type="dxa"/>
          <w:left w:w="28" w:type="dxa"/>
          <w:bottom w:w="28" w:type="dxa"/>
          <w:right w:w="28" w:type="dxa"/>
        </w:tblCellMar>
      </w:tblPr>
      <w:tblGrid>
        <w:gridCol w:w="1522"/>
        <w:gridCol w:w="1341"/>
        <w:gridCol w:w="1352"/>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1"/>
        <w:gridCol w:w="599"/>
        <w:gridCol w:w="603"/>
        <w:gridCol w:w="109"/>
        <w:gridCol w:w="109"/>
        <w:gridCol w:w="109"/>
        <w:gridCol w:w="223"/>
        <w:gridCol w:w="429"/>
        <w:gridCol w:w="126"/>
        <w:gridCol w:w="109"/>
        <w:gridCol w:w="109"/>
        <w:gridCol w:w="109"/>
        <w:gridCol w:w="196"/>
        <w:gridCol w:w="815"/>
        <w:gridCol w:w="109"/>
        <w:gridCol w:w="109"/>
        <w:gridCol w:w="109"/>
        <w:gridCol w:w="109"/>
        <w:gridCol w:w="196"/>
        <w:gridCol w:w="691"/>
        <w:gridCol w:w="109"/>
        <w:gridCol w:w="109"/>
        <w:gridCol w:w="109"/>
        <w:gridCol w:w="109"/>
        <w:gridCol w:w="196"/>
        <w:gridCol w:w="691"/>
        <w:gridCol w:w="109"/>
        <w:gridCol w:w="109"/>
        <w:gridCol w:w="109"/>
        <w:gridCol w:w="109"/>
        <w:gridCol w:w="306"/>
        <w:gridCol w:w="752"/>
        <w:gridCol w:w="170"/>
        <w:gridCol w:w="109"/>
        <w:gridCol w:w="109"/>
        <w:gridCol w:w="109"/>
        <w:gridCol w:w="196"/>
        <w:gridCol w:w="725"/>
        <w:gridCol w:w="109"/>
        <w:gridCol w:w="162"/>
      </w:tblGrid>
      <w:tr>
        <w:trPr/>
        <w:tc>
          <w:tcPr>
            <w:tcW w:w="73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 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($2.05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(10,253.0)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($2.05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($2.05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(10,958.2)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(3,016.4)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9"/>
        <w:gridCol w:w="627"/>
        <w:gridCol w:w="630"/>
        <w:gridCol w:w="109"/>
        <w:gridCol w:w="109"/>
        <w:gridCol w:w="109"/>
        <w:gridCol w:w="224"/>
        <w:gridCol w:w="430"/>
        <w:gridCol w:w="126"/>
        <w:gridCol w:w="109"/>
        <w:gridCol w:w="109"/>
        <w:gridCol w:w="109"/>
        <w:gridCol w:w="196"/>
        <w:gridCol w:w="727"/>
        <w:gridCol w:w="109"/>
        <w:gridCol w:w="109"/>
        <w:gridCol w:w="109"/>
        <w:gridCol w:w="109"/>
        <w:gridCol w:w="196"/>
        <w:gridCol w:w="691"/>
        <w:gridCol w:w="109"/>
        <w:gridCol w:w="109"/>
        <w:gridCol w:w="109"/>
        <w:gridCol w:w="109"/>
        <w:gridCol w:w="196"/>
        <w:gridCol w:w="691"/>
        <w:gridCol w:w="109"/>
        <w:gridCol w:w="109"/>
        <w:gridCol w:w="109"/>
        <w:gridCol w:w="109"/>
        <w:gridCol w:w="307"/>
        <w:gridCol w:w="753"/>
        <w:gridCol w:w="171"/>
        <w:gridCol w:w="109"/>
        <w:gridCol w:w="109"/>
        <w:gridCol w:w="109"/>
        <w:gridCol w:w="196"/>
        <w:gridCol w:w="727"/>
        <w:gridCol w:w="109"/>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Common </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 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(7,334.3)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($1.80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($1.80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($1.80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in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payable in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 and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issued to Directors and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6"/>
              </w:rPr>
              <w:t>(held in)/released from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(8,918.5)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8805" w:type="dxa"/>
        <w:jc w:val="left"/>
        <w:tblInd w:w="0" w:type="dxa"/>
        <w:tblLayout w:type="fixed"/>
        <w:tblCellMar>
          <w:top w:w="28" w:type="dxa"/>
          <w:left w:w="28" w:type="dxa"/>
          <w:bottom w:w="28" w:type="dxa"/>
          <w:right w:w="28" w:type="dxa"/>
        </w:tblCellMar>
      </w:tblPr>
      <w:tblGrid>
        <w:gridCol w:w="2137"/>
        <w:gridCol w:w="1882"/>
        <w:gridCol w:w="1890"/>
        <w:gridCol w:w="109"/>
        <w:gridCol w:w="109"/>
        <w:gridCol w:w="109"/>
        <w:gridCol w:w="196"/>
        <w:gridCol w:w="691"/>
        <w:gridCol w:w="109"/>
        <w:gridCol w:w="109"/>
        <w:gridCol w:w="109"/>
        <w:gridCol w:w="109"/>
        <w:gridCol w:w="199"/>
        <w:gridCol w:w="566"/>
        <w:gridCol w:w="109"/>
        <w:gridCol w:w="109"/>
        <w:gridCol w:w="109"/>
        <w:gridCol w:w="154"/>
      </w:tblGrid>
      <w:tr>
        <w:trPr/>
        <w:tc>
          <w:tcPr>
            <w:tcW w:w="213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property, equipment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origination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 net of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and deferred purchase price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 of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leasehold improvements in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MSCI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INTRODUCTION AND BASIS OF PRESENTATION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 Inc., together with its wholly owned subsidiaries (the “Company” or “MSCI”), provides research-based data, analytics and indexes, supported by advanced technology, that set standards for global investors and help our clients understand risks and opportunities, make better investment decisions and unlock innovation. The Company’s products and services include indexes; portfolio construction and risk management tools; sustainability and climate solutions; and private asset data and analytics.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Basis of Presentation and 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the instructions to Form 10-Q and Article 10 of Regulation S-X. Accordingly, they should be read in conjunction with the audited consolidated financial statements and notes included in our Annual Report on Form 10-K for the fiscal year ended December 31, 2025. If not materially different, certain note disclosures included therein have been omitted from these interim condensed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all adjustments, which consist of normal recurring adjustments necessary for a fair statement of the interim consolidated financial statements, have been included. The results of operations for interim periods are not necessarily indicative of results for the entire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are prepared in accordance with GAAP. The Company makes certain estimates and judgments that can affect the reported amounts of assets and liabilities as of the date of the unaudited condensed consolidated financial statements, as well as the reported amounts of operating revenues and expenses during the periods presented. Significant estimates and judgments made by management include such examples as assessment of impairment of goodwill and intangible assets and income taxes. The Company believes that estimates used in the preparation of these unaudited condensed consolidated financial statements are reasonable; however, actual results could differ materially from these estimates. Intercompany balances and transactions are eliminated in consolidation.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changed the presentation of its financial statements and accompanying footnote disclosure from thousands to millions, and as a result, any necessary rounding adjustments have been made to prior period disclosed amounts.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BlackRock, Inc. (“BlackRock”) accounted for 11.8% and 10.6% of the Company’s consolidated operating revenues, respectively. For the nine months ended September 30, 2026 and 2025, BlackRock accounted for 19.8% and 18.5% of the Index segment’s operating revenues, respectively. No single customer represented 10.0% or more of operating revenues within Analytics, Sustainability and Climate or All Other – Private Assets for the nine months ended September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the allowance for credit losses from December 31, 2024 to September 30, 2026 were as follows: </w:t>
      </w:r>
    </w:p>
    <w:tbl>
      <w:tblPr>
        <w:tblW w:w="3970" w:type="dxa"/>
        <w:jc w:val="center"/>
        <w:tblInd w:w="0" w:type="dxa"/>
        <w:tblLayout w:type="fixed"/>
        <w:tblCellMar>
          <w:top w:w="28" w:type="dxa"/>
          <w:left w:w="28" w:type="dxa"/>
          <w:bottom w:w="28" w:type="dxa"/>
          <w:right w:w="28" w:type="dxa"/>
        </w:tblCellMar>
      </w:tblPr>
      <w:tblGrid>
        <w:gridCol w:w="1039"/>
        <w:gridCol w:w="910"/>
        <w:gridCol w:w="915"/>
        <w:gridCol w:w="109"/>
        <w:gridCol w:w="109"/>
        <w:gridCol w:w="109"/>
        <w:gridCol w:w="213"/>
        <w:gridCol w:w="411"/>
        <w:gridCol w:w="155"/>
      </w:tblGrid>
      <w:tr>
        <w:trPr/>
        <w:tc>
          <w:tcPr>
            <w:tcW w:w="103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r>
      <w:tr>
        <w:trPr/>
        <w:tc>
          <w:tcPr>
            <w:tcW w:w="28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to credit loss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 to credit loss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Accounting Standards Update No. 2024-03 “Income Statement—Reporting Comprehensive Income—Expense Disaggregation Disclosures (Subtopic 220-40)” or ASU 2024-03. The amendments in ASU 2024-03 require additional disclosure of the nature of expenses included in the income statement as well as disclosures about specific types of expenses included in the expense captions presented in the income statement. ASU 2024-03 is effective for the Company’s Annual Report on Form 10-K for the year ended December 31, 2027 and interim reporting periods beginning in 2028 on a prospective basis. The Company is currently evaluating the impact that the adoption of this standard will have on its consolidated financial statements.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No. 2025-05 “Financial Instruments—Credit Losses (Topic 326)” or ASU 2025-05. The amendments in ASU 2025-05 permit entities to elect a practical expedient when estimating expected credit losses on accounts receivable and contract assets. Under this election, entities may assume that current conditions as of the balance sheet date do not change for the remaining life of accounts receivable and contract assets when developing forecasts as part of estimating expected credit losses. The Company adopted ASU 2025-05 effective January 1, 2026. The adoption did not have a material effect on the Company’s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Accounting Standards Update No. 2025-06 “Intangibles—Goodwill and Other—Internal-Use Software (Subtopic 350-40)” or ASU 2025-06. The amendments in ASU 2025-06 remove references to prescriptive and sequential software development stages. The amendments also require entities to begin capitalizing software costs when management has authorized and committed to funding the software project and it is probable that the project will be completed and the software will be used as intended. ASU 2025-06 is effective for the Company’s Annual Report on Form 10-K for the year ended December 31, 2028 and interim period reporting beginning in 2028, with early adoption permitted as of the beginning of a fiscal year. The amendments can be applied prospectively, retrospectively, or on a modified prospective transition method. The Company is currently evaluating the impact that the adoption of this standard will have on its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Accounting Standards Update No. 2025-09 “Derivatives and Hedging (Topic 815)” or ASU 2025-09. The amendments in ASU 2025-09 clarify aspects of the guidance on hedge accounting and address incremental hedge accounting issues arising from the global reference rate reform initiative. ASU 2025-09 is effective for the Company’s Annual Report on Form 10-K and interim periods for the year ended December 31, 2027, with early adoption permitted. The amendments must be applied prospectively. The Company does not expect the adoption to have a material effect on its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Accounting Standards Update No. 2025-11 “Interim Reporting (Topic 270)” or ASU 2025-11. The amendments in ASU 2025-11 improve guidance in Topic 270 and clarify disclosure requirements for interim reporting periods without changing the fundamental nature of interim reporting. ASU 2025-11 is effective for the Company’s interim reporting periods for the year ended December 31, 2028, with early adoption permitted. The amendments can be applied prospectively or retrospectively to any or all prior periods presented in the financial statements. The Company is currently evaluating the impact that the adoption of this standard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MSCI’s operating revenues are reported by product type and each product type may have different timing for recognizing revenue. The Company’s operating revenue types are recurring subscriptions, asset-based fees and non-recurring revenues. The Company also disaggregates operating revenues by segment.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tables that follow present the disaggregated operating revenues for the periods indicated: </w:t>
      </w:r>
    </w:p>
    <w:tbl>
      <w:tblPr>
        <w:tblW w:w="10205" w:type="dxa"/>
        <w:jc w:val="center"/>
        <w:tblInd w:w="0" w:type="dxa"/>
        <w:tblLayout w:type="fixed"/>
        <w:tblCellMar>
          <w:top w:w="28" w:type="dxa"/>
          <w:left w:w="28" w:type="dxa"/>
          <w:bottom w:w="28" w:type="dxa"/>
          <w:right w:w="28" w:type="dxa"/>
        </w:tblCellMar>
      </w:tblPr>
      <w:tblGrid>
        <w:gridCol w:w="798"/>
        <w:gridCol w:w="655"/>
        <w:gridCol w:w="660"/>
        <w:gridCol w:w="109"/>
        <w:gridCol w:w="109"/>
        <w:gridCol w:w="109"/>
        <w:gridCol w:w="211"/>
        <w:gridCol w:w="616"/>
        <w:gridCol w:w="109"/>
        <w:gridCol w:w="109"/>
        <w:gridCol w:w="109"/>
        <w:gridCol w:w="109"/>
        <w:gridCol w:w="211"/>
        <w:gridCol w:w="616"/>
        <w:gridCol w:w="109"/>
        <w:gridCol w:w="109"/>
        <w:gridCol w:w="109"/>
        <w:gridCol w:w="109"/>
        <w:gridCol w:w="469"/>
        <w:gridCol w:w="1137"/>
        <w:gridCol w:w="244"/>
        <w:gridCol w:w="109"/>
        <w:gridCol w:w="109"/>
        <w:gridCol w:w="109"/>
        <w:gridCol w:w="445"/>
        <w:gridCol w:w="1077"/>
        <w:gridCol w:w="229"/>
        <w:gridCol w:w="109"/>
        <w:gridCol w:w="109"/>
        <w:gridCol w:w="109"/>
        <w:gridCol w:w="211"/>
        <w:gridCol w:w="616"/>
        <w:gridCol w:w="157"/>
      </w:tblGrid>
      <w:tr>
        <w:trPr/>
        <w:tc>
          <w:tcPr>
            <w:tcW w:w="7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September 30, 2026</w:t>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6"/>
        <w:gridCol w:w="611"/>
        <w:gridCol w:w="615"/>
        <w:gridCol w:w="109"/>
        <w:gridCol w:w="109"/>
        <w:gridCol w:w="109"/>
        <w:gridCol w:w="211"/>
        <w:gridCol w:w="766"/>
        <w:gridCol w:w="109"/>
        <w:gridCol w:w="109"/>
        <w:gridCol w:w="109"/>
        <w:gridCol w:w="109"/>
        <w:gridCol w:w="211"/>
        <w:gridCol w:w="616"/>
        <w:gridCol w:w="109"/>
        <w:gridCol w:w="109"/>
        <w:gridCol w:w="109"/>
        <w:gridCol w:w="109"/>
        <w:gridCol w:w="394"/>
        <w:gridCol w:w="1152"/>
        <w:gridCol w:w="204"/>
        <w:gridCol w:w="109"/>
        <w:gridCol w:w="109"/>
        <w:gridCol w:w="109"/>
        <w:gridCol w:w="374"/>
        <w:gridCol w:w="1094"/>
        <w:gridCol w:w="193"/>
        <w:gridCol w:w="109"/>
        <w:gridCol w:w="109"/>
        <w:gridCol w:w="109"/>
        <w:gridCol w:w="211"/>
        <w:gridCol w:w="766"/>
        <w:gridCol w:w="158"/>
      </w:tblGrid>
      <w:tr>
        <w:trPr/>
        <w:tc>
          <w:tcPr>
            <w:tcW w:w="7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Nine Months Ended September 30, 2026</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8"/>
        <w:gridCol w:w="655"/>
        <w:gridCol w:w="660"/>
        <w:gridCol w:w="109"/>
        <w:gridCol w:w="109"/>
        <w:gridCol w:w="109"/>
        <w:gridCol w:w="211"/>
        <w:gridCol w:w="616"/>
        <w:gridCol w:w="109"/>
        <w:gridCol w:w="109"/>
        <w:gridCol w:w="109"/>
        <w:gridCol w:w="109"/>
        <w:gridCol w:w="211"/>
        <w:gridCol w:w="616"/>
        <w:gridCol w:w="109"/>
        <w:gridCol w:w="109"/>
        <w:gridCol w:w="109"/>
        <w:gridCol w:w="109"/>
        <w:gridCol w:w="469"/>
        <w:gridCol w:w="1137"/>
        <w:gridCol w:w="244"/>
        <w:gridCol w:w="109"/>
        <w:gridCol w:w="109"/>
        <w:gridCol w:w="109"/>
        <w:gridCol w:w="445"/>
        <w:gridCol w:w="1077"/>
        <w:gridCol w:w="229"/>
        <w:gridCol w:w="109"/>
        <w:gridCol w:w="109"/>
        <w:gridCol w:w="109"/>
        <w:gridCol w:w="211"/>
        <w:gridCol w:w="616"/>
        <w:gridCol w:w="157"/>
      </w:tblGrid>
      <w:tr>
        <w:trPr/>
        <w:tc>
          <w:tcPr>
            <w:tcW w:w="7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5"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September 30, 2025</w:t>
            </w:r>
          </w:p>
        </w:tc>
      </w:tr>
      <w:tr>
        <w:trPr/>
        <w:tc>
          <w:tcPr>
            <w:tcW w:w="2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76"/>
        <w:gridCol w:w="611"/>
        <w:gridCol w:w="615"/>
        <w:gridCol w:w="109"/>
        <w:gridCol w:w="109"/>
        <w:gridCol w:w="109"/>
        <w:gridCol w:w="211"/>
        <w:gridCol w:w="766"/>
        <w:gridCol w:w="109"/>
        <w:gridCol w:w="109"/>
        <w:gridCol w:w="109"/>
        <w:gridCol w:w="109"/>
        <w:gridCol w:w="211"/>
        <w:gridCol w:w="616"/>
        <w:gridCol w:w="109"/>
        <w:gridCol w:w="109"/>
        <w:gridCol w:w="109"/>
        <w:gridCol w:w="109"/>
        <w:gridCol w:w="394"/>
        <w:gridCol w:w="1152"/>
        <w:gridCol w:w="204"/>
        <w:gridCol w:w="109"/>
        <w:gridCol w:w="109"/>
        <w:gridCol w:w="109"/>
        <w:gridCol w:w="374"/>
        <w:gridCol w:w="1094"/>
        <w:gridCol w:w="193"/>
        <w:gridCol w:w="109"/>
        <w:gridCol w:w="109"/>
        <w:gridCol w:w="109"/>
        <w:gridCol w:w="211"/>
        <w:gridCol w:w="766"/>
        <w:gridCol w:w="158"/>
      </w:tblGrid>
      <w:tr>
        <w:trPr/>
        <w:tc>
          <w:tcPr>
            <w:tcW w:w="7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gridSpan w:val="27"/>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Nine Months Ended September 30, 2025</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 Types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2,311.9 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tables that follow present the change in accounts receivable, net of allowances, and current deferred revenue between the dates indicated:</w:t>
      </w:r>
    </w:p>
    <w:tbl>
      <w:tblPr>
        <w:tblW w:w="7553" w:type="dxa"/>
        <w:jc w:val="center"/>
        <w:tblInd w:w="0" w:type="dxa"/>
        <w:tblLayout w:type="fixed"/>
        <w:tblCellMar>
          <w:top w:w="28" w:type="dxa"/>
          <w:left w:w="28" w:type="dxa"/>
          <w:bottom w:w="28" w:type="dxa"/>
          <w:right w:w="28" w:type="dxa"/>
        </w:tblCellMar>
      </w:tblPr>
      <w:tblGrid>
        <w:gridCol w:w="928"/>
        <w:gridCol w:w="814"/>
        <w:gridCol w:w="822"/>
        <w:gridCol w:w="109"/>
        <w:gridCol w:w="109"/>
        <w:gridCol w:w="109"/>
        <w:gridCol w:w="601"/>
        <w:gridCol w:w="1969"/>
        <w:gridCol w:w="310"/>
        <w:gridCol w:w="109"/>
        <w:gridCol w:w="109"/>
        <w:gridCol w:w="109"/>
        <w:gridCol w:w="271"/>
        <w:gridCol w:w="986"/>
        <w:gridCol w:w="198"/>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 of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Deferred revenue </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Closing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(195.1)</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tbl>
      <w:tblPr>
        <w:tblW w:w="7553" w:type="dxa"/>
        <w:jc w:val="center"/>
        <w:tblInd w:w="0" w:type="dxa"/>
        <w:tblLayout w:type="fixed"/>
        <w:tblCellMar>
          <w:top w:w="28" w:type="dxa"/>
          <w:left w:w="28" w:type="dxa"/>
          <w:bottom w:w="28" w:type="dxa"/>
          <w:right w:w="28" w:type="dxa"/>
        </w:tblCellMar>
      </w:tblPr>
      <w:tblGrid>
        <w:gridCol w:w="928"/>
        <w:gridCol w:w="814"/>
        <w:gridCol w:w="822"/>
        <w:gridCol w:w="109"/>
        <w:gridCol w:w="109"/>
        <w:gridCol w:w="109"/>
        <w:gridCol w:w="649"/>
        <w:gridCol w:w="1896"/>
        <w:gridCol w:w="335"/>
        <w:gridCol w:w="109"/>
        <w:gridCol w:w="109"/>
        <w:gridCol w:w="109"/>
        <w:gridCol w:w="271"/>
        <w:gridCol w:w="986"/>
        <w:gridCol w:w="198"/>
      </w:tblGrid>
      <w:tr>
        <w:trPr/>
        <w:tc>
          <w:tcPr>
            <w:tcW w:w="92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Accounts receivable, net of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Deferred revenue </w:t>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820.7 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1,123.4 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Closing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Increase/(decrease)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revenue primarily represents subscription fees billed in advance of the related performance period. For the three months ended September 30, 2026 and 2025, the Company recognized $251.7 million and $239.0 million, respectively, and for the nine months ended September 30, 2026 and 2025, the Company recognized $1,125.3 million and $1,029.7 million, respectively, of revenue that was included in the deferred revenue balance as of the beginning of each period. The decrease in the Company’s deferred revenue balance during the period was primarily driven by revenue recognized on existing contracts, partially offset by new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long-term deferred revenue of $32.5 million and $34.0 million, respectively, was included in “Other non-current liabilities” on the Unaudited Condensed Consolidated Statements of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contracts that have a duration of one year or less, the Company has not disclosed either the remaining performance obligation as of the end of the reporting period or when the Company expects to recognize the revenue. The remaining performance obligations for contracts that have a duration of greater than one year and the periods in which they are expected to be recognized are as follows:</w:t>
      </w:r>
    </w:p>
    <w:tbl>
      <w:tblPr>
        <w:tblW w:w="3641" w:type="dxa"/>
        <w:jc w:val="center"/>
        <w:tblInd w:w="0" w:type="dxa"/>
        <w:tblLayout w:type="fixed"/>
        <w:tblCellMar>
          <w:top w:w="28" w:type="dxa"/>
          <w:left w:w="28" w:type="dxa"/>
          <w:bottom w:w="28" w:type="dxa"/>
          <w:right w:w="28" w:type="dxa"/>
        </w:tblCellMar>
      </w:tblPr>
      <w:tblGrid>
        <w:gridCol w:w="772"/>
        <w:gridCol w:w="677"/>
        <w:gridCol w:w="680"/>
        <w:gridCol w:w="109"/>
        <w:gridCol w:w="109"/>
        <w:gridCol w:w="109"/>
        <w:gridCol w:w="221"/>
        <w:gridCol w:w="803"/>
        <w:gridCol w:w="16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12-month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12-month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12-month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Periods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2,586.2 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EARNINGS PER COMMON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by the weighted average number of common shares outstanding during the period. Diluted EPS reflects the assumed conversion of all dilutive securities, including, when applicable, stock options, restricted stock units, performance stock units, and performance stock options.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EPS:</w:t>
      </w:r>
    </w:p>
    <w:tbl>
      <w:tblPr>
        <w:tblW w:w="9762" w:type="dxa"/>
        <w:jc w:val="center"/>
        <w:tblInd w:w="0" w:type="dxa"/>
        <w:tblLayout w:type="fixed"/>
        <w:tblCellMar>
          <w:top w:w="28" w:type="dxa"/>
          <w:left w:w="28" w:type="dxa"/>
          <w:bottom w:w="28" w:type="dxa"/>
          <w:right w:w="28" w:type="dxa"/>
        </w:tblCellMar>
      </w:tblPr>
      <w:tblGrid>
        <w:gridCol w:w="1634"/>
        <w:gridCol w:w="1435"/>
        <w:gridCol w:w="1446"/>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ACQUISITIONS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2026, MSCI completed the acquisition of Vantager, Inc. (“Vantager”), an AI-enabled platform that supports pre-investment due diligence, data extraction and reporting for private markets investors. Vantager is a part of the Private Capital Solutions operating segment.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 2026, MSCI completed the acquisition of Compass Financial Technologies (“Compass”), an index services provider that supports the calculation and development of multi-asset and alternative asset class indexes. Compass is a part of the Index operating segment.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6, 2026, MSCI completed the acquisition of ApeVue, Inc. (“PM Insights”), a specialist private markets data and analytics firm that provides daily secondary market reference data, including pricing, valuation, transaction and liquidity data, for private company securities. PM Insights’ data is expected to support the development of new private markets indexes and related products. PM Insights is a part of the Index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3, 2026, the Company completed the acquisition of First Street Technology, Inc. (“First Street”), a provider of physics-based physical climate risk data and analytics. The acquisition provides the Company with physics-based physical climate risk capabilities, enabling clients to assess and manage exposure to climate-related hazards. First Street's financial results are reported within the Sustainability and Climate operating segment from the acquisition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First Street, the aggregate purchase price was $122.6 million, net of cash acquired. The total consideration includes the fair value of potential additional cash payments of up to $130.0 million, payable during the two years following closing, contingent upon the achievement of specified revenue thresholds. The preliminary purchase price allocation resulted in $52.0 million of intangible assets with a weighted-average useful life of 9.0 years, and $74.5 million of goodwill assigned to the Sustainability and Climate operating segment. The allocation is preliminary and subject to change as the Company finalizes its purchase accounting, and will be finalized within the measurement period, which will not exceed one year from the acquisition date.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acquisitions of Vantager, Compass, and PM Insights, the aggregate purchase price was $95.4 million. The preliminary acquired balances related to the acquisitions consisted of $51.7 million in intangible assets and $53.9 million in goodwill, with a weighted average amortization period of intangible assets of 8.5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acquisitions of Vantager, Compass, PM Insights and First Street (collectively, “the acquisitions”) were accounted for as business combinations. Goodwill recognized for the acquisitions reflects expected synergies from the acquired technology platforms and proprietary databases and is not deductible for income tax purposes.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acquisitions each included contingent consideration as a component of the aggregate purchase price. The fair values of the contingent consideration were determined based on management estimates and assumptions which primarily included forecasted product sales, probability of achievement of certain integration targets and discount rates. The Company classifies these liabilities as Level 3 within the fair value hierarchy, as the measurement is based on inputs that are not observable in the market. As of September 30, 2026, the fair value of the contingent consideration was $38.7 million, of which $18.8 million is included in “Other accrued liabilities” and $19.9 million is included in “Other non-current liabilities” on the Unaudited Condensed Consolidated Statements of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Company’s Level 3 financial liabilities for the three and nine months ended September 30, 2026 and 2025, respectively, were as follows:</w:t>
      </w:r>
    </w:p>
    <w:tbl>
      <w:tblPr>
        <w:tblW w:w="7977" w:type="dxa"/>
        <w:jc w:val="left"/>
        <w:tblInd w:w="0" w:type="dxa"/>
        <w:tblLayout w:type="fixed"/>
        <w:tblCellMar>
          <w:top w:w="28" w:type="dxa"/>
          <w:left w:w="28" w:type="dxa"/>
          <w:bottom w:w="28" w:type="dxa"/>
          <w:right w:w="28" w:type="dxa"/>
        </w:tblCellMar>
      </w:tblPr>
      <w:tblGrid>
        <w:gridCol w:w="1196"/>
        <w:gridCol w:w="1049"/>
        <w:gridCol w:w="1055"/>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Additions of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shd w:fill="FFFFFF" w:val="clear"/>
        </w:rPr>
        <w:t>1</w:t>
      </w:r>
      <w:r>
        <w:rPr>
          <w:rFonts w:ascii="Times New Roman;serif" w:hAnsi="Times New Roman;serif"/>
          <w:b w:val="false"/>
          <w:color w:val="000000"/>
          <w:sz w:val="16"/>
        </w:rPr>
        <w:t>Reflects balance of contingent consideration at acquisition date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GOODWILL AND INTANGIBLE ASSETS, NET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changes in our goodwill balances from December 31, 2025 to September 30, 2026: </w:t>
      </w:r>
    </w:p>
    <w:tbl>
      <w:tblPr>
        <w:tblW w:w="10205" w:type="dxa"/>
        <w:jc w:val="center"/>
        <w:tblInd w:w="0" w:type="dxa"/>
        <w:tblLayout w:type="fixed"/>
        <w:tblCellMar>
          <w:top w:w="28" w:type="dxa"/>
          <w:left w:w="28" w:type="dxa"/>
          <w:bottom w:w="28" w:type="dxa"/>
          <w:right w:w="28" w:type="dxa"/>
        </w:tblCellMar>
      </w:tblPr>
      <w:tblGrid>
        <w:gridCol w:w="875"/>
        <w:gridCol w:w="718"/>
        <w:gridCol w:w="700"/>
        <w:gridCol w:w="109"/>
        <w:gridCol w:w="109"/>
        <w:gridCol w:w="109"/>
        <w:gridCol w:w="211"/>
        <w:gridCol w:w="766"/>
        <w:gridCol w:w="109"/>
        <w:gridCol w:w="109"/>
        <w:gridCol w:w="109"/>
        <w:gridCol w:w="109"/>
        <w:gridCol w:w="211"/>
        <w:gridCol w:w="616"/>
        <w:gridCol w:w="109"/>
        <w:gridCol w:w="109"/>
        <w:gridCol w:w="109"/>
        <w:gridCol w:w="109"/>
        <w:gridCol w:w="355"/>
        <w:gridCol w:w="1039"/>
        <w:gridCol w:w="184"/>
        <w:gridCol w:w="109"/>
        <w:gridCol w:w="109"/>
        <w:gridCol w:w="109"/>
        <w:gridCol w:w="299"/>
        <w:gridCol w:w="1089"/>
        <w:gridCol w:w="154"/>
        <w:gridCol w:w="109"/>
        <w:gridCol w:w="109"/>
        <w:gridCol w:w="109"/>
        <w:gridCol w:w="211"/>
        <w:gridCol w:w="766"/>
        <w:gridCol w:w="158"/>
      </w:tblGrid>
      <w:tr>
        <w:trPr/>
        <w:tc>
          <w:tcPr>
            <w:tcW w:w="87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Analytics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Sustainability and Climate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All Other - Private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Acquisitions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3,047.8 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shd w:fill="FFFFFF" w:val="clear"/>
        </w:rPr>
        <w:t>1</w:t>
      </w:r>
      <w:r>
        <w:rPr>
          <w:rFonts w:ascii="Times New Roman;serif" w:hAnsi="Times New Roman;serif"/>
          <w:b w:val="false"/>
          <w:color w:val="000000"/>
          <w:sz w:val="16"/>
        </w:rPr>
        <w:t>Reflects the opening balance sheet impacts of the acquisitions of Vantager, Compass, PM Insights and First Street.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completed its annual goodwill impairment test as of July 1, 2026 on its Index, Analytics, Sustainability and Climate, Real Assets and Private Capital Solutions reporting units, which are also the Company’s operating segments, and no impairments were recorded. The Company performed a test for impairment and determined that it was more likely than not that the fair value of each reporting unit was greater than its carrying value. See Note 11, “Segment Information,” for further descriptions of the operating segments.</w:t>
      </w:r>
    </w:p>
    <w:p>
      <w:pPr>
        <w:pStyle w:val="TextBody"/>
        <w:bidi w:val="0"/>
        <w:spacing w:lineRule="auto" w:line="240"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amortization expense related to intangible assets by category for the periods indicated:</w:t>
      </w:r>
    </w:p>
    <w:tbl>
      <w:tblPr>
        <w:tblW w:w="10205" w:type="dxa"/>
        <w:jc w:val="center"/>
        <w:tblInd w:w="0" w:type="dxa"/>
        <w:tblLayout w:type="fixed"/>
        <w:tblCellMar>
          <w:top w:w="28" w:type="dxa"/>
          <w:left w:w="28" w:type="dxa"/>
          <w:bottom w:w="28" w:type="dxa"/>
          <w:right w:w="28" w:type="dxa"/>
        </w:tblCellMar>
      </w:tblPr>
      <w:tblGrid>
        <w:gridCol w:w="1926"/>
        <w:gridCol w:w="1686"/>
        <w:gridCol w:w="1704"/>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6"/>
      </w:tblGrid>
      <w:tr>
        <w:trPr/>
        <w:tc>
          <w:tcPr>
            <w:tcW w:w="192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3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internally developed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intangible assets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gross carrying and accumulated amortization amounts related to the Company’s intangible assets were as follows:</w:t>
      </w:r>
    </w:p>
    <w:tbl>
      <w:tblPr>
        <w:tblW w:w="10205" w:type="dxa"/>
        <w:jc w:val="center"/>
        <w:tblInd w:w="0" w:type="dxa"/>
        <w:tblLayout w:type="fixed"/>
        <w:tblCellMar>
          <w:top w:w="28" w:type="dxa"/>
          <w:left w:w="28" w:type="dxa"/>
          <w:bottom w:w="28" w:type="dxa"/>
          <w:right w:w="28" w:type="dxa"/>
        </w:tblCellMar>
      </w:tblPr>
      <w:tblGrid>
        <w:gridCol w:w="520"/>
        <w:gridCol w:w="456"/>
        <w:gridCol w:w="460"/>
        <w:gridCol w:w="109"/>
        <w:gridCol w:w="109"/>
        <w:gridCol w:w="109"/>
        <w:gridCol w:w="225"/>
        <w:gridCol w:w="819"/>
        <w:gridCol w:w="116"/>
        <w:gridCol w:w="109"/>
        <w:gridCol w:w="109"/>
        <w:gridCol w:w="109"/>
        <w:gridCol w:w="229"/>
        <w:gridCol w:w="861"/>
        <w:gridCol w:w="118"/>
        <w:gridCol w:w="109"/>
        <w:gridCol w:w="109"/>
        <w:gridCol w:w="109"/>
        <w:gridCol w:w="227"/>
        <w:gridCol w:w="664"/>
        <w:gridCol w:w="117"/>
        <w:gridCol w:w="109"/>
        <w:gridCol w:w="109"/>
        <w:gridCol w:w="109"/>
        <w:gridCol w:w="225"/>
        <w:gridCol w:w="819"/>
        <w:gridCol w:w="116"/>
        <w:gridCol w:w="109"/>
        <w:gridCol w:w="109"/>
        <w:gridCol w:w="109"/>
        <w:gridCol w:w="229"/>
        <w:gridCol w:w="861"/>
        <w:gridCol w:w="118"/>
        <w:gridCol w:w="109"/>
        <w:gridCol w:w="109"/>
        <w:gridCol w:w="109"/>
        <w:gridCol w:w="226"/>
        <w:gridCol w:w="662"/>
        <w:gridCol w:w="175"/>
      </w:tblGrid>
      <w:tr>
        <w:trPr/>
        <w:tc>
          <w:tcPr>
            <w:tcW w:w="5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intangible assets</w:t>
            </w:r>
          </w:p>
        </w:tc>
      </w:tr>
      <w:tr>
        <w:trPr/>
        <w:tc>
          <w:tcPr>
            <w:tcW w:w="1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(421.0)</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(1,342.7)</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(1,214.3)</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amortization expense for the remainder of the year ending December 31, 2026 and succeeding years:    </w:t>
      </w:r>
    </w:p>
    <w:tbl>
      <w:tblPr>
        <w:tblW w:w="3582" w:type="dxa"/>
        <w:jc w:val="center"/>
        <w:tblInd w:w="0" w:type="dxa"/>
        <w:tblLayout w:type="fixed"/>
        <w:tblCellMar>
          <w:top w:w="28" w:type="dxa"/>
          <w:left w:w="28" w:type="dxa"/>
          <w:bottom w:w="28" w:type="dxa"/>
          <w:right w:w="28" w:type="dxa"/>
        </w:tblCellMar>
      </w:tblPr>
      <w:tblGrid>
        <w:gridCol w:w="772"/>
        <w:gridCol w:w="676"/>
        <w:gridCol w:w="681"/>
        <w:gridCol w:w="109"/>
        <w:gridCol w:w="109"/>
        <w:gridCol w:w="109"/>
        <w:gridCol w:w="242"/>
        <w:gridCol w:w="707"/>
        <w:gridCol w:w="177"/>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Years Ending December 31,</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w:t>
              <w:br/>
              <w:t>Expense</w:t>
            </w:r>
          </w:p>
        </w:tc>
      </w:tr>
      <w:tr>
        <w:trPr/>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899.1 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outstanding an aggregate of $6.0 billion in senior unsecured notes (collectively, the “Senior Notes”) and $810.0 million of revolving loans under the Revolving Credit Facility (as defined below) as presented in the table below:</w:t>
      </w:r>
    </w:p>
    <w:tbl>
      <w:tblPr>
        <w:tblW w:w="1020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367"/>
        <w:gridCol w:w="367"/>
        <w:gridCol w:w="351"/>
        <w:gridCol w:w="109"/>
        <w:gridCol w:w="109"/>
        <w:gridCol w:w="109"/>
        <w:gridCol w:w="240"/>
        <w:gridCol w:w="762"/>
        <w:gridCol w:w="146"/>
        <w:gridCol w:w="109"/>
        <w:gridCol w:w="109"/>
        <w:gridCol w:w="109"/>
        <w:gridCol w:w="228"/>
        <w:gridCol w:w="720"/>
        <w:gridCol w:w="137"/>
        <w:gridCol w:w="109"/>
        <w:gridCol w:w="109"/>
        <w:gridCol w:w="109"/>
        <w:gridCol w:w="222"/>
        <w:gridCol w:w="703"/>
        <w:gridCol w:w="133"/>
        <w:gridCol w:w="109"/>
        <w:gridCol w:w="109"/>
        <w:gridCol w:w="109"/>
        <w:gridCol w:w="228"/>
        <w:gridCol w:w="720"/>
        <w:gridCol w:w="137"/>
        <w:gridCol w:w="109"/>
        <w:gridCol w:w="109"/>
        <w:gridCol w:w="109"/>
        <w:gridCol w:w="220"/>
        <w:gridCol w:w="697"/>
        <w:gridCol w:w="200"/>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Principal</w:t>
              <w:br/>
              <w:t>Amount</w:t>
              <w:br/>
              <w:t>Outstanding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Carrying</w:t>
              <w:br/>
              <w:t>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Carrying</w:t>
              <w:br/>
              <w:t>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w:t>
              <w:br/>
              <w:t>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Fair</w:t>
              <w:br/>
              <w:t>Value at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4.000% senior unsecured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November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3.625% senior unsecured notes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September 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896.9 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861.3 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3.875% senior unsecured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February 15,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916.0 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3.625% senior unsecured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November 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596.7 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533.4 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3.250% senior unsecured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August 15,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5.250% senior unsecured notes due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September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1,231.0 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1,262.5 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5.150% senior unsecured notes due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March 15,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14"/>
              </w:rPr>
              <w:t>Variable rate revolving loans</w:t>
            </w:r>
            <w:r>
              <w:rPr>
                <w:rFonts w:ascii="Times New Roman;serif" w:hAnsi="Times New Roman;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August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806.0 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6,760.0 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6,716.9 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6,202.3 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6,236.5 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6,057.9 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As of September 30, 2026, there were $4.7 million in unamortized deferred financing fees associated with the variable rate revolving loan commitments under the Revolving Credit Facility of which $1.2 million is included in “Prepaid and other assets,” and $3.5 million is included in “Other non-current assets” on the Unaudited Condensed Consolidated Statements of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principal debt payments as of September 30, 2026 are as follows:</w:t>
      </w:r>
    </w:p>
    <w:tbl>
      <w:tblPr>
        <w:tblW w:w="3138" w:type="dxa"/>
        <w:jc w:val="center"/>
        <w:tblInd w:w="0" w:type="dxa"/>
        <w:tblLayout w:type="fixed"/>
        <w:tblCellMar>
          <w:top w:w="28" w:type="dxa"/>
          <w:left w:w="28" w:type="dxa"/>
          <w:bottom w:w="28" w:type="dxa"/>
          <w:right w:w="28" w:type="dxa"/>
        </w:tblCellMar>
      </w:tblPr>
      <w:tblGrid>
        <w:gridCol w:w="608"/>
        <w:gridCol w:w="533"/>
        <w:gridCol w:w="539"/>
        <w:gridCol w:w="109"/>
        <w:gridCol w:w="109"/>
        <w:gridCol w:w="109"/>
        <w:gridCol w:w="211"/>
        <w:gridCol w:w="7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680" w:type="dxa"/>
            <w:gridSpan w:val="3"/>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D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D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1,710.0 </w:t>
            </w:r>
          </w:p>
        </w:tc>
        <w:tc>
          <w:tcPr>
            <w:tcW w:w="154"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D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6,760.0 </w:t>
            </w:r>
          </w:p>
        </w:tc>
        <w:tc>
          <w:tcPr>
            <w:tcW w:w="154" w:type="dxa"/>
            <w:tcBorders>
              <w:top w:val="single" w:sz="8" w:space="0" w:color="000000"/>
              <w:bottom w:val="double" w:sz="8" w:space="0" w:color="000000"/>
            </w:tcBorders>
            <w:shd w:fill="CCED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payments attributable to the Company’s outstanding indebtedness are due as presented in the following table:</w:t>
      </w:r>
    </w:p>
    <w:tbl>
      <w:tblPr>
        <w:tblW w:w="7419" w:type="dxa"/>
        <w:jc w:val="center"/>
        <w:tblInd w:w="0" w:type="dxa"/>
        <w:tblLayout w:type="fixed"/>
        <w:tblCellMar>
          <w:top w:w="28" w:type="dxa"/>
          <w:left w:w="28" w:type="dxa"/>
          <w:bottom w:w="28" w:type="dxa"/>
          <w:right w:w="28" w:type="dxa"/>
        </w:tblCellMar>
      </w:tblPr>
      <w:tblGrid>
        <w:gridCol w:w="1277"/>
        <w:gridCol w:w="1122"/>
        <w:gridCol w:w="1126"/>
        <w:gridCol w:w="109"/>
        <w:gridCol w:w="109"/>
        <w:gridCol w:w="109"/>
        <w:gridCol w:w="699"/>
        <w:gridCol w:w="699"/>
        <w:gridCol w:w="702"/>
        <w:gridCol w:w="109"/>
        <w:gridCol w:w="109"/>
        <w:gridCol w:w="109"/>
        <w:gridCol w:w="333"/>
        <w:gridCol w:w="333"/>
        <w:gridCol w:w="47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payment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First interest</w:t>
              <w:br/>
              <w:t>payment date</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Senior Notes and 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unsecured notes due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3.625% senior unsecured notes due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3.875% senior unsecured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3.625% senior unsecured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3.250% senior unsecured notes due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5.250% senior unsecured notes due 2035</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5.150% senior unsecured notes due 2036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Variable rate revolving loans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22</w:t>
            </w:r>
          </w:p>
        </w:tc>
      </w:tr>
    </w:tbl>
    <w:p>
      <w:pPr>
        <w:pStyle w:val="TextBody"/>
        <w:bidi w:val="0"/>
        <w:spacing w:lineRule="auto" w:line="288" w:before="0" w:after="1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1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The first payment occurred on March 1, 2026.</w:t>
      </w:r>
    </w:p>
    <w:p>
      <w:pPr>
        <w:pStyle w:val="TextBody"/>
        <w:bidi w:val="0"/>
        <w:spacing w:lineRule="auto" w:line="288" w:before="0" w:after="1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The first payment occurred on March 15, 2026.</w:t>
      </w:r>
    </w:p>
    <w:p>
      <w:pPr>
        <w:pStyle w:val="TextBody"/>
        <w:bidi w:val="0"/>
        <w:spacing w:lineRule="auto" w:line="288" w:before="0" w:after="10"/>
        <w:ind w:left="0" w:right="0" w:hanging="720"/>
        <w:jc w:val="left"/>
        <w:rPr/>
      </w:pPr>
      <w:r>
        <w:rPr>
          <w:rFonts w:ascii="Times New Roman;serif" w:hAnsi="Times New Roman;serif"/>
          <w:b w:val="false"/>
          <w:color w:val="000000"/>
          <w:sz w:val="10"/>
        </w:rPr>
        <w:t>3</w:t>
      </w:r>
      <w:r>
        <w:rPr>
          <w:rFonts w:ascii="Times New Roman;serif" w:hAnsi="Times New Roman;serif"/>
          <w:b w:val="false"/>
          <w:color w:val="000000"/>
          <w:sz w:val="16"/>
        </w:rPr>
        <w:t>The first payment occurred on October 22,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market value of the Company’s debt obligations represents Level 2 valuations. The Company utilized the market approach and obtained security pricing from a vendor who used broker quotes and third-party pricing services to determine fair values.</w:t>
      </w:r>
    </w:p>
    <w:p>
      <w:pPr>
        <w:pStyle w:val="TextBody"/>
        <w:bidi w:val="0"/>
        <w:spacing w:lineRule="auto" w:line="288" w:before="240" w:after="283"/>
        <w:ind w:left="0" w:right="0" w:firstLine="720"/>
        <w:jc w:val="left"/>
        <w:rPr/>
      </w:pPr>
      <w:r>
        <w:rPr>
          <w:rFonts w:ascii="Times New Roman;serif" w:hAnsi="Times New Roman;serif"/>
          <w:b/>
          <w:i/>
          <w:color w:val="000000"/>
          <w:sz w:val="20"/>
        </w:rPr>
        <w:t xml:space="preserve">Credit Agreement. </w:t>
      </w:r>
      <w:r>
        <w:rPr>
          <w:rFonts w:ascii="Times New Roman;serif" w:hAnsi="Times New Roman;serif"/>
          <w:b w:val="false"/>
          <w:color w:val="000000"/>
          <w:sz w:val="20"/>
        </w:rPr>
        <w:t xml:space="preserve">Since November 20, 2014, the Company has maintained a revolving credit agreement with a syndicate of banks. On August 20, 2025, the Company entered into a Third Amended and Restated Credit Agreement (the “Credit Agreement”) amending and restating in its entirety the Company’s prior Second Amended and Restated Credit Agreement (the “Prior Credit Agreement”). The Credit Agreement makes available to the Company an aggregate of $1.6 billion (from $1.25 billion under the Prior Credit Agreement) under a revolving credit facility (the “Revolving Credit Facility”) and extends the availability period until August 20, 2030. Prior to entering into the Credit Agreement, the Company applied part of the proceeds of its offering of the 2035 Senior Notes to repay in full all outstanding borrowings under the Prior Credit Agreement. The obligations under the Credit Agreement are unsecured senior obligations of the Company.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$810.0 million of revolving loans outstanding under the Revolving Credit Facility. The Company may use the Revolving Credit Facility for general corporate purposes (including working capital and acquisitions and other transactions permitted under the Credit Agreement).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on the revolving loans under the Credit Agreement accrues, at a variable rate, based on the secured overnight financing rate (“SOFR”) or the alternate base rate (“Base Rate”), plus, in each case, an applicable margin determined based on the credit ratings of the Company’s senior, unsecured long-term debt. As of September 30, 2026, the applicable margin was 0.50% for Base Rate loans, and 1.50% for SOFR loans. At September 30, 2026, the weighted-average interest rate on the revolving loans under the Revolving Credit Facility was 5.3%.</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closings of the Senior Notes offerings, entry into the Prior Credit Agreement and the subsequent amendments thereto and entry into the Credit Agreement, the Company paid certain financing fees which, together with the existing fees related to prior credit facilities, are being amortized over their related lives. At September 30, 2026, $47.7 million of the deferred financing fees and premium remain unamortized, $1.2 million of which is included in “Prepaid and other assets,” $3.5 million of which is included in “Other non-current assets” and $43.0 million of which is included in “Long-term debt” on the Unaudited Condensed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(income) of the Company’s operating leases are as follows:</w:t>
      </w:r>
    </w:p>
    <w:tbl>
      <w:tblPr>
        <w:tblW w:w="6732" w:type="dxa"/>
        <w:jc w:val="center"/>
        <w:tblInd w:w="0" w:type="dxa"/>
        <w:tblLayout w:type="fixed"/>
        <w:tblCellMar>
          <w:top w:w="28" w:type="dxa"/>
          <w:left w:w="28" w:type="dxa"/>
          <w:bottom w:w="28" w:type="dxa"/>
          <w:right w:w="28" w:type="dxa"/>
        </w:tblCellMar>
      </w:tblPr>
      <w:tblGrid>
        <w:gridCol w:w="783"/>
        <w:gridCol w:w="687"/>
        <w:gridCol w:w="690"/>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liabilities as of September 30, 2026 are as follows:</w:t>
      </w:r>
    </w:p>
    <w:tbl>
      <w:tblPr>
        <w:tblW w:w="4382" w:type="dxa"/>
        <w:jc w:val="center"/>
        <w:tblInd w:w="0" w:type="dxa"/>
        <w:tblLayout w:type="fixed"/>
        <w:tblCellMar>
          <w:top w:w="28" w:type="dxa"/>
          <w:left w:w="28" w:type="dxa"/>
          <w:bottom w:w="28" w:type="dxa"/>
          <w:right w:w="28" w:type="dxa"/>
        </w:tblCellMar>
      </w:tblPr>
      <w:tblGrid>
        <w:gridCol w:w="1113"/>
        <w:gridCol w:w="978"/>
        <w:gridCol w:w="983"/>
        <w:gridCol w:w="109"/>
        <w:gridCol w:w="109"/>
        <w:gridCol w:w="109"/>
        <w:gridCol w:w="211"/>
        <w:gridCol w:w="61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Leases</w:t>
            </w:r>
          </w:p>
        </w:tc>
      </w:tr>
      <w:tr>
        <w:trPr/>
        <w:tc>
          <w:tcPr>
            <w:tcW w:w="30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and discount rate for the Company’s operating leases are as follows:</w:t>
      </w:r>
    </w:p>
    <w:tbl>
      <w:tblPr>
        <w:tblW w:w="6847" w:type="dxa"/>
        <w:jc w:val="center"/>
        <w:tblInd w:w="0" w:type="dxa"/>
        <w:tblLayout w:type="fixed"/>
        <w:tblCellMar>
          <w:top w:w="28" w:type="dxa"/>
          <w:left w:w="28" w:type="dxa"/>
          <w:bottom w:w="28" w:type="dxa"/>
          <w:right w:w="28" w:type="dxa"/>
        </w:tblCellMar>
      </w:tblPr>
      <w:tblGrid>
        <w:gridCol w:w="1417"/>
        <w:gridCol w:w="1246"/>
        <w:gridCol w:w="1251"/>
        <w:gridCol w:w="109"/>
        <w:gridCol w:w="109"/>
        <w:gridCol w:w="109"/>
        <w:gridCol w:w="254"/>
        <w:gridCol w:w="254"/>
        <w:gridCol w:w="632"/>
        <w:gridCol w:w="109"/>
        <w:gridCol w:w="109"/>
        <w:gridCol w:w="109"/>
        <w:gridCol w:w="231"/>
        <w:gridCol w:w="231"/>
        <w:gridCol w:w="677"/>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operating leases are as follows:</w:t>
      </w:r>
    </w:p>
    <w:tbl>
      <w:tblPr>
        <w:tblW w:w="7490" w:type="dxa"/>
        <w:jc w:val="center"/>
        <w:tblInd w:w="0" w:type="dxa"/>
        <w:tblLayout w:type="fixed"/>
        <w:tblCellMar>
          <w:top w:w="28" w:type="dxa"/>
          <w:left w:w="28" w:type="dxa"/>
          <w:bottom w:w="28" w:type="dxa"/>
          <w:right w:w="28" w:type="dxa"/>
        </w:tblCellMar>
      </w:tblPr>
      <w:tblGrid>
        <w:gridCol w:w="1856"/>
        <w:gridCol w:w="1631"/>
        <w:gridCol w:w="1642"/>
        <w:gridCol w:w="109"/>
        <w:gridCol w:w="109"/>
        <w:gridCol w:w="109"/>
        <w:gridCol w:w="211"/>
        <w:gridCol w:w="511"/>
        <w:gridCol w:w="109"/>
        <w:gridCol w:w="109"/>
        <w:gridCol w:w="109"/>
        <w:gridCol w:w="109"/>
        <w:gridCol w:w="211"/>
        <w:gridCol w:w="511"/>
        <w:gridCol w:w="154"/>
      </w:tblGrid>
      <w:tr>
        <w:trPr/>
        <w:tc>
          <w:tcPr>
            <w:tcW w:w="185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obtained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SHAREHOLDERS’ EQUITY (DEFICIT)</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note reflects the share repurchases and related activity as well as share-based compensation activity recognized by the Company for all periods referenced.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25, 2025, the Board of Directors authorized a new stock repurchase program (the “2025 Repurchase Program”) for the repurchase of up to an aggregate of $3.0 billion worth of shares of MSCI’s common stock, which superseded and replaced the previously existing share repurchase program.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 repurchases made pursuant to the 2025 Repurchase Program may take place in the open market or in privately negotiated transactions from time to time based on market and other conditions. This authorization may be modified, suspended or terminated by the Board of Directors at any time without prior notice.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$1.0 billion of available authorization remaining under the 2025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repurchases of the Company’s common stock made on the open market:</w:t>
      </w:r>
    </w:p>
    <w:tbl>
      <w:tblPr>
        <w:tblW w:w="8030" w:type="dxa"/>
        <w:jc w:val="left"/>
        <w:tblInd w:w="0" w:type="dxa"/>
        <w:tblLayout w:type="fixed"/>
        <w:tblCellMar>
          <w:top w:w="28" w:type="dxa"/>
          <w:left w:w="28" w:type="dxa"/>
          <w:bottom w:w="28" w:type="dxa"/>
          <w:right w:w="28" w:type="dxa"/>
        </w:tblCellMar>
      </w:tblPr>
      <w:tblGrid>
        <w:gridCol w:w="950"/>
        <w:gridCol w:w="834"/>
        <w:gridCol w:w="841"/>
        <w:gridCol w:w="109"/>
        <w:gridCol w:w="109"/>
        <w:gridCol w:w="109"/>
        <w:gridCol w:w="322"/>
        <w:gridCol w:w="712"/>
        <w:gridCol w:w="166"/>
        <w:gridCol w:w="109"/>
        <w:gridCol w:w="109"/>
        <w:gridCol w:w="109"/>
        <w:gridCol w:w="519"/>
        <w:gridCol w:w="519"/>
        <w:gridCol w:w="521"/>
        <w:gridCol w:w="109"/>
        <w:gridCol w:w="109"/>
        <w:gridCol w:w="109"/>
        <w:gridCol w:w="309"/>
        <w:gridCol w:w="1127"/>
        <w:gridCol w:w="229"/>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88" w:before="0" w:after="0"/>
              <w:jc w:val="center"/>
              <w:rPr/>
            </w:pPr>
            <w:r>
              <w:rPr>
                <w:rFonts w:ascii="Times New Roman;serif" w:hAnsi="Times New Roman;serif"/>
                <w:b/>
                <w:color w:val="000000"/>
                <w:sz w:val="16"/>
              </w:rPr>
              <w:t>Shares Repurchased</w:t>
            </w:r>
            <w:r>
              <w:rPr>
                <w:rFonts w:ascii="Times New Roman;serif" w:hAnsi="Times New Roman;serif"/>
                <w:b/>
                <w:color w:val="000000"/>
                <w:sz w:val="10"/>
              </w:rPr>
              <w:t>1</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2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1    </w:t>
      </w:r>
      <w:r>
        <w:rPr>
          <w:rFonts w:ascii="Times New Roman;serif" w:hAnsi="Times New Roman;serif"/>
          <w:b w:val="false"/>
          <w:color w:val="000000"/>
          <w:sz w:val="16"/>
        </w:rPr>
        <w:t xml:space="preserve">The values in this column exclude the 1% excise tax incurred on share repurchases pursuant to the Inflation Reduction Act. Any excise tax incurred is recognized as part of the cost of the shares acquired in the Unaudited Condensed Consolidated Statements of Shareholders’ Equity (Deficit).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 Dividends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dividends declared per common share as well as total amounts declared for the periods indicated:</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tbl>
      <w:tblPr>
        <w:tblW w:w="5684" w:type="dxa"/>
        <w:jc w:val="left"/>
        <w:tblInd w:w="0" w:type="dxa"/>
        <w:tblLayout w:type="fixed"/>
        <w:tblCellMar>
          <w:top w:w="28" w:type="dxa"/>
          <w:left w:w="28" w:type="dxa"/>
          <w:bottom w:w="28" w:type="dxa"/>
          <w:right w:w="28" w:type="dxa"/>
        </w:tblCellMar>
      </w:tblPr>
      <w:tblGrid>
        <w:gridCol w:w="1096"/>
        <w:gridCol w:w="963"/>
        <w:gridCol w:w="971"/>
        <w:gridCol w:w="109"/>
        <w:gridCol w:w="109"/>
        <w:gridCol w:w="109"/>
        <w:gridCol w:w="211"/>
        <w:gridCol w:w="511"/>
        <w:gridCol w:w="109"/>
        <w:gridCol w:w="109"/>
        <w:gridCol w:w="109"/>
        <w:gridCol w:w="109"/>
        <w:gridCol w:w="251"/>
        <w:gridCol w:w="735"/>
        <w:gridCol w:w="183"/>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Dividends Declared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pPr>
            <w:r>
              <w:rPr>
                <w:rFonts w:ascii="Times New Roman;serif" w:hAnsi="Times New Roman;serif"/>
                <w:b/>
                <w:sz w:val="16"/>
              </w:rPr>
              <w:br/>
            </w: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Amount</w:t>
            </w:r>
          </w:p>
        </w:tc>
      </w:tr>
      <w:tr>
        <w:trPr/>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activity related to shares of common stock issued and repurchased during the nine months ended September 30, 2026:</w:t>
      </w:r>
    </w:p>
    <w:tbl>
      <w:tblPr>
        <w:tblW w:w="8627" w:type="dxa"/>
        <w:jc w:val="center"/>
        <w:tblInd w:w="0" w:type="dxa"/>
        <w:tblLayout w:type="fixed"/>
        <w:tblCellMar>
          <w:top w:w="28" w:type="dxa"/>
          <w:left w:w="28" w:type="dxa"/>
          <w:bottom w:w="28" w:type="dxa"/>
          <w:right w:w="28" w:type="dxa"/>
        </w:tblCellMar>
      </w:tblPr>
      <w:tblGrid>
        <w:gridCol w:w="1579"/>
        <w:gridCol w:w="1386"/>
        <w:gridCol w:w="1399"/>
        <w:gridCol w:w="109"/>
        <w:gridCol w:w="109"/>
        <w:gridCol w:w="109"/>
        <w:gridCol w:w="404"/>
        <w:gridCol w:w="404"/>
        <w:gridCol w:w="406"/>
        <w:gridCol w:w="109"/>
        <w:gridCol w:w="109"/>
        <w:gridCol w:w="109"/>
        <w:gridCol w:w="269"/>
        <w:gridCol w:w="269"/>
        <w:gridCol w:w="271"/>
        <w:gridCol w:w="109"/>
        <w:gridCol w:w="109"/>
        <w:gridCol w:w="109"/>
        <w:gridCol w:w="368"/>
        <w:gridCol w:w="368"/>
        <w:gridCol w:w="523"/>
      </w:tblGrid>
      <w:tr>
        <w:trPr/>
        <w:tc>
          <w:tcPr>
            <w:tcW w:w="15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Treasury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payable/paid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withheld for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under stock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payable/paid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withheld for tax withholding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under stock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payable/paid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and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 under stock repurchase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September 30, 2026 and 2025 was 18.0% and 17.9%, respectively. The increase in the tax rate was primarily driven by a lower operating tax rate in the current year that was offset by smaller net discrete tax benefits compared to the prior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nine months ended September 30, 2026 and 2025 was 11.0% and 17.0%, respectively. The decrease in the effective tax rate was primarily driven by an $88.0 million discrete tax benefit recognized upon the completion of a multi-phased internal legal entity restructuring in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ASC Subtopic 280-10, “Segment Reporting,” establishes standards for reporting information about operating segments. Operating segments are defined as components of an enterprise about which separate financial information is available. This information is regularly evaluated by the Chief Operating Decision Maker (“CODM”) to allocate resources and assess performance. MSCI’s Chief Executive Officer, who serves as the CODM, reviews financial information on an operating segment basis to make operational decisions and assess financial performance.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measures and evaluates operating segments based on segment operating revenues and Adjusted EBITDA. Adjusted EBITDA is used to assess segment performance and guide resource allocation, including decisions related to capital allocations and acquisitions. Additionally, Adjusted EBITDA is used to monitor actual performance against budget and to establish management’s compensation. The CODM also uses Adjusted EBITDA for competitive analysis, benchmarking MSCI’s performance against its competitors to evaluate segment performance. Adjusted EBITDA for each segment is calculated by subtracting segment Adjusted EBITDA expenses from segment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MSCI excludes the following items from segment Adjusted EBITDA and Adjusted EBITDA expenses: provision for income taxes; other expense (income), net; depreciation and amortization of property, equipment and leasehold improvements; amortization of intangible assets; and, at times, certain other transactions or adjustments. These may include impairments related to sublease of leased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property and certain acquisition-related integration costs, transaction costs, and earn-out costs that the CODM does not consider when allocating resources among segments or assessing segment performance. While these amounts are excluded from segment Adjusted EBITDA, they are included in reported consolidated net income and are reflected in the reconciliation provided below.</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revenues and expenses directly associated with each segment are included in determining that segment’s operating results. Expenses not directly attributable to a specific segment are allocated using methodologies, such as time estimates, revenue, headcount, sales targets, data center consumption and other relevant usage measures. Given the integrated structure of MSCI’s business, certain costs incurred by one segment may benefit other segments. Additionally, a segment may utilize content and data produced by another segment without incurring an intersegment charge. Within Adjusted EBITDA expenses by operating segment, there are no categories of expenses regularly provided to the CODM.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does not receive information about total assets on an operating segment basis. Operating segments do not record intersegment revenues; therefore, none are reported. The accounting policies used for segment reporting are consistent with those applied to MSCI as a whole.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MSCI has five operating segments: Index, Analytics, Sustainability and Climate, Real Assets and Private Capital Solutions. These are presented as three reportable segments: Index, Analytics and Sustainability and Climate. The operating segments Real Assets and Private Capital Solutions do not individually meet the segment reporting thresholds and have been combined into All Other – Private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Index reportable segment provides equity and fixed income indexes. The indexes are used across the investment process, including the development of indexed financial products (e.g., ETFs, mutual funds, annuities, futures, options, structured products and over-the-counter derivatives), performance benchmarking, portfolio construction and rebalancing, asset allocation and creating custom indexes.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Analytics reportable segment offers risk management, performance attribution, and portfolio management content, applications and services. These offerings provide clients with an integrated view of risk and return and tools for analyzing market, credit, liquidity, counterparty and climate risks across all major asset classes, including public and private securities, spanning short, medium and long term horizons. Clients can access Analytics tools and content through MSCI’s proprietary applications and application programming interfaces (APIs), third-party applications or directly via their own platforms.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Sustainability and Climate reportable segment offers products and services that help institutional investors understand how sustainability considerations can impact the long-term risk and return of their portfolios and individual security-level investments. This segment also offers data, ratings, research and tools to assist investors in navigating regulation, meeting new client demands and better integrating sustainability and climate considerations into their investment processes.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Real Assets operating segment offers data, benchmarks, return-analytics, climate assessments and market insights for tangible assets such as real estate and infrastructure. Its performance and risk analytics services range from enterprise-wide assessments to property-specific analysis. Additionally, the operating segment offers business intelligence products for real estate owners, managers, developers and brokers worldwide.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Private Capital Solutions operating segment provides a suite of tools to support investors in overseeing investment portfolios across public and private assets. These include sourcing terms and conditions, evaluating operating performance of underlying portfolio companies, managing risk and other activities related to private capital investing.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revenues, Adjusted EBITDA expenses and segment profitability and a reconciliation to net income for the periods indicated:</w:t>
      </w:r>
    </w:p>
    <w:tbl>
      <w:tblPr>
        <w:tblW w:w="10205" w:type="dxa"/>
        <w:jc w:val="left"/>
        <w:tblInd w:w="0" w:type="dxa"/>
        <w:tblLayout w:type="fixed"/>
        <w:tblCellMar>
          <w:top w:w="28" w:type="dxa"/>
          <w:left w:w="28" w:type="dxa"/>
          <w:bottom w:w="28" w:type="dxa"/>
          <w:right w:w="28" w:type="dxa"/>
        </w:tblCellMar>
      </w:tblPr>
      <w:tblGrid>
        <w:gridCol w:w="1921"/>
        <w:gridCol w:w="1438"/>
        <w:gridCol w:w="1448"/>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92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reportable segment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reportable segment Adjusted EBITDA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reportable segment profitability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All Other - Private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Acquisition-related integration and transaction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Revenue less segment expenses from segments below the segment reporting thresholds are attributable to Private Capital Solutions and Real Assets operating segments. Private Capital Solutions and Real Assets operating segments do not meet any of the segment reporting thresholds for determining reportable segments. </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by geography are primarily based on the shipping address of the ultimate customer utilizing the product. The following table presents operating revenues by geographic area for the periods indicated: </w:t>
      </w:r>
    </w:p>
    <w:tbl>
      <w:tblPr>
        <w:tblW w:w="9327" w:type="dxa"/>
        <w:jc w:val="center"/>
        <w:tblInd w:w="0" w:type="dxa"/>
        <w:tblLayout w:type="fixed"/>
        <w:tblCellMar>
          <w:top w:w="28" w:type="dxa"/>
          <w:left w:w="28" w:type="dxa"/>
          <w:bottom w:w="28" w:type="dxa"/>
          <w:right w:w="28" w:type="dxa"/>
        </w:tblCellMar>
      </w:tblPr>
      <w:tblGrid>
        <w:gridCol w:w="1423"/>
        <w:gridCol w:w="1249"/>
        <w:gridCol w:w="1258"/>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&amp;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Asia &amp;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19, 2026, the Board of Directors declared a quarterly cash dividend of $2.05 per share for the three months ending December 31, 2026 (“fourth quarter 2026”). The fourth quarter 2026 dividend is payable on November 27, 2026 to shareholders of record as of the close of trading on November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hanging="720"/>
        <w:jc w:val="center"/>
        <w:rPr>
          <w:rFonts w:ascii="Times New Roman;serif" w:hAnsi="Times New Roman;serif"/>
          <w:b/>
          <w:color w:val="000000"/>
          <w:sz w:val="20"/>
        </w:rPr>
      </w:pPr>
      <w:r>
        <w:rPr>
          <w:rFonts w:ascii="Times New Roman;serif" w:hAnsi="Times New Roman;serif"/>
          <w:b/>
          <w:color w:val="000000"/>
          <w:sz w:val="20"/>
        </w:rPr>
        <w:t>INDEX TO MANAGEMENT’S DISCUSSION AND ANALYSIS</w:t>
      </w:r>
    </w:p>
    <w:tbl>
      <w:tblPr>
        <w:tblW w:w="4140" w:type="dxa"/>
        <w:jc w:val="center"/>
        <w:tblInd w:w="0" w:type="dxa"/>
        <w:tblLayout w:type="fixed"/>
        <w:tblCellMar>
          <w:top w:w="28" w:type="dxa"/>
          <w:left w:w="28" w:type="dxa"/>
          <w:bottom w:w="28" w:type="dxa"/>
          <w:right w:w="28" w:type="dxa"/>
        </w:tblCellMar>
      </w:tblPr>
      <w:tblGrid>
        <w:gridCol w:w="1302"/>
        <w:gridCol w:w="1145"/>
        <w:gridCol w:w="1152"/>
        <w:gridCol w:w="158"/>
        <w:gridCol w:w="158"/>
        <w:gridCol w:w="225"/>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6cb2ea948f4ff393b390270d33fd81_82">
              <w:r>
                <w:rPr>
                  <w:rStyle w:val="InternetLink"/>
                  <w:rFonts w:ascii="Times New Roman;serif" w:hAnsi="Times New Roman;serif"/>
                  <w:b w:val="false"/>
                  <w:color w:val="0000FF"/>
                  <w:sz w:val="20"/>
                  <w:u w:val="single"/>
                </w:rPr>
                <w:t>Overview</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82">
              <w:r>
                <w:rPr>
                  <w:rStyle w:val="InternetLink"/>
                  <w:rFonts w:ascii="Times New Roman;serif" w:hAnsi="Times New Roman;serif"/>
                  <w:b w:val="false"/>
                  <w:color w:val="0000FF"/>
                  <w:sz w:val="20"/>
                  <w:u w:val="single"/>
                </w:rPr>
                <w:t>24</w:t>
              </w:r>
            </w:hyperlink>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36cb2ea948f4ff393b390270d33fd81_85">
              <w:r>
                <w:rPr>
                  <w:rStyle w:val="InternetLink"/>
                  <w:rFonts w:ascii="Times New Roman;serif" w:hAnsi="Times New Roman;serif"/>
                  <w:b w:val="false"/>
                  <w:color w:val="0000FF"/>
                  <w:sz w:val="20"/>
                  <w:u w:val="single"/>
                </w:rPr>
                <w:t>Critical Accounting Policies and Estimates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85">
              <w:r>
                <w:rPr>
                  <w:rStyle w:val="InternetLink"/>
                  <w:rFonts w:ascii="Times New Roman;serif" w:hAnsi="Times New Roman;serif"/>
                  <w:b w:val="false"/>
                  <w:color w:val="0000FF"/>
                  <w:sz w:val="20"/>
                  <w:u w:val="single"/>
                </w:rPr>
                <w:t>25</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6cb2ea948f4ff393b390270d33fd81_88">
              <w:r>
                <w:rPr>
                  <w:rStyle w:val="InternetLink"/>
                  <w:rFonts w:ascii="Times New Roman;serif" w:hAnsi="Times New Roman;serif"/>
                  <w:b w:val="false"/>
                  <w:color w:val="0000FF"/>
                  <w:sz w:val="20"/>
                  <w:u w:val="single"/>
                </w:rPr>
                <w:t>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88">
              <w:r>
                <w:rPr>
                  <w:rStyle w:val="InternetLink"/>
                  <w:rFonts w:ascii="Times New Roman;serif" w:hAnsi="Times New Roman;serif"/>
                  <w:b w:val="false"/>
                  <w:color w:val="0000FF"/>
                  <w:sz w:val="20"/>
                  <w:u w:val="single"/>
                </w:rPr>
                <w:t>26</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6cb2ea948f4ff393b390270d33fd81_142">
              <w:r>
                <w:rPr>
                  <w:rStyle w:val="InternetLink"/>
                  <w:rFonts w:ascii="Times New Roman;serif" w:hAnsi="Times New Roman;serif"/>
                  <w:b w:val="false"/>
                  <w:color w:val="0000FF"/>
                  <w:sz w:val="20"/>
                  <w:u w:val="single"/>
                </w:rPr>
                <w:t>Segment Results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142">
              <w:r>
                <w:rPr>
                  <w:rStyle w:val="InternetLink"/>
                  <w:rFonts w:ascii="Times New Roman;serif" w:hAnsi="Times New Roman;serif"/>
                  <w:b w:val="false"/>
                  <w:color w:val="0000FF"/>
                  <w:sz w:val="20"/>
                  <w:u w:val="single"/>
                </w:rPr>
                <w:t>32</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6cb2ea948f4ff393b390270d33fd81_166">
              <w:r>
                <w:rPr>
                  <w:rStyle w:val="InternetLink"/>
                  <w:rFonts w:ascii="Times New Roman;serif" w:hAnsi="Times New Roman;serif"/>
                  <w:b w:val="false"/>
                  <w:color w:val="0000FF"/>
                  <w:sz w:val="20"/>
                  <w:u w:val="single"/>
                </w:rPr>
                <w:t>Liquidity and Capital Resources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166">
              <w:r>
                <w:rPr>
                  <w:rStyle w:val="InternetLink"/>
                  <w:rFonts w:ascii="Times New Roman;serif" w:hAnsi="Times New Roman;serif"/>
                  <w:b w:val="false"/>
                  <w:color w:val="0000FF"/>
                  <w:sz w:val="20"/>
                  <w:u w:val="single"/>
                </w:rPr>
                <w:t>39</w:t>
              </w:r>
            </w:hyperlink>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36cb2ea948f4ff393b390270d33fd81_169">
              <w:r>
                <w:rPr>
                  <w:rStyle w:val="InternetLink"/>
                  <w:rFonts w:ascii="Times New Roman;serif" w:hAnsi="Times New Roman;serif"/>
                  <w:b w:val="false"/>
                  <w:color w:val="0000FF"/>
                  <w:sz w:val="20"/>
                  <w:u w:val="single"/>
                </w:rPr>
                <w:t>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36cb2ea948f4ff393b390270d33fd81_169">
              <w:r>
                <w:rPr>
                  <w:rStyle w:val="InternetLink"/>
                  <w:rFonts w:ascii="Times New Roman;serif" w:hAnsi="Times New Roman;serif"/>
                  <w:b w:val="false"/>
                  <w:color w:val="0000FF"/>
                  <w:sz w:val="20"/>
                  <w:u w:val="single"/>
                </w:rPr>
                <w:t>40</w:t>
              </w:r>
            </w:hyperlink>
          </w:p>
        </w:tc>
      </w:tr>
    </w:tbl>
    <w:p>
      <w:pPr>
        <w:pStyle w:val="TextBody"/>
        <w:bidi w:val="0"/>
        <w:spacing w:lineRule="auto" w:line="288"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should be read in conjunction with the condensed consolidated financial statements and related notes included elsewhere in this Form 10-Q and in our Annual Report on Form 10-K for the fiscal year ended December 31, 2025 (the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“Item 1A.—Risk Factors,” in our Form 10-K.</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Except as the context otherwise indicates, the terms “MSCI,” the “Company,” “we,” “our” and “us” refer to MSCI Inc., together with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research-based data, analytics and indexes, supported by advanced technology, set standards for global investors and help our clients understand risks and opportunities, make better investment decisions and unlock innovation. The Company has five operating segments: Index, Analytics, Sustainability and Climate, Real Assets and Private Capital Solutions, which are presented as the following three reportable segments: Index, Analytics, and Sustainability and Climate. For reporting purposes, the Real Assets and Private Capital Solutions operating segments are combined and presented as All Other – Private Assets, as they did not meet the required thresholds for separate reportable segment disclosure.</w:t>
      </w:r>
    </w:p>
    <w:p>
      <w:pPr>
        <w:pStyle w:val="TextBody"/>
        <w:bidi w:val="0"/>
        <w:spacing w:lineRule="auto" w:line="288" w:before="240" w:after="283"/>
        <w:ind w:left="0" w:right="0" w:firstLine="720"/>
        <w:jc w:val="left"/>
        <w:rPr/>
      </w:pPr>
      <w:r>
        <w:rPr>
          <w:rFonts w:ascii="Times New Roman;serif" w:hAnsi="Times New Roman;serif"/>
          <w:b w:val="false"/>
          <w:color w:val="000000"/>
          <w:sz w:val="20"/>
        </w:rPr>
        <w:t>Our growth strategy includes: (a) extending leadership in research-enhanced content across asset classes, (b) leading the enablement of sustainability and climate investment integration, (c) enhancing distribution and content-enabling technology, (d) expanding solutions that empower client customization, (e) strengthening client relationships and expanding our presence in key geographic areas and (f) executing strategic partnerships and acquisitions with complementary data, content and technology companies. For more information about our Company’s operations, see “</w:t>
      </w:r>
      <w:r>
        <w:rPr>
          <w:rFonts w:ascii="Times New Roman;serif" w:hAnsi="Times New Roman;serif"/>
          <w:b w:val="false"/>
          <w:i/>
          <w:color w:val="000000"/>
          <w:sz w:val="20"/>
        </w:rPr>
        <w:t>Item 1: Business</w:t>
      </w:r>
      <w:r>
        <w:rPr>
          <w:color w:val="000000"/>
        </w:rPr>
        <w:t xml:space="preserve">” </w:t>
      </w:r>
      <w:r>
        <w:rPr>
          <w:rFonts w:ascii="Times New Roman;serif" w:hAnsi="Times New Roman;serif"/>
          <w:b w:val="false"/>
          <w:color w:val="000000"/>
          <w:sz w:val="20"/>
        </w:rPr>
        <w:t>in our Form 10-K.</w:t>
      </w:r>
    </w:p>
    <w:p>
      <w:pPr>
        <w:pStyle w:val="TextBody"/>
        <w:bidi w:val="0"/>
        <w:spacing w:lineRule="auto" w:line="288" w:before="240" w:after="283"/>
        <w:ind w:left="0" w:right="0" w:firstLine="720"/>
        <w:jc w:val="left"/>
        <w:rPr/>
      </w:pPr>
      <w:r>
        <w:rPr>
          <w:rFonts w:ascii="Times New Roman;serif" w:hAnsi="Times New Roman;serif"/>
          <w:b w:val="false"/>
          <w:color w:val="000000"/>
          <w:sz w:val="20"/>
        </w:rPr>
        <w:t>As of September 30, 2026, we served approximately 6,900</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clients in more than 100 countries.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business model is generally to license annual, recurring subscriptions for the majority of our Index, Analytics and Sustainability and Climate products and services for a fee due in advance of the service period. Private Assets products are also licensed annually through subscriptions, which are generally recurring, for a fee which is paid in advance when products are generally delivered ratably over the subscription period or in arrears after the product is delivered. A portion of our fees comes from clients who use our indexes as the basis for index-linked investment products. Such fees are primarily based on a client’s assets under management (“AUM”), trading volumes and fee levels.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our financial performance, we focus on revenue and profit growth, including results accounted for under generally accepted accounting principles in the United States (“GAAP”), as well as non-GAAP measures, for the Company as a whole and by operating segment.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present revenues disaggregated by types and by segments, which represent our major product lines. We also review expenses by activity, which provides more transparency into how resources are being deployed. In addition, we utilize operating metrics including Run Rate, subscription sales and Retention Rate to manage and assess performance and to provide deeper insights into the recurring portion of our business.</w:t>
      </w:r>
    </w:p>
    <w:p>
      <w:pPr>
        <w:pStyle w:val="TextBody"/>
        <w:bidi w:val="0"/>
        <w:spacing w:lineRule="auto" w:line="276" w:before="0" w:after="0"/>
        <w:jc w:val="left"/>
        <w:rPr/>
      </w:pPr>
      <w:r>
        <w:rPr>
          <w:rFonts w:ascii="Times New Roman;serif" w:hAnsi="Times New Roman;serif"/>
          <w:b w:val="false"/>
          <w:color w:val="000000"/>
          <w:sz w:val="10"/>
          <w:shd w:fill="FFFFFF" w:val="clear"/>
        </w:rPr>
        <w:t>1</w:t>
      </w:r>
      <w:r>
        <w:rPr>
          <w:rFonts w:ascii="Times New Roman;serif" w:hAnsi="Times New Roman;serif"/>
          <w:b w:val="false"/>
          <w:color w:val="000000"/>
          <w:sz w:val="16"/>
        </w:rPr>
        <w:t>Represents the aggregate of all related clients under their respective parent entity. At acquisition, we align an acquired company’s client count to our methodology.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discussion that follows, we provide certain variances excluding the impact of foreign currency exchange rate fluctuations and acquisitions. 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accordingly, any such impact is excluded from the disclosed foreign currency-adjusted variances.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our largest client organization by revenue, BlackRock, accounted for 11.8% of our consolidated operating revenues, with 96.7% of the operating revenues from BlackRock coming from fees based on the assets in BlackRock’s ETFs and non-ETF products that are based on our indexes.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of our results of operations for the three and nine months ended September 30, 2026 and 2025 are presented below. The results of operations for interim periods may not be indicative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“Introduction and Basis of Presentation,” of the Notes to Consolidated Financial Statements included in our Form 10-K. There have been no significant changes in our accounting policies or critical accounting estimates during the nine months ended September 30,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goodwill in business combination transactions when the purchase price exceeds the fair value of the acquired net tangible and separately identifiable intangible assets. We test goodwill for impairment annually on July 1 or when interim triggers arise at the reporting unit level. When testing goodwill for impairment, we first assess qualitative factors to determine whether it is necessary to perform the quantitative goodwill impairment test; however, on a periodic basis, we may elect to bypass the qualitative assessment and proceed directly to the quantitative test.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1, 2026, we elected to bypass the optional qualitative assessment for the Private Capital Solutions (“PCS”) reporting unit. This decision was based on the relatively low excess of fair value over carrying value observed in the prior year’s analysis. Therefore, a quantitative goodwill impairment test was performed for the PCS reporting unit. For the Index, Analytics, Sustainability and Climate, and Real Assets reporting units, we performed a qualitative assessment. The quantitative test for impairment used an equal weighting of the income approach and the market approach to estimate the fair value of the PCS reporting unit.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approach requires significant judgments in estimating future cash flows, including assumptions, amongst others, about revenue growth rates and EBITDA margins, and the selection of an appropriate discount rate, which reflects the reporting unit’s cost of capital. Forecasted future cash flows are estimated based on a combination of historical experience and assumptions regarding future growth and profitability of each reporting unit. Discount rates are selected for each reporting unit being valued based on each reporting unit’s estimated weighted-average cost of capital. The weighted-average cost of capital is estimated based on both the capital structure that we believe a market participant would utilize as well as the discount rates of guideline public companies that have similar characteristics to each reporting unit being valued, adjusted for the risk inherent in each reporting unit. Terminal growth rates are selected based on growth rates used during the reporting unit’s forecast period in combination with economic conditions.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approach utilizes valuation multiples of revenue and cash flows derived from guideline public companies that have similar characteristics to each reporting unit being valued. Selecting appropriate guideline companies, valuation multiples and other key assumptions such as revenue growth rates and discount rates requires significant management judgment, and changes to these estimates could materially impact the fair value determination of each reporting unit. We perform sensitivity analyses around key assumptions in order to assess the reasonableness of the assumptions and the impact on the estimated fair value.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Impairment occurs when the estimated fair value of the reporting unit is below the carrying value. As of July 1, 2026, our quantitative test for goodwill impairment indicated that the PCS reporting unit’s fair value exceeded its carrying value. For all other reporting units, the qualitative assessment indicated it was not more likely than not that the fair value of any of these reporting units was less than its carrying amount. Additionally, no triggering events occurred between July 1, 2026 and September 30, 2026 that would require an interim impairment assessment. Therefore, no goodwill impairment was recorded for the nine months ended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At September 30, 2026, the carrying value of goodwill of the PCS reporting unit was $629.4 million. As of July 1, 2026, the fair value of the PCS reporting unit exceeded its carrying value by appr</w:t>
      </w:r>
      <w:r>
        <w:rPr>
          <w:rFonts w:ascii="Times New Roman;serif" w:hAnsi="Times New Roman;serif"/>
          <w:b w:val="false"/>
          <w:color w:val="000000"/>
          <w:sz w:val="20"/>
          <w:shd w:fill="FFFFFF" w:val="clear"/>
        </w:rPr>
        <w:t>oximately 21%</w:t>
      </w:r>
      <w:r>
        <w:rPr>
          <w:rFonts w:ascii="Times New Roman;serif" w:hAnsi="Times New Roman;serif"/>
          <w:b w:val="false"/>
          <w:color w:val="000000"/>
          <w:sz w:val="20"/>
        </w:rPr>
        <w:t>. If we experience a prolonged downturn in the business environment or financial markets, weaker-than-expected performance of one of our businesses or a sustained decline in our common stock price, our goodwill could be impaired in the future, which may be material to our results of operations and financial position.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PCS reporting unit, a hypothetical decrease in revenue growth rates by 100 basis points or a hypothetical 100 basis point increase in the weighted average cost of capital would not result in an impairment. See Note 6, “Goodwill and Intangible Assets, Net” of the Notes to the Condensed Consolidated Financial Statements included herein for additional information on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Our operating revenues are grouped by the following types: recurring subscriptions, asset-based fees and non-recurring. We also group operating revenues by major product as follows: Index, Analytics, Sustainability and Climate and </w:t>
      </w:r>
      <w:r>
        <w:rPr>
          <w:rFonts w:ascii="Times New Roman;serif" w:hAnsi="Times New Roman;serif"/>
          <w:b w:val="false"/>
          <w:color w:val="000000"/>
          <w:sz w:val="20"/>
          <w:shd w:fill="FFFFFF" w:val="clear"/>
        </w:rPr>
        <w:t>All Other – Private Assets</w:t>
      </w:r>
      <w:r>
        <w:rPr>
          <w:rFonts w:ascii="Times New Roman;serif" w:hAnsi="Times New Roman;serif"/>
          <w:b w:val="false"/>
          <w:color w:val="000000"/>
          <w:sz w:val="20"/>
        </w:rPr>
        <w: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revenues by type for the periods indicated:</w:t>
      </w:r>
    </w:p>
    <w:tbl>
      <w:tblPr>
        <w:tblW w:w="10205" w:type="dxa"/>
        <w:jc w:val="left"/>
        <w:tblInd w:w="0" w:type="dxa"/>
        <w:tblLayout w:type="fixed"/>
        <w:tblCellMar>
          <w:top w:w="28" w:type="dxa"/>
          <w:left w:w="28" w:type="dxa"/>
          <w:bottom w:w="28" w:type="dxa"/>
          <w:right w:w="28" w:type="dxa"/>
        </w:tblCellMar>
      </w:tblPr>
      <w:tblGrid>
        <w:gridCol w:w="846"/>
        <w:gridCol w:w="609"/>
        <w:gridCol w:w="591"/>
        <w:gridCol w:w="109"/>
        <w:gridCol w:w="109"/>
        <w:gridCol w:w="109"/>
        <w:gridCol w:w="211"/>
        <w:gridCol w:w="616"/>
        <w:gridCol w:w="109"/>
        <w:gridCol w:w="109"/>
        <w:gridCol w:w="109"/>
        <w:gridCol w:w="109"/>
        <w:gridCol w:w="211"/>
        <w:gridCol w:w="616"/>
        <w:gridCol w:w="109"/>
        <w:gridCol w:w="109"/>
        <w:gridCol w:w="109"/>
        <w:gridCol w:w="109"/>
        <w:gridCol w:w="285"/>
        <w:gridCol w:w="286"/>
        <w:gridCol w:w="495"/>
        <w:gridCol w:w="109"/>
        <w:gridCol w:w="109"/>
        <w:gridCol w:w="109"/>
        <w:gridCol w:w="211"/>
        <w:gridCol w:w="766"/>
        <w:gridCol w:w="109"/>
        <w:gridCol w:w="109"/>
        <w:gridCol w:w="109"/>
        <w:gridCol w:w="109"/>
        <w:gridCol w:w="211"/>
        <w:gridCol w:w="766"/>
        <w:gridCol w:w="109"/>
        <w:gridCol w:w="109"/>
        <w:gridCol w:w="109"/>
        <w:gridCol w:w="109"/>
        <w:gridCol w:w="263"/>
        <w:gridCol w:w="263"/>
        <w:gridCol w:w="561"/>
      </w:tblGrid>
      <w:tr>
        <w:trPr/>
        <w:tc>
          <w:tcPr>
            <w:tcW w:w="8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0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49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revenues increased 12.4% for the three months ended September 30, 2026. The $98.6 million increase was driven by $49.1 million higher asset-based fees, $44.5 million higher recurring subscription revenues and $5.0 million higher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 Adjusting for the impact of acquisitions and foreign currency exchange rate fluctuations, total operating revenues would have increased 12.3%.</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revenues increased 12.9% for the nine months ended September 30, 2026. The $297.9 million increase was driven by $145.2 million higher asset-based fees, $142.8 million higher recurring subscription revenues and $9.9 million higher non-recurring revenues. Adjusting for the impact of acquisitions and foreign currency exchange rate fluctuations, total operating revenues would have increased 12.6%.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the section titled “Segment Results” that follows for further discussion of segment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group our operating expenses into the following activity categories: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Cost of revenues;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Selling and marketing;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Research and development (“R&amp;D”);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General and administrative (“G&amp;A”);</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Amortization of intangible assets;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Depreciation and amortization of property, equipment and leasehold improvements.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are assigned to these activity categories based on the nature of the expense or, when not directly attributable, an estimated allocation based on the type of effort involved. Cost of revenues, selling and marketing, R&amp;D and G&amp;A all include both compensation as well as non-compensation related expenses.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operating expenses by activity category for the periods indicated: </w:t>
      </w:r>
    </w:p>
    <w:tbl>
      <w:tblPr>
        <w:tblW w:w="10205" w:type="dxa"/>
        <w:jc w:val="left"/>
        <w:tblInd w:w="0" w:type="dxa"/>
        <w:tblLayout w:type="fixed"/>
        <w:tblCellMar>
          <w:top w:w="28" w:type="dxa"/>
          <w:left w:w="28" w:type="dxa"/>
          <w:bottom w:w="28" w:type="dxa"/>
          <w:right w:w="28" w:type="dxa"/>
        </w:tblCellMar>
      </w:tblPr>
      <w:tblGrid>
        <w:gridCol w:w="1012"/>
        <w:gridCol w:w="626"/>
        <w:gridCol w:w="592"/>
        <w:gridCol w:w="109"/>
        <w:gridCol w:w="109"/>
        <w:gridCol w:w="109"/>
        <w:gridCol w:w="211"/>
        <w:gridCol w:w="616"/>
        <w:gridCol w:w="109"/>
        <w:gridCol w:w="109"/>
        <w:gridCol w:w="109"/>
        <w:gridCol w:w="109"/>
        <w:gridCol w:w="211"/>
        <w:gridCol w:w="616"/>
        <w:gridCol w:w="109"/>
        <w:gridCol w:w="109"/>
        <w:gridCol w:w="109"/>
        <w:gridCol w:w="109"/>
        <w:gridCol w:w="233"/>
        <w:gridCol w:w="233"/>
        <w:gridCol w:w="487"/>
        <w:gridCol w:w="109"/>
        <w:gridCol w:w="109"/>
        <w:gridCol w:w="109"/>
        <w:gridCol w:w="211"/>
        <w:gridCol w:w="766"/>
        <w:gridCol w:w="109"/>
        <w:gridCol w:w="109"/>
        <w:gridCol w:w="109"/>
        <w:gridCol w:w="109"/>
        <w:gridCol w:w="211"/>
        <w:gridCol w:w="766"/>
        <w:gridCol w:w="109"/>
        <w:gridCol w:w="109"/>
        <w:gridCol w:w="109"/>
        <w:gridCol w:w="109"/>
        <w:gridCol w:w="233"/>
        <w:gridCol w:w="233"/>
        <w:gridCol w:w="550"/>
      </w:tblGrid>
      <w:tr>
        <w:trPr/>
        <w:tc>
          <w:tcPr>
            <w:tcW w:w="10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55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55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4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12.8% for the three months ended September 30, 2026. Adjusting for the impact of acquisitions and foreign currency exchange rate fluctuations, the increase would have been 10.6%.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9.5% for the nine months ended September 30, 2026. Adjusting for the impact of acquisitions and foreign currency exchange rate fluctuations, the increase would have been 7.1%.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Descriptions of MSCI’s operating expense categories are provided in “Item 7 — Management’s Discussion and Analysis of Financial Condition and Results of Operations” in our Form 10-K. The discussion below focuses on year-over-year changes and key drivers.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14.9% and 9.1% for the three and nine months ended September 30, 2026, respectively, driven by increases in non-compensation costs as a result of higher information technology costs and market data costs, as well as increases in compensation and benefits costs, primarily as a result of incentive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 increased 12.9% and 11.2% for the three and nine months ended September 30, 2026, respectively, driven by increases in compensation and benefits costs, primarily as a result of incentive compensation, as well as increases in non-compensation costs as a result of higher occupancy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increased 6.3% for the three months ended September 30, 2026, driven by increases in non-compensation costs as a result of higher information technology costs and professional fees. The increase was also driven by increases in compensation and benefits costs, primarily as a result of salaries and incentive compensation, partially offset by increased capitalization of costs related to internally developed software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expenses increased 4.9% for the nine months ended September 30, 2026, driven by increases in non-compensation costs as a result of higher information technology costs. The increase was also driven by increases in compensation and benefits costs, primarily as a result of salaries and incentive compensation, partially offset by increased capitalization of costs related to internally developed software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G&amp;A expenses increased 15.3% for the three months ended September 30, 2026, driven by increases in compensation and benefits costs, primarily as a result of incentive compensation, as well as increases in non-compensation costs as a result of higher transaction costs and professional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G&amp;A expenses increased 19.1% for the nine months ended September 30, 2026, driven by increases in compensation and benefits costs, primarily as a result of incentive compensation. The increase was also driven by increases in non-compensation costs as a result of higher transaction costs, as well as a decrease in the favorable fair value adjustment on contingent consideration related to the Fabric RQ, Inc. acquisition.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operating expenses using compensation and non-compensation categories, rather than using activity categories, for the periods indicated:</w:t>
      </w:r>
    </w:p>
    <w:tbl>
      <w:tblPr>
        <w:tblW w:w="10205" w:type="dxa"/>
        <w:jc w:val="left"/>
        <w:tblInd w:w="0" w:type="dxa"/>
        <w:tblLayout w:type="fixed"/>
        <w:tblCellMar>
          <w:top w:w="28" w:type="dxa"/>
          <w:left w:w="28" w:type="dxa"/>
          <w:bottom w:w="28" w:type="dxa"/>
          <w:right w:w="28" w:type="dxa"/>
        </w:tblCellMar>
      </w:tblPr>
      <w:tblGrid>
        <w:gridCol w:w="1013"/>
        <w:gridCol w:w="607"/>
        <w:gridCol w:w="612"/>
        <w:gridCol w:w="109"/>
        <w:gridCol w:w="109"/>
        <w:gridCol w:w="109"/>
        <w:gridCol w:w="211"/>
        <w:gridCol w:w="616"/>
        <w:gridCol w:w="109"/>
        <w:gridCol w:w="109"/>
        <w:gridCol w:w="109"/>
        <w:gridCol w:w="109"/>
        <w:gridCol w:w="211"/>
        <w:gridCol w:w="616"/>
        <w:gridCol w:w="109"/>
        <w:gridCol w:w="109"/>
        <w:gridCol w:w="109"/>
        <w:gridCol w:w="109"/>
        <w:gridCol w:w="233"/>
        <w:gridCol w:w="233"/>
        <w:gridCol w:w="485"/>
        <w:gridCol w:w="109"/>
        <w:gridCol w:w="109"/>
        <w:gridCol w:w="109"/>
        <w:gridCol w:w="211"/>
        <w:gridCol w:w="766"/>
        <w:gridCol w:w="109"/>
        <w:gridCol w:w="109"/>
        <w:gridCol w:w="109"/>
        <w:gridCol w:w="109"/>
        <w:gridCol w:w="211"/>
        <w:gridCol w:w="766"/>
        <w:gridCol w:w="109"/>
        <w:gridCol w:w="109"/>
        <w:gridCol w:w="109"/>
        <w:gridCol w:w="109"/>
        <w:gridCol w:w="233"/>
        <w:gridCol w:w="233"/>
        <w:gridCol w:w="550"/>
      </w:tblGrid>
      <w:tr>
        <w:trPr/>
        <w:tc>
          <w:tcPr>
            <w:tcW w:w="10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4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4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4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5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4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5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6,259 employees as of September 30, 2026, compared to 6,253 employees as of September 30, 2025, reflecting a 0.1% increase. Our use of artificial intelligence tools in our operations, together with the continued growth of our emerging market centers around the world, are important factors in our ability to manage and control the growth of our compensation and benefits costs. As of September 30, 2026, 71% of our employees were located in emerging market centers compared to 70% as of September 30, 2025.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Compensation and benefits costs increased 8.7% and 6.4%, respectively, for the three and nine months ended September 30, 2026, primarily driven by increases in incentive compensation, partially offset by increased capitalization of expenses related to internally developed software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Adjusting for the impact of acquisitions and foreign currency exchange rate fluctuations, compensation and benefits costs would have increased by 7.2% and 4.4%, respectively, for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Non-Compensation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Non-compensation expenses increased 24.5% for the three months ended September 30, 2026, primarily driven by higher information technology costs, professional fees, market data costs, and occupancy costs.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Non-compensation expenses increased 21.7% for the nine months ended September 30, 2026, primarily driven by higher information technology costs, professional fees, and market data costs, as well as a decrease in the favorable fair value adjustment on contingent consideration related to the Fabric RQ, Inc. acquisition.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Adjusting for the impact of acquisitions and foreign currency exchange rate fluctuations, non-compensation expenses would have increased by 21.5% and 18.6%, respectively, for the three and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expense increased 10.2% for the three months ended September 30, 2026, primarily driven by higher amortization of internally developed capitalized software.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expense increased 1.8% for the nine months ended September 30, 2026, primarily driven by higher amortization of internally developed capitalized software, partially offset by certain acquired intangible assets becoming fully amortized during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Depreciation and Amortization of Property, Equipment and Leasehold Improvements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 increased 12.1% and 17.0% for the three and nine months ended September 30, 2026, respectively, primarily driven by higher depreciation on computer and related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Total Other Expense (Income),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other expense (income), net for the periods indicated:</w:t>
      </w:r>
    </w:p>
    <w:tbl>
      <w:tblPr>
        <w:tblW w:w="10205" w:type="dxa"/>
        <w:jc w:val="left"/>
        <w:tblInd w:w="0" w:type="dxa"/>
        <w:tblLayout w:type="fixed"/>
        <w:tblCellMar>
          <w:top w:w="28" w:type="dxa"/>
          <w:left w:w="28" w:type="dxa"/>
          <w:bottom w:w="28" w:type="dxa"/>
          <w:right w:w="28" w:type="dxa"/>
        </w:tblCellMar>
      </w:tblPr>
      <w:tblGrid>
        <w:gridCol w:w="951"/>
        <w:gridCol w:w="815"/>
        <w:gridCol w:w="819"/>
        <w:gridCol w:w="109"/>
        <w:gridCol w:w="109"/>
        <w:gridCol w:w="109"/>
        <w:gridCol w:w="211"/>
        <w:gridCol w:w="511"/>
        <w:gridCol w:w="109"/>
        <w:gridCol w:w="109"/>
        <w:gridCol w:w="109"/>
        <w:gridCol w:w="109"/>
        <w:gridCol w:w="211"/>
        <w:gridCol w:w="511"/>
        <w:gridCol w:w="109"/>
        <w:gridCol w:w="109"/>
        <w:gridCol w:w="109"/>
        <w:gridCol w:w="109"/>
        <w:gridCol w:w="263"/>
        <w:gridCol w:w="263"/>
        <w:gridCol w:w="504"/>
        <w:gridCol w:w="109"/>
        <w:gridCol w:w="109"/>
        <w:gridCol w:w="109"/>
        <w:gridCol w:w="211"/>
        <w:gridCol w:w="616"/>
        <w:gridCol w:w="109"/>
        <w:gridCol w:w="109"/>
        <w:gridCol w:w="109"/>
        <w:gridCol w:w="109"/>
        <w:gridCol w:w="211"/>
        <w:gridCol w:w="616"/>
        <w:gridCol w:w="109"/>
        <w:gridCol w:w="109"/>
        <w:gridCol w:w="109"/>
        <w:gridCol w:w="109"/>
        <w:gridCol w:w="263"/>
        <w:gridCol w:w="263"/>
        <w:gridCol w:w="568"/>
      </w:tblGrid>
      <w:tr>
        <w:trPr/>
        <w:tc>
          <w:tcPr>
            <w:tcW w:w="95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5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0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50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 increased 45.2% and 46.8% for the three and nine months ended September 30, 2026, respectively, primarily driven by higher interest expense as a result of higher debt levels.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September 30, 2026 and 2025 was 18.0% and 17.9%, respectively. The increase in the tax rate was primarily driven by a lower operating tax rate in the current year that was offset by smaller net discrete tax benefits compared to the prior year.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nine months ended September 30, 2026 and 2025 was 11.0% and 17.0%, respectively. The decrease in the effective tax rate was primarily driven by an $88.0 million discrete tax benefit recognized upon the completion of a multi-phased internal legal entity restructuring in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for the three months ended September 30, 2026 and 2025 was $351.0 million and $325.3 million, respectively, representing an increase of 7.9%. The change in net income was driven by the factors described above.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for the nine months ended September 30, 2026 and 2025 was $1,099.0 million and $917.6 million, respectively, representing an increase of 19.8%. The change in net income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Weighted Average Shares and Common Shares Outstanding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weighted average shares outstanding for the periods indicated:</w:t>
      </w:r>
    </w:p>
    <w:tbl>
      <w:tblPr>
        <w:tblW w:w="8636" w:type="dxa"/>
        <w:jc w:val="center"/>
        <w:tblInd w:w="0" w:type="dxa"/>
        <w:tblLayout w:type="fixed"/>
        <w:tblCellMar>
          <w:top w:w="28" w:type="dxa"/>
          <w:left w:w="28" w:type="dxa"/>
          <w:bottom w:w="28" w:type="dxa"/>
          <w:right w:w="28" w:type="dxa"/>
        </w:tblCellMar>
      </w:tblPr>
      <w:tblGrid>
        <w:gridCol w:w="617"/>
        <w:gridCol w:w="542"/>
        <w:gridCol w:w="544"/>
        <w:gridCol w:w="190"/>
        <w:gridCol w:w="190"/>
        <w:gridCol w:w="190"/>
        <w:gridCol w:w="311"/>
        <w:gridCol w:w="311"/>
        <w:gridCol w:w="311"/>
        <w:gridCol w:w="178"/>
        <w:gridCol w:w="178"/>
        <w:gridCol w:w="178"/>
        <w:gridCol w:w="178"/>
        <w:gridCol w:w="178"/>
        <w:gridCol w:w="178"/>
        <w:gridCol w:w="109"/>
        <w:gridCol w:w="109"/>
        <w:gridCol w:w="109"/>
        <w:gridCol w:w="210"/>
        <w:gridCol w:w="211"/>
        <w:gridCol w:w="483"/>
        <w:gridCol w:w="109"/>
        <w:gridCol w:w="109"/>
        <w:gridCol w:w="109"/>
        <w:gridCol w:w="168"/>
        <w:gridCol w:w="168"/>
        <w:gridCol w:w="168"/>
        <w:gridCol w:w="168"/>
        <w:gridCol w:w="168"/>
        <w:gridCol w:w="168"/>
        <w:gridCol w:w="168"/>
        <w:gridCol w:w="168"/>
        <w:gridCol w:w="168"/>
        <w:gridCol w:w="109"/>
        <w:gridCol w:w="109"/>
        <w:gridCol w:w="109"/>
        <w:gridCol w:w="210"/>
        <w:gridCol w:w="211"/>
        <w:gridCol w:w="544"/>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0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8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shares outstanding as of September 30, 2026 were 71.7 million, compared to 73.6 million as of December 31, 2025, representing a decrease of 2.6%. The decrease in weighted average shares and common shares outstanding for the three and nine months ended September 30, 2026 was driven by the impact of share repurchases made pursuant to the Company’s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720"/>
        <w:jc w:val="left"/>
        <w:rPr>
          <w:color w:val="000000"/>
        </w:rPr>
      </w:pPr>
      <w:r>
        <w:rPr>
          <w:color w:val="000000"/>
        </w:rPr>
        <w:t>“</w:t>
      </w:r>
      <w:r>
        <w:rPr>
          <w:rFonts w:ascii="Times New Roman;serif" w:hAnsi="Times New Roman;serif"/>
          <w:b w:val="false"/>
          <w:color w:val="000000"/>
          <w:sz w:val="20"/>
        </w:rPr>
        <w:t>Adjusted EBITDA,” a non-GAAP measure used by management to assess operating performance, is defined as net income before (1) provision for income taxes, (2) other expense (income), net, (3) depreciation and amortization of property, equipment and leasehold improvements, (4) amortization of intangible assets and, at times, (5) certain other transactions or adjustments, including, when applicable, certain acquisition-related integration, transaction and earn-out costs.</w:t>
      </w:r>
    </w:p>
    <w:p>
      <w:pPr>
        <w:pStyle w:val="TextBody"/>
        <w:bidi w:val="0"/>
        <w:spacing w:lineRule="auto" w:line="288" w:before="240" w:after="283"/>
        <w:ind w:left="0" w:right="0" w:firstLine="720"/>
        <w:jc w:val="left"/>
        <w:rPr>
          <w:color w:val="000000"/>
        </w:rPr>
      </w:pPr>
      <w:r>
        <w:rPr>
          <w:color w:val="000000"/>
        </w:rPr>
        <w:t>“</w:t>
      </w:r>
      <w:r>
        <w:rPr>
          <w:rFonts w:ascii="Times New Roman;serif" w:hAnsi="Times New Roman;serif"/>
          <w:b w:val="false"/>
          <w:color w:val="000000"/>
          <w:sz w:val="20"/>
        </w:rPr>
        <w:t>Adjusted EBITDA expenses,” a non-GAAP measure used by management to assess operating performance, is defined as operating expenses less depreciation and amortization of property, equipment and leasehold improvements and amortization of intangible assets and, at times, certain other transactions or adjustments, including, when applicable, certain acquisition-related integration, transaction and earn-out costs.</w:t>
      </w:r>
    </w:p>
    <w:p>
      <w:pPr>
        <w:pStyle w:val="TextBody"/>
        <w:bidi w:val="0"/>
        <w:spacing w:lineRule="auto" w:line="288" w:before="240" w:after="283"/>
        <w:ind w:left="0" w:right="0" w:firstLine="720"/>
        <w:jc w:val="left"/>
        <w:rPr>
          <w:color w:val="000000"/>
        </w:rPr>
      </w:pPr>
      <w:r>
        <w:rPr>
          <w:color w:val="000000"/>
        </w:rPr>
        <w:t>“</w:t>
      </w:r>
      <w:r>
        <w:rPr>
          <w:rFonts w:ascii="Times New Roman;serif" w:hAnsi="Times New Roman;serif"/>
          <w:b w:val="false"/>
          <w:color w:val="000000"/>
          <w:sz w:val="20"/>
        </w:rPr>
        <w:t>Adjusted EBITDA margin” is defined as Adjusted EBITDA divided by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Adjusted EBITDA expenses and Adjusted EBITDA margin are believed to be meaningful measures for management to assess the operating performance of the Company because they adjust for significant one-time, unusual or non-recurring items as well as eliminate the accounting effects of certain capital spending and acquisitions that do not directly affect what management considers to be the Company’s ongoing operating performance in the period. All companies do not calculate adjusted EBITDA, adjusted EBITDA expenses and adjusted EBITDA margin in the same way. These measures can differ significantly from company to company depending on, among other things, long-term strategic decisions regarding capital structure, the tax jurisdictions in which companies operate and capital investments. Accordingly, the Company’s computation of the Adjusted EBITDA, Adjusted EBITDA expenses and Adjusted EBITDA margin measures may not be comparable to similarly titled measures computed by other companies.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non-GAAP Adjusted EBITDA for the periods indicated:</w:t>
      </w:r>
    </w:p>
    <w:tbl>
      <w:tblPr>
        <w:tblW w:w="7524"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62"/>
        <w:gridCol w:w="204"/>
        <w:gridCol w:w="408"/>
        <w:gridCol w:w="116"/>
        <w:gridCol w:w="116"/>
        <w:gridCol w:w="116"/>
        <w:gridCol w:w="262"/>
        <w:gridCol w:w="204"/>
        <w:gridCol w:w="408"/>
        <w:gridCol w:w="109"/>
        <w:gridCol w:w="109"/>
        <w:gridCol w:w="109"/>
        <w:gridCol w:w="235"/>
        <w:gridCol w:w="231"/>
        <w:gridCol w:w="515"/>
        <w:gridCol w:w="109"/>
        <w:gridCol w:w="109"/>
        <w:gridCol w:w="109"/>
        <w:gridCol w:w="241"/>
        <w:gridCol w:w="225"/>
        <w:gridCol w:w="570"/>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2,311.9</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1,394.4</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51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5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5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Reconciliation of Net Income to Adjusted EBITDA and Operating Expenses to Adjusted EBITDA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net income to Adjusted EBITDA for the periods indicated:</w:t>
      </w:r>
    </w:p>
    <w:tbl>
      <w:tblPr>
        <w:tblW w:w="10205" w:type="dxa"/>
        <w:jc w:val="left"/>
        <w:tblInd w:w="0" w:type="dxa"/>
        <w:tblLayout w:type="fixed"/>
        <w:tblCellMar>
          <w:top w:w="28" w:type="dxa"/>
          <w:left w:w="28" w:type="dxa"/>
          <w:bottom w:w="28" w:type="dxa"/>
          <w:right w:w="28" w:type="dxa"/>
        </w:tblCellMar>
      </w:tblPr>
      <w:tblGrid>
        <w:gridCol w:w="1915"/>
        <w:gridCol w:w="1460"/>
        <w:gridCol w:w="1431"/>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91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pPr>
            <w:r>
              <w:rPr>
                <w:rFonts w:ascii="Times New Roman;serif" w:hAnsi="Times New Roman;serif"/>
                <w:b w:val="false"/>
                <w:color w:val="000000"/>
                <w:sz w:val="20"/>
              </w:rPr>
              <w:t>Acquisition-related integration and transaction costs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1,394.4 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reconciliation of operating expenses to Adjusted EBITDA expenses for the periods indicated: </w:t>
      </w:r>
    </w:p>
    <w:tbl>
      <w:tblPr>
        <w:tblW w:w="10205" w:type="dxa"/>
        <w:jc w:val="left"/>
        <w:tblInd w:w="0" w:type="dxa"/>
        <w:tblLayout w:type="fixed"/>
        <w:tblCellMar>
          <w:top w:w="28" w:type="dxa"/>
          <w:left w:w="28" w:type="dxa"/>
          <w:bottom w:w="28" w:type="dxa"/>
          <w:right w:w="28" w:type="dxa"/>
        </w:tblCellMar>
      </w:tblPr>
      <w:tblGrid>
        <w:gridCol w:w="1887"/>
        <w:gridCol w:w="1464"/>
        <w:gridCol w:w="1456"/>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188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0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equipment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pPr>
            <w:r>
              <w:rPr>
                <w:rFonts w:ascii="Times New Roman;serif" w:hAnsi="Times New Roman;serif"/>
                <w:b w:val="false"/>
                <w:color w:val="000000"/>
                <w:sz w:val="20"/>
              </w:rPr>
              <w:t>Acquisition-related integration and transaction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Index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 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Consolidated 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917.5 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transaction expenses and other costs directly related to certain announced or completed acquisitions and the integration of such acquisitions, including professional fees, severance expenses and regulatory filing fees, in each case only to the extent incurred no later than 12 months following the closing of the relevant acquisition. Also includes amounts arising under earn-out and other contingent consideration arrangements related to such acquisitions, including gains and losses from changes in their estimated fair value, which are included for the contractual term of the applicable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Index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the Index segment for the periods indicated:</w:t>
      </w:r>
    </w:p>
    <w:tbl>
      <w:tblPr>
        <w:tblW w:w="10146" w:type="dxa"/>
        <w:jc w:val="left"/>
        <w:tblInd w:w="0" w:type="dxa"/>
        <w:tblLayout w:type="fixed"/>
        <w:tblCellMar>
          <w:top w:w="28" w:type="dxa"/>
          <w:left w:w="28" w:type="dxa"/>
          <w:bottom w:w="28" w:type="dxa"/>
          <w:right w:w="28" w:type="dxa"/>
        </w:tblCellMar>
      </w:tblPr>
      <w:tblGrid>
        <w:gridCol w:w="881"/>
        <w:gridCol w:w="773"/>
        <w:gridCol w:w="775"/>
        <w:gridCol w:w="109"/>
        <w:gridCol w:w="109"/>
        <w:gridCol w:w="109"/>
        <w:gridCol w:w="288"/>
        <w:gridCol w:w="223"/>
        <w:gridCol w:w="408"/>
        <w:gridCol w:w="116"/>
        <w:gridCol w:w="116"/>
        <w:gridCol w:w="116"/>
        <w:gridCol w:w="288"/>
        <w:gridCol w:w="223"/>
        <w:gridCol w:w="408"/>
        <w:gridCol w:w="109"/>
        <w:gridCol w:w="109"/>
        <w:gridCol w:w="109"/>
        <w:gridCol w:w="304"/>
        <w:gridCol w:w="304"/>
        <w:gridCol w:w="306"/>
        <w:gridCol w:w="109"/>
        <w:gridCol w:w="109"/>
        <w:gridCol w:w="109"/>
        <w:gridCol w:w="259"/>
        <w:gridCol w:w="252"/>
        <w:gridCol w:w="516"/>
        <w:gridCol w:w="109"/>
        <w:gridCol w:w="109"/>
        <w:gridCol w:w="109"/>
        <w:gridCol w:w="288"/>
        <w:gridCol w:w="223"/>
        <w:gridCol w:w="408"/>
        <w:gridCol w:w="109"/>
        <w:gridCol w:w="109"/>
        <w:gridCol w:w="109"/>
        <w:gridCol w:w="233"/>
        <w:gridCol w:w="233"/>
        <w:gridCol w:w="570"/>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4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5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5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4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operating revenues increased 18.1% for the three months ended September 30, 2026, driven by growth from asset-based fees as well as recurring subscriptions. Adjusting for the impact of the acquisitions of Compass and PM Insights and foreign currency exchange rate fluctuations, Index operating revenues would have increased 18.0%.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from recurring subscriptions increased 11.1% for the three months ended September 30, 2026, primarily driven by growth from market cap-weighted Index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revenues from asset-based fees increased 24.9% for the three months ended September 30, 2026, primarily driven by growth in revenues from ETFs linked to MSCI equity indexes and non-ETF indexed funds linked to MSCI indexes. Operating revenues from ETFs linked to MSCI equity indexes and non-ETF indexed funds linked to MSCI indexes increased by 28.2% and 20.7%, respectively, primarily driven by an increase in average AUM, partially offset by a decrease in average basis point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operating revenues increased 17.8% for the nine months ended September 30, 2026, primarily driven by growth from asset-based fees as well as recurring subscriptions. Adjusting for the impact of the acquisitions of Compass and PM Insights and foreign currency exchange rate fluctuations, Index operating revenues would have increased 17.7%.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from recurring subscriptions increased 10.6% for the nine months ended September 30, 2026, primarily driven by growth from market cap-weighted Index products.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revenues from asset-based fees increased 26.0% for the nine months ended September 30, 2026, primarily driven by growth in revenues from ETFs linked to MSCI equity indexes and non-ETF indexed funds linked to MSCI indexes. Operating revenues from ETFs linked to MSCI equity indexes and non-ETF indexed funds linked to MSCI indexes increased by 32.3% and 15.0%, respectively, primarily driven by an increase in average AUM, partially offset by a decrease in average basis point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value of AUM in ETFs linked to MSCI equity indexes and the sequential change of such assets as of the end of each of the periods indicated:</w:t>
      </w:r>
    </w:p>
    <w:tbl>
      <w:tblPr>
        <w:tblW w:w="10205" w:type="dxa"/>
        <w:jc w:val="left"/>
        <w:tblInd w:w="0" w:type="dxa"/>
        <w:tblLayout w:type="fixed"/>
        <w:tblCellMar>
          <w:top w:w="28" w:type="dxa"/>
          <w:left w:w="28" w:type="dxa"/>
          <w:bottom w:w="28" w:type="dxa"/>
          <w:right w:w="28" w:type="dxa"/>
        </w:tblCellMar>
      </w:tblPr>
      <w:tblGrid>
        <w:gridCol w:w="846"/>
        <w:gridCol w:w="239"/>
        <w:gridCol w:w="22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2"/>
        <w:gridCol w:w="619"/>
        <w:gridCol w:w="156"/>
      </w:tblGrid>
      <w:tr>
        <w:trPr/>
        <w:tc>
          <w:tcPr>
            <w:tcW w:w="8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3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March</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June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September</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December</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March</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June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AUM in ETFs linked to MSCI equity indexes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Sequential Change in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Inflows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average value of AUM in ETFs linked to MSCI equity indexes for the periods indicated:</w:t>
      </w:r>
    </w:p>
    <w:tbl>
      <w:tblPr>
        <w:tblW w:w="10205" w:type="dxa"/>
        <w:jc w:val="left"/>
        <w:tblInd w:w="0" w:type="dxa"/>
        <w:tblLayout w:type="fixed"/>
        <w:tblCellMar>
          <w:top w:w="28" w:type="dxa"/>
          <w:left w:w="28" w:type="dxa"/>
          <w:bottom w:w="28" w:type="dxa"/>
          <w:right w:w="28" w:type="dxa"/>
        </w:tblCellMar>
      </w:tblPr>
      <w:tblGrid>
        <w:gridCol w:w="760"/>
        <w:gridCol w:w="284"/>
        <w:gridCol w:w="27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7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31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w:t>
            </w:r>
          </w:p>
        </w:tc>
      </w:tr>
      <w:tr>
        <w:trPr/>
        <w:tc>
          <w:tcPr>
            <w:tcW w:w="13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AUM in ETFs linked to MSCI equity indexes</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The historical values of the AUM in ETFs linked to our equity indexes as of the last day of the month and the monthly average balance can be found under the link “AUM in ETFs Linked to MSCI Equity Indexes” on our Investor Relations homepage at </w:t>
      </w:r>
      <w:r>
        <w:rPr>
          <w:rFonts w:ascii="Times New Roman;serif" w:hAnsi="Times New Roman;serif"/>
          <w:b w:val="false"/>
          <w:i/>
          <w:color w:val="000000"/>
          <w:sz w:val="16"/>
        </w:rPr>
        <w:t>https://ir.msci.com</w:t>
      </w:r>
      <w:r>
        <w:rPr>
          <w:rFonts w:ascii="Times New Roman;serif" w:hAnsi="Times New Roman;serif"/>
          <w:b w:val="false"/>
          <w:color w:val="000000"/>
          <w:sz w:val="16"/>
        </w:rPr>
        <w:t>. This information is updated mid-month each month. Information contained on our website is not deemed part of or incorporated by reference into this Quarterly Report on Form 10-Q or any other report filed with the SEC. The AUM in ETFs also includes AUM in Exchange Traded Notes, the value of which is less than 1.0% of the AUM amounts presented.</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The value of AUM in ETFs linked to MSCI equity indexes is calculated by multiplying the equity ETF net asset value by the number of shares outstanding.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average value of AUM in ETFs linked to MSCI equity indexes for the three months ended September 30, 2026, was up $769 billion, or 36.5%. For the nine months ended September 30, 2026, the average value of AUM in ETFs linked to MSCI equity indexes was up $761 billion, or 39.6%.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segment Adjusted EBITDA expenses increased 19.1% for the three months ended September 30, 2026, driven by increases in compensation and benefits costs, primarily from incentive compensation, partially offset by increased capitalization of costs related to internally developed software projects. The increase was also driven by increases in non-compensation expenses as a result of higher professional fees and information technology costs. Adjusting for the impact of the acquisitions of Compass and PM Insights and foreign currency exchange rate fluctuations, Index segment Adjusted EBITDA expenses would have increased by 17.7%.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Index segment Adjusted EBITDA expenses increased 12.3% for the nine months ended September 30, 2026, driven by increases in non-compensation expenses primarily as a result of higher professional fees and information technology costs. The increase was also driven by increases in compensation and benefits costs, primarily from incentive compensation, partially offset by increased capitalization of costs related to internally developed software projects. Adjusting for the impact of the acquisitions of Compass and PM Insights and foreign currency exchange rate fluctuations, Index segment Adjusted EBITDA expenses would have increased by 9.6%.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Analytics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the Analytics segment for the periods indicated:</w:t>
      </w:r>
    </w:p>
    <w:tbl>
      <w:tblPr>
        <w:tblW w:w="10205" w:type="dxa"/>
        <w:jc w:val="left"/>
        <w:tblInd w:w="0" w:type="dxa"/>
        <w:tblLayout w:type="fixed"/>
        <w:tblCellMar>
          <w:top w:w="28" w:type="dxa"/>
          <w:left w:w="28" w:type="dxa"/>
          <w:bottom w:w="28" w:type="dxa"/>
          <w:right w:w="28" w:type="dxa"/>
        </w:tblCellMar>
      </w:tblPr>
      <w:tblGrid>
        <w:gridCol w:w="775"/>
        <w:gridCol w:w="527"/>
        <w:gridCol w:w="505"/>
        <w:gridCol w:w="109"/>
        <w:gridCol w:w="109"/>
        <w:gridCol w:w="109"/>
        <w:gridCol w:w="211"/>
        <w:gridCol w:w="616"/>
        <w:gridCol w:w="271"/>
        <w:gridCol w:w="109"/>
        <w:gridCol w:w="109"/>
        <w:gridCol w:w="109"/>
        <w:gridCol w:w="211"/>
        <w:gridCol w:w="616"/>
        <w:gridCol w:w="271"/>
        <w:gridCol w:w="109"/>
        <w:gridCol w:w="109"/>
        <w:gridCol w:w="109"/>
        <w:gridCol w:w="263"/>
        <w:gridCol w:w="263"/>
        <w:gridCol w:w="494"/>
        <w:gridCol w:w="109"/>
        <w:gridCol w:w="109"/>
        <w:gridCol w:w="109"/>
        <w:gridCol w:w="211"/>
        <w:gridCol w:w="616"/>
        <w:gridCol w:w="271"/>
        <w:gridCol w:w="109"/>
        <w:gridCol w:w="109"/>
        <w:gridCol w:w="109"/>
        <w:gridCol w:w="211"/>
        <w:gridCol w:w="616"/>
        <w:gridCol w:w="271"/>
        <w:gridCol w:w="109"/>
        <w:gridCol w:w="109"/>
        <w:gridCol w:w="109"/>
        <w:gridCol w:w="232"/>
        <w:gridCol w:w="234"/>
        <w:gridCol w:w="558"/>
      </w:tblGrid>
      <w:tr>
        <w:trPr/>
        <w:tc>
          <w:tcPr>
            <w:tcW w:w="77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5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operating revenues increased 4.8% for the three months ended September 30, 2026, primarily driven by growth from recurring subscriptions related to both Equity Analytics and Multi-Asset Class products. Adjusting for the impact of foreign currency exchange rate fluctuations, Analytics operating revenues would have increased 5.2%.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segment Adjusted EBITDA expenses increased 14.3% for the three months ended September 30, 2026, primarily driven by increases in non-compensation expenses as a result of higher information technology costs and market data costs. The increase was also driven by increases in compensation and benefits costs, primarily from incentive compensation. Adjusting for the impact of foreign currency exchange rate fluctuations, Analytics segment Adjusted EBITDA expenses would have increased 14.5%.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operating revenues increased 7.2% for the nine months ended September 30, 2026, primarily driven by growth from recurring subscriptions related to both Equity Analytics and Multi-Asset Class products. Adjusting for the impact of foreign currency exchange rate fluctuations, Analytics operating revenues would have increased 7.5%.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segment Adjusted EBITDA expenses increased 14.8% for the nine months ended September 30, 2026, primarily driven by increases in non-compensation expenses as a result of higher information technology costs, as well as a decrease in the favorable fair value adjustment on contingent consideration related to the Fabric RQ, Inc. acquisition. The increase was also driven by increases in compensation and benefits costs, primarily as a result of incentive compensation. Adjusting for the impact of foreign currency exchange rate fluctuations, Analytics segment Adjusted EBITDA expenses would have increased 13.9%.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Sustainability and Climate Segment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the Sustainability and Climate segment for the periods indicated:</w:t>
      </w:r>
    </w:p>
    <w:tbl>
      <w:tblPr>
        <w:tblW w:w="10205" w:type="dxa"/>
        <w:jc w:val="left"/>
        <w:tblInd w:w="0" w:type="dxa"/>
        <w:tblLayout w:type="fixed"/>
        <w:tblCellMar>
          <w:top w:w="28" w:type="dxa"/>
          <w:left w:w="28" w:type="dxa"/>
          <w:bottom w:w="28" w:type="dxa"/>
          <w:right w:w="28" w:type="dxa"/>
        </w:tblCellMar>
      </w:tblPr>
      <w:tblGrid>
        <w:gridCol w:w="809"/>
        <w:gridCol w:w="606"/>
        <w:gridCol w:w="593"/>
        <w:gridCol w:w="109"/>
        <w:gridCol w:w="109"/>
        <w:gridCol w:w="109"/>
        <w:gridCol w:w="211"/>
        <w:gridCol w:w="511"/>
        <w:gridCol w:w="271"/>
        <w:gridCol w:w="109"/>
        <w:gridCol w:w="109"/>
        <w:gridCol w:w="109"/>
        <w:gridCol w:w="211"/>
        <w:gridCol w:w="511"/>
        <w:gridCol w:w="271"/>
        <w:gridCol w:w="109"/>
        <w:gridCol w:w="109"/>
        <w:gridCol w:w="109"/>
        <w:gridCol w:w="233"/>
        <w:gridCol w:w="233"/>
        <w:gridCol w:w="498"/>
        <w:gridCol w:w="109"/>
        <w:gridCol w:w="109"/>
        <w:gridCol w:w="109"/>
        <w:gridCol w:w="211"/>
        <w:gridCol w:w="616"/>
        <w:gridCol w:w="271"/>
        <w:gridCol w:w="109"/>
        <w:gridCol w:w="109"/>
        <w:gridCol w:w="109"/>
        <w:gridCol w:w="211"/>
        <w:gridCol w:w="616"/>
        <w:gridCol w:w="271"/>
        <w:gridCol w:w="109"/>
        <w:gridCol w:w="109"/>
        <w:gridCol w:w="109"/>
        <w:gridCol w:w="263"/>
        <w:gridCol w:w="263"/>
        <w:gridCol w:w="563"/>
      </w:tblGrid>
      <w:tr>
        <w:trPr/>
        <w:tc>
          <w:tcPr>
            <w:tcW w:w="8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operating revenues increased 4.0% for the three months ended September 30, 2026, primarily driven by growth from recurring subscriptions related to Ratings and Climate products. Adjusting for the impact of the acquisition of First Street and foreign currency exchange rate fluctuations, Sustainability and Climate operating revenues would have increased 2.2%.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segment Adjusted EBITDA expenses increased 0.2% for the three months ended September 30, 2026, primarily driven by increases in non-compensation expenses as a result of higher information technology costs, professional fees, and market data costs, partially offset by increases in capitalization of costs related to internally developed software projects. Adjusting for the impact of the acquisition of First Street and foreign currency exchange rate fluctuations, Sustainability and Climate segment Adjusted EBITDA expenses would have decreased 4.2%.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Sustainability and Climate operating revenues increased 5.3% for the nine months ended September 30, 2026, primarily driven by growth from recurring subscriptions related to Ratings products. Adjusting for the impact of the acquisition of First Street and foreign currency exchange rate fluctuations, Sustainability and Climate operating revenues would have increased 3.0%.</w:t>
      </w:r>
    </w:p>
    <w:p>
      <w:pPr>
        <w:pStyle w:val="TextBody"/>
        <w:bidi w:val="0"/>
        <w:spacing w:lineRule="auto" w:line="288" w:before="240" w:after="283"/>
        <w:ind w:left="0" w:right="0" w:firstLine="720"/>
        <w:jc w:val="left"/>
        <w:rPr/>
      </w:pPr>
      <w:r>
        <w:rPr>
          <w:rFonts w:ascii="Times New Roman;serif" w:hAnsi="Times New Roman;serif"/>
          <w:b w:val="false"/>
          <w:color w:val="000000"/>
          <w:sz w:val="20"/>
        </w:rPr>
        <w:t>Sustainability and Climate segment Adjusted EBITDA expenses decreased 1.6% for the nine months ended September 30, 2026, primarily driven by increased capitalization of costs related to internally developed software projects.</w:t>
      </w:r>
      <w:r>
        <w:rPr>
          <w:color w:val="000000"/>
        </w:rPr>
        <w:t xml:space="preserve"> </w:t>
      </w:r>
      <w:r>
        <w:rPr>
          <w:rFonts w:ascii="Times New Roman;serif" w:hAnsi="Times New Roman;serif"/>
          <w:b w:val="false"/>
          <w:color w:val="000000"/>
          <w:sz w:val="20"/>
        </w:rPr>
        <w:t>Adjusting for the impact of the acquisition of First Street and foreign currency exchange rate fluctuations, Sustainability and Climate segment Adjusted EBITDA expenses would have decreased 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All Other – Private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for All Other – Private Assets for the periods indicated:</w:t>
      </w:r>
    </w:p>
    <w:tbl>
      <w:tblPr>
        <w:tblW w:w="10205" w:type="dxa"/>
        <w:jc w:val="center"/>
        <w:tblInd w:w="0" w:type="dxa"/>
        <w:tblLayout w:type="fixed"/>
        <w:tblCellMar>
          <w:top w:w="28" w:type="dxa"/>
          <w:left w:w="28" w:type="dxa"/>
          <w:bottom w:w="28" w:type="dxa"/>
          <w:right w:w="28" w:type="dxa"/>
        </w:tblCellMar>
      </w:tblPr>
      <w:tblGrid>
        <w:gridCol w:w="802"/>
        <w:gridCol w:w="589"/>
        <w:gridCol w:w="574"/>
        <w:gridCol w:w="109"/>
        <w:gridCol w:w="109"/>
        <w:gridCol w:w="109"/>
        <w:gridCol w:w="211"/>
        <w:gridCol w:w="511"/>
        <w:gridCol w:w="271"/>
        <w:gridCol w:w="109"/>
        <w:gridCol w:w="109"/>
        <w:gridCol w:w="109"/>
        <w:gridCol w:w="211"/>
        <w:gridCol w:w="511"/>
        <w:gridCol w:w="271"/>
        <w:gridCol w:w="109"/>
        <w:gridCol w:w="109"/>
        <w:gridCol w:w="109"/>
        <w:gridCol w:w="285"/>
        <w:gridCol w:w="286"/>
        <w:gridCol w:w="497"/>
        <w:gridCol w:w="109"/>
        <w:gridCol w:w="109"/>
        <w:gridCol w:w="109"/>
        <w:gridCol w:w="211"/>
        <w:gridCol w:w="616"/>
        <w:gridCol w:w="271"/>
        <w:gridCol w:w="109"/>
        <w:gridCol w:w="109"/>
        <w:gridCol w:w="109"/>
        <w:gridCol w:w="211"/>
        <w:gridCol w:w="616"/>
        <w:gridCol w:w="271"/>
        <w:gridCol w:w="109"/>
        <w:gridCol w:w="109"/>
        <w:gridCol w:w="109"/>
        <w:gridCol w:w="233"/>
        <w:gridCol w:w="233"/>
        <w:gridCol w:w="562"/>
      </w:tblGrid>
      <w:tr>
        <w:trPr/>
        <w:tc>
          <w:tcPr>
            <w:tcW w:w="8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5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operating revenues increased 6.7% for the three months ended September 30, 2026, primarily driven by growth from recurring subscriptions in Private Capital Solutions related to Private Capital Intel, Total Plan Manager and Private Capital Portfolio Management products, as well as growth from recurring subscriptions in Real Assets related to Index Intel and RCA products. Adjusting for the impact of the acquisition of Vantager and foreign currency exchange rate fluctuations, All Other – Private Assets operating revenues would have increased 6.7%.</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 expenses increased 11.1% for the three months ended September 30, 2026, driven by increases in compensation and benefits costs, primarily from incentive compensation and salaries. Adjusting for the impact of the acquisition of Vantager and foreign currency exchange rate fluctuations, All Other – Private Assets Adjusted EBITDA expenses would have increased 9.5%.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operating revenues increased 6.5% for the nine months ended September 30, 2026, primarily driven by growth from recurring subscriptions in Private Capital Solutions related to Private Capital Intel, Total Plan Manager and Private Capital Portfolio Management products. Adjusting for the impact of the acquisition of Vantager and foreign currency exchange rate fluctuations, All Other – Private Assets operating revenues would have increased 5.5%.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Other - Private Assets Adjusted EBITDA expenses increased 11.4% for the nine months ended September 30, 2026, driven by increases in compensation and benefits costs, primarily from incentive compensation and salaries. The increase was also driven by increases in non-compensation expenses as a result of higher professional fees. Adjusting for the impact of the acquisition of Vantager and foreign currency exchange rate fluctuations, All Other – Private Assets Adjusted EBITDA expenses would have increased 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Metrics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MSCI’s operating revenues is derived from recurring subscriptions or licenses for products and services that are ongoing in nature and provided over contractually agreed periods, which are subject to renewal or cancellation upon the expiration of the then-current term. In addition, we generate non-recurring revenues from one-time sales and other transactions or services that are discrete in nature or that have a defined life. The operating metrics defined below help management assess the stability and growth of this recurring-revenue base and track non-recurring revenues. There have been no changes to the methodologies used to compute these metrics compared with prior periods.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Run Rate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estimates, at a specific point in time, the annualized value of the recurring portion of executed client contracts (“Client Contracts”) expected to generate revenues over the next 12 months, assuming that all such Client Contracts are renewed and using fixed foreign exchange rates. Run Rate includes new Client Contracts upon execution, even if the license start date and related revenue recognition occur later.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Client Contracts where fees are linked to an investment product’s assets or trading volume or fees (referred to as “Asset-based Fees”), the Run Rate calculation is based on:</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For exchange-traded funds (“ETFs”): assets under management as of the last trading day of the period;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For non-ETF products: the most recent client-reported assets under management;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For listed futures and options contracts: the most recent quarterly volumes and/or reported exchange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excludes fees associated with one-time or other non-recurring transactions.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remove from Run Rate the annualized fee value associated with products or services under any Client Contracts when (i) we have received a notice of termination, reduction in fees, non-renewal or other clear indication that the client does not intend to continue its subscription at then current fees; and (ii) management has determined that such notice or indication reflects the client’s final decision to terminate, not renew or renew at a lower fee the applicable products or services, even if such termination or non-renewal is not yet effective (each such event, a “Subscription Cancellation”).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when a client reduces the fees paid to MSCI associated with a reduction in the number of products or services to which it subscribes within a segment, or a switch between products or services within a segment, unless the client switches to a product or service that management considers a replacement, such reduction or switch is treated as a Subscription Cancellation, including for purposes of calculating MSCI’s Retention Rate (as detailed below). In the cases where the client switches products or services to a replacement service, only the net decrease, if any, is reported as a cancellation.</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 the Analytics and Sustainability and Climate operating segments, substantially all such product or service switches are treated as replacements and are netted accordingly.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 contrast, in the Index, Real Assets, and Private Capital Solutions operating segments, such netting treatment is applied only in limited circumstances.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may differ from revenues recognized in accordance with Accounting Standards Codification (“ASC”) Topic 606, Revenue from Contracts with Customers. Changes in our recurring revenues typically lag changes in Run Rate. Key factors include, but are not limited to:</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Immediate recognition of the annualized value of newly executed recurring Client Contracts;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Immediate removal of the annualized value of Subscription Cancellations on Client Contracts;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Immediate updates to reflect modifications to existing Client Contracts, including changes in price or scope of services;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Timing differences between the effective date of service delivery and contract execution (e.g., Client Contracts with implementation periods, fee waivers or future-dated start terms);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Variability in revenues driven by exogenous factors, such as changes in reference asset values, currency exchange rates or investment flows;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Variability in revenues tied to trading volumes of futures and options contracts linked to MSCI indexes;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effects of acquisitions and divestitures.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Multi-period agreements with contractual price escalators where the total revenue is recognized ratably over the contract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Organic recurring subscription Run Rate growth is defined as the period-over-period growth in Run Rate, excluding: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impact of changes in foreign currency exchange rates;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impact of acquisitions during the first 12 months following the transaction date;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impact of divestitures, where Run Rate from divested businesses are excluded from prior period Run Rates.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Run Rates as of the dates indicated and the growth percentages over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tbl>
      <w:tblPr>
        <w:tblW w:w="9989" w:type="dxa"/>
        <w:jc w:val="center"/>
        <w:tblInd w:w="0" w:type="dxa"/>
        <w:tblLayout w:type="fixed"/>
        <w:tblCellMar>
          <w:top w:w="28" w:type="dxa"/>
          <w:left w:w="28" w:type="dxa"/>
          <w:bottom w:w="28" w:type="dxa"/>
          <w:right w:w="28" w:type="dxa"/>
        </w:tblCellMar>
      </w:tblPr>
      <w:tblGrid>
        <w:gridCol w:w="896"/>
        <w:gridCol w:w="785"/>
        <w:gridCol w:w="794"/>
        <w:gridCol w:w="109"/>
        <w:gridCol w:w="109"/>
        <w:gridCol w:w="109"/>
        <w:gridCol w:w="221"/>
        <w:gridCol w:w="804"/>
        <w:gridCol w:w="114"/>
        <w:gridCol w:w="109"/>
        <w:gridCol w:w="109"/>
        <w:gridCol w:w="109"/>
        <w:gridCol w:w="221"/>
        <w:gridCol w:w="804"/>
        <w:gridCol w:w="114"/>
        <w:gridCol w:w="109"/>
        <w:gridCol w:w="109"/>
        <w:gridCol w:w="109"/>
        <w:gridCol w:w="359"/>
        <w:gridCol w:w="359"/>
        <w:gridCol w:w="901"/>
        <w:gridCol w:w="109"/>
        <w:gridCol w:w="109"/>
        <w:gridCol w:w="109"/>
        <w:gridCol w:w="470"/>
        <w:gridCol w:w="470"/>
        <w:gridCol w:w="1369"/>
      </w:tblGrid>
      <w:tr>
        <w:trPr/>
        <w:tc>
          <w:tcPr>
            <w:tcW w:w="8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Run Rate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Organic Run Rate Growth %</w:t>
            </w:r>
          </w:p>
        </w:tc>
      </w:tr>
      <w:tr>
        <w:trPr/>
        <w:tc>
          <w:tcPr>
            <w:tcW w:w="24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2,082.7 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subscriptions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Asset-based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Run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3,571.9 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3,186.5 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Run Rate increased 12.1%, driven by an 8.8% increase from recurring subscriptions and a 22.0% increase from asset-based fees.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Run Rate from Index asset-based fees increased 22.0%, primarily driven by higher AUM in both ETFs linked to MSCI equity indexes and non-ETF indexed funds linked to MSCI indexes.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Run Rate from Index recurring subscriptions increased 12.0%, primarily driven by growth from market cap-weighted and custom Index products. The increase reflects growth across all client segments, primarily driven by growth from the asset managers, banking &amp; brokerages and hedge funds client segments. The increase reflects growth across all regions.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Run Rate from Analytics products increased 6.9%, primarily driven by growth in both Equity Analytics and Multi-Asset Class products, and reflected growth across all regions. The increase primarily reflected growth in the hedge funds, asset owners and asset managers client segments.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from Sustainability and Climate products increased 3.8%, driven by growth in Climate products with contributions primarily from Americas and EMEA, partially offset by cancellations.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Run Rate from All Other - Private Assets increased 8.9%, primarily driven by Private Capital Solutions related to Total Plan Manager, Private Capital Transparency Data and Private Capital Intel products. The increase reflected growth across all regions and was primarily driven by the asset owners and asset managers client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represents the annualized value of products and services that clients have committed to purchase from MSCI and that are expected to result in additional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Non-recurring sales represent the aggregate value of client agreements entered into during the period that generate non-recurring fees and are not included in Run Rate (as defined elsewhere herein), even if such agreements span multiple periods or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 represent the annualized value of additional client commitments entered into during the period - such as new Client Contracts, expansions of existing Client Contracts or price increases - that contribute to Run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 represent new recurring subscription sales minus the impact of Subscription Cancellations, capturing the net impact to Run Rate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gross sales is the sum of new recurring subscription sales and non-recurring sales.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net sales is total gross sales minus the impact of Subscription Cancellations.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are calculated by applying the exchange rates from the prior comparable period to the current period’s foreign currency-denominated Run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recurring subscription sales, cancellations and non-recurring sales for the periods indicated:</w:t>
      </w:r>
    </w:p>
    <w:tbl>
      <w:tblPr>
        <w:tblW w:w="9419" w:type="dxa"/>
        <w:jc w:val="left"/>
        <w:tblInd w:w="0" w:type="dxa"/>
        <w:tblLayout w:type="fixed"/>
        <w:tblCellMar>
          <w:top w:w="28" w:type="dxa"/>
          <w:left w:w="28" w:type="dxa"/>
          <w:bottom w:w="28" w:type="dxa"/>
          <w:right w:w="28" w:type="dxa"/>
        </w:tblCellMar>
      </w:tblPr>
      <w:tblGrid>
        <w:gridCol w:w="1271"/>
        <w:gridCol w:w="1117"/>
        <w:gridCol w:w="1121"/>
        <w:gridCol w:w="109"/>
        <w:gridCol w:w="109"/>
        <w:gridCol w:w="109"/>
        <w:gridCol w:w="257"/>
        <w:gridCol w:w="750"/>
        <w:gridCol w:w="132"/>
        <w:gridCol w:w="109"/>
        <w:gridCol w:w="109"/>
        <w:gridCol w:w="109"/>
        <w:gridCol w:w="289"/>
        <w:gridCol w:w="700"/>
        <w:gridCol w:w="150"/>
        <w:gridCol w:w="109"/>
        <w:gridCol w:w="109"/>
        <w:gridCol w:w="109"/>
        <w:gridCol w:w="257"/>
        <w:gridCol w:w="750"/>
        <w:gridCol w:w="132"/>
        <w:gridCol w:w="109"/>
        <w:gridCol w:w="109"/>
        <w:gridCol w:w="109"/>
        <w:gridCol w:w="255"/>
        <w:gridCol w:w="744"/>
        <w:gridCol w:w="1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Index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Analytics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Sustainability and Climate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Sustainability and Climate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 Other - Private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 Other - Private Assets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cancellations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new recurring subscription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3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3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3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8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Retention Rate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Retention Rate for the periods indicated:</w:t>
      </w:r>
    </w:p>
    <w:tbl>
      <w:tblPr>
        <w:tblW w:w="6541" w:type="dxa"/>
        <w:jc w:val="center"/>
        <w:tblInd w:w="0" w:type="dxa"/>
        <w:tblLayout w:type="fixed"/>
        <w:tblCellMar>
          <w:top w:w="28" w:type="dxa"/>
          <w:left w:w="28" w:type="dxa"/>
          <w:bottom w:w="28" w:type="dxa"/>
          <w:right w:w="28" w:type="dxa"/>
        </w:tblCellMar>
      </w:tblPr>
      <w:tblGrid>
        <w:gridCol w:w="826"/>
        <w:gridCol w:w="724"/>
        <w:gridCol w:w="744"/>
        <w:gridCol w:w="109"/>
        <w:gridCol w:w="109"/>
        <w:gridCol w:w="109"/>
        <w:gridCol w:w="210"/>
        <w:gridCol w:w="210"/>
        <w:gridCol w:w="210"/>
        <w:gridCol w:w="178"/>
        <w:gridCol w:w="178"/>
        <w:gridCol w:w="178"/>
        <w:gridCol w:w="210"/>
        <w:gridCol w:w="210"/>
        <w:gridCol w:w="210"/>
        <w:gridCol w:w="109"/>
        <w:gridCol w:w="109"/>
        <w:gridCol w:w="109"/>
        <w:gridCol w:w="210"/>
        <w:gridCol w:w="210"/>
        <w:gridCol w:w="210"/>
        <w:gridCol w:w="165"/>
        <w:gridCol w:w="165"/>
        <w:gridCol w:w="165"/>
        <w:gridCol w:w="197"/>
        <w:gridCol w:w="197"/>
        <w:gridCol w:w="280"/>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96.1%</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Sustainability and Climate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91.0%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94.0%</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 Private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93.9%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92.0%</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95.2%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94.8%</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Retention Rate is a key performance metric that provides insight into the stability and durability of MSCI’s recurring revenue base. Subscription cancellations reduce Run Rate and, over time, lower future operating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full-year periods, Retention Rate is calculated as the retained subscription Run Rate, which is defined as the subscription Run Rate at the beginning of the fiscal year minus actual subscription cancellations during the fiscal year, expressed as a percentage of the subscription Run Rate at the beginning of the fiscal year.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interim (non-annual) periods, Retention Rate is presented on an annualized basis. The annualized Retention Rate is calculated by:</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1.Dividing annualized subscription cancellations in the period by the subscription Run Rate at the beginning of the fiscal year, to determine a cancellation rate;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2.Subtracting that rate from 100%, to derive the annualized Retention Rate.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Retention Rate is calculated by operating segment and is based on an individual product or service level within each segment. We do not calculate Retention Rate for the portion of Run Rate attributable to Asset-based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require capital to fund ongoing operations, internal growth initiatives and acquisitions. Our primary sources of liquidity are cash flows generated from our operations, existing cash and cash equivalents and credit capacity under our existing credit facility. In addition, we believe we have access to additional funding in the public and private markets. We intend to use these sources of liquidity to, among other things, service our existing and future debt obligations, fund our working capital requirements for capital expenditures, investments, acquisitions and dividend payments, and make repurchases of our common stock. In connection with our business strategy, we regularly evaluate acquisition and strategic partnership opportunities. We believe our liquidity, along with other financing alternatives, will provide the necessary capital to fund these transactions and achieve our planned growth.</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Senior Notes and Credit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an aggregate of $6.0 billion in Senior Notes outstanding. In addition, under the Credit Agreement, we had as of September 30, 2026 an aggregate of $810.0 million in outstanding borrowings under the Revolving Credit Facility. See Note 7, “Debt,” of the Notes to Condensed Consolidated Financial Statements (Unaudited) included herein for additional information on our outstanding indebtedness and Revolving Credit Facility.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20, 2025, we entered into a Third Amended and Restated Credit Agreement (the “Credit Agreement”) amending and restating in its entirety the Company’s prior Second Amended and Restated Credit Agreement (the “Prior Credit Agreement”). The Credit Agreement increased the aggregate revolving commitments to $1.6 billion (from $1.25 billion under the Prior Credit Agreement) under a revolving credit facility (the “Revolving Credit Facility”), and extends the availability period until August 20, 2030. Obligations under the Credit Agreement are unsecured senior obligations of the Company.</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indentures governing our Senior Notes (the “Indentures”) and the Credit Agreement contain covenants that limit our and our subsidiaries’ ability to, among other things, incur liens, enter into sale/leaseback transactions and consolidate, merge or sell all or substantially all of our assets, and that limit the ability of our subsidiaries to incur certain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and the Indentures also contain customary events of default, including those relating to non-payment, breach of representations, warranties or covenants, cross-default and cross-acceleration, and bankruptcy and insolvency events, and, in the case of the Credit Agreement, invalidity or impairment of loan documentation, change of control and customary ERISA defaults in addition to the foregoing. None of the restrictions above are expected to impact our ability to effectively operate the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also requires us and our subsidiaries to achieve financial and operating results sufficient to maintain compliance with the following financial ratios on a consolidated basis through the termination of the Credit Agreement: (1) the maximum Consolidated Leverage Ratio (as defined in the Credit Agreement) measured quarterly on a rolling four-quarter basis not to exceed 4.25:1.00 (or 4.50:1.00 for four fiscal quarters following a material acquisition) and (2) during any Non-Investment Grade Covenant Period (as defined in the Credit Agreement), the minimum Consolidated Interest Coverage Ratio (as defined in the Credit Agreement) measured quarterly on a rolling four-quarter basis of at least 3.00:1.00. As of September 30, 2026, our Consolidated Leverage Ratio was 2.90:1.00.</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repurchases of the Company’s common stock made on the open market:</w:t>
      </w:r>
    </w:p>
    <w:tbl>
      <w:tblPr>
        <w:tblW w:w="6569" w:type="dxa"/>
        <w:jc w:val="center"/>
        <w:tblInd w:w="0" w:type="dxa"/>
        <w:tblLayout w:type="fixed"/>
        <w:tblCellMar>
          <w:top w:w="28" w:type="dxa"/>
          <w:left w:w="28" w:type="dxa"/>
          <w:bottom w:w="28" w:type="dxa"/>
          <w:right w:w="28" w:type="dxa"/>
        </w:tblCellMar>
      </w:tblPr>
      <w:tblGrid>
        <w:gridCol w:w="950"/>
        <w:gridCol w:w="834"/>
        <w:gridCol w:w="841"/>
        <w:gridCol w:w="109"/>
        <w:gridCol w:w="109"/>
        <w:gridCol w:w="109"/>
        <w:gridCol w:w="211"/>
        <w:gridCol w:w="466"/>
        <w:gridCol w:w="109"/>
        <w:gridCol w:w="109"/>
        <w:gridCol w:w="109"/>
        <w:gridCol w:w="109"/>
        <w:gridCol w:w="345"/>
        <w:gridCol w:w="345"/>
        <w:gridCol w:w="346"/>
        <w:gridCol w:w="109"/>
        <w:gridCol w:w="109"/>
        <w:gridCol w:w="109"/>
        <w:gridCol w:w="212"/>
        <w:gridCol w:w="772"/>
        <w:gridCol w:w="157"/>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Nine months ended</w:t>
            </w:r>
          </w:p>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Number of</w:t>
              <w:b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Value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88" w:before="0" w:after="0"/>
              <w:jc w:val="center"/>
              <w:rPr/>
            </w:pPr>
            <w:r>
              <w:rPr>
                <w:rFonts w:ascii="Times New Roman;serif" w:hAnsi="Times New Roman;serif"/>
                <w:b/>
                <w:color w:val="000000"/>
                <w:sz w:val="16"/>
              </w:rPr>
              <w:t>Repurchased</w:t>
            </w:r>
            <w:r>
              <w:rPr>
                <w:rFonts w:ascii="Times New Roman;serif" w:hAnsi="Times New Roman;serif"/>
                <w:b/>
                <w:color w:val="000000"/>
                <w:sz w:val="10"/>
              </w:rPr>
              <w:t>1</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1,096.5 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The values in this column exclude the 1% excise tax incurred on share repurchases pursuant to the Inflation Reduction Act. Any excise tax incurred is recognized as part of the cost of the shares acquired in the Unaudited Condensed Consolidated Statements of Shareholders’ Equity (Deficit).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was $1.0 billion of available authorization remaining under the 2025 Repurchase Program. This authorization may be modified, suspended or terminated by the Board of Directors at any time without prior notice.</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Dividends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19, 2026, the Board of Directors declared a quarterly cash dividend of $2.05 per share for the three months ending December 31, 2026. The fourth quarter 2026 dividend is payable on November 27, 2026 to shareholders of record as of the close of trading on November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Company had cash and cash equivalents of $261.0 million, compared to $515.3 million, as of December 31,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seek to maintain minimum cash balances globally of approximately $225.0 million to $275.0 million for general operating purposes. As of September 30, 2026 and December 31, 2025, $160.3 million and $335.7 million, respectively, of the Company’s cash and cash equivalents were held by foreign subsidiaries. Repatriation of some foreign cash may be subject to certain withholding taxes in local jurisdictions and other distribution restrictions. We believe the global cash and cash equivalent balances that are maintained will be available to meet our global needs whether for general corporate purposes or other needs, including acquisitions or expansion of our products.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global cash flows from operations, together with existing cash and cash equivalents and funds available under our existing revolving credit facility and our ability to access bank debt, private debt and the capital markets for additional funds, will continue to be sufficient to fund our global operating activities and cash commitments for investing and financing activities, such as material capital expenditures and share repurchases, for at least the next 12 months and for the foreseeable future thereafter. In addition, we expect that foreign cash flows from operations, together with existing cash and cash equivalents, will continue to be sufficient to fund our foreign operating activities and cash commitments for investing activities, such as material capital expenditures, for at least the next 12 months and for the foreseeable future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Investing and Financing Activities</w:t>
      </w:r>
    </w:p>
    <w:tbl>
      <w:tblPr>
        <w:tblW w:w="8436" w:type="dxa"/>
        <w:jc w:val="center"/>
        <w:tblInd w:w="0" w:type="dxa"/>
        <w:tblLayout w:type="fixed"/>
        <w:tblCellMar>
          <w:top w:w="28" w:type="dxa"/>
          <w:left w:w="28" w:type="dxa"/>
          <w:bottom w:w="28" w:type="dxa"/>
          <w:right w:w="28" w:type="dxa"/>
        </w:tblCellMar>
      </w:tblPr>
      <w:tblGrid>
        <w:gridCol w:w="2017"/>
        <w:gridCol w:w="1772"/>
        <w:gridCol w:w="1776"/>
        <w:gridCol w:w="109"/>
        <w:gridCol w:w="109"/>
        <w:gridCol w:w="109"/>
        <w:gridCol w:w="211"/>
        <w:gridCol w:w="766"/>
        <w:gridCol w:w="109"/>
        <w:gridCol w:w="109"/>
        <w:gridCol w:w="109"/>
        <w:gridCol w:w="109"/>
        <w:gridCol w:w="211"/>
        <w:gridCol w:w="76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consist of net income adjusted for certain non-cash items and changes in assets and liabilities. The year-over-year change was primarily driven by higher cash collections from customers, partially offset by higher interest expenses, cash expenses and income taxes paid.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uses of cash from operating activities are for the payment of cash compensation expenses, income taxes, interest expenses, technology costs, professional fees, market data costs and office rent. Historically, the payment of cash for compensation and benefits is at its highest level in the first quarter when we pay discretionary employee compensation related to the previous fiscal year.</w:t>
      </w:r>
    </w:p>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year-over-year change was due to cash paid for acquisitions and capitalized software development costs.</w:t>
      </w:r>
    </w:p>
    <w:p>
      <w:pPr>
        <w:pStyle w:val="TextBody"/>
        <w:bidi w:val="0"/>
        <w:spacing w:lineRule="auto" w:line="288" w:before="36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year-over-year change was primarily driven by lower net proceeds from borrowings, partially offset by lower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foreign currency exchange fluctuation risk. Exchange rate movements can impact the U.S. dollar-reported value of our revenues, expenses, assets and liabilities denominated in non-U.S. dollar currencies or where the currency of such items is different than the functional currency of the entity where these items were recorded.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invoice our clients in U.S. dollars; however, we invoice a portion of our clients in Euros, British pounds sterling, Japanese yen and a limited number of other non-U.S. dollar currencies. For the nine months ended September 30, 2026 and 2025, 16% and 17%, respectively, of our revenues were subject to foreign currency exchange rate risk and primarily included clients billed in foreign currency as well as U.S. dollar exposures on non-U.S. dollar foreign operating entities. Of the 16% of non-U.S. dollar exposure for the nine months ended September 30, 2026, 44% was in Euros, 30% was in British pounds sterling and 20% was in Japanese yen. Of the 17% of non-U.S. dollar exposure for the nine months ended September 30, 2025, 43% was in Euros, 32% was in British pounds sterling and 18% was in Japanese yen.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from asset-based fees represented 27% and 24% of operating revenues for the nine months ended September 30, 2026 and 2025, respectively. While a substantial portion of our asset-based fees are invoiced in U.S. dollars, the fees are based on the assets in investment products, of which approximately three-fifths are invested in 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additional foreign currency risk in certain of our operating costs. Approximately 42% and 42% of our operating expenses for the nine months ended September 30, 2026 and 2025, respectively, were denominated in foreign currencies, the significant majority of which were denominated in British pounds sterling, Indian rupees, Euros, Hungarian forints, Mexican pesos and Swiss francs.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certain monetary assets and liabilities denominated in currencies other than local functional amounts, and when these balances are remeasured into their local functional currency, either a gain or a loss results from the change of the value of the functional currency as compared to the originating currencies. We manage foreign currency exchange rate risk, in part, through the use of derivative financial instruments comprised principally of forward contracts on foreign currency which are not designated as hedging instruments for accounting purposes. The objective of the derivative instruments is to minimize the impact on the income statement of the volatility of amounts denominated in certain foreign currencies. We recognized total foreign currency exchange losses of $4.7 million and $6.4 million for the nine months ended September 30, 2026 and 2025, respectively.</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Senior Notes bear interest at fixed rates, and therefore changes in market interest rates do not affect the interest expense on the Senior Notes. Borrowings under the Revolving Credit Facility bear interest at a variable rate based on either the Base Rate or SOFR, plus an applicable margin.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$810.0 million of floating rate debt outstanding. A hypothetical 50 basis point increase or decrease in the rate would change our annual interest expense by approximately $4.1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7, Debt, in the Notes to the Consolidated Financial Statements included in Part I, Item 1 of this Quarterly Report on Form 10-Q for more information on our outstanding borrowings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and Chief Financial Officer have evaluated our disclosure controls and procedures, as defined in Rule 13a-15(e) or 15d-15(e) of the Securities Exchange Act of 1934, as amended, (the “Exchange Act”), as of the end of the period covered by this report, and have concluded that these disclosure controls and procedures are effective to ensure that information required to be disclosed by us in the reports that we file or submit under the Exchange Act is recorded, processed, summarized and reported within the time specified in the SEC’s rules and forms. These disclosure controls and procedures include, without limitation, controls and procedures designed to ensure that information required to be disclosed by us in the reports we file or submit under the Exchange Act is accumulated and communicated to management, including the Chief Executive Officer and the Chief Financial Officer, as appropriate to allow timely decisions regarding required disclosure.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during the three months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Various lawsuits, arbitrations, claims, government inquiries, requests for information, subpoenas, regulatory investigations, examinations, inspections and other legal or regulatory processes have been or may be instituted or asserted against the Company in the ordinary course of business. While the potential losses could be substantial, due to uncertainties surrounding the potential outcomes, management cannot currently reasonably estimate the possible loss or range of loss that may arise from these matters. Consequently, it is possible that MSCI’s business, operating results, financial condition or cash flows in a particular period could be materially affected by these matters. However, based on facts currently available, we believe that the disposition of matters that are currently pending or asserted will not, individually or in the aggregate, have a material effect on MSCI’s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the risk factors affecting the Company, see “Risk Factors” in Part I, Item 1A of our Annual Report on Form 10-K for the fiscal year ended December 31,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and uncertainties known to the Company and disclosed in the Company’s Form 10-K for the fiscal year ended December 31, 2025, that, if they were to materialize or occur, would, individually or in the aggregate, have a material effect on MSCI’s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unregistered sales of equity securities during the three months ended September 30,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with respect to purchases made by or on behalf of the Company of its shares of common stock during the three months ended September 30, 2026.</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1002"/>
        <w:gridCol w:w="701"/>
        <w:gridCol w:w="709"/>
        <w:gridCol w:w="109"/>
        <w:gridCol w:w="109"/>
        <w:gridCol w:w="109"/>
        <w:gridCol w:w="479"/>
        <w:gridCol w:w="422"/>
        <w:gridCol w:w="406"/>
        <w:gridCol w:w="109"/>
        <w:gridCol w:w="109"/>
        <w:gridCol w:w="109"/>
        <w:gridCol w:w="236"/>
        <w:gridCol w:w="808"/>
        <w:gridCol w:w="122"/>
        <w:gridCol w:w="109"/>
        <w:gridCol w:w="109"/>
        <w:gridCol w:w="109"/>
        <w:gridCol w:w="494"/>
        <w:gridCol w:w="424"/>
        <w:gridCol w:w="414"/>
        <w:gridCol w:w="109"/>
        <w:gridCol w:w="109"/>
        <w:gridCol w:w="109"/>
        <w:gridCol w:w="572"/>
        <w:gridCol w:w="1678"/>
        <w:gridCol w:w="430"/>
      </w:tblGrid>
      <w:tr>
        <w:trPr/>
        <w:tc>
          <w:tcPr>
            <w:tcW w:w="100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88" w:before="0" w:after="0"/>
              <w:jc w:val="center"/>
              <w:rPr/>
            </w:pPr>
            <w:r>
              <w:rPr>
                <w:rFonts w:ascii="Times New Roman;serif" w:hAnsi="Times New Roman;serif"/>
                <w:b/>
                <w:color w:val="000000"/>
                <w:sz w:val="16"/>
              </w:rPr>
              <w:t>Shares Purchased</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Price</w:t>
            </w:r>
          </w:p>
          <w:p>
            <w:pPr>
              <w:pStyle w:val="TableContents"/>
              <w:bidi w:val="0"/>
              <w:spacing w:lineRule="auto" w:line="288" w:before="0" w:after="0"/>
              <w:jc w:val="center"/>
              <w:rPr/>
            </w:pPr>
            <w:r>
              <w:rPr>
                <w:rFonts w:ascii="Times New Roman;serif" w:hAnsi="Times New Roman;serif"/>
                <w:b/>
                <w:color w:val="000000"/>
                <w:sz w:val="16"/>
              </w:rPr>
              <w:t>Paid Per Share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Value of Shares that May Yet Be Purchased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Under the Plans or Programs </w:t>
            </w:r>
          </w:p>
          <w:p>
            <w:pPr>
              <w:pStyle w:val="TableContents"/>
              <w:bidi w:val="0"/>
              <w:spacing w:lineRule="auto" w:line="288" w:before="0" w:after="0"/>
              <w:jc w:val="center"/>
              <w:rPr/>
            </w:pPr>
            <w:r>
              <w:rPr>
                <w:rFonts w:ascii="Times New Roman;serif" w:hAnsi="Times New Roman;serif"/>
                <w:b/>
                <w:color w:val="000000"/>
                <w:sz w:val="16"/>
              </w:rPr>
              <w:t>(in millions)</w:t>
            </w:r>
            <w:r>
              <w:rPr>
                <w:rFonts w:ascii="Times New Roman;serif" w:hAnsi="Times New Roman;serif"/>
                <w:b w:val="false"/>
                <w:color w:val="000000"/>
                <w:sz w:val="10"/>
              </w:rPr>
              <w:t>3</w:t>
            </w:r>
          </w:p>
        </w:tc>
      </w:tr>
      <w:tr>
        <w:trPr/>
        <w:tc>
          <w:tcPr>
            <w:tcW w:w="24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306,351 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561.70 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305,723 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507,675 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507,662 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167,689 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167,676 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981,715 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981,061 </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16"/>
        </w:rPr>
        <w:t>Includes, when applicable, (i) shares purchased by the Company on the open market under the stock repurchase program; (ii) shares withheld to satisfy tax withholding obligations on behalf of employees that occur upon vesting and delivery of outstanding shares underlying restricted stock units; and (iii) shares held in treasury under the MSCI Inc. Non-Employee Directors Deferral Plan. The value of shares withheld to satisfy tax withholding obligations was determined using the fair market value of the Company’s common stock on the date of withholding, using a valuation methodology established by the Company.</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16"/>
        </w:rPr>
        <w:t xml:space="preserve">Excludes 1% excise tax incurred on share repurchases. </w:t>
      </w:r>
    </w:p>
    <w:p>
      <w:pPr>
        <w:pStyle w:val="TextBody"/>
        <w:bidi w:val="0"/>
        <w:spacing w:lineRule="auto" w:line="288" w:before="0" w:after="0"/>
        <w:ind w:left="0" w:right="0" w:hanging="720"/>
        <w:jc w:val="left"/>
        <w:rPr/>
      </w:pPr>
      <w:r>
        <w:rPr>
          <w:rFonts w:ascii="Times New Roman;serif" w:hAnsi="Times New Roman;serif"/>
          <w:b w:val="false"/>
          <w:color w:val="000000"/>
          <w:sz w:val="10"/>
        </w:rPr>
        <w:t>3</w:t>
      </w:r>
      <w:r>
        <w:rPr>
          <w:rFonts w:ascii="Times New Roman;serif" w:hAnsi="Times New Roman;serif"/>
          <w:b w:val="false"/>
          <w:color w:val="000000"/>
          <w:sz w:val="16"/>
        </w:rPr>
        <w:t>See Note 9, “Shareholders’ Equity (Deficit),” of the Notes to the Unaudited Condensed Consolidated Financial Statements included herein for further information regarding our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none of the Company’s directors or officers, as defined in Section 16 of the Exchange Act, adopted or terminated a “Rule 10b5-1 trading arrangement” or a “non-Rule 10b5-1 trading arrangement,” as each term is defined in Item 408(a) of Regulation S-K.</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3"/>
        <w:gridCol w:w="253"/>
        <w:gridCol w:w="255"/>
        <w:gridCol w:w="109"/>
        <w:gridCol w:w="109"/>
        <w:gridCol w:w="109"/>
        <w:gridCol w:w="2567"/>
        <w:gridCol w:w="2567"/>
        <w:gridCol w:w="36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Description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Third Amended and Restated Certificate of Incorporation (filed as Exhibit 3.1 to the Company’s Form 10-Q (File No. 001-33812), filed with the SEC on May 4, 2012 and incorporated by reference herein)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(filed as Exhibit 3.2 to the Company’s Form 10-K (File No. 001-33812), filed with the SEC on February 9, 2024 and incorporated by reference herein)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ci-20260930xexx311.htm">
              <w:r>
                <w:rPr>
                  <w:rStyle w:val="InternetLink"/>
                  <w:rFonts w:ascii="Times New Roman;serif" w:hAnsi="Times New Roman;serif"/>
                  <w:b w:val="false"/>
                  <w:color w:val="0000FF"/>
                  <w:sz w:val="20"/>
                  <w:u w:val="single"/>
                </w:rPr>
                <w:t>Rule 13a-14(a) Certification of the Chief Executive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ci-20260930xexx312.htm">
              <w:r>
                <w:rPr>
                  <w:rStyle w:val="InternetLink"/>
                  <w:rFonts w:ascii="Times New Roman;serif" w:hAnsi="Times New Roman;serif"/>
                  <w:b w:val="false"/>
                  <w:color w:val="0000FF"/>
                  <w:sz w:val="20"/>
                  <w:u w:val="single"/>
                </w:rPr>
                <w:t>Rule 13a-14(a) Certification of the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ci-20260930xexx321.htm">
              <w:r>
                <w:rPr>
                  <w:rStyle w:val="InternetLink"/>
                  <w:rFonts w:ascii="Times New Roman;serif" w:hAnsi="Times New Roman;serif"/>
                  <w:b w:val="false"/>
                  <w:color w:val="0000FF"/>
                  <w:sz w:val="20"/>
                  <w:u w:val="single"/>
                </w:rPr>
                <w:t>Section 1350 Certification of the Chief Executive Officer and the Chief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180"/>
        <w:jc w:val="left"/>
        <w:rPr/>
      </w:pPr>
      <w:r>
        <w:rPr/>
      </w:r>
    </w:p>
    <w:p>
      <w:pPr>
        <w:pStyle w:val="TextBody"/>
        <w:bidi w:val="0"/>
        <w:spacing w:before="0" w:after="0"/>
        <w:ind w:left="0" w:right="0" w:hanging="720"/>
        <w:jc w:val="left"/>
        <w:rPr/>
      </w:pPr>
      <w:r>
        <w:rPr/>
      </w:r>
    </w:p>
    <w:p>
      <w:pPr>
        <w:pStyle w:val="TextBody"/>
        <w:bidi w:val="0"/>
        <w:spacing w:before="0" w:after="0"/>
        <w:ind w:left="0" w:right="0" w:hanging="450"/>
        <w:jc w:val="left"/>
        <w:rPr/>
      </w:pPr>
      <w:r>
        <w:rPr/>
      </w:r>
    </w:p>
    <w:p>
      <w:pPr>
        <w:pStyle w:val="TextBody"/>
        <w:bidi w:val="0"/>
        <w:spacing w:lineRule="auto" w:line="288" w:before="120" w:after="283"/>
        <w:ind w:left="0" w:right="0" w:hanging="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936cb2ea948f4ff393b390270d33fd8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tbl>
      <w:tblPr>
        <w:tblW w:w="6003" w:type="dxa"/>
        <w:jc w:val="center"/>
        <w:tblInd w:w="0" w:type="dxa"/>
        <w:tblLayout w:type="fixed"/>
        <w:tblCellMar>
          <w:top w:w="28" w:type="dxa"/>
          <w:left w:w="28" w:type="dxa"/>
          <w:bottom w:w="28" w:type="dxa"/>
          <w:right w:w="28" w:type="dxa"/>
        </w:tblCellMar>
      </w:tblPr>
      <w:tblGrid>
        <w:gridCol w:w="124"/>
        <w:gridCol w:w="109"/>
        <w:gridCol w:w="109"/>
        <w:gridCol w:w="172"/>
        <w:gridCol w:w="172"/>
        <w:gridCol w:w="172"/>
        <w:gridCol w:w="1490"/>
        <w:gridCol w:w="1490"/>
        <w:gridCol w:w="2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MSCI INC.</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Wiechmann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Wiechmann</w:t>
              <w:br/>
              <w:t xml:space="preserve">Chief Financial Officer </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Henry A. Fernandez, certify that: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MSCI Inc.;</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bl>
      <w:tblPr>
        <w:tblW w:w="4437" w:type="dxa"/>
        <w:jc w:val="left"/>
        <w:tblInd w:w="0" w:type="dxa"/>
        <w:tblLayout w:type="fixed"/>
        <w:tblCellMar>
          <w:top w:w="28" w:type="dxa"/>
          <w:left w:w="28" w:type="dxa"/>
          <w:bottom w:w="28" w:type="dxa"/>
          <w:right w:w="28" w:type="dxa"/>
        </w:tblCellMar>
      </w:tblPr>
      <w:tblGrid>
        <w:gridCol w:w="124"/>
        <w:gridCol w:w="109"/>
        <w:gridCol w:w="109"/>
        <w:gridCol w:w="1199"/>
        <w:gridCol w:w="1199"/>
        <w:gridCol w:w="16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Henry A. Fernandez</w:t>
              <w:br/>
              <w:t>Chairman, Chief Executive Officer and President</w:t>
              <w:b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SECTION 302 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Andrew C. Wiechmann, certify that: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MSCI Inc.;</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bl>
      <w:tblPr>
        <w:tblW w:w="5487" w:type="dxa"/>
        <w:jc w:val="left"/>
        <w:tblInd w:w="0" w:type="dxa"/>
        <w:tblLayout w:type="fixed"/>
        <w:tblCellMar>
          <w:top w:w="28" w:type="dxa"/>
          <w:left w:w="28" w:type="dxa"/>
          <w:bottom w:w="28" w:type="dxa"/>
          <w:right w:w="28" w:type="dxa"/>
        </w:tblCellMar>
      </w:tblPr>
      <w:tblGrid>
        <w:gridCol w:w="124"/>
        <w:gridCol w:w="109"/>
        <w:gridCol w:w="109"/>
        <w:gridCol w:w="1504"/>
        <w:gridCol w:w="1504"/>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Wiechmann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Wiechmann</w:t>
              <w:br/>
              <w:t xml:space="preserve">Chief Financial Officer </w:t>
              <w:br/>
              <w:t>(Principal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18 U.S.C. 1350, as adopted pursuant to Section 906 of the Sarbanes-Oxley Act of 2002, Henry A. Fernandez, Chairman, Chief Executive Officer and President of MSCI Inc. (the “Registrant”) and Andrew C. Wiechmann, Chief Financial Officer of the Registrant, each hereby certifies that, to the best of his/her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Registrant’s Quarterly Report on Form 10-Q for the period ended September 30, 2026 (the “Periodic Report”), to which this Certification is attached as Exhibit 32.1,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20, 2026 </w:t>
      </w:r>
    </w:p>
    <w:tbl>
      <w:tblPr>
        <w:tblW w:w="9537"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1504"/>
        <w:gridCol w:w="1504"/>
        <w:gridCol w:w="2137"/>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Henry A. Fernandez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C. Wiechmann</w:t>
            </w:r>
          </w:p>
        </w:tc>
      </w:tr>
      <w:tr>
        <w:trPr/>
        <w:tc>
          <w:tcPr>
            <w:tcW w:w="4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Henry A. Fernandez</w:t>
              <w:br/>
              <w:t>Chairman, Chief Executive Officer and President</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C. Wiechmann</w:t>
              <w:br/>
              <w:t xml:space="preserve">Chief Financial Officer </w:t>
              <w:br/>
              <w:t>(Principal Financial Officer and Principal Accounting Officer)</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408198/000119312512212354/d324997dex31.htm" TargetMode="External"/><Relationship Id="rId4" Type="http://schemas.openxmlformats.org/officeDocument/2006/relationships/hyperlink" Target="https://www.sec.gov/Archives/edgar/data/1408198/000140819824000030/ex_3x2xmscibylawsx2024upd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21194</Words>
  <Characters>119680</Characters>
  <CharactersWithSpaces>138435</CharactersWithSpaces>
  <Paragraphs>3942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