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325360" cy="6068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06869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Fernandez Henry A</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MSCI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88 PINE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MSCI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MSCI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12/14/2010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2"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22"/>
        <w:spacing w:after="0"/>
        <w:rPr>
          <w:sz w:val="20"/>
          <w:szCs w:val="20"/>
          <w:color w:val="auto"/>
        </w:rPr>
      </w:pPr>
      <w:r>
        <w:rPr>
          <w:rFonts w:ascii="Arial" w:cs="Arial" w:eastAsia="Arial" w:hAnsi="Arial"/>
          <w:sz w:val="17"/>
          <w:szCs w:val="17"/>
          <w:color w:val="0000FF"/>
        </w:rPr>
        <w:t>Chairman, CEO and President</w:t>
      </w:r>
    </w:p>
    <w:p>
      <w:pPr>
        <w:spacing w:after="0" w:line="486" w:lineRule="exact"/>
        <w:rPr>
          <w:sz w:val="24"/>
          <w:szCs w:val="24"/>
          <w:color w:val="auto"/>
        </w:rPr>
      </w:pPr>
    </w:p>
    <w:p>
      <w:pPr>
        <w:sectPr>
          <w:pgSz w:w="11900" w:h="16838" w:orient="portrait"/>
          <w:cols w:equalWidth="0" w:num="3">
            <w:col w:w="3340" w:space="720"/>
            <w:col w:w="3278" w:space="720"/>
            <w:col w:w="3462"/>
          </w:cols>
          <w:pgMar w:left="240" w:top="222"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940" w:type="dxa"/>
            <w:vAlign w:val="bottom"/>
            <w:shd w:val="clear" w:color="auto" w:fill="9A9A9A"/>
          </w:tcPr>
          <w:p>
            <w:pPr>
              <w:spacing w:after="0"/>
              <w:rPr>
                <w:sz w:val="2"/>
                <w:szCs w:val="2"/>
                <w:color w:val="auto"/>
              </w:rPr>
            </w:pPr>
          </w:p>
        </w:tc>
        <w:tc>
          <w:tcPr>
            <w:tcW w:w="1780" w:type="dxa"/>
            <w:vAlign w:val="bottom"/>
            <w:shd w:val="clear" w:color="auto" w:fill="9A9A9A"/>
          </w:tcPr>
          <w:p>
            <w:pPr>
              <w:spacing w:after="0"/>
              <w:rPr>
                <w:sz w:val="2"/>
                <w:szCs w:val="2"/>
                <w:color w:val="auto"/>
              </w:rPr>
            </w:pPr>
          </w:p>
        </w:tc>
        <w:tc>
          <w:tcPr>
            <w:tcW w:w="3820" w:type="dxa"/>
            <w:vAlign w:val="bottom"/>
            <w:gridSpan w:val="5"/>
            <w:vMerge w:val="restart"/>
          </w:tcPr>
          <w:p>
            <w:pPr>
              <w:jc w:val="center"/>
              <w:ind w:right="173"/>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4"/>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36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ind w:left="320"/>
              <w:spacing w:after="0" w:line="148" w:lineRule="exact"/>
              <w:rPr>
                <w:sz w:val="20"/>
                <w:szCs w:val="20"/>
                <w:color w:val="auto"/>
              </w:rPr>
            </w:pPr>
            <w:r>
              <w:rPr>
                <w:rFonts w:ascii="Arial" w:cs="Arial" w:eastAsia="Arial" w:hAnsi="Arial"/>
                <w:sz w:val="13"/>
                <w:szCs w:val="13"/>
                <w:color w:val="auto"/>
              </w:rPr>
              <w:t>Line)</w:t>
            </w: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40" w:type="dxa"/>
            <w:vAlign w:val="bottom"/>
          </w:tcPr>
          <w:p>
            <w:pPr>
              <w:ind w:left="180"/>
              <w:spacing w:after="0"/>
              <w:rPr>
                <w:sz w:val="20"/>
                <w:szCs w:val="20"/>
                <w:color w:val="auto"/>
              </w:rPr>
            </w:pPr>
            <w:r>
              <w:rPr>
                <w:rFonts w:ascii="Arial" w:cs="Arial" w:eastAsia="Arial" w:hAnsi="Arial"/>
                <w:sz w:val="17"/>
                <w:szCs w:val="17"/>
                <w:color w:val="0000FF"/>
              </w:rPr>
              <w:t>NY</w:t>
            </w:r>
          </w:p>
        </w:tc>
        <w:tc>
          <w:tcPr>
            <w:tcW w:w="1780" w:type="dxa"/>
            <w:vAlign w:val="bottom"/>
          </w:tcPr>
          <w:p>
            <w:pPr>
              <w:ind w:left="540"/>
              <w:spacing w:after="0"/>
              <w:rPr>
                <w:sz w:val="20"/>
                <w:szCs w:val="20"/>
                <w:color w:val="auto"/>
              </w:rPr>
            </w:pPr>
            <w:r>
              <w:rPr>
                <w:rFonts w:ascii="Arial" w:cs="Arial" w:eastAsia="Arial" w:hAnsi="Arial"/>
                <w:sz w:val="17"/>
                <w:szCs w:val="17"/>
                <w:color w:val="0000FF"/>
              </w:rPr>
              <w:t>10005</w:t>
            </w: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gridSpan w:val="4"/>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20" w:type="dxa"/>
            <w:vAlign w:val="bottom"/>
            <w:gridSpan w:val="3"/>
            <w:vMerge w:val="restart"/>
          </w:tcPr>
          <w:p>
            <w:pPr>
              <w:ind w:left="2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940" w:type="dxa"/>
            <w:vAlign w:val="bottom"/>
            <w:vMerge w:val="restart"/>
          </w:tcPr>
          <w:p>
            <w:pPr>
              <w:ind w:left="180"/>
              <w:spacing w:after="0"/>
              <w:rPr>
                <w:sz w:val="20"/>
                <w:szCs w:val="20"/>
                <w:color w:val="auto"/>
              </w:rPr>
            </w:pPr>
            <w:r>
              <w:rPr>
                <w:rFonts w:ascii="Arial" w:cs="Arial" w:eastAsia="Arial" w:hAnsi="Arial"/>
                <w:sz w:val="13"/>
                <w:szCs w:val="13"/>
                <w:color w:val="auto"/>
              </w:rPr>
              <w:t>(State)</w:t>
            </w:r>
          </w:p>
        </w:tc>
        <w:tc>
          <w:tcPr>
            <w:tcW w:w="236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36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5640" w:type="dxa"/>
            <w:vAlign w:val="bottom"/>
            <w:tcBorders>
              <w:bottom w:val="single" w:sz="8" w:color="2C2C2C"/>
            </w:tcBorders>
            <w:gridSpan w:val="7"/>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8"/>
          </w:tcPr>
          <w:p>
            <w:pPr>
              <w:jc w:val="center"/>
              <w:ind w:right="19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23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60" w:type="dxa"/>
            <w:vAlign w:val="bottom"/>
            <w:gridSpan w:val="2"/>
          </w:tcPr>
          <w:p>
            <w:pPr>
              <w:ind w:left="13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360" w:type="dxa"/>
            <w:vAlign w:val="bottom"/>
            <w:gridSpan w:val="2"/>
          </w:tcPr>
          <w:p>
            <w:pPr>
              <w:ind w:left="134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360" w:type="dxa"/>
            <w:vAlign w:val="bottom"/>
            <w:gridSpan w:val="2"/>
          </w:tcPr>
          <w:p>
            <w:pPr>
              <w:ind w:left="134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80" w:type="dxa"/>
            <w:vAlign w:val="bottom"/>
            <w:vMerge w:val="restart"/>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23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1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2360" w:type="dxa"/>
            <w:vAlign w:val="bottom"/>
            <w:tcBorders>
              <w:bottom w:val="single" w:sz="8" w:color="2C2C2C"/>
            </w:tcBorders>
            <w:gridSpan w:val="2"/>
          </w:tcPr>
          <w:p>
            <w:pPr>
              <w:ind w:left="1420"/>
              <w:spacing w:after="0"/>
              <w:rPr>
                <w:sz w:val="20"/>
                <w:szCs w:val="20"/>
                <w:color w:val="auto"/>
              </w:rPr>
            </w:pPr>
            <w:r>
              <w:rPr>
                <w:rFonts w:ascii="Arial" w:cs="Arial" w:eastAsia="Arial" w:hAnsi="Arial"/>
                <w:sz w:val="17"/>
                <w:szCs w:val="17"/>
                <w:color w:val="0000FF"/>
              </w:rPr>
              <w:t>12/14/2010</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right"/>
              <w:ind w:right="55"/>
              <w:spacing w:after="0"/>
              <w:rPr>
                <w:sz w:val="20"/>
                <w:szCs w:val="20"/>
                <w:color w:val="auto"/>
              </w:rPr>
            </w:pPr>
            <w:r>
              <w:rPr>
                <w:rFonts w:ascii="Arial" w:cs="Arial" w:eastAsia="Arial" w:hAnsi="Arial"/>
                <w:sz w:val="17"/>
                <w:szCs w:val="17"/>
                <w:color w:val="0000FF"/>
              </w:rPr>
              <w:t>78,846</w:t>
            </w:r>
            <w:r>
              <w:rPr>
                <w:rFonts w:ascii="Arial" w:cs="Arial" w:eastAsia="Arial" w:hAnsi="Arial"/>
                <w:sz w:val="21"/>
                <w:szCs w:val="21"/>
                <w:color w:val="008000"/>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924,094</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vMerge w:val="restart"/>
          </w:tcPr>
          <w:p>
            <w:pPr>
              <w:ind w:left="320"/>
              <w:spacing w:after="0"/>
              <w:rPr>
                <w:sz w:val="20"/>
                <w:szCs w:val="20"/>
                <w:color w:val="auto"/>
              </w:rPr>
            </w:pPr>
            <w:r>
              <w:rPr>
                <w:rFonts w:ascii="Arial" w:cs="Arial" w:eastAsia="Arial" w:hAnsi="Arial"/>
                <w:sz w:val="17"/>
                <w:szCs w:val="17"/>
                <w:color w:val="0000FF"/>
              </w:rPr>
              <w:t>500,000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80" w:type="dxa"/>
            <w:vAlign w:val="bottom"/>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1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restart"/>
          </w:tcPr>
          <w:p>
            <w:pPr>
              <w:ind w:left="100"/>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0640"/>
        <w:spacing w:after="0"/>
        <w:rPr>
          <w:sz w:val="20"/>
          <w:szCs w:val="20"/>
          <w:color w:val="auto"/>
        </w:rPr>
      </w:pPr>
      <w:r>
        <w:rPr>
          <w:rFonts w:ascii="Arial" w:cs="Arial" w:eastAsia="Arial" w:hAnsi="Arial"/>
          <w:sz w:val="17"/>
          <w:szCs w:val="17"/>
          <w:color w:val="0000FF"/>
        </w:rPr>
        <w:t>By</w:t>
      </w:r>
    </w:p>
    <w:p>
      <w:pPr>
        <w:spacing w:after="0" w:line="19" w:lineRule="exact"/>
        <w:rPr>
          <w:sz w:val="24"/>
          <w:szCs w:val="24"/>
          <w:color w:val="auto"/>
        </w:rPr>
      </w:pPr>
    </w:p>
    <w:p>
      <w:pPr>
        <w:ind w:left="10640"/>
        <w:spacing w:after="0"/>
        <w:rPr>
          <w:sz w:val="20"/>
          <w:szCs w:val="20"/>
          <w:color w:val="auto"/>
        </w:rPr>
      </w:pPr>
      <w:r>
        <w:rPr>
          <w:rFonts w:ascii="Arial" w:cs="Arial" w:eastAsia="Arial" w:hAnsi="Arial"/>
          <w:sz w:val="17"/>
          <w:szCs w:val="17"/>
          <w:color w:val="0000FF"/>
        </w:rPr>
        <w:t>Fernandez</w:t>
      </w:r>
    </w:p>
    <w:p>
      <w:pPr>
        <w:spacing w:after="0" w:line="12" w:lineRule="exact"/>
        <w:rPr>
          <w:sz w:val="24"/>
          <w:szCs w:val="24"/>
          <w:color w:val="auto"/>
        </w:rPr>
      </w:pPr>
    </w:p>
    <w:p>
      <w:pPr>
        <w:ind w:left="80"/>
        <w:spacing w:after="0"/>
        <w:tabs>
          <w:tab w:leader="none" w:pos="8760" w:val="left"/>
          <w:tab w:leader="none" w:pos="10040" w:val="left"/>
          <w:tab w:leader="none" w:pos="10620" w:val="left"/>
        </w:tabs>
        <w:rPr>
          <w:sz w:val="20"/>
          <w:szCs w:val="20"/>
          <w:color w:val="auto"/>
        </w:rPr>
      </w:pPr>
      <w:r>
        <w:rPr>
          <w:rFonts w:ascii="Arial" w:cs="Arial" w:eastAsia="Arial" w:hAnsi="Arial"/>
          <w:sz w:val="17"/>
          <w:szCs w:val="17"/>
          <w:color w:val="0000FF"/>
        </w:rPr>
        <w:t>Class A Common Stock</w:t>
      </w:r>
      <w:r>
        <w:rPr>
          <w:sz w:val="20"/>
          <w:szCs w:val="20"/>
          <w:color w:val="auto"/>
        </w:rPr>
        <w:tab/>
      </w:r>
      <w:r>
        <w:rPr>
          <w:rFonts w:ascii="Arial" w:cs="Arial" w:eastAsia="Arial" w:hAnsi="Arial"/>
          <w:sz w:val="17"/>
          <w:szCs w:val="17"/>
          <w:color w:val="0000FF"/>
        </w:rPr>
        <w:t>53,541</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5"/>
          <w:szCs w:val="15"/>
          <w:color w:val="0000FF"/>
        </w:rPr>
        <w:t>2007</w:t>
      </w:r>
    </w:p>
    <w:p>
      <w:pPr>
        <w:spacing w:after="0" w:line="12" w:lineRule="exact"/>
        <w:rPr>
          <w:sz w:val="24"/>
          <w:szCs w:val="24"/>
          <w:color w:val="auto"/>
        </w:rPr>
      </w:pPr>
    </w:p>
    <w:p>
      <w:pPr>
        <w:ind w:left="10640"/>
        <w:spacing w:after="0"/>
        <w:rPr>
          <w:sz w:val="20"/>
          <w:szCs w:val="20"/>
          <w:color w:val="auto"/>
        </w:rPr>
      </w:pPr>
      <w:r>
        <w:rPr>
          <w:rFonts w:ascii="Arial" w:cs="Arial" w:eastAsia="Arial" w:hAnsi="Arial"/>
          <w:sz w:val="17"/>
          <w:szCs w:val="17"/>
          <w:color w:val="0000FF"/>
        </w:rPr>
        <w:t>Children's</w:t>
      </w:r>
    </w:p>
    <w:p>
      <w:pPr>
        <w:spacing w:after="0" w:line="12" w:lineRule="exact"/>
        <w:rPr>
          <w:sz w:val="24"/>
          <w:szCs w:val="24"/>
          <w:color w:val="auto"/>
        </w:rPr>
      </w:pPr>
    </w:p>
    <w:p>
      <w:pPr>
        <w:ind w:left="10640"/>
        <w:spacing w:after="0"/>
        <w:rPr>
          <w:sz w:val="20"/>
          <w:szCs w:val="20"/>
          <w:color w:val="auto"/>
        </w:rPr>
      </w:pPr>
      <w:r>
        <w:rPr>
          <w:rFonts w:ascii="Arial" w:cs="Arial" w:eastAsia="Arial" w:hAnsi="Arial"/>
          <w:sz w:val="17"/>
          <w:szCs w:val="17"/>
          <w:color w:val="0000FF"/>
        </w:rPr>
        <w:t>Trust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gridSpan w:val="2"/>
          </w:tcPr>
          <w:p>
            <w:pPr>
              <w:ind w:left="420"/>
              <w:spacing w:after="0"/>
              <w:rPr>
                <w:sz w:val="20"/>
                <w:szCs w:val="20"/>
                <w:color w:val="auto"/>
              </w:rPr>
            </w:pPr>
            <w:r>
              <w:rPr>
                <w:rFonts w:ascii="Arial" w:cs="Arial" w:eastAsia="Arial" w:hAnsi="Arial"/>
                <w:sz w:val="17"/>
                <w:szCs w:val="17"/>
                <w:color w:val="0000FF"/>
              </w:rPr>
              <w:t>3,000</w:t>
            </w:r>
          </w:p>
        </w:tc>
        <w:tc>
          <w:tcPr>
            <w:tcW w:w="620" w:type="dxa"/>
            <w:vAlign w:val="bottom"/>
          </w:tcPr>
          <w:p>
            <w:pPr>
              <w:ind w:left="4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20" w:type="dxa"/>
            <w:vAlign w:val="bottom"/>
            <w:gridSpan w:val="2"/>
          </w:tcPr>
          <w:p>
            <w:pPr>
              <w:ind w:left="420"/>
              <w:spacing w:after="0"/>
              <w:rPr>
                <w:sz w:val="20"/>
                <w:szCs w:val="20"/>
                <w:color w:val="auto"/>
              </w:rPr>
            </w:pPr>
            <w:r>
              <w:rPr>
                <w:rFonts w:ascii="Arial" w:cs="Arial" w:eastAsia="Arial" w:hAnsi="Arial"/>
                <w:sz w:val="17"/>
                <w:szCs w:val="17"/>
                <w:color w:val="0000FF"/>
              </w:rPr>
              <w:t>3,000</w:t>
            </w:r>
          </w:p>
        </w:tc>
        <w:tc>
          <w:tcPr>
            <w:tcW w:w="620" w:type="dxa"/>
            <w:vAlign w:val="bottom"/>
          </w:tcPr>
          <w:p>
            <w:pPr>
              <w:ind w:left="4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6520" w:type="dxa"/>
            <w:vAlign w:val="bottom"/>
            <w:tcBorders>
              <w:bottom w:val="single" w:sz="8" w:color="2C2C2C"/>
            </w:tcBorders>
            <w:gridSpan w:val="9"/>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9"/>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8"/>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Disposed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9"/>
              </w:rPr>
              <w:t>208,175</w:t>
            </w:r>
            <w:r>
              <w:rPr>
                <w:rFonts w:ascii="Arial" w:cs="Arial" w:eastAsia="Arial" w:hAnsi="Arial"/>
                <w:sz w:val="21"/>
                <w:szCs w:val="21"/>
                <w:color w:val="008000"/>
                <w:w w:val="99"/>
                <w:vertAlign w:val="superscript"/>
              </w:rPr>
              <w:t>(3)</w:t>
            </w:r>
          </w:p>
        </w:tc>
        <w:tc>
          <w:tcPr>
            <w:tcW w:w="2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6"/>
                <w:szCs w:val="16"/>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1"/>
              </w:rPr>
              <w:t>208,175</w:t>
            </w:r>
            <w:r>
              <w:rPr>
                <w:rFonts w:ascii="Arial" w:cs="Arial" w:eastAsia="Arial" w:hAnsi="Arial"/>
                <w:sz w:val="21"/>
                <w:szCs w:val="21"/>
                <w:color w:val="008000"/>
                <w:w w:val="91"/>
                <w:vertAlign w:val="superscript"/>
              </w:rPr>
              <w:t>(3)</w:t>
            </w:r>
          </w:p>
        </w:tc>
        <w:tc>
          <w:tcPr>
            <w:tcW w:w="700" w:type="dxa"/>
            <w:vAlign w:val="bottom"/>
          </w:tcPr>
          <w:p>
            <w:pPr>
              <w:spacing w:after="0"/>
              <w:rPr>
                <w:sz w:val="16"/>
                <w:szCs w:val="16"/>
                <w:color w:val="auto"/>
              </w:rPr>
            </w:pPr>
          </w:p>
        </w:tc>
        <w:tc>
          <w:tcPr>
            <w:tcW w:w="920" w:type="dxa"/>
            <w:vAlign w:val="bottom"/>
            <w:vMerge w:val="restart"/>
          </w:tcPr>
          <w:p>
            <w:pPr>
              <w:ind w:left="200"/>
              <w:spacing w:after="0"/>
              <w:rPr>
                <w:sz w:val="20"/>
                <w:szCs w:val="20"/>
                <w:color w:val="auto"/>
              </w:rPr>
            </w:pPr>
            <w:r>
              <w:rPr>
                <w:rFonts w:ascii="Arial" w:cs="Arial" w:eastAsia="Arial" w:hAnsi="Arial"/>
                <w:sz w:val="13"/>
                <w:szCs w:val="13"/>
                <w:color w:val="0000FF"/>
              </w:rPr>
              <w:t>208,175</w:t>
            </w:r>
            <w:r>
              <w:rPr>
                <w:rFonts w:ascii="Arial" w:cs="Arial" w:eastAsia="Arial" w:hAnsi="Arial"/>
                <w:sz w:val="21"/>
                <w:szCs w:val="21"/>
                <w:color w:val="008000"/>
                <w:vertAlign w:val="superscript"/>
              </w:rPr>
              <w:t>(3)</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36.7</w:t>
            </w:r>
          </w:p>
        </w:tc>
        <w:tc>
          <w:tcPr>
            <w:tcW w:w="1100" w:type="dxa"/>
            <w:vAlign w:val="bottom"/>
          </w:tcPr>
          <w:p>
            <w:pPr>
              <w:jc w:val="right"/>
              <w:ind w:right="180"/>
              <w:spacing w:after="0"/>
              <w:rPr>
                <w:sz w:val="20"/>
                <w:szCs w:val="20"/>
                <w:color w:val="auto"/>
              </w:rPr>
            </w:pPr>
            <w:r>
              <w:rPr>
                <w:rFonts w:ascii="Arial" w:cs="Arial" w:eastAsia="Arial" w:hAnsi="Arial"/>
                <w:sz w:val="13"/>
                <w:szCs w:val="13"/>
                <w:color w:val="0000FF"/>
              </w:rPr>
              <w:t>12/14/2010</w:t>
            </w:r>
          </w:p>
        </w:tc>
        <w:tc>
          <w:tcPr>
            <w:tcW w:w="1080" w:type="dxa"/>
            <w:vAlign w:val="bottom"/>
          </w:tcPr>
          <w:p>
            <w:pPr>
              <w:spacing w:after="0"/>
              <w:rPr>
                <w:sz w:val="13"/>
                <w:szCs w:val="1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12/14/2020</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800" w:type="dxa"/>
            <w:vAlign w:val="bottom"/>
            <w:vMerge w:val="continue"/>
          </w:tcPr>
          <w:p>
            <w:pPr>
              <w:spacing w:after="0"/>
              <w:rPr>
                <w:sz w:val="13"/>
                <w:szCs w:val="13"/>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continue"/>
          </w:tcPr>
          <w:p>
            <w:pPr>
              <w:spacing w:after="0"/>
              <w:rPr>
                <w:sz w:val="13"/>
                <w:szCs w:val="13"/>
                <w:color w:val="auto"/>
              </w:rPr>
            </w:pPr>
          </w:p>
        </w:tc>
        <w:tc>
          <w:tcPr>
            <w:tcW w:w="620" w:type="dxa"/>
            <w:vAlign w:val="bottom"/>
          </w:tcPr>
          <w:p>
            <w:pPr>
              <w:ind w:left="34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140"/>
        <w:spacing w:after="0"/>
        <w:rPr>
          <w:sz w:val="20"/>
          <w:szCs w:val="20"/>
          <w:color w:val="auto"/>
        </w:rPr>
      </w:pPr>
      <w:r>
        <w:rPr>
          <w:rFonts w:ascii="Arial" w:cs="Arial" w:eastAsia="Arial" w:hAnsi="Arial"/>
          <w:sz w:val="13"/>
          <w:szCs w:val="13"/>
          <w:color w:val="0000FF"/>
        </w:rPr>
        <w:t>Stock</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60" w:firstLine="2"/>
        <w:spacing w:after="0" w:line="262"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(i) 62,121 restricted stock units (RSUs) vesting at a rate of 33 1/3% on the first, second and third anniversaries of the grant date and (ii) 16,725 performance stock units (PSUs) representing the minimum payout related to the grant of 33,450 PSUs subject to time-vesting and performance-vesting. The PSUs time-vest at a rate of 50% on each of December 31, 2012 and 2013 and performance-vest (within a range of 50% and 150%) based on the achievement of certain cumulative performance metrics for the 2011 and 2012 fiscal years. The two tranches of PSUs convert no earlier than January 1 and no later than March 15 of 2013 and 2014, respectively. Each RSU and PSU represents a contingent right to receive one share of MSCI class A common stock.</w:t>
      </w:r>
    </w:p>
    <w:p>
      <w:pPr>
        <w:spacing w:after="0" w:line="18"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Fernandez is trustee and sole annuitant.</w:t>
      </w:r>
    </w:p>
    <w:p>
      <w:pPr>
        <w:spacing w:after="0" w:line="44" w:lineRule="exact"/>
        <w:rPr>
          <w:rFonts w:ascii="Arial" w:cs="Arial" w:eastAsia="Arial" w:hAnsi="Arial"/>
          <w:sz w:val="13"/>
          <w:szCs w:val="13"/>
          <w:color w:val="008000"/>
        </w:rPr>
      </w:pPr>
    </w:p>
    <w:p>
      <w:pPr>
        <w:ind w:left="40" w:right="240" w:firstLine="2"/>
        <w:spacing w:after="0" w:line="239"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54,935 options, 52,631 options, 50,835 options, and 49,774 options subject to time-vesting and price-vesting. The option tranches time-vest on the second, third, fourth and fifth anniversaries of the grant date, respectively. Each option tranche will price-vest if the closing price of MSCI class A common stock satisfies stock price targets of $41.70, $46.70, $51.70 and $56.70, respectively, for 20 consecutive trading days following the applicable time-vesting date and prior to the expiration date.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Henry A. Fernandez</w:t>
            </w:r>
          </w:p>
        </w:tc>
        <w:tc>
          <w:tcPr>
            <w:tcW w:w="7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12/16/2010</w:t>
            </w:r>
          </w:p>
        </w:tc>
      </w:tr>
      <w:tr>
        <w:trPr>
          <w:trHeight w:val="22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00" w:firstLine="2"/>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750" TargetMode="External"/><Relationship Id="rId13" Type="http://schemas.openxmlformats.org/officeDocument/2006/relationships/hyperlink" Target="http://www.sec.gov/cgi-bin/browse-edgar?action=getcompany&amp;CIK=0001408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2019-12-16T11:53:37Z</dcterms:created>
  <dcterms:modified xsi:type="dcterms:W3CDTF">2019-12-16T11:53:37Z</dcterms:modified>
</cp:coreProperties>
</file>