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 xml:space="preserve">July 21, 2026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MSCI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val="false"/>
                <w:color w:val="000000"/>
                <w:sz w:val="20"/>
              </w:rPr>
            </w:pPr>
            <w:r>
              <w:rPr>
                <w:rFonts w:ascii="Times New Roman;serif" w:hAnsi="Times New Roman;serif"/>
                <w:b w:val="false"/>
                <w:color w:val="000000"/>
                <w:sz w:val="20"/>
              </w:rPr>
              <w:t>001-33812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13-4038723</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7618" w:type="dxa"/>
        <w:jc w:val="center"/>
        <w:tblInd w:w="0" w:type="dxa"/>
        <w:tblLayout w:type="fixed"/>
        <w:tblCellMar>
          <w:top w:w="28" w:type="dxa"/>
          <w:left w:w="28" w:type="dxa"/>
          <w:bottom w:w="28" w:type="dxa"/>
          <w:right w:w="28" w:type="dxa"/>
        </w:tblCellMar>
      </w:tblPr>
      <w:tblGrid>
        <w:gridCol w:w="743"/>
        <w:gridCol w:w="654"/>
        <w:gridCol w:w="657"/>
        <w:gridCol w:w="984"/>
        <w:gridCol w:w="984"/>
        <w:gridCol w:w="987"/>
        <w:gridCol w:w="329"/>
        <w:gridCol w:w="329"/>
        <w:gridCol w:w="331"/>
        <w:gridCol w:w="314"/>
        <w:gridCol w:w="314"/>
        <w:gridCol w:w="316"/>
        <w:gridCol w:w="198"/>
        <w:gridCol w:w="198"/>
        <w:gridCol w:w="280"/>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2609" w:type="dxa"/>
            <w:gridSpan w:val="9"/>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 World Trade Center,</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 Greenwich Street, 49th Floor,</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10007</w:t>
            </w:r>
          </w:p>
        </w:tc>
      </w:tr>
      <w:tr>
        <w:trPr/>
        <w:tc>
          <w:tcPr>
            <w:tcW w:w="7618"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(212) 804-3900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center"/>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21, 2026, MSCI Inc. (the “Registrant”) released financial information with respect to its second quarter ended June 30, 2026. A copy of the press release containing this information is furnished as Exhibit 99.1 to this Current Report on Form 8-K (the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press release contains certain non-GAAP financial measures. Definitions of each non-GAAP financial measure, additional information about why management believes such non-GAAP measures are meaningful and reconciliations of these non-GAAP financial measures to the comparable GAAP financial measures are also contained in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Item 2.02 of this Report,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1"/>
        <w:gridCol w:w="343"/>
        <w:gridCol w:w="344"/>
        <w:gridCol w:w="2666"/>
        <w:gridCol w:w="2666"/>
        <w:gridCol w:w="3795"/>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Times New Roman;serif" w:hAnsi="Times New Roman;serif"/>
                  <w:b w:val="false"/>
                  <w:color w:val="0000FF"/>
                  <w:sz w:val="20"/>
                  <w:u w:val="single"/>
                </w:rPr>
                <w:t>Exhibit 99.1</w:t>
              </w:r>
            </w:hyperlink>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release-.htm">
              <w:r>
                <w:rPr>
                  <w:rStyle w:val="InternetLink"/>
                  <w:rFonts w:ascii="Times New Roman;serif" w:hAnsi="Times New Roman;serif"/>
                  <w:b w:val="false"/>
                  <w:color w:val="0000FF"/>
                  <w:sz w:val="20"/>
                  <w:u w:val="single"/>
                </w:rPr>
                <w:t>Press Release of the Registrant, dated July 21, 2026, containing financial information for the second quarter ended June 30, 2026</w:t>
              </w:r>
            </w:hyperlink>
          </w:p>
        </w:tc>
      </w:tr>
      <w:tr>
        <w:trPr/>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in the cover page formatted in Inline XBRL).</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68" w:before="0" w:after="0"/>
        <w:ind w:left="0" w:right="0" w:firstLine="4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434" w:type="dxa"/>
        <w:jc w:val="center"/>
        <w:tblInd w:w="0" w:type="dxa"/>
        <w:tblLayout w:type="fixed"/>
        <w:tblCellMar>
          <w:top w:w="28" w:type="dxa"/>
          <w:left w:w="28" w:type="dxa"/>
          <w:bottom w:w="28" w:type="dxa"/>
          <w:right w:w="28" w:type="dxa"/>
        </w:tblCellMar>
      </w:tblPr>
      <w:tblGrid>
        <w:gridCol w:w="618"/>
        <w:gridCol w:w="544"/>
        <w:gridCol w:w="547"/>
        <w:gridCol w:w="233"/>
        <w:gridCol w:w="197"/>
        <w:gridCol w:w="200"/>
        <w:gridCol w:w="1199"/>
        <w:gridCol w:w="1199"/>
        <w:gridCol w:w="169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MSCI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21, 2026</w:t>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Henry A. Fernandez</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sans-serif" w:hAnsi="sans-serif"/>
          <w:b w:val="false"/>
          <w:color w:val="465058"/>
          <w:sz w:val="22"/>
        </w:rPr>
      </w:pPr>
      <w:r>
        <w:rPr>
          <w:rFonts w:ascii="sans-serif" w:hAnsi="sans-serif"/>
          <w:b w:val="false"/>
          <w:color w:val="465058"/>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Inter SemiBold;sans-serif" w:hAnsi="Inter SemiBold;sans-serif"/>
          <w:b/>
          <w:color w:val="0626A9"/>
          <w:sz w:val="40"/>
        </w:rPr>
      </w:pPr>
      <w:r>
        <w:rPr>
          <w:rFonts w:ascii="Inter SemiBold;sans-serif" w:hAnsi="Inter SemiBold;sans-serif"/>
          <w:b/>
          <w:color w:val="0626A9"/>
          <w:sz w:val="40"/>
        </w:rPr>
        <w:t xml:space="preserve">MSCI Reports Financial Results for </w:t>
      </w:r>
    </w:p>
    <w:p>
      <w:pPr>
        <w:pStyle w:val="TextBody"/>
        <w:bidi w:val="0"/>
        <w:spacing w:lineRule="auto" w:line="240" w:before="0" w:after="0"/>
        <w:jc w:val="center"/>
        <w:rPr>
          <w:rFonts w:ascii="Inter SemiBold;sans-serif" w:hAnsi="Inter SemiBold;sans-serif"/>
          <w:b/>
          <w:color w:val="0626A9"/>
          <w:sz w:val="40"/>
        </w:rPr>
      </w:pPr>
      <w:r>
        <w:rPr>
          <w:rFonts w:ascii="Inter SemiBold;sans-serif" w:hAnsi="Inter SemiBold;sans-serif"/>
          <w:b/>
          <w:color w:val="0626A9"/>
          <w:sz w:val="40"/>
        </w:rPr>
        <w:t>Second Quarter and Six Months 2026</w:t>
      </w:r>
    </w:p>
    <w:p>
      <w:pPr>
        <w:pStyle w:val="TextBody"/>
        <w:bidi w:val="0"/>
        <w:spacing w:before="0" w:after="0"/>
        <w:jc w:val="center"/>
        <w:rPr/>
      </w:pPr>
      <w:r>
        <w:rPr/>
      </w:r>
    </w:p>
    <w:p>
      <w:pPr>
        <w:pStyle w:val="TextBody"/>
        <w:bidi w:val="0"/>
        <w:spacing w:before="5" w:after="283"/>
        <w:jc w:val="center"/>
        <w:rPr/>
      </w:pPr>
      <w:r>
        <w:rPr/>
      </w:r>
    </w:p>
    <w:p>
      <w:pPr>
        <w:pStyle w:val="TextBody"/>
        <w:bidi w:val="0"/>
        <w:spacing w:lineRule="auto" w:line="240" w:before="0" w:after="0"/>
        <w:jc w:val="left"/>
        <w:rPr/>
      </w:pPr>
      <w:r>
        <w:rPr>
          <w:rFonts w:ascii="Inter;sans-serif" w:hAnsi="Inter;sans-serif"/>
          <w:b/>
          <w:color w:val="000000"/>
          <w:sz w:val="20"/>
        </w:rPr>
        <w:t>New York – July 21, 2026</w:t>
      </w:r>
      <w:r>
        <w:rPr>
          <w:color w:val="000000"/>
        </w:rPr>
        <w:t xml:space="preserve"> – </w:t>
      </w:r>
      <w:r>
        <w:rPr>
          <w:rFonts w:ascii="Inter;sans-serif" w:hAnsi="Inter;sans-serif"/>
          <w:b w:val="false"/>
          <w:color w:val="000000"/>
          <w:sz w:val="20"/>
        </w:rPr>
        <w:t>MSCI Inc. (“MSCI” or the “Company”) (NYSE: MSCI), a leading provider of critical decision support tools and services for the global investment community, today announced its financial results for the three months ended June 30, 2026 (“second quarter 2026”) and six months ended June 30, 2026 (“six months 2026”).</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0"/>
        </w:rPr>
      </w:pPr>
      <w:r>
        <w:rPr>
          <w:rFonts w:ascii="Inter;sans-serif" w:hAnsi="Inter;sans-serif"/>
          <w:b/>
          <w:color w:val="000000"/>
          <w:sz w:val="20"/>
        </w:rPr>
        <w:t>Financial and Operational Highlights for Second Quarter 2026</w:t>
      </w:r>
    </w:p>
    <w:p>
      <w:pPr>
        <w:pStyle w:val="TextBody"/>
        <w:bidi w:val="0"/>
        <w:spacing w:lineRule="auto" w:line="240" w:before="0" w:after="0"/>
        <w:jc w:val="left"/>
        <w:rPr>
          <w:rFonts w:ascii="Inter;sans-serif" w:hAnsi="Inter;sans-serif"/>
          <w:b w:val="false"/>
          <w:i/>
          <w:color w:val="000000"/>
          <w:sz w:val="16"/>
        </w:rPr>
      </w:pPr>
      <w:r>
        <w:rPr>
          <w:rFonts w:ascii="Inter;sans-serif" w:hAnsi="Inter;sans-serif"/>
          <w:b w:val="false"/>
          <w:i/>
          <w:color w:val="000000"/>
          <w:sz w:val="16"/>
        </w:rPr>
        <w:t>(Note: Unless otherwise noted, percentage and other changes are relative to the three months ended June 30, 2025 (“second quarter 2025”) and Run Rate percentage changes are relative to June 30,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Operating revenues of $867.0 million, up 12.2%; Organic operating revenue growth of 12.2%</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Recurring subscription revenues up 9.0%; Asset-based fees up 26.6%</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Operating margin of 56.2%; Adjusted EBITDA margin of 62.1%</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Diluted EPS of $4.69, up 19.6%; Adjusted EPS of $4.94, up 18.5%</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Organic recurring subscription Run Rate growth of 8.1%; Retention Rate of 95.3%</w:t>
      </w:r>
    </w:p>
    <w:p>
      <w:pPr>
        <w:pStyle w:val="TextBody"/>
        <w:bidi w:val="0"/>
        <w:spacing w:lineRule="auto" w:line="288" w:before="0" w:after="0"/>
        <w:ind w:left="0" w:right="0" w:hanging="360"/>
        <w:jc w:val="left"/>
        <w:rPr/>
      </w:pPr>
      <w:r>
        <w:rPr>
          <w:color w:val="000000"/>
        </w:rPr>
        <w:t>•</w:t>
      </w:r>
      <w:r>
        <w:rPr>
          <w:rFonts w:ascii="Inter;sans-serif" w:hAnsi="Inter;sans-serif"/>
          <w:b/>
          <w:color w:val="000000"/>
          <w:sz w:val="20"/>
        </w:rPr>
        <w:t>In second quarter 2026 and through July 20, 2026, a total of $147.2 million or 264,043 shares were repurchased at an average repurchase price of $557.66</w:t>
      </w:r>
    </w:p>
    <w:p>
      <w:pPr>
        <w:pStyle w:val="TextBody"/>
        <w:bidi w:val="0"/>
        <w:spacing w:lineRule="auto" w:line="288" w:before="0" w:after="1"/>
        <w:ind w:left="0" w:right="0" w:hanging="360"/>
        <w:jc w:val="left"/>
        <w:rPr/>
      </w:pPr>
      <w:r>
        <w:rPr>
          <w:color w:val="000000"/>
        </w:rPr>
        <w:t>•</w:t>
      </w:r>
      <w:r>
        <w:rPr>
          <w:rFonts w:ascii="Inter;sans-serif" w:hAnsi="Inter;sans-serif"/>
          <w:b/>
          <w:color w:val="000000"/>
          <w:sz w:val="20"/>
        </w:rPr>
        <w:t>Approximately $149.2 million in dividends were paid to shareholders in second quarter 2026; Cash dividend of $2.05 per share declared by MSCI Board of Directors for third quarter 2026</w:t>
      </w:r>
    </w:p>
    <w:p>
      <w:pPr>
        <w:pStyle w:val="TextBody"/>
        <w:bidi w:val="0"/>
        <w:spacing w:before="0" w:after="0"/>
        <w:jc w:val="left"/>
        <w:rPr/>
      </w:pPr>
      <w:r>
        <w:rPr/>
      </w:r>
    </w:p>
    <w:p>
      <w:pPr>
        <w:pStyle w:val="TextBody"/>
        <w:bidi w:val="0"/>
        <w:spacing w:before="0" w:after="1"/>
        <w:ind w:left="0" w:right="0" w:hanging="4"/>
        <w:jc w:val="left"/>
        <w:rPr/>
      </w:pPr>
      <w:r>
        <w:rPr/>
      </w:r>
    </w:p>
    <w:tbl>
      <w:tblPr>
        <w:tblW w:w="10205" w:type="dxa"/>
        <w:jc w:val="center"/>
        <w:tblInd w:w="0" w:type="dxa"/>
        <w:tblLayout w:type="fixed"/>
        <w:tblCellMar>
          <w:top w:w="28" w:type="dxa"/>
          <w:left w:w="28" w:type="dxa"/>
          <w:bottom w:w="28" w:type="dxa"/>
          <w:right w:w="28" w:type="dxa"/>
        </w:tblCellMar>
      </w:tblPr>
      <w:tblGrid>
        <w:gridCol w:w="512"/>
        <w:gridCol w:w="450"/>
        <w:gridCol w:w="452"/>
        <w:gridCol w:w="109"/>
        <w:gridCol w:w="109"/>
        <w:gridCol w:w="109"/>
        <w:gridCol w:w="211"/>
        <w:gridCol w:w="616"/>
        <w:gridCol w:w="256"/>
        <w:gridCol w:w="109"/>
        <w:gridCol w:w="109"/>
        <w:gridCol w:w="109"/>
        <w:gridCol w:w="211"/>
        <w:gridCol w:w="616"/>
        <w:gridCol w:w="256"/>
        <w:gridCol w:w="109"/>
        <w:gridCol w:w="109"/>
        <w:gridCol w:w="109"/>
        <w:gridCol w:w="255"/>
        <w:gridCol w:w="256"/>
        <w:gridCol w:w="553"/>
        <w:gridCol w:w="109"/>
        <w:gridCol w:w="109"/>
        <w:gridCol w:w="109"/>
        <w:gridCol w:w="211"/>
        <w:gridCol w:w="766"/>
        <w:gridCol w:w="256"/>
        <w:gridCol w:w="109"/>
        <w:gridCol w:w="109"/>
        <w:gridCol w:w="109"/>
        <w:gridCol w:w="211"/>
        <w:gridCol w:w="766"/>
        <w:gridCol w:w="256"/>
        <w:gridCol w:w="109"/>
        <w:gridCol w:w="109"/>
        <w:gridCol w:w="109"/>
        <w:gridCol w:w="255"/>
        <w:gridCol w:w="256"/>
        <w:gridCol w:w="622"/>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4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867.0 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772.7 </w:t>
            </w:r>
          </w:p>
        </w:tc>
        <w:tc>
          <w:tcPr>
            <w:tcW w:w="256" w:type="dxa"/>
            <w:tcBorders>
              <w:top w:val="single" w:sz="2"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5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1,717.8 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13.1 </w:t>
            </w:r>
          </w:p>
        </w:tc>
        <w:tc>
          <w:tcPr>
            <w:tcW w:w="6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944.4 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17.7 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56.2 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55.0 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55.0 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52.8 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34.1 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16.2 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62.1 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61.4 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60.7 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
        <w:ind w:left="0" w:right="0" w:hanging="4"/>
        <w:jc w:val="left"/>
        <w:rPr/>
      </w:pPr>
      <w:r>
        <w:rPr/>
      </w:r>
    </w:p>
    <w:p>
      <w:pPr>
        <w:pStyle w:val="TextBody"/>
        <w:bidi w:val="0"/>
        <w:spacing w:lineRule="auto" w:line="240" w:before="0" w:after="0"/>
        <w:jc w:val="left"/>
        <w:rPr>
          <w:color w:val="000000"/>
        </w:rPr>
      </w:pPr>
      <w:r>
        <w:rPr>
          <w:color w:val="000000"/>
        </w:rPr>
        <w:t>“</w:t>
      </w:r>
      <w:r>
        <w:rPr>
          <w:rFonts w:ascii="Inter;sans-serif" w:hAnsi="Inter;sans-serif"/>
          <w:b w:val="false"/>
          <w:color w:val="000000"/>
          <w:sz w:val="24"/>
        </w:rPr>
        <w:t>In the second quarter MSCI delivered strong financial results along with a record asset-based-fee run rate and accelerated run-rate growth in Index and Private Capital Solutions. We also achieved strength in recurring net-new sales across key client segments and geographies, including our best quarter ever with hedge funds and our best Q2 with asset owners,” said Henry A. Fernandez, Chairman and CEO of MSCI.</w:t>
      </w:r>
    </w:p>
    <w:p>
      <w:pPr>
        <w:pStyle w:val="TextBody"/>
        <w:bidi w:val="0"/>
        <w:spacing w:before="0" w:after="1"/>
        <w:ind w:left="0" w:right="0" w:hanging="4"/>
        <w:jc w:val="left"/>
        <w:rPr/>
      </w:pPr>
      <w:r>
        <w:rPr/>
      </w:r>
    </w:p>
    <w:p>
      <w:pPr>
        <w:pStyle w:val="TextBody"/>
        <w:bidi w:val="0"/>
        <w:spacing w:lineRule="auto" w:line="240" w:before="0" w:after="1"/>
        <w:ind w:left="0" w:right="0" w:hanging="4"/>
        <w:jc w:val="left"/>
        <w:rPr>
          <w:color w:val="000000"/>
        </w:rPr>
      </w:pPr>
      <w:r>
        <w:rPr>
          <w:color w:val="000000"/>
        </w:rPr>
        <w:t>“</w:t>
      </w:r>
      <w:r>
        <w:rPr>
          <w:rFonts w:ascii="Inter;sans-serif" w:hAnsi="Inter;sans-serif"/>
          <w:b w:val="false"/>
          <w:color w:val="000000"/>
          <w:sz w:val="24"/>
        </w:rPr>
        <w:t>We are building momentum heading into the back half of 2026, with a strong pipeline of opportunities and exciting AI-fueled innovation. MSCI has already launched twice as many products in 2026 as we did in all of 2024, and we are just starting to see the benefits. AI will allow us to move even faster in building new products, enhancing our existing products, and expanding our capabilities for the world’s largest financial institutions,” Fernandez added.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7820"/>
                <wp:effectExtent l="0" t="0" r="0" b="0"/>
                <wp:wrapNone/>
                <wp:docPr id="4" name="Frame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200"/>
        <w:jc w:val="both"/>
        <w:rPr/>
      </w:pPr>
      <w:r>
        <w:rPr>
          <w:rFonts w:ascii="Inter;sans-serif" w:hAnsi="Inter;sans-serif"/>
          <w:b/>
          <w:color w:val="000000"/>
          <w:sz w:val="22"/>
          <w:u w:val="single"/>
        </w:rPr>
        <w:t>Second Quarter Consolidated Results</w:t>
      </w:r>
      <w:r>
        <w:rPr>
          <w:color w:val="000000"/>
        </w:rPr>
        <w:t xml:space="preserve"> </w:t>
      </w:r>
    </w:p>
    <w:p>
      <w:pPr>
        <w:pStyle w:val="TextBody"/>
        <w:bidi w:val="0"/>
        <w:spacing w:lineRule="auto" w:line="240" w:before="0" w:after="200"/>
        <w:jc w:val="left"/>
        <w:rPr/>
      </w:pPr>
      <w:r>
        <w:rPr>
          <w:rFonts w:ascii="Inter;sans-serif" w:hAnsi="Inter;sans-serif"/>
          <w:b/>
          <w:i/>
          <w:color w:val="000000"/>
          <w:sz w:val="22"/>
          <w:u w:val="single"/>
        </w:rPr>
        <w:t>Operating Revenues</w:t>
      </w:r>
      <w:r>
        <w:rPr>
          <w:rFonts w:ascii="Inter;sans-serif" w:hAnsi="Inter;sans-serif"/>
          <w:b/>
          <w:i/>
          <w:color w:val="000000"/>
          <w:sz w:val="22"/>
        </w:rPr>
        <w:t xml:space="preserve">: </w:t>
      </w:r>
      <w:r>
        <w:rPr>
          <w:rFonts w:ascii="Inter;sans-serif" w:hAnsi="Inter;sans-serif"/>
          <w:b w:val="false"/>
          <w:color w:val="000000"/>
          <w:sz w:val="22"/>
        </w:rPr>
        <w:t>Operating revenues were $867.0 million, up 12.2%. Organic operating revenue growth was also 12.2%. The $94.3 million increase was the result of $50.6 million in higher recurring subscription revenues and $49.0 million in higher asset-based fees, partially offset by $5.3 million in lower non-recurring revenues.</w:t>
      </w:r>
    </w:p>
    <w:p>
      <w:pPr>
        <w:pStyle w:val="TextBody"/>
        <w:bidi w:val="0"/>
        <w:spacing w:lineRule="auto" w:line="240" w:before="0" w:after="0"/>
        <w:jc w:val="left"/>
        <w:rPr/>
      </w:pPr>
      <w:r>
        <w:rPr>
          <w:rFonts w:ascii="Inter;sans-serif" w:hAnsi="Inter;sans-serif"/>
          <w:b/>
          <w:i/>
          <w:color w:val="000000"/>
          <w:sz w:val="22"/>
          <w:u w:val="single"/>
        </w:rPr>
        <w:t>Run Rate and Retention Rate</w:t>
      </w:r>
      <w:r>
        <w:rPr>
          <w:rFonts w:ascii="Inter;sans-serif" w:hAnsi="Inter;sans-serif"/>
          <w:b/>
          <w:i/>
          <w:color w:val="000000"/>
          <w:sz w:val="22"/>
        </w:rPr>
        <w:t>:</w:t>
      </w:r>
      <w:r>
        <w:rPr>
          <w:color w:val="000000"/>
        </w:rPr>
        <w:t xml:space="preserve"> </w:t>
      </w:r>
      <w:r>
        <w:rPr>
          <w:rFonts w:ascii="Inter;sans-serif" w:hAnsi="Inter;sans-serif"/>
          <w:b w:val="false"/>
          <w:color w:val="000000"/>
          <w:sz w:val="22"/>
        </w:rPr>
        <w:t xml:space="preserve">Total Run Rate at June 30, 2026 was $3,479.7 million, up 12.0%. Asset-based fees Run Rate increased by $190.9 million, and recurring subscription Run Rate increased by $182.1 million. Run rate growth was supported by strong performance with asset managers, hedge funds and banking &amp; brokerages client segments, and record ETF AUM linked to MSCI indexes. Organic recurring subscription Run Rate growth was 8.1%. Retention Rate in second quarter 2026 was 95.3%, compared to 94.4% in second quarter 2025. </w:t>
      </w:r>
    </w:p>
    <w:p>
      <w:pPr>
        <w:pStyle w:val="TextBody"/>
        <w:bidi w:val="0"/>
        <w:spacing w:before="0" w:after="0"/>
        <w:jc w:val="left"/>
        <w:rPr/>
      </w:pPr>
      <w:r>
        <w:rPr/>
      </w:r>
    </w:p>
    <w:p>
      <w:pPr>
        <w:pStyle w:val="TextBody"/>
        <w:bidi w:val="0"/>
        <w:spacing w:lineRule="auto" w:line="268" w:before="0" w:after="0"/>
        <w:jc w:val="left"/>
        <w:rPr/>
      </w:pPr>
      <w:r>
        <w:rPr>
          <w:rFonts w:ascii="Inter;sans-serif" w:hAnsi="Inter;sans-serif"/>
          <w:b/>
          <w:i/>
          <w:color w:val="000000"/>
          <w:sz w:val="22"/>
          <w:u w:val="single"/>
        </w:rPr>
        <w:t>Expenses</w:t>
      </w:r>
      <w:r>
        <w:rPr>
          <w:rFonts w:ascii="Inter;sans-serif" w:hAnsi="Inter;sans-serif"/>
          <w:b/>
          <w:i/>
          <w:color w:val="000000"/>
          <w:sz w:val="22"/>
        </w:rPr>
        <w:t>:</w:t>
      </w:r>
      <w:r>
        <w:rPr>
          <w:color w:val="000000"/>
        </w:rPr>
        <w:t xml:space="preserve"> </w:t>
      </w:r>
      <w:r>
        <w:rPr>
          <w:rFonts w:ascii="Inter;sans-serif" w:hAnsi="Inter;sans-serif"/>
          <w:b w:val="false"/>
          <w:color w:val="000000"/>
          <w:sz w:val="22"/>
        </w:rPr>
        <w:t>Total operating expenses were $379.5 million, up 9.2%. Adjusted EBITDA expenses were $328.5 million, up 10.1%, primarily reflecting higher non-compensation costs as a result of higher information technology costs, market data, professional fees and occupancy costs as well as the impact of a contingent consideration reversal in prior year. Additionally, we saw higher compensation and benefits costs primarily driven by higher incentive compensation, salaries and stock-based compensation accruals. During the second quarter of 2026 we recognized $3.2 million of Adjusted EBITDA expenses and $1.7 million of intangible asset amortization expense related to the Compass, Vantager and PM Insights acquisitions.</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Total operating expenses excluding the impact of foreign currency exchange rate fluctuations (“ex-FX”) and adjusted EBITDA expenses ex-FX increased 8.9% and 9.7%, respectively.</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Operating Income</w:t>
      </w:r>
      <w:r>
        <w:rPr>
          <w:rFonts w:ascii="Inter;sans-serif" w:hAnsi="Inter;sans-serif"/>
          <w:b/>
          <w:i/>
          <w:color w:val="000000"/>
          <w:sz w:val="22"/>
        </w:rPr>
        <w:t>:</w:t>
      </w:r>
      <w:r>
        <w:rPr>
          <w:color w:val="000000"/>
        </w:rPr>
        <w:t xml:space="preserve"> </w:t>
      </w:r>
      <w:r>
        <w:rPr>
          <w:rFonts w:ascii="Inter;sans-serif" w:hAnsi="Inter;sans-serif"/>
          <w:b w:val="false"/>
          <w:color w:val="000000"/>
          <w:sz w:val="22"/>
        </w:rPr>
        <w:t>Operating income was $487.5 million, up 14.6%. Operating income margin in second quarter 2026 was 56.2%, compared to 55.0% in second quarter 2025.</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Headcount</w:t>
      </w:r>
      <w:r>
        <w:rPr>
          <w:rFonts w:ascii="Inter;sans-serif" w:hAnsi="Inter;sans-serif"/>
          <w:b/>
          <w:i/>
          <w:color w:val="000000"/>
          <w:sz w:val="22"/>
        </w:rPr>
        <w:t xml:space="preserve">: </w:t>
      </w:r>
      <w:r>
        <w:rPr>
          <w:rFonts w:ascii="Inter;sans-serif" w:hAnsi="Inter;sans-serif"/>
          <w:b w:val="false"/>
          <w:color w:val="000000"/>
          <w:sz w:val="22"/>
        </w:rPr>
        <w:t>As of June 30, 2026, we had 6,327 employees, reflecting a 1.9% increase, with 29%</w:t>
      </w:r>
      <w:r>
        <w:rPr>
          <w:color w:val="465058"/>
        </w:rPr>
        <w:t xml:space="preserve"> </w:t>
      </w:r>
      <w:r>
        <w:rPr>
          <w:rFonts w:ascii="Inter;sans-serif" w:hAnsi="Inter;sans-serif"/>
          <w:b w:val="false"/>
          <w:color w:val="000000"/>
          <w:sz w:val="22"/>
        </w:rPr>
        <w:t>and</w:t>
      </w:r>
      <w:r>
        <w:rPr>
          <w:color w:val="465058"/>
        </w:rPr>
        <w:t xml:space="preserve"> </w:t>
      </w:r>
      <w:r>
        <w:rPr>
          <w:rFonts w:ascii="Inter;sans-serif" w:hAnsi="Inter;sans-serif"/>
          <w:b w:val="false"/>
          <w:color w:val="000000"/>
          <w:sz w:val="22"/>
        </w:rPr>
        <w:t>71%</w:t>
      </w:r>
      <w:r>
        <w:rPr>
          <w:color w:val="465058"/>
        </w:rPr>
        <w:t xml:space="preserve"> </w:t>
      </w:r>
      <w:r>
        <w:rPr>
          <w:rFonts w:ascii="Inter;sans-serif" w:hAnsi="Inter;sans-serif"/>
          <w:b w:val="false"/>
          <w:color w:val="000000"/>
          <w:sz w:val="22"/>
        </w:rPr>
        <w:t>of employees located in developed market and emerging market locations, respectively.</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Other Expense (Income), Net</w:t>
      </w:r>
      <w:r>
        <w:rPr>
          <w:rFonts w:ascii="Inter;sans-serif" w:hAnsi="Inter;sans-serif"/>
          <w:b/>
          <w:i/>
          <w:color w:val="000000"/>
          <w:sz w:val="22"/>
        </w:rPr>
        <w:t xml:space="preserve">: </w:t>
      </w:r>
      <w:r>
        <w:rPr>
          <w:rFonts w:ascii="Inter;sans-serif" w:hAnsi="Inter;sans-serif"/>
          <w:b w:val="false"/>
          <w:color w:val="000000"/>
          <w:sz w:val="22"/>
        </w:rPr>
        <w:t>Other expense (income), net was $70.2 million, up 47.8%</w:t>
      </w:r>
      <w:r>
        <w:rPr>
          <w:rFonts w:ascii="Inter;sans-serif" w:hAnsi="Inter;sans-serif"/>
          <w:b w:val="false"/>
          <w:color w:val="465058"/>
          <w:sz w:val="20"/>
        </w:rPr>
        <w:t xml:space="preserve">, </w:t>
      </w:r>
      <w:r>
        <w:rPr>
          <w:rFonts w:ascii="Inter;sans-serif" w:hAnsi="Inter;sans-serif"/>
          <w:b w:val="false"/>
          <w:color w:val="000000"/>
          <w:sz w:val="22"/>
        </w:rPr>
        <w:t>primarily driven by higher interest expense as a result of higher debt levels.</w:t>
      </w:r>
    </w:p>
    <w:p>
      <w:pPr>
        <w:pStyle w:val="TextBody"/>
        <w:bidi w:val="0"/>
        <w:spacing w:before="0" w:after="0"/>
        <w:jc w:val="left"/>
        <w:rPr/>
      </w:pPr>
      <w:r>
        <w:rPr/>
      </w:r>
    </w:p>
    <w:p>
      <w:pPr>
        <w:pStyle w:val="TextBody"/>
        <w:bidi w:val="0"/>
        <w:spacing w:lineRule="auto" w:line="268" w:before="0" w:after="0"/>
        <w:jc w:val="left"/>
        <w:rPr/>
      </w:pPr>
      <w:r>
        <w:rPr>
          <w:rFonts w:ascii="Inter;sans-serif" w:hAnsi="Inter;sans-serif"/>
          <w:b/>
          <w:i/>
          <w:color w:val="000000"/>
          <w:sz w:val="22"/>
          <w:u w:val="single"/>
        </w:rPr>
        <w:t>Income Taxes:</w:t>
      </w:r>
      <w:r>
        <w:rPr>
          <w:color w:val="000000"/>
        </w:rPr>
        <w:t xml:space="preserve"> </w:t>
      </w:r>
      <w:r>
        <w:rPr>
          <w:rFonts w:ascii="Inter;sans-serif" w:hAnsi="Inter;sans-serif"/>
          <w:b w:val="false"/>
          <w:color w:val="000000"/>
          <w:sz w:val="22"/>
        </w:rPr>
        <w:t>The effective tax rate decreased to 18.0% in second quarter 2026 compared to 19.6% in second quarter 2025, primarily driven by the impact of US tax law changes and the jurisdictional mix of earnings.</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Net Income</w:t>
      </w:r>
      <w:r>
        <w:rPr>
          <w:rFonts w:ascii="Inter;sans-serif" w:hAnsi="Inter;sans-serif"/>
          <w:b/>
          <w:i/>
          <w:color w:val="000000"/>
          <w:sz w:val="22"/>
        </w:rPr>
        <w:t>:</w:t>
      </w:r>
      <w:r>
        <w:rPr>
          <w:color w:val="000000"/>
        </w:rPr>
        <w:t xml:space="preserve"> </w:t>
      </w:r>
      <w:r>
        <w:rPr>
          <w:rFonts w:ascii="Inter;sans-serif" w:hAnsi="Inter;sans-serif"/>
          <w:b w:val="false"/>
          <w:color w:val="000000"/>
          <w:sz w:val="22"/>
        </w:rPr>
        <w:t>As a result of the factors described above, net income was $342.0 million, up 12.6%.</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Adjusted EBITDA</w:t>
      </w:r>
      <w:r>
        <w:rPr>
          <w:rFonts w:ascii="Inter;sans-serif" w:hAnsi="Inter;sans-serif"/>
          <w:b/>
          <w:i/>
          <w:color w:val="000000"/>
          <w:sz w:val="22"/>
        </w:rPr>
        <w:t>:</w:t>
      </w:r>
      <w:r>
        <w:rPr>
          <w:color w:val="000000"/>
        </w:rPr>
        <w:t xml:space="preserve"> </w:t>
      </w:r>
      <w:r>
        <w:rPr>
          <w:rFonts w:ascii="Inter;sans-serif" w:hAnsi="Inter;sans-serif"/>
          <w:b w:val="false"/>
          <w:color w:val="000000"/>
          <w:sz w:val="22"/>
        </w:rPr>
        <w:t>Adjusted EBITDA was $538.5 million, up 13.5%. Adjusted EBITDA margin in second quarter 2026 was 62.1%, compared to 61.4% in second quarter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7820"/>
                <wp:effectExtent l="0" t="0" r="0" b="0"/>
                <wp:wrapNone/>
                <wp:docPr id="5" name="Frame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Index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1A: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467"/>
        <w:gridCol w:w="467"/>
        <w:gridCol w:w="109"/>
        <w:gridCol w:w="109"/>
        <w:gridCol w:w="109"/>
        <w:gridCol w:w="211"/>
        <w:gridCol w:w="616"/>
        <w:gridCol w:w="256"/>
        <w:gridCol w:w="109"/>
        <w:gridCol w:w="109"/>
        <w:gridCol w:w="109"/>
        <w:gridCol w:w="211"/>
        <w:gridCol w:w="616"/>
        <w:gridCol w:w="256"/>
        <w:gridCol w:w="109"/>
        <w:gridCol w:w="109"/>
        <w:gridCol w:w="109"/>
        <w:gridCol w:w="255"/>
        <w:gridCol w:w="256"/>
        <w:gridCol w:w="553"/>
        <w:gridCol w:w="109"/>
        <w:gridCol w:w="109"/>
        <w:gridCol w:w="109"/>
        <w:gridCol w:w="211"/>
        <w:gridCol w:w="616"/>
        <w:gridCol w:w="256"/>
        <w:gridCol w:w="109"/>
        <w:gridCol w:w="109"/>
        <w:gridCol w:w="109"/>
        <w:gridCol w:w="211"/>
        <w:gridCol w:w="616"/>
        <w:gridCol w:w="256"/>
        <w:gridCol w:w="109"/>
        <w:gridCol w:w="109"/>
        <w:gridCol w:w="109"/>
        <w:gridCol w:w="255"/>
        <w:gridCol w:w="256"/>
        <w:gridCol w:w="622"/>
      </w:tblGrid>
      <w:tr>
        <w:trPr/>
        <w:tc>
          <w:tcPr>
            <w:tcW w:w="78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7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24.5 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511.0 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434.9 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1,007.3 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856.6 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17.6 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8.1 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397.8 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641.8 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20.4 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Index operating revenues were $511.0 million, up 17.5%. The $76.1 million increase was primarily driven by $49.0 million in higher asset-based fees and $27.3 million in higher recurring subscription revenues. Organic operating revenue growth for Index was 17.5%.</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val="false"/>
          <w:color w:val="000000"/>
          <w:sz w:val="22"/>
        </w:rPr>
        <w:t xml:space="preserve">Index Run Rate as of June 30, 2026, was $2.0 billion, up 17.4%. The $301.0 million increase was comprised of a $190.9 million increase in asset-based fees Run Rate and a $110.1 million increase in recurring subscription Run Rate. </w:t>
      </w:r>
      <w:r>
        <w:rPr>
          <w:rFonts w:ascii="Inter;sans-serif" w:hAnsi="Inter;sans-serif"/>
          <w:b w:val="false"/>
          <w:color w:val="000000"/>
          <w:sz w:val="22"/>
          <w:shd w:fill="FFFFFF" w:val="clear"/>
        </w:rPr>
        <w:t xml:space="preserve">The </w:t>
      </w:r>
      <w:r>
        <w:rPr>
          <w:rFonts w:ascii="Inter;sans-serif" w:hAnsi="Inter;sans-serif"/>
          <w:b w:val="false"/>
          <w:color w:val="000000"/>
          <w:sz w:val="22"/>
        </w:rPr>
        <w:t xml:space="preserve">increase </w:t>
      </w:r>
      <w:r>
        <w:rPr>
          <w:rFonts w:ascii="Inter;sans-serif" w:hAnsi="Inter;sans-serif"/>
          <w:b w:val="false"/>
          <w:color w:val="000000"/>
          <w:sz w:val="22"/>
          <w:shd w:fill="FFFFFF" w:val="clear"/>
        </w:rPr>
        <w:t xml:space="preserve">in asset-based fees Run Rate was </w:t>
      </w:r>
      <w:r>
        <w:rPr>
          <w:rFonts w:ascii="Inter;sans-serif" w:hAnsi="Inter;sans-serif"/>
          <w:b w:val="false"/>
          <w:color w:val="000000"/>
          <w:sz w:val="22"/>
        </w:rPr>
        <w:t>primarily driven by higher AUM in both ETFs linked to MSCI equity indexes and non-ETF indexed funds linked to MSCI indexes.</w:t>
      </w:r>
      <w:r>
        <w:rPr>
          <w:color w:val="000000"/>
          <w:shd w:fill="FFFFFF" w:val="clear"/>
        </w:rPr>
        <w:t xml:space="preserve"> </w:t>
      </w:r>
      <w:r>
        <w:rPr>
          <w:rFonts w:ascii="Inter;sans-serif" w:hAnsi="Inter;sans-serif"/>
          <w:b w:val="false"/>
          <w:color w:val="000000"/>
          <w:sz w:val="22"/>
        </w:rPr>
        <w:t>The increase in recurring subscription Run Rate was primarily driven by growth from market cap-weighted and custom Index products. The increase reflected growth across all client segments, primarily driven by growth from asset managers, banking &amp; brokerages and hedge funds. The increase reflected growth across all regions. Organic recurring subscription Run Rate growth for Index was 11.1%.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Inter;sans-serif" w:hAnsi="Inter;sans-serif"/>
          <w:b/>
          <w:i/>
          <w:color w:val="000000"/>
          <w:sz w:val="22"/>
          <w:u w:val="single"/>
        </w:rPr>
        <w:t>Analytics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1B: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6"/>
        <w:gridCol w:w="451"/>
        <w:gridCol w:w="451"/>
        <w:gridCol w:w="109"/>
        <w:gridCol w:w="109"/>
        <w:gridCol w:w="109"/>
        <w:gridCol w:w="211"/>
        <w:gridCol w:w="616"/>
        <w:gridCol w:w="256"/>
        <w:gridCol w:w="109"/>
        <w:gridCol w:w="109"/>
        <w:gridCol w:w="109"/>
        <w:gridCol w:w="211"/>
        <w:gridCol w:w="616"/>
        <w:gridCol w:w="256"/>
        <w:gridCol w:w="109"/>
        <w:gridCol w:w="109"/>
        <w:gridCol w:w="109"/>
        <w:gridCol w:w="273"/>
        <w:gridCol w:w="273"/>
        <w:gridCol w:w="553"/>
        <w:gridCol w:w="109"/>
        <w:gridCol w:w="109"/>
        <w:gridCol w:w="109"/>
        <w:gridCol w:w="211"/>
        <w:gridCol w:w="616"/>
        <w:gridCol w:w="256"/>
        <w:gridCol w:w="109"/>
        <w:gridCol w:w="109"/>
        <w:gridCol w:w="109"/>
        <w:gridCol w:w="211"/>
        <w:gridCol w:w="616"/>
        <w:gridCol w:w="256"/>
        <w:gridCol w:w="109"/>
        <w:gridCol w:w="109"/>
        <w:gridCol w:w="109"/>
        <w:gridCol w:w="255"/>
        <w:gridCol w:w="256"/>
        <w:gridCol w:w="623"/>
      </w:tblGrid>
      <w:tr>
        <w:trPr/>
        <w:tc>
          <w:tcPr>
            <w:tcW w:w="7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6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177.7 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8.4 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19.2 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168.6 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1.3 </w:t>
            </w:r>
          </w:p>
        </w:tc>
        <w:tc>
          <w:tcPr>
            <w:tcW w:w="62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46.5 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52.1 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45.0 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48.2 </w:t>
            </w:r>
          </w:p>
        </w:tc>
        <w:tc>
          <w:tcPr>
            <w:tcW w:w="256" w:type="dxa"/>
            <w:tcBorders>
              <w:top w:val="double" w:sz="6"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Analytics operating revenues were $189.4 million, up 6.6%. Organic operating revenue growth for Analytics was 7.0%.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Analytics Run Rate as of June 30, 2026, was $773.3 million, up 5.8%. The increase of $42.7 million was primarily driven by growth in both Equity Analytics and Multi-Asset Class products, and reflected growth across all regions. The increase primarily reflected growth in the hedge funds, asset managers, and asset owners client segments. Organic recurring subscription Run Rate growth for Analytics was 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7820"/>
                <wp:effectExtent l="0" t="0" r="0" b="0"/>
                <wp:wrapNone/>
                <wp:docPr id="6" name="Frame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Sustainability and Climate Segment</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1C: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4"/>
        <w:gridCol w:w="520"/>
        <w:gridCol w:w="520"/>
        <w:gridCol w:w="109"/>
        <w:gridCol w:w="109"/>
        <w:gridCol w:w="109"/>
        <w:gridCol w:w="211"/>
        <w:gridCol w:w="511"/>
        <w:gridCol w:w="256"/>
        <w:gridCol w:w="109"/>
        <w:gridCol w:w="109"/>
        <w:gridCol w:w="109"/>
        <w:gridCol w:w="211"/>
        <w:gridCol w:w="511"/>
        <w:gridCol w:w="256"/>
        <w:gridCol w:w="109"/>
        <w:gridCol w:w="109"/>
        <w:gridCol w:w="109"/>
        <w:gridCol w:w="278"/>
        <w:gridCol w:w="278"/>
        <w:gridCol w:w="553"/>
        <w:gridCol w:w="109"/>
        <w:gridCol w:w="109"/>
        <w:gridCol w:w="109"/>
        <w:gridCol w:w="211"/>
        <w:gridCol w:w="616"/>
        <w:gridCol w:w="256"/>
        <w:gridCol w:w="109"/>
        <w:gridCol w:w="109"/>
        <w:gridCol w:w="109"/>
        <w:gridCol w:w="211"/>
        <w:gridCol w:w="616"/>
        <w:gridCol w:w="256"/>
        <w:gridCol w:w="109"/>
        <w:gridCol w:w="109"/>
        <w:gridCol w:w="109"/>
        <w:gridCol w:w="278"/>
        <w:gridCol w:w="278"/>
        <w:gridCol w:w="622"/>
      </w:tblGrid>
      <w:tr>
        <w:trPr/>
        <w:tc>
          <w:tcPr>
            <w:tcW w:w="79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83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(36.8)</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183.8 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173.5 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68.6 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23.6 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37.3 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Sustainability and Climate operating revenues were $91.9 million, up 3.4%. Organic operating revenue growth for Sustainability and Climate was 3.0%.</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Sustainability and Climate Run Rate as of June 30, 2026, was $376.8 million, up 1.9%. The $7.0 million increase primarily reflects growth in Climate products with contributions primarily from EMEA. Organic recurring subscription Run Rate growth for Sustainability and Climate was 3.2%.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Inter;sans-serif" w:hAnsi="Inter;sans-serif"/>
          <w:b/>
          <w:i/>
          <w:color w:val="000000"/>
          <w:sz w:val="22"/>
          <w:u w:val="single"/>
        </w:rPr>
        <w:t>All Other – Private Assets</w:t>
      </w:r>
      <w:r>
        <w:rPr>
          <w:rFonts w:ascii="Inter;sans-serif" w:hAnsi="Inter;sans-serif"/>
          <w:b/>
          <w:i/>
          <w:color w:val="000000"/>
          <w:sz w:val="22"/>
        </w:rPr>
        <w:t>:</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1D: Results (unaudited)</w:t>
      </w:r>
    </w:p>
    <w:tbl>
      <w:tblPr>
        <w:tblW w:w="10205" w:type="dxa"/>
        <w:jc w:val="left"/>
        <w:tblInd w:w="0" w:type="dxa"/>
        <w:tblLayout w:type="fixed"/>
        <w:tblCellMar>
          <w:top w:w="28" w:type="dxa"/>
          <w:left w:w="28" w:type="dxa"/>
          <w:bottom w:w="28" w:type="dxa"/>
          <w:right w:w="28" w:type="dxa"/>
        </w:tblCellMar>
      </w:tblPr>
      <w:tblGrid>
        <w:gridCol w:w="799"/>
        <w:gridCol w:w="539"/>
        <w:gridCol w:w="539"/>
        <w:gridCol w:w="109"/>
        <w:gridCol w:w="109"/>
        <w:gridCol w:w="109"/>
        <w:gridCol w:w="211"/>
        <w:gridCol w:w="511"/>
        <w:gridCol w:w="256"/>
        <w:gridCol w:w="109"/>
        <w:gridCol w:w="109"/>
        <w:gridCol w:w="109"/>
        <w:gridCol w:w="211"/>
        <w:gridCol w:w="511"/>
        <w:gridCol w:w="256"/>
        <w:gridCol w:w="109"/>
        <w:gridCol w:w="109"/>
        <w:gridCol w:w="109"/>
        <w:gridCol w:w="279"/>
        <w:gridCol w:w="279"/>
        <w:gridCol w:w="553"/>
        <w:gridCol w:w="109"/>
        <w:gridCol w:w="109"/>
        <w:gridCol w:w="109"/>
        <w:gridCol w:w="211"/>
        <w:gridCol w:w="616"/>
        <w:gridCol w:w="256"/>
        <w:gridCol w:w="109"/>
        <w:gridCol w:w="109"/>
        <w:gridCol w:w="109"/>
        <w:gridCol w:w="211"/>
        <w:gridCol w:w="616"/>
        <w:gridCol w:w="256"/>
        <w:gridCol w:w="109"/>
        <w:gridCol w:w="109"/>
        <w:gridCol w:w="109"/>
        <w:gridCol w:w="255"/>
        <w:gridCol w:w="256"/>
        <w:gridCol w:w="622"/>
      </w:tblGrid>
      <w:tr>
        <w:trPr/>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 Change</w:t>
            </w:r>
          </w:p>
        </w:tc>
      </w:tr>
      <w:tr>
        <w:trPr/>
        <w:tc>
          <w:tcPr>
            <w:tcW w:w="187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147.3 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11.6 </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5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(14.1)</w:t>
            </w:r>
          </w:p>
        </w:tc>
        <w:tc>
          <w:tcPr>
            <w:tcW w:w="5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(9.7)</w:t>
            </w:r>
          </w:p>
        </w:tc>
        <w:tc>
          <w:tcPr>
            <w:tcW w:w="6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All Other – Private Assets operating revenues, which reflect the Real Assets and Private Capital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Solutions operating segments, were $74.7 million, up 4.9%. Organic operating revenue growth for All Other – Private Assets was 4.4%.</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All Other – Private Assets Run Rate was $302.6 million as of June 30, 2026, up 8.0%. The $22.3 million increase was primarily driven by Private Capital Solutions related to Total Plan Manager, Private Capital Transparency Data and Private Capital Intel products. The increase reflected growth across all regions and was primarily driven by the asset owner client segment. Organic recurring subscription Run Rate growth for All Other – Private Assets was 8.3%.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7820"/>
                <wp:effectExtent l="0" t="0" r="0" b="0"/>
                <wp:wrapNone/>
                <wp:docPr id="7" name="Frame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Inter;sans-serif" w:hAnsi="Inter;sans-serif"/>
          <w:b/>
          <w:color w:val="000000"/>
          <w:sz w:val="22"/>
          <w:u w:val="single"/>
        </w:rPr>
      </w:pPr>
      <w:r>
        <w:rPr>
          <w:rFonts w:ascii="Inter;sans-serif" w:hAnsi="Inter;sans-serif"/>
          <w:b/>
          <w:color w:val="000000"/>
          <w:sz w:val="22"/>
          <w:u w:val="single"/>
        </w:rPr>
        <w:t>Select Balance Sheet Items and Capital Allocation</w:t>
      </w:r>
    </w:p>
    <w:p>
      <w:pPr>
        <w:pStyle w:val="TextBody"/>
        <w:bidi w:val="0"/>
        <w:spacing w:before="0" w:after="0"/>
        <w:jc w:val="both"/>
        <w:rPr/>
      </w:pPr>
      <w:r>
        <w:rPr/>
      </w:r>
    </w:p>
    <w:p>
      <w:pPr>
        <w:pStyle w:val="TextBody"/>
        <w:bidi w:val="0"/>
        <w:spacing w:lineRule="auto" w:line="240" w:before="0" w:after="0"/>
        <w:jc w:val="left"/>
        <w:rPr/>
      </w:pPr>
      <w:r>
        <w:rPr>
          <w:rFonts w:ascii="Inter;sans-serif" w:hAnsi="Inter;sans-serif"/>
          <w:b/>
          <w:i/>
          <w:color w:val="000000"/>
          <w:sz w:val="22"/>
          <w:u w:val="single"/>
        </w:rPr>
        <w:t>Cash Balances and Outstanding Debt</w:t>
      </w:r>
      <w:r>
        <w:rPr>
          <w:rFonts w:ascii="Inter;sans-serif" w:hAnsi="Inter;sans-serif"/>
          <w:b/>
          <w:i/>
          <w:color w:val="000000"/>
          <w:sz w:val="22"/>
        </w:rPr>
        <w:t>:</w:t>
      </w:r>
      <w:r>
        <w:rPr>
          <w:color w:val="000000"/>
        </w:rPr>
        <w:t xml:space="preserve"> </w:t>
      </w:r>
      <w:r>
        <w:rPr>
          <w:rFonts w:ascii="Inter;sans-serif" w:hAnsi="Inter;sans-serif"/>
          <w:b w:val="false"/>
          <w:color w:val="000000"/>
          <w:sz w:val="22"/>
        </w:rPr>
        <w:t xml:space="preserve">Cash and cash equivalents was $356.4 million as of June 30, 2026. MSCI typically seeks to maintain minimum cash balances globally of approximately $225.0 million to $275.0 million for general operating purposes.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Total principal amounts of debt outstanding as of June 30, 2026, were $6.4 billion. The total debt to net income ratio (based on trailing twelve months net income) was 4.7x. The total debt to adjusted EBITDA ratio (based on trailing twelve months adjusted EBITDA) was 3.1x.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MSCI seeks to maintain total debt to adjusted EBITDA in a target range of 3.0x to 3.5x.</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Capex and Cash Flow</w:t>
      </w:r>
      <w:r>
        <w:rPr>
          <w:rFonts w:ascii="Inter;sans-serif" w:hAnsi="Inter;sans-serif"/>
          <w:b/>
          <w:i/>
          <w:color w:val="000000"/>
          <w:sz w:val="22"/>
        </w:rPr>
        <w:t>:</w:t>
      </w:r>
      <w:r>
        <w:rPr>
          <w:color w:val="000000"/>
        </w:rPr>
        <w:t xml:space="preserve"> </w:t>
      </w:r>
      <w:r>
        <w:rPr>
          <w:rFonts w:ascii="Inter;sans-serif" w:hAnsi="Inter;sans-serif"/>
          <w:b w:val="false"/>
          <w:color w:val="000000"/>
          <w:sz w:val="22"/>
        </w:rPr>
        <w:t>Capex was $44.4 million, and net cash provided by operating activities increased by 10.3% to $370.8 million, primarily reflecting higher cash collections from customers, partially offset by higher income taxes and cash expenses paid in the quarter. Free cash flow (non-GAAP) for second quarter 2026 was up 8.2% to $326.4 million.</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Share Count and Share Repurchases</w:t>
      </w:r>
      <w:r>
        <w:rPr>
          <w:rFonts w:ascii="Inter;sans-serif" w:hAnsi="Inter;sans-serif"/>
          <w:b/>
          <w:i/>
          <w:color w:val="000000"/>
          <w:sz w:val="22"/>
        </w:rPr>
        <w:t>:</w:t>
      </w:r>
      <w:r>
        <w:rPr>
          <w:color w:val="000000"/>
        </w:rPr>
        <w:t xml:space="preserve"> </w:t>
      </w:r>
      <w:r>
        <w:rPr>
          <w:rFonts w:ascii="Inter;sans-serif" w:hAnsi="Inter;sans-serif"/>
          <w:b w:val="false"/>
          <w:color w:val="000000"/>
          <w:sz w:val="22"/>
        </w:rPr>
        <w:t>Weighted average diluted shares outstanding were 72.9 million in second quarter 2026, down 5.9% year-over-year. Total share repurchases during the quarter were $145.0 million or 0.3 million shares at an average repurchase price of $557.34. Total shares outstanding as of June 30, 2026 were 72.7 million. As of July 20, 2026, a total of approximately $1.6 billion remains available on the outstanding share repurchase authorization.</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Dividends</w:t>
      </w:r>
      <w:r>
        <w:rPr>
          <w:rFonts w:ascii="Inter;sans-serif" w:hAnsi="Inter;sans-serif"/>
          <w:b/>
          <w:i/>
          <w:color w:val="000000"/>
          <w:sz w:val="22"/>
        </w:rPr>
        <w:t xml:space="preserve">: </w:t>
      </w:r>
      <w:r>
        <w:rPr>
          <w:rFonts w:ascii="Inter;sans-serif" w:hAnsi="Inter;sans-serif"/>
          <w:b w:val="false"/>
          <w:color w:val="000000"/>
          <w:sz w:val="22"/>
        </w:rPr>
        <w:t>Approximately $149.2 million in dividends were paid to shareholders in second quarter 2026. On July 20, 2026, the MSCI Board of Directors declared a cash dividend of $2.05 per share for third quarter 2026, payable on August 28, 2026 to shareholders of record as of the close of trading on August 14, 2026.</w: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i/>
          <w:color w:val="000000"/>
          <w:sz w:val="22"/>
          <w:u w:val="single"/>
        </w:rPr>
        <w:t>First Street Acquisition</w:t>
      </w:r>
      <w:r>
        <w:rPr>
          <w:rFonts w:ascii="Inter;sans-serif" w:hAnsi="Inter;sans-serif"/>
          <w:b/>
          <w:i/>
          <w:color w:val="000000"/>
          <w:sz w:val="22"/>
        </w:rPr>
        <w:t xml:space="preserve">: </w:t>
      </w:r>
      <w:r>
        <w:rPr>
          <w:rFonts w:ascii="Inter;sans-serif" w:hAnsi="Inter;sans-serif"/>
          <w:b w:val="false"/>
          <w:color w:val="000000"/>
          <w:sz w:val="22"/>
        </w:rPr>
        <w:t>On June 24, 2026, MSCI entered into a definitive agreement to acquire First Street Technology, Inc. (“First Street”), a provider of physics-based physical climate risk data and analytics. Consideration consists of a cash payment of $120.0 million at closing, subject to customary closing adjustments, together with the potential for additional cash payments during the two years following closing contingent upon the achievement of specified revenue thresholds. The transaction is expected to close in the third quarter of 2026, subject to regulatory approvals and other customary closing conditions. Upon closing, First Street’s financial results will be reported within the Sustainability and Climate operating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7820"/>
                <wp:effectExtent l="0" t="0" r="0" b="0"/>
                <wp:wrapNone/>
                <wp:docPr id="8" name="Frame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Inter;sans-serif" w:hAnsi="Inter;sans-serif"/>
          <w:b/>
          <w:color w:val="000000"/>
          <w:sz w:val="22"/>
          <w:u w:val="single"/>
        </w:rPr>
      </w:pPr>
      <w:r>
        <w:rPr>
          <w:rFonts w:ascii="Inter;sans-serif" w:hAnsi="Inter;sans-serif"/>
          <w:b/>
          <w:color w:val="000000"/>
          <w:sz w:val="22"/>
          <w:u w:val="single"/>
        </w:rPr>
        <w:t xml:space="preserve">Full-Year 2026 Guidance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MSCI is updating its guidance for the year ending December 31, 2026 (“Full-Year 2026”). The updated guidance is based on assumptions about a number of factors, in particular related to macroeconomic factors and the capital markets. </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The higher operating expense and adjusted EBITDA expense guidance reflects the impact of recent acquisitions, including First Street, as well as the strong topline momentum driven by AUM in products linked to MSCI indexes exceeding the flat market assumption embedded in the prior-quarter guidance. This stronger business performance is increasing incentive compensation accruals and enabling the Company to make additional investments to support future growth.</w: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These assumptions are subject to uncertainty, and actual results for the year could differ materially from current guidance, including as a result of the uncertainties, risks and assumptions discussed in the “Risk Factors” and “Management’s Discussion and Analysis of Financial Condition and Results of Operations” sections of our Annual Report on Form 10-K, as updated in quarterly reports on Form 10-Q and current reports on Form 8-K filed or furnished with the SEC. See “Forward-Looking Statements”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5"/>
        <w:gridCol w:w="1180"/>
        <w:gridCol w:w="1187"/>
        <w:gridCol w:w="1089"/>
        <w:gridCol w:w="1089"/>
        <w:gridCol w:w="1091"/>
        <w:gridCol w:w="890"/>
        <w:gridCol w:w="890"/>
        <w:gridCol w:w="1264"/>
      </w:tblGrid>
      <w:tr>
        <w:trPr/>
        <w:tc>
          <w:tcPr>
            <w:tcW w:w="152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color w:val="000000"/>
                <w:sz w:val="20"/>
              </w:rPr>
            </w:pPr>
            <w:r>
              <w:rPr>
                <w:rFonts w:ascii="Inter;sans-serif" w:hAnsi="Inter;sans-serif"/>
                <w:b/>
                <w:color w:val="000000"/>
                <w:sz w:val="20"/>
              </w:rPr>
              <w:t>Guidance Item</w:t>
            </w:r>
          </w:p>
        </w:tc>
        <w:tc>
          <w:tcPr>
            <w:tcW w:w="3269"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center"/>
              <w:rPr/>
            </w:pPr>
            <w:r>
              <w:rPr>
                <w:rFonts w:ascii="Inter;sans-serif" w:hAnsi="Inter;sans-serif"/>
                <w:b/>
                <w:color w:val="000000"/>
                <w:sz w:val="20"/>
              </w:rPr>
              <w:t>Current Guidance for Full-Year 2026</w:t>
            </w:r>
            <w:r>
              <w:rPr>
                <w:rFonts w:ascii="Inter;sans-serif" w:hAnsi="Inter;sans-serif"/>
                <w:b w:val="false"/>
                <w:color w:val="000000"/>
                <w:sz w:val="13"/>
              </w:rPr>
              <w:t>3</w:t>
            </w:r>
          </w:p>
        </w:tc>
        <w:tc>
          <w:tcPr>
            <w:tcW w:w="3044" w:type="dxa"/>
            <w:gridSpan w:val="3"/>
            <w:tcBorders>
              <w:top w:val="single" w:sz="2" w:space="0" w:color="494949"/>
              <w:left w:val="single" w:sz="2" w:space="0" w:color="494949"/>
              <w:right w:val="single" w:sz="2" w:space="0" w:color="494949"/>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color w:val="000000"/>
                <w:sz w:val="20"/>
              </w:rPr>
            </w:pPr>
            <w:r>
              <w:rPr>
                <w:rFonts w:ascii="Inter;sans-serif" w:hAnsi="Inter;sans-serif"/>
                <w:b/>
                <w:color w:val="000000"/>
                <w:sz w:val="20"/>
              </w:rPr>
              <w:t>Prior Guidance for Full-Year 2026</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Operating Expense</w:t>
            </w:r>
          </w:p>
        </w:tc>
        <w:tc>
          <w:tcPr>
            <w:tcW w:w="3269" w:type="dxa"/>
            <w:gridSpan w:val="3"/>
            <w:tcBorders>
              <w:top w:val="single" w:sz="2" w:space="0" w:color="494949"/>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$1,535 to $1,575 million</w:t>
            </w:r>
          </w:p>
        </w:tc>
        <w:tc>
          <w:tcPr>
            <w:tcW w:w="3044" w:type="dxa"/>
            <w:gridSpan w:val="3"/>
            <w:tcBorders>
              <w:top w:val="single" w:sz="2" w:space="0" w:color="494949"/>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$1,490 to $1,530 million</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Adjusted EBITDA Expense</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$1,340 to $1,370 million</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$1,305 to $1,335 million</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Interest Expense</w:t>
            </w:r>
          </w:p>
          <w:p>
            <w:pPr>
              <w:pStyle w:val="TableContents"/>
              <w:bidi w:val="0"/>
              <w:spacing w:lineRule="auto" w:line="319" w:before="0" w:after="2"/>
              <w:jc w:val="left"/>
              <w:rPr/>
            </w:pPr>
            <w:r>
              <w:rPr>
                <w:rFonts w:ascii="Inter;sans-serif" w:hAnsi="Inter;sans-serif"/>
                <w:b/>
                <w:color w:val="000000"/>
                <w:sz w:val="20"/>
              </w:rPr>
              <w:t>(including amortization of financing fees)</w:t>
            </w:r>
            <w:r>
              <w:rPr>
                <w:rFonts w:ascii="Inter;sans-serif" w:hAnsi="Inter;sans-serif"/>
                <w:b/>
                <w:color w:val="000000"/>
                <w:sz w:val="13"/>
              </w:rPr>
              <w:t>1</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$282 to $286 million</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$274 to $280 million</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Depreciation &amp; Amortization Expense</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$195 to $205 million</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$190 to $200 million</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pPr>
            <w:r>
              <w:rPr>
                <w:rFonts w:ascii="Inter;sans-serif" w:hAnsi="Inter;sans-serif"/>
                <w:b/>
                <w:color w:val="000000"/>
                <w:sz w:val="20"/>
              </w:rPr>
              <w:t>Effective Tax Rate</w:t>
            </w:r>
            <w:r>
              <w:rPr>
                <w:rFonts w:ascii="Inter;sans-serif" w:hAnsi="Inter;sans-serif"/>
                <w:b/>
                <w:color w:val="000000"/>
                <w:sz w:val="13"/>
              </w:rPr>
              <w:t>2</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18.0% to 20.0%</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18.0% to 20.0%</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Capital Expenditures</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$160 to $170 million</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$160 to $170 million</w:t>
            </w:r>
          </w:p>
        </w:tc>
      </w:tr>
      <w:tr>
        <w:trPr/>
        <w:tc>
          <w:tcPr>
            <w:tcW w:w="3892" w:type="dxa"/>
            <w:gridSpan w:val="3"/>
            <w:tcBorders>
              <w:top w:val="single" w:sz="2" w:space="0" w:color="494949"/>
              <w:left w:val="single" w:sz="2" w:space="0" w:color="494949"/>
            </w:tcBorders>
            <w:shd w:fill="FFFFFF" w:val="clear"/>
            <w:tcMar>
              <w:top w:w="30" w:type="dxa"/>
              <w:bottom w:w="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Net Cash Provided by Operating Activities</w:t>
            </w:r>
          </w:p>
        </w:tc>
        <w:tc>
          <w:tcPr>
            <w:tcW w:w="3269" w:type="dxa"/>
            <w:gridSpan w:val="3"/>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$1,655 to $1,705 million</w:t>
            </w:r>
          </w:p>
        </w:tc>
        <w:tc>
          <w:tcPr>
            <w:tcW w:w="3044" w:type="dxa"/>
            <w:gridSpan w:val="3"/>
            <w:tcBorders>
              <w:top w:val="single" w:sz="2" w:space="0" w:color="000000"/>
              <w:left w:val="single" w:sz="2" w:space="0" w:color="000000"/>
              <w:right w:val="single" w:sz="2" w:space="0" w:color="000000"/>
            </w:tcBorders>
            <w:shd w:fill="FFFFFF" w:val="clear"/>
            <w:tcMar>
              <w:top w:w="30" w:type="dxa"/>
              <w:bottom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$1,640 to $1,690 million</w:t>
            </w:r>
          </w:p>
        </w:tc>
      </w:tr>
      <w:tr>
        <w:trPr/>
        <w:tc>
          <w:tcPr>
            <w:tcW w:w="3892" w:type="dxa"/>
            <w:gridSpan w:val="3"/>
            <w:tcBorders>
              <w:top w:val="single" w:sz="2" w:space="0" w:color="494949"/>
              <w:left w:val="single" w:sz="2" w:space="0" w:color="494949"/>
              <w:bottom w:val="single" w:sz="2" w:space="0" w:color="494949"/>
            </w:tcBorders>
            <w:shd w:fill="FFFFFF" w:val="clear"/>
            <w:tcMar>
              <w:top w:w="30" w:type="dxa"/>
              <w:bottom w:w="30" w:type="dxa"/>
              <w:right w:w="0" w:type="dxa"/>
            </w:tcMar>
            <w:vAlign w:val="center"/>
          </w:tcPr>
          <w:p>
            <w:pPr>
              <w:pStyle w:val="TableContents"/>
              <w:bidi w:val="0"/>
              <w:spacing w:lineRule="auto" w:line="319" w:before="0" w:after="2"/>
              <w:jc w:val="left"/>
              <w:rPr>
                <w:rFonts w:ascii="Inter;sans-serif" w:hAnsi="Inter;sans-serif"/>
                <w:b/>
                <w:color w:val="000000"/>
                <w:sz w:val="20"/>
              </w:rPr>
            </w:pPr>
            <w:r>
              <w:rPr>
                <w:rFonts w:ascii="Inter;sans-serif" w:hAnsi="Inter;sans-serif"/>
                <w:b/>
                <w:color w:val="000000"/>
                <w:sz w:val="20"/>
              </w:rPr>
              <w:t>Free Cash Flow</w:t>
            </w:r>
          </w:p>
        </w:tc>
        <w:tc>
          <w:tcPr>
            <w:tcW w:w="3269" w:type="dxa"/>
            <w:gridSpan w:val="3"/>
            <w:tcBorders>
              <w:top w:val="single" w:sz="2" w:space="0" w:color="000000"/>
              <w:left w:val="single" w:sz="2" w:space="0" w:color="000000"/>
              <w:bottom w:val="single" w:sz="2" w:space="0" w:color="000000"/>
            </w:tcBorders>
            <w:shd w:fill="FFFFFF" w:val="clear"/>
            <w:tcMar>
              <w:top w:w="30" w:type="dxa"/>
              <w:bottom w:w="30" w:type="dxa"/>
              <w:right w:w="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$1,485 to $1,545 million</w:t>
            </w:r>
          </w:p>
        </w:tc>
        <w:tc>
          <w:tcPr>
            <w:tcW w:w="3044" w:type="dxa"/>
            <w:gridSpan w:val="3"/>
            <w:tcBorders>
              <w:top w:val="single" w:sz="2"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319" w:before="0" w:after="2"/>
              <w:jc w:val="center"/>
              <w:rPr>
                <w:rFonts w:ascii="Inter;sans-serif" w:hAnsi="Inter;sans-serif"/>
                <w:b w:val="false"/>
                <w:color w:val="000000"/>
                <w:sz w:val="20"/>
              </w:rPr>
            </w:pPr>
            <w:r>
              <w:rPr>
                <w:rFonts w:ascii="Inter;sans-serif" w:hAnsi="Inter;sans-serif"/>
                <w:b w:val="false"/>
                <w:color w:val="000000"/>
                <w:sz w:val="20"/>
              </w:rPr>
              <w:t>$1,470 to $1,530 million</w:t>
            </w:r>
          </w:p>
        </w:tc>
      </w:tr>
    </w:tbl>
    <w:p>
      <w:pPr>
        <w:pStyle w:val="TextBody"/>
        <w:bidi w:val="0"/>
        <w:spacing w:lineRule="auto" w:line="240" w:before="120" w:after="60"/>
        <w:jc w:val="left"/>
        <w:rPr/>
      </w:pPr>
      <w:r>
        <w:rPr>
          <w:rFonts w:ascii="Inter;sans-serif" w:hAnsi="Inter;sans-serif"/>
          <w:b w:val="false"/>
          <w:color w:val="000000"/>
          <w:sz w:val="14"/>
        </w:rPr>
        <w:t>1</w:t>
      </w:r>
      <w:r>
        <w:rPr>
          <w:color w:val="000000"/>
        </w:rPr>
        <w:t xml:space="preserve"> </w:t>
      </w:r>
      <w:r>
        <w:rPr>
          <w:rFonts w:ascii="Inter;sans-serif" w:hAnsi="Inter;sans-serif"/>
          <w:b w:val="false"/>
          <w:color w:val="000000"/>
          <w:sz w:val="22"/>
        </w:rPr>
        <w:t>A portion of our annual interest expense is from our variable rate indebtedness under our revolving credit facility, while the majority is from fixed rate senior unsecured notes. Changes to the secured overnight funding rate (“SOFR”) and indebtedness levels can cause our annual interest expense to vary.</w:t>
      </w:r>
    </w:p>
    <w:p>
      <w:pPr>
        <w:pStyle w:val="TextBody"/>
        <w:bidi w:val="0"/>
        <w:spacing w:lineRule="auto" w:line="240" w:before="0" w:after="60"/>
        <w:jc w:val="left"/>
        <w:rPr/>
      </w:pPr>
      <w:r>
        <w:rPr>
          <w:rFonts w:ascii="Inter;sans-serif" w:hAnsi="Inter;sans-serif"/>
          <w:b w:val="false"/>
          <w:color w:val="000000"/>
          <w:sz w:val="14"/>
        </w:rPr>
        <w:t>2</w:t>
      </w:r>
      <w:r>
        <w:rPr>
          <w:color w:val="000000"/>
        </w:rPr>
        <w:t xml:space="preserve"> </w:t>
      </w:r>
      <w:r>
        <w:rPr>
          <w:rFonts w:ascii="Inter;sans-serif" w:hAnsi="Inter;sans-serif"/>
          <w:b w:val="false"/>
          <w:color w:val="000000"/>
          <w:sz w:val="22"/>
        </w:rPr>
        <w:t>Excludes the impact of a multi-phase internal legal entity restructuring that commenced in fourth quarter 2025 and was completed in the first quarter 2026. In connection with the completion of the subsequent phase of the restructuring in first quarter 2026, we recognized a tax benefit of $88 million, which is excluded from applicable non-GAAP measures when presented.</w:t>
      </w:r>
    </w:p>
    <w:p>
      <w:pPr>
        <w:pStyle w:val="TextBody"/>
        <w:bidi w:val="0"/>
        <w:spacing w:lineRule="auto" w:line="240" w:before="0" w:after="0"/>
        <w:jc w:val="left"/>
        <w:rPr/>
      </w:pPr>
      <w:r>
        <w:rPr>
          <w:rFonts w:ascii="Inter;sans-serif" w:hAnsi="Inter;sans-serif"/>
          <w:b w:val="false"/>
          <w:color w:val="000000"/>
          <w:sz w:val="14"/>
        </w:rPr>
        <w:t>3</w:t>
      </w:r>
      <w:r>
        <w:rPr>
          <w:color w:val="000000"/>
        </w:rPr>
        <w:t xml:space="preserve"> </w:t>
      </w:r>
      <w:r>
        <w:rPr>
          <w:rFonts w:ascii="Inter;sans-serif" w:hAnsi="Inter;sans-serif"/>
          <w:b w:val="false"/>
          <w:color w:val="000000"/>
          <w:sz w:val="22"/>
        </w:rPr>
        <w:t>The updated guidance for full-year 2026 assumes the First Street acquisition closes in the third quarter of 2026. The transaction remains subject to regulatory approvals and other customary closing conditions. Actual results could differ materially if the transaction does not close, does not close within the anticipated timeframe, or closes on terms or with an impact different from the Company’s current assumptions. See "Forward-Looking Statements.”</w:t>
      </w:r>
    </w:p>
    <w:p>
      <w:pPr>
        <w:pStyle w:val="TextBody"/>
        <w:bidi w:val="0"/>
        <w:spacing w:lineRule="auto" w:line="240" w:before="240" w:after="283"/>
        <w:jc w:val="left"/>
        <w:rPr>
          <w:rFonts w:ascii="Inter;sans-serif" w:hAnsi="Inter;sans-serif"/>
          <w:b/>
          <w:color w:val="000000"/>
          <w:sz w:val="22"/>
        </w:rPr>
      </w:pPr>
      <w:r>
        <w:rPr>
          <w:rFonts w:ascii="Inter;sans-serif" w:hAnsi="Inter;sans-serif"/>
          <w:b/>
          <w:color w:val="000000"/>
          <w:sz w:val="22"/>
        </w:rPr>
        <w:t>Conference Call Information</w:t>
      </w:r>
    </w:p>
    <w:p>
      <w:pPr>
        <w:pStyle w:val="TextBody"/>
        <w:bidi w:val="0"/>
        <w:spacing w:lineRule="auto" w:line="240"/>
        <w:jc w:val="left"/>
        <w:rPr/>
      </w:pPr>
      <w:r>
        <w:rPr>
          <w:rFonts w:ascii="Inter;sans-serif" w:hAnsi="Inter;sans-serif"/>
          <w:b w:val="false"/>
          <w:color w:val="000000"/>
          <w:sz w:val="22"/>
        </w:rPr>
        <w:t xml:space="preserve">MSCI’s senior management will review the second quarter 2026 results on Tuesday, July 21, 2026 at 11:00 AM Eastern Time. To listen to the live event via webcast, visit the events and presentations section of MSCI’s Investor Relations website, https://ir.msci.com/events-and-presentations. Participants who wish to join via telephone should click </w:t>
      </w:r>
      <w:r>
        <w:rPr>
          <w:rFonts w:ascii="Inter;sans-serif" w:hAnsi="Inter;sans-serif"/>
          <w:b w:val="false"/>
          <w:color w:val="465058"/>
          <w:sz w:val="22"/>
        </w:rPr>
        <w:t>here</w:t>
      </w:r>
      <w:r>
        <w:rPr>
          <w:color w:val="000000"/>
        </w:rPr>
        <w:t xml:space="preserve"> </w:t>
      </w:r>
      <w:r>
        <w:rPr>
          <w:rFonts w:ascii="Inter;sans-serif" w:hAnsi="Inter;sans-serif"/>
          <w:b w:val="false"/>
          <w:color w:val="000000"/>
          <w:sz w:val="22"/>
        </w:rPr>
        <w:t xml:space="preserve">to register in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7820"/>
                <wp:effectExtent l="0" t="0" r="0" b="0"/>
                <wp:wrapNone/>
                <wp:docPr id="9" name="Frame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 xml:space="preserve">advance. Registered participants will receive an email confirmation with a unique PIN to access the conference call. The earnings call webcast will include an accompanying slide presentation that can be accessed through MSCI’s Investor Relations website. </w:t>
      </w:r>
    </w:p>
    <w:p>
      <w:pPr>
        <w:pStyle w:val="TextBody"/>
        <w:bidi w:val="0"/>
        <w:spacing w:before="0" w:after="0"/>
        <w:jc w:val="left"/>
        <w:rPr/>
      </w:pPr>
      <w:r>
        <w:rPr/>
      </w:r>
    </w:p>
    <w:p>
      <w:pPr>
        <w:pStyle w:val="TextBody"/>
        <w:bidi w:val="0"/>
        <w:spacing w:lineRule="auto" w:line="240"/>
        <w:jc w:val="center"/>
        <w:rPr>
          <w:rFonts w:ascii="Inter;sans-serif" w:hAnsi="Inter;sans-serif"/>
          <w:b w:val="false"/>
          <w:color w:val="000000"/>
          <w:sz w:val="22"/>
        </w:rPr>
      </w:pPr>
      <w:r>
        <w:rPr>
          <w:rFonts w:ascii="Inter;sans-serif" w:hAnsi="Inter;sans-serif"/>
          <w:b w:val="false"/>
          <w:color w:val="000000"/>
          <w:sz w:val="22"/>
        </w:rPr>
        <w:t>-Ends-</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7820"/>
                <wp:effectExtent l="0" t="0" r="0" b="0"/>
                <wp:wrapNone/>
                <wp:docPr id="10" name="Frame1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 w:after="1"/>
        <w:jc w:val="left"/>
        <w:rPr>
          <w:rFonts w:ascii="Inter;sans-serif" w:hAnsi="Inter;sans-serif"/>
          <w:b/>
          <w:color w:val="0626A9"/>
          <w:sz w:val="24"/>
        </w:rPr>
      </w:pPr>
      <w:r>
        <w:rPr>
          <w:rFonts w:ascii="Inter;sans-serif" w:hAnsi="Inter;sans-serif"/>
          <w:b/>
          <w:color w:val="0626A9"/>
          <w:sz w:val="24"/>
        </w:rPr>
        <w:t>About MSCI Inc.</w:t>
      </w:r>
    </w:p>
    <w:p>
      <w:pPr>
        <w:pStyle w:val="TextBody"/>
        <w:bidi w:val="0"/>
        <w:spacing w:before="0" w:after="0"/>
        <w:jc w:val="left"/>
        <w:rPr/>
      </w:pPr>
      <w:r>
        <w:rPr/>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MSCI Inc. (NYSE: MSCI) strengthens global markets by connecting participants across the</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financial ecosystem with a common language. Our research-based data, analytics and indexes,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supported by advanced technology, set standards for global investors and help our clients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understand risks and opportunities so they can make better decisions and unlock innovation. We</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serve asset managers and owners, private-market sponsors and investors, hedge funds, wealth</w:t>
      </w:r>
    </w:p>
    <w:p>
      <w:pPr>
        <w:pStyle w:val="TextBody"/>
        <w:bidi w:val="0"/>
        <w:spacing w:lineRule="auto" w:line="240" w:before="0" w:after="1"/>
        <w:jc w:val="left"/>
        <w:rPr/>
      </w:pPr>
      <w:r>
        <w:rPr>
          <w:rFonts w:ascii="Inter;sans-serif" w:hAnsi="Inter;sans-serif"/>
          <w:b w:val="false"/>
          <w:color w:val="000000"/>
          <w:sz w:val="22"/>
        </w:rPr>
        <w:t xml:space="preserve">managers, banks, insurers and corporates. To learn more, please visit </w:t>
      </w:r>
      <w:r>
        <w:rPr>
          <w:rFonts w:ascii="Inter;sans-serif" w:hAnsi="Inter;sans-serif"/>
          <w:b w:val="false"/>
          <w:color w:val="37617A"/>
          <w:sz w:val="22"/>
          <w:u w:val="single"/>
        </w:rPr>
        <w:t>www.msci.com</w:t>
      </w:r>
      <w:r>
        <w:rPr>
          <w:rFonts w:ascii="Inter;sans-serif" w:hAnsi="Inter;sans-serif"/>
          <w:b w:val="false"/>
          <w:color w:val="000000"/>
          <w:sz w:val="22"/>
        </w:rPr>
        <w:t xml:space="preserve">. MSCI#IR </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MSCI Inc. Contacts</w: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Investor Inquiries</w:t>
      </w:r>
    </w:p>
    <w:p>
      <w:pPr>
        <w:pStyle w:val="TextBody"/>
        <w:bidi w:val="0"/>
        <w:spacing w:lineRule="auto" w:line="240" w:before="0" w:after="0"/>
        <w:jc w:val="left"/>
        <w:rPr>
          <w:rFonts w:ascii="Inter;sans-serif" w:hAnsi="Inter;sans-serif"/>
          <w:b w:val="false"/>
          <w:color w:val="37617A"/>
          <w:sz w:val="22"/>
          <w:u w:val="single"/>
        </w:rPr>
      </w:pPr>
      <w:r>
        <w:rPr>
          <w:rFonts w:ascii="Inter;sans-serif" w:hAnsi="Inter;sans-serif"/>
          <w:b w:val="false"/>
          <w:color w:val="37617A"/>
          <w:sz w:val="22"/>
          <w:u w:val="single"/>
        </w:rPr>
        <w:t xml:space="preserve">jeremy.ulan@msci.com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Jeremy Ulan    +1 646 778 4184</w:t>
      </w:r>
    </w:p>
    <w:p>
      <w:pPr>
        <w:pStyle w:val="TextBody"/>
        <w:bidi w:val="0"/>
        <w:spacing w:lineRule="auto" w:line="240" w:before="0" w:after="0"/>
        <w:jc w:val="left"/>
        <w:rPr>
          <w:rFonts w:ascii="Inter;sans-serif" w:hAnsi="Inter;sans-serif"/>
          <w:b w:val="false"/>
          <w:color w:val="37617A"/>
          <w:sz w:val="22"/>
          <w:u w:val="single"/>
        </w:rPr>
      </w:pPr>
      <w:r>
        <w:rPr>
          <w:rFonts w:ascii="Inter;sans-serif" w:hAnsi="Inter;sans-serif"/>
          <w:b w:val="false"/>
          <w:color w:val="37617A"/>
          <w:sz w:val="22"/>
          <w:u w:val="single"/>
        </w:rPr>
        <w:t>jisoo.suh@msci.com</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Jisoo Suh + 1 917 825 7111</w:t>
      </w:r>
    </w:p>
    <w:p>
      <w:pPr>
        <w:pStyle w:val="TextBody"/>
        <w:bidi w:val="0"/>
        <w:spacing w:before="2" w:after="1"/>
        <w:jc w:val="left"/>
        <w:rPr/>
      </w:pPr>
      <w:r>
        <w:rPr/>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 xml:space="preserve">Media Inquiries </w:t>
      </w:r>
    </w:p>
    <w:p>
      <w:pPr>
        <w:pStyle w:val="TextBody"/>
        <w:bidi w:val="0"/>
        <w:spacing w:lineRule="auto" w:line="240" w:before="0" w:after="0"/>
        <w:jc w:val="left"/>
        <w:rPr/>
      </w:pPr>
      <w:r>
        <w:rPr>
          <w:rFonts w:ascii="Inter;sans-serif" w:hAnsi="Inter;sans-serif"/>
          <w:b w:val="false"/>
          <w:color w:val="37617A"/>
          <w:sz w:val="22"/>
          <w:u w:val="single"/>
        </w:rPr>
        <w:t>PR@msci.com</w:t>
      </w:r>
      <w:r>
        <w:rPr>
          <w:color w:val="3751BA"/>
        </w:rPr>
        <w:t xml:space="preserve"> </w:t>
      </w:r>
      <w:r>
        <w:rPr>
          <w:color w:val="000000"/>
        </w:rPr>
        <w:t>    </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Melanie Blanco +1 212 981 1049</w:t>
      </w:r>
    </w:p>
    <w:p>
      <w:pPr>
        <w:pStyle w:val="TextBody"/>
        <w:bidi w:val="0"/>
        <w:spacing w:lineRule="auto" w:line="240" w:before="0" w:after="1"/>
        <w:jc w:val="left"/>
        <w:rPr/>
      </w:pPr>
      <w:r>
        <w:rPr>
          <w:rFonts w:ascii="Inter;sans-serif" w:hAnsi="Inter;sans-serif"/>
          <w:b w:val="false"/>
          <w:color w:val="000000"/>
          <w:sz w:val="22"/>
        </w:rPr>
        <w:t>Konstantinos Makrygiannis</w:t>
      </w:r>
      <w:r>
        <w:rPr>
          <w:color w:val="465058"/>
        </w:rPr>
        <w:t xml:space="preserve"> </w:t>
      </w:r>
      <w:r>
        <w:rPr>
          <w:rFonts w:ascii="Inter;sans-serif" w:hAnsi="Inter;sans-serif"/>
          <w:b w:val="false"/>
          <w:color w:val="000000"/>
          <w:sz w:val="22"/>
        </w:rPr>
        <w:t>+44(0)7768 930056</w:t>
      </w:r>
    </w:p>
    <w:p>
      <w:pPr>
        <w:pStyle w:val="TextBody"/>
        <w:bidi w:val="0"/>
        <w:spacing w:lineRule="auto" w:line="240" w:before="0" w:after="0"/>
        <w:jc w:val="left"/>
        <w:rPr>
          <w:rFonts w:ascii="Inter;sans-serif" w:hAnsi="Inter;sans-serif"/>
          <w:b w:val="false"/>
          <w:color w:val="000000"/>
          <w:sz w:val="22"/>
        </w:rPr>
      </w:pPr>
      <w:r>
        <w:rPr>
          <w:rFonts w:ascii="Inter;sans-serif" w:hAnsi="Inter;sans-serif"/>
          <w:b w:val="false"/>
          <w:color w:val="000000"/>
          <w:sz w:val="22"/>
        </w:rPr>
        <w:t>Tina Tan    + 852 2844 9320</w:t>
      </w:r>
    </w:p>
    <w:p>
      <w:pPr>
        <w:pStyle w:val="TextBody"/>
        <w:bidi w:val="0"/>
        <w:spacing w:before="2" w:after="1"/>
        <w:jc w:val="left"/>
        <w:rPr/>
      </w:pPr>
      <w:r>
        <w:rPr/>
      </w:r>
    </w:p>
    <w:p>
      <w:pPr>
        <w:pStyle w:val="TextBody"/>
        <w:bidi w:val="0"/>
        <w:spacing w:lineRule="auto" w:line="417" w:before="0" w:after="0"/>
        <w:jc w:val="left"/>
        <w:rPr>
          <w:rFonts w:ascii="Inter;sans-serif" w:hAnsi="Inter;sans-serif"/>
          <w:b/>
          <w:color w:val="0626A9"/>
          <w:sz w:val="24"/>
        </w:rPr>
      </w:pPr>
      <w:r>
        <w:rPr>
          <w:rFonts w:ascii="Inter;sans-serif" w:hAnsi="Inter;sans-serif"/>
          <w:b/>
          <w:color w:val="0626A9"/>
          <w:sz w:val="24"/>
        </w:rPr>
        <w:t xml:space="preserve">Forward-Looking Statements </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This earnings release contains forward-looking statements within the meaning of the Private Securities Litigation Reform Act of 1995, including without limitation, MSCI’s Full-Year 2026 guidance. These forward-looking statements relate to future events or to future financial performance and involve underlying assumptions, as well as known and unknown risks, uncertainties and other factors that may cause our actual results, levels of activity, performance or achievements to be materially different from any future results, levels of activity, performance or achievements expressed or implied by these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MSCI’s control and that could materially affect actual results, levels of activity, performance or achievements.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Other factors that could materially affect actual results, levels of activity, performance or achievements can be found in MSCI’s Annual Report on Form 10-K for the fiscal year ended December 31, 2025 filed with the Securities and Exchange Commission (“SEC”) on February 6, 2026 and in quarterly reports on Form 10-Q and current reports on Form 8-K filed or furnished with the SEC. If any of these risks, uncertainties or other matters materialize, or if MSCI’s underlying assumptions prove to be incorrect, actual results may vary significantly from what MSCI projected. Any forward-looking statement in this earnings release reflects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 except as required by law.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7820"/>
                <wp:effectExtent l="0" t="0" r="0" b="0"/>
                <wp:wrapNone/>
                <wp:docPr id="11" name="Frame1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 xml:space="preserve">Website and Social Media Disclosure </w:t>
      </w:r>
    </w:p>
    <w:p>
      <w:pPr>
        <w:pStyle w:val="TextBody"/>
        <w:bidi w:val="0"/>
        <w:spacing w:lineRule="auto" w:line="240" w:before="0" w:after="240"/>
        <w:jc w:val="left"/>
        <w:rPr/>
      </w:pPr>
      <w:r>
        <w:rPr>
          <w:rFonts w:ascii="Inter;sans-serif" w:hAnsi="Inter;sans-serif"/>
          <w:b w:val="false"/>
          <w:color w:val="000000"/>
          <w:sz w:val="22"/>
        </w:rPr>
        <w:t xml:space="preserve">MSCI uses its investor relations website ir.msci.com and social media outlets, such as LinkedIn or X (@MSCI_Inc), as channels of distribution of company information. The information MSCI posts through these channels may be deemed material. Accordingly, investors should monitor these channels, in addition to following MSCI’s press releases, SEC filings and public conference calls and webcasts. In addition, you may automatically receive email alerts and other information about MSCI when you enroll your email address by visiting the “Email Alerts” section of MSCI’s Investor Relations homepage at </w:t>
      </w:r>
      <w:r>
        <w:rPr>
          <w:rFonts w:ascii="Inter;sans-serif" w:hAnsi="Inter;sans-serif"/>
          <w:b w:val="false"/>
          <w:color w:val="37617A"/>
          <w:sz w:val="22"/>
          <w:u w:val="single"/>
        </w:rPr>
        <w:t>http://ir.msci.com/email-alerts</w:t>
      </w:r>
      <w:r>
        <w:rPr>
          <w:rFonts w:ascii="Inter;sans-serif" w:hAnsi="Inter;sans-serif"/>
          <w:b w:val="false"/>
          <w:color w:val="465058"/>
          <w:sz w:val="22"/>
        </w:rPr>
        <w:t xml:space="preserve">. </w:t>
      </w:r>
      <w:r>
        <w:rPr>
          <w:rFonts w:ascii="Inter;sans-serif" w:hAnsi="Inter;sans-serif"/>
          <w:b w:val="false"/>
          <w:color w:val="000000"/>
          <w:sz w:val="22"/>
        </w:rPr>
        <w:t>The contents of MSCI’s website, including its quarterly updates, blog, podcasts and social media channels are not, however, incorporated by reference into this earnings release.</w:t>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Notes Regarding the Use of Operating Metrics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MSCI has presented supplemental key operating metrics as part of this earnings release, including Run Rate, Retention Rate, subscription sales, subscription cancellations and non-recurring sales.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A substantial portion of MSCI’s operating revenues is derived from recurring subscriptions or licenses for products and services that are ongoing in nature and provided over contractually agreed periods, which are subject to renewal or cancellation upon the expiration of the then-current term. In addition, we generate non-recurring revenues from one-time sales and other transactions or services that are discrete in nature or that have a defined life. The operating metrics defined below help management assess the stability and growth of this recurring-revenue base and track non-recurring revenues. There have been no changes to the methodologies used to compute these metrics compared with prior periods.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For Client Contracts where fees are linked to an investment product’s assets or trading volume or fees (referred to as “Asset-based Fees”), the Run Rate calculation is based on:</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For exchange-traded funds (“ETFs”): assets under management as of the last trading day of the period;</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For non-ETF products: the most recent client-reported assets under management; and</w:t>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For listed futures and options contracts: the most recent quarterly volumes and/or reported exchange fees.</w:t>
      </w:r>
    </w:p>
    <w:p>
      <w:pPr>
        <w:pStyle w:val="TextBody"/>
        <w:bidi w:val="0"/>
        <w:spacing w:lineRule="auto" w:line="240" w:before="0" w:after="1"/>
        <w:jc w:val="left"/>
        <w:rPr>
          <w:rFonts w:ascii="Inter;sans-serif" w:hAnsi="Inter;sans-serif"/>
          <w:b w:val="false"/>
          <w:color w:val="000000"/>
          <w:sz w:val="22"/>
        </w:rPr>
      </w:pPr>
      <w:r>
        <w:rPr>
          <w:rFonts w:ascii="Inter;sans-serif" w:hAnsi="Inter;sans-serif"/>
          <w:b w:val="false"/>
          <w:color w:val="000000"/>
          <w:sz w:val="22"/>
        </w:rPr>
        <w:t>Run Rate excludes fees associated with one-time or other non-recurring transactions.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including for purposes of calculating MSCI’s Retention Rate (as detailed below). In the cases where the client switches products or services to a replacement service, only the net decrease, if any, is reported as a cancellation.</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In the Analytics and Sustainability and Climate operating segments, substantially all such product or service switches are treated as replacements and are netted accordingly.</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7820"/>
                <wp:effectExtent l="0" t="0" r="0" b="0"/>
                <wp:wrapNone/>
                <wp:docPr id="12" name="Frame1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In contrast, in the Index, Real Assets, and Private Capital Solutions operating segments, such netting treatment is applied only in limited circumstances.</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Organic recurring subscription Run Rate growth is defined as the period-over-period growth in Run Rate, excluding:</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The impact of changes in foreign currency exchange rates;</w:t>
      </w:r>
    </w:p>
    <w:p>
      <w:pPr>
        <w:pStyle w:val="TextBody"/>
        <w:bidi w:val="0"/>
        <w:spacing w:lineRule="auto" w:line="240" w:before="0" w:after="120"/>
        <w:ind w:left="0" w:right="0" w:hanging="360"/>
        <w:jc w:val="left"/>
        <w:rPr/>
      </w:pPr>
      <w:r>
        <w:rPr>
          <w:color w:val="000000"/>
        </w:rPr>
        <w:t>•</w:t>
      </w:r>
      <w:r>
        <w:rPr>
          <w:rFonts w:ascii="Inter;sans-serif" w:hAnsi="Inter;sans-serif"/>
          <w:b w:val="false"/>
          <w:color w:val="000000"/>
          <w:sz w:val="22"/>
        </w:rPr>
        <w:t>The impact of acquisitions during the first 12 months following the transaction date; and</w:t>
      </w:r>
    </w:p>
    <w:p>
      <w:pPr>
        <w:pStyle w:val="TextBody"/>
        <w:bidi w:val="0"/>
        <w:spacing w:lineRule="auto" w:line="240" w:before="0" w:after="180"/>
        <w:ind w:left="0" w:right="0" w:hanging="360"/>
        <w:jc w:val="left"/>
        <w:rPr/>
      </w:pPr>
      <w:r>
        <w:rPr>
          <w:color w:val="000000"/>
        </w:rPr>
        <w:t>•</w:t>
      </w:r>
      <w:r>
        <w:rPr>
          <w:rFonts w:ascii="Inter;sans-serif" w:hAnsi="Inter;sans-serif"/>
          <w:b w:val="false"/>
          <w:color w:val="000000"/>
          <w:sz w:val="22"/>
        </w:rPr>
        <w:t>The impact of divestitures, where Run Rate from divested businesses are excluded from prior period Run Rates.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Retention Rate is a key performance metric that provides insight into the stability and durability of MSCI’s recurring revenue base. Subscription cancellations reduce Run Rate and, over time, lower future operating revenues.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For full-year periods, Retention Rate is calculated as the retained subscription Run Rate, which is defined as the subscription Run Rate at the beginning of the fiscal year minus actual subscription cancellations during the fiscal year, expressed as a percentage of the subscription Run Rate at the beginning of the fiscal year.</w:t>
      </w:r>
    </w:p>
    <w:p>
      <w:pPr>
        <w:pStyle w:val="TextBody"/>
        <w:bidi w:val="0"/>
        <w:spacing w:lineRule="auto" w:line="240" w:before="0" w:after="120"/>
        <w:jc w:val="left"/>
        <w:rPr>
          <w:rFonts w:ascii="Inter;sans-serif" w:hAnsi="Inter;sans-serif"/>
          <w:b w:val="false"/>
          <w:color w:val="000000"/>
          <w:sz w:val="22"/>
        </w:rPr>
      </w:pPr>
      <w:r>
        <w:rPr>
          <w:rFonts w:ascii="Inter;sans-serif" w:hAnsi="Inter;sans-serif"/>
          <w:b w:val="false"/>
          <w:color w:val="000000"/>
          <w:sz w:val="22"/>
        </w:rPr>
        <w:t>For interim (non-annual) periods, Retention Rate is presented on an annualized basis. The annualized Retention Rate is calculated by:</w:t>
      </w:r>
    </w:p>
    <w:p>
      <w:pPr>
        <w:pStyle w:val="TextBody"/>
        <w:bidi w:val="0"/>
        <w:spacing w:lineRule="auto" w:line="240" w:before="0" w:after="120"/>
        <w:ind w:left="0" w:right="0" w:hanging="360"/>
        <w:jc w:val="left"/>
        <w:rPr>
          <w:rFonts w:ascii="Inter;sans-serif" w:hAnsi="Inter;sans-serif"/>
          <w:b w:val="false"/>
          <w:color w:val="000000"/>
          <w:sz w:val="22"/>
        </w:rPr>
      </w:pPr>
      <w:r>
        <w:rPr>
          <w:rFonts w:ascii="Inter;sans-serif" w:hAnsi="Inter;sans-serif"/>
          <w:b w:val="false"/>
          <w:color w:val="000000"/>
          <w:sz w:val="22"/>
        </w:rPr>
        <w:t>1.Dividing annualized subscription cancellations in the period by the subscription Run Rate at the beginning of the fiscal year, to determine a cancellation rate; and</w:t>
      </w:r>
    </w:p>
    <w:p>
      <w:pPr>
        <w:pStyle w:val="TextBody"/>
        <w:bidi w:val="0"/>
        <w:spacing w:lineRule="auto" w:line="240" w:before="0" w:after="180"/>
        <w:ind w:left="0" w:right="0" w:hanging="360"/>
        <w:jc w:val="left"/>
        <w:rPr>
          <w:rFonts w:ascii="Inter;sans-serif" w:hAnsi="Inter;sans-serif"/>
          <w:b w:val="false"/>
          <w:color w:val="000000"/>
          <w:sz w:val="22"/>
        </w:rPr>
      </w:pPr>
      <w:r>
        <w:rPr>
          <w:rFonts w:ascii="Inter;sans-serif" w:hAnsi="Inter;sans-serif"/>
          <w:b w:val="false"/>
          <w:color w:val="000000"/>
          <w:sz w:val="22"/>
        </w:rPr>
        <w:t>2.Subtracting that rate from 100%, to derive the annualized Retention Rate.</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Retention Rate is calculated by operating segment and is based on an individual product or service level within each segment. We do not calculate Retention Rate for the portion of Run Rate attributable to Asset-based Fees.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Sales represents the annualized value of products and services that clients have committed to purchase from MSCI and that are expected to result in additional operating revenues.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Non-recurring sales represent the aggregate value of client agreements entered into during the period that generate non-recurring fees and are not included in Run Rate (as defined elsewhere herein), even if such agreements span multiple periods or years.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New recurring subscription sales represent the annualized value of additional client commitments entered into during the period - such as new Client Contracts, expansions of existing Client Contracts or price increases - that contribute to Run Rate.</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Net new recurring subscription sales represent new recurring subscription sales minus the impact of Subscription Cancellations, capturing the net impact to Run Rate for the period.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Total gross sales is the sum of new recurring subscription sales and non-recurring sales.</w:t>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Total net sales is total gross sales minus the impact of Subscription Cancellations.</w:t>
      </w:r>
    </w:p>
    <w:p>
      <w:pPr>
        <w:pStyle w:val="TextBody"/>
        <w:bidi w:val="0"/>
        <w:spacing w:lineRule="auto" w:line="240" w:before="0" w:after="0"/>
        <w:jc w:val="left"/>
        <w:rPr>
          <w:rFonts w:ascii="Inter;sans-serif" w:hAnsi="Inter;sans-serif"/>
          <w:b/>
          <w:color w:val="0626A9"/>
          <w:sz w:val="24"/>
        </w:rPr>
      </w:pPr>
      <w:r>
        <w:rPr>
          <w:rFonts w:ascii="Inter;sans-serif" w:hAnsi="Inter;sans-serif"/>
          <w:b/>
          <w:color w:val="0626A9"/>
          <w:sz w:val="24"/>
        </w:rPr>
        <w:t>Notes Regarding the Use of Non-GAAP Financial Measures</w:t>
      </w:r>
    </w:p>
    <w:p>
      <w:pPr>
        <w:pStyle w:val="TextBody"/>
        <w:bidi w:val="0"/>
        <w:spacing w:before="0" w:after="0"/>
        <w:jc w:val="left"/>
        <w:rPr/>
      </w:pPr>
      <w:r>
        <w:rPr/>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MSCI has presented supplemental non-GAAP financial measures as part of this earnings release. Reconciliations are provided in Tables 9 through 14 below that reconcile each non-GAAP financial measure with the most comparable GAAP measure. The non-GAAP financial measures presented in this earnings release should not be considered as alternative measures for the most directly comparable GAAP financial measures. The non-GAAP financial measures presented in this earnings release are used by management to monitor the financial performance of the business, inform business decision-making and forecast future results. </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 xml:space="preserve">Adjusted EBITDA” is defined as net income before (1) provision for income taxes, (2) other expense (income), net, (3) depreciation and amortization of property, equipment and leasehold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7820"/>
                <wp:effectExtent l="0" t="0" r="0" b="0"/>
                <wp:wrapNone/>
                <wp:docPr id="13" name="Frame1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improvements, (4) amortization of intangible assets and, at times, (5) certain other transactions or adjustments, including, when applicable, certain acquisition-related integration, transaction and earn-out costs. </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EBITDA expenses” is defined as operating expenses less depreciation and amortization of property, equipment and leasehold improvements and amortization of intangible assets and, at times, certain other transactions or adjustments, including, when applicable, certain acquisition-related integration, transaction and earn-out costs.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EBITDA margin” is defined as adjusted EBITDA divided by operating revenues.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Adjusted net income” and “adjusted EPS” are defined as net income and diluted EPS, respectively, before the after-tax impact of: the amortization of acquired intangible assets and, at times, certain other transactions or adjustments, including, when applicable, the impact related to certain acquisition-related integration, transaction and earn-out costs, the impact related to the write-off of deferred fees on debt extinguishment, the impact related to certain gains or losses on investees, and the impact of certain discrete tax items.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Capex” is defined as capital expenditures plus capitalized software development costs.</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Free cash flow” is defined as net cash provided by operating activities, less Capex.</w:t>
      </w:r>
    </w:p>
    <w:p>
      <w:pPr>
        <w:pStyle w:val="TextBody"/>
        <w:bidi w:val="0"/>
        <w:spacing w:lineRule="auto" w:line="240" w:before="0" w:after="180"/>
        <w:jc w:val="left"/>
        <w:rPr>
          <w:color w:val="000000"/>
        </w:rPr>
      </w:pPr>
      <w:r>
        <w:rPr>
          <w:color w:val="000000"/>
        </w:rPr>
        <w:t>“</w:t>
      </w:r>
      <w:r>
        <w:rPr>
          <w:rFonts w:ascii="Inter;sans-serif" w:hAnsi="Inter;sans-serif"/>
          <w:b w:val="false"/>
          <w:color w:val="000000"/>
          <w:sz w:val="22"/>
        </w:rPr>
        <w:t>Organic operating revenue growth” is defined as operating revenue growth compared to the prior year period excluding the impact of acquired businesses, divested businesses and foreign currency exchange rate fluctuations.</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Asset-based fees ex-FX does not adjust for the impact from foreign currency exchange rate fluctuations on the underlying assets under management (“AUM”).</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adjusted EBITDA, adjusted EBITDA margin and adjusted EBITDA expenses are meaningful measures of the operating performance of MSCI because they adjust for significant one-time, unusual or non-recurring items as well as eliminate the accounting effects of certain capital spending and acquisitions that do not directly affect what management considers to be our ongoing operating performance in the period.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 xml:space="preserve">We believe adjusted net income and adjusted EPS are meaningful measures of the performance of MSCI because they adjust for the after-tax impact of significant one-time, unusual or non-recurring items as well as eliminate the impact of any transactions that do not directly affect what management considers to be our ongoing operating performance in the period. We also exclude the after-tax impact of the amortization of acquired intangible assets and amortization of the basis difference between the cost of the equity method investment and MSCI’s share of the net assets of the investee at historical carrying value, as these non-cash amounts are significantly impacted by the timing and size of each acquisition and therefore not meaningful to the ongoing operating performance in the period. </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that free cash flow is useful to investors because it relates the operating cash flow of MSCI to the capital that is spent to continue and improve business operations, such as investment in MSCI’s existing products. Further, free cash flow indicates our ability to strengthen MSCI’s balance sheet, repay our debt obligations, pay cash dividends and repurchase shares of our common stock.</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organic operating revenue growth is a meaningful measure of the operating performance of MSCI because it adjusts for the impact of foreign currency exchange rate fluctuations and excludes the impact of operating revenues attributable to acquired and divested businesses for the comparable prior year period, providing insight into our ongoing operating performance for the period(s) presented.</w:t>
      </w:r>
    </w:p>
    <w:p>
      <w:pPr>
        <w:pStyle w:val="TextBody"/>
        <w:bidi w:val="0"/>
        <w:spacing w:lineRule="auto" w:line="240" w:before="0" w:after="180"/>
        <w:jc w:val="left"/>
        <w:rPr>
          <w:rFonts w:ascii="Inter;sans-serif" w:hAnsi="Inter;sans-serif"/>
          <w:b w:val="false"/>
          <w:color w:val="000000"/>
          <w:sz w:val="22"/>
        </w:rPr>
      </w:pPr>
      <w:r>
        <w:rPr>
          <w:rFonts w:ascii="Inter;sans-serif" w:hAnsi="Inter;sans-serif"/>
          <w:b w:val="false"/>
          <w:color w:val="000000"/>
          <w:sz w:val="22"/>
        </w:rPr>
        <w:t>We believe that the non-GAAP financial measures presented in this earnings release facilitate meaningful period-to-period comparisons and provide a baseline for the evaluation of future results.</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7820"/>
                <wp:effectExtent l="0" t="0" r="0" b="0"/>
                <wp:wrapNone/>
                <wp:docPr id="14" name="Frame1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Adjusted EBITDA expenses, adjusted EBITDA margin, adjusted EBITDA, adjusted net income, adjusted EPS, Capex, free cash flow and organic operating revenue growth are not defined in the same manner by all companies and may not be comparable to similarly-titled non-GAAP financial measures of other companies. These measures can differ significantly from company to company depending on, among other things, long-term strategic decisions regarding capital structure, the tax jurisdictions in which companies operate and capital investments. Accordingly, the Company’s computation of these measures may not be comparable to similarly-titled measures computed by other companies.</w:t>
      </w:r>
    </w:p>
    <w:p>
      <w:pPr>
        <w:pStyle w:val="TextBody"/>
        <w:bidi w:val="0"/>
        <w:spacing w:lineRule="auto" w:line="240" w:before="0" w:after="180"/>
        <w:jc w:val="left"/>
        <w:rPr>
          <w:rFonts w:ascii="Inter;sans-serif" w:hAnsi="Inter;sans-serif"/>
          <w:b/>
          <w:color w:val="0626A9"/>
          <w:sz w:val="24"/>
        </w:rPr>
      </w:pPr>
      <w:r>
        <w:rPr>
          <w:rFonts w:ascii="Inter;sans-serif" w:hAnsi="Inter;sans-serif"/>
          <w:b/>
          <w:color w:val="0626A9"/>
          <w:sz w:val="24"/>
        </w:rPr>
        <w:t>Notes Regarding Adjusting for the Impact of Foreign Currency Exchange Rate Fluctuations</w:t>
      </w:r>
    </w:p>
    <w:p>
      <w:pPr>
        <w:pStyle w:val="TextBody"/>
        <w:bidi w:val="0"/>
        <w:spacing w:lineRule="auto" w:line="240" w:before="0" w:after="240"/>
        <w:jc w:val="left"/>
        <w:rPr>
          <w:rFonts w:ascii="Inter;sans-serif" w:hAnsi="Inter;sans-serif"/>
          <w:b w:val="false"/>
          <w:color w:val="000000"/>
          <w:sz w:val="22"/>
        </w:rPr>
      </w:pPr>
      <w:r>
        <w:rPr>
          <w:rFonts w:ascii="Inter;sans-serif" w:hAnsi="Inter;sans-serif"/>
          <w:b w:val="false"/>
          <w:color w:val="000000"/>
          <w:sz w:val="22"/>
        </w:rPr>
        <w:t>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any such impact is excluded from the disclosed foreign currency-adjusted variances.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7820"/>
                <wp:effectExtent l="0" t="0" r="0" b="0"/>
                <wp:wrapNone/>
                <wp:docPr id="15" name="Frame1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2: Condensed Consolidated Statements of Income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24"/>
        <w:gridCol w:w="1090"/>
        <w:gridCol w:w="1098"/>
        <w:gridCol w:w="130"/>
        <w:gridCol w:w="130"/>
        <w:gridCol w:w="130"/>
        <w:gridCol w:w="253"/>
        <w:gridCol w:w="741"/>
        <w:gridCol w:w="130"/>
        <w:gridCol w:w="130"/>
        <w:gridCol w:w="130"/>
        <w:gridCol w:w="130"/>
        <w:gridCol w:w="253"/>
        <w:gridCol w:w="741"/>
        <w:gridCol w:w="130"/>
        <w:gridCol w:w="130"/>
        <w:gridCol w:w="130"/>
        <w:gridCol w:w="130"/>
        <w:gridCol w:w="253"/>
        <w:gridCol w:w="922"/>
        <w:gridCol w:w="130"/>
        <w:gridCol w:w="130"/>
        <w:gridCol w:w="130"/>
        <w:gridCol w:w="130"/>
        <w:gridCol w:w="253"/>
        <w:gridCol w:w="922"/>
        <w:gridCol w:w="205"/>
      </w:tblGrid>
      <w:tr>
        <w:trPr/>
        <w:tc>
          <w:tcPr>
            <w:tcW w:w="152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9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9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37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867.0 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772.7 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1,717.8 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1,518.5 </w:t>
            </w:r>
          </w:p>
        </w:tc>
        <w:tc>
          <w:tcPr>
            <w:tcW w:w="20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expenses: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Cost of revenues (exclusive of depreciation and amortization)</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274.5 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Selling and marketing</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Research and development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General and administrative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Depreciation and amortization of property,</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equipment and leasehold improvements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Total operating expenses</w:t>
            </w:r>
            <w:r>
              <w:rPr>
                <w:rFonts w:ascii="Inter;sans-serif" w:hAnsi="Inter;sans-serif"/>
                <w:b w:val="false"/>
                <w:color w:val="000000"/>
                <w:sz w:val="10"/>
              </w:rPr>
              <w:t>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379.5 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347.4 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773.4 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716.2 </w:t>
            </w:r>
          </w:p>
        </w:tc>
        <w:tc>
          <w:tcPr>
            <w:tcW w:w="20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income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944.4 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802.3 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Interest income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Interest expense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 net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70.2 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47.5 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137.9 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93.4 </w:t>
            </w:r>
          </w:p>
        </w:tc>
        <w:tc>
          <w:tcPr>
            <w:tcW w:w="20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Income before provision for income taxes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806.5 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Provision for income taxes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342.0 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303.7 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748.0 </w:t>
            </w:r>
          </w:p>
        </w:tc>
        <w:tc>
          <w:tcPr>
            <w:tcW w:w="130"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592.3 </w:t>
            </w:r>
          </w:p>
        </w:tc>
        <w:tc>
          <w:tcPr>
            <w:tcW w:w="205"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Earnings per share: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Basic</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Weighted average shares outstanding used in computing earnings per share: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Basic</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72.9 </w:t>
            </w:r>
          </w:p>
        </w:tc>
        <w:tc>
          <w:tcPr>
            <w:tcW w:w="13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77.5 </w:t>
            </w:r>
          </w:p>
        </w:tc>
        <w:tc>
          <w:tcPr>
            <w:tcW w:w="13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73.1 </w:t>
            </w:r>
          </w:p>
        </w:tc>
        <w:tc>
          <w:tcPr>
            <w:tcW w:w="13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77.7 </w:t>
            </w:r>
          </w:p>
        </w:tc>
        <w:tc>
          <w:tcPr>
            <w:tcW w:w="205"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 xml:space="preserve">1 </w:t>
            </w:r>
            <w:r>
              <w:rPr>
                <w:rFonts w:ascii="Inter;sans-serif" w:hAnsi="Inter;sans-serif"/>
                <w:b w:val="false"/>
                <w:color w:val="000000"/>
                <w:sz w:val="14"/>
              </w:rPr>
              <w:t>Includes stock-based compensation of $25.4 million and $23.4 million for the three months ended June 30, 2026 and 2025, respectively, and $73.1 million and $63.4 million for the six months ended June 30, 2026 and 2025,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7820"/>
                <wp:effectExtent l="0" t="0" r="0" b="0"/>
                <wp:wrapNone/>
                <wp:docPr id="16" name="Frame16"/>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3: Condensed Consolidated Balance Sheets (unaudited)</w:t>
      </w:r>
    </w:p>
    <w:p>
      <w:pPr>
        <w:pStyle w:val="TextBody"/>
        <w:bidi w:val="0"/>
        <w:spacing w:before="0" w:after="0"/>
        <w:jc w:val="left"/>
        <w:rPr/>
      </w:pPr>
      <w:r>
        <w:rPr/>
      </w:r>
    </w:p>
    <w:tbl>
      <w:tblPr>
        <w:tblW w:w="7835" w:type="dxa"/>
        <w:jc w:val="left"/>
        <w:tblInd w:w="0" w:type="dxa"/>
        <w:tblLayout w:type="fixed"/>
        <w:tblCellMar>
          <w:top w:w="28" w:type="dxa"/>
          <w:left w:w="28" w:type="dxa"/>
          <w:bottom w:w="28" w:type="dxa"/>
          <w:right w:w="28" w:type="dxa"/>
        </w:tblCellMar>
      </w:tblPr>
      <w:tblGrid>
        <w:gridCol w:w="1794"/>
        <w:gridCol w:w="1580"/>
        <w:gridCol w:w="1590"/>
        <w:gridCol w:w="109"/>
        <w:gridCol w:w="109"/>
        <w:gridCol w:w="109"/>
        <w:gridCol w:w="211"/>
        <w:gridCol w:w="766"/>
        <w:gridCol w:w="109"/>
        <w:gridCol w:w="109"/>
        <w:gridCol w:w="109"/>
        <w:gridCol w:w="109"/>
        <w:gridCol w:w="211"/>
        <w:gridCol w:w="76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 of</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Dec. 31,</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986.7 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1,644.8 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Property, equipment and leasehold improvements,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2,923.4 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1,605.7 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1,829.8 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6,202.3 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8,292.0 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8,357.0 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(2,654.5)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5,602.5 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5,702.5 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7820"/>
                <wp:effectExtent l="0" t="0" r="0" b="0"/>
                <wp:wrapNone/>
                <wp:docPr id="17" name="Frame17"/>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4: Condensed Consolidated Statements of Cash Flows (unaudited)</w:t>
      </w:r>
    </w:p>
    <w:p>
      <w:pPr>
        <w:pStyle w:val="TextBody"/>
        <w:bidi w:val="0"/>
        <w:spacing w:before="0" w:after="0"/>
        <w:jc w:val="left"/>
        <w:rPr/>
      </w:pPr>
      <w:r>
        <w:rPr/>
      </w:r>
    </w:p>
    <w:tbl>
      <w:tblPr>
        <w:tblW w:w="11923" w:type="dxa"/>
        <w:jc w:val="left"/>
        <w:tblInd w:w="0" w:type="dxa"/>
        <w:tblLayout w:type="fixed"/>
        <w:tblCellMar>
          <w:top w:w="28" w:type="dxa"/>
          <w:left w:w="28" w:type="dxa"/>
          <w:bottom w:w="28" w:type="dxa"/>
          <w:right w:w="28" w:type="dxa"/>
        </w:tblCellMar>
      </w:tblPr>
      <w:tblGrid>
        <w:gridCol w:w="2680"/>
        <w:gridCol w:w="2279"/>
        <w:gridCol w:w="186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8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682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 xml:space="preserve">Depreciation and amortization of property, equipment </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Net changes in other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Business acquisitions, net of cash acquired</w:t>
            </w:r>
            <w:r>
              <w:rPr>
                <w:rFonts w:ascii="Inter;sans-serif" w:hAnsi="Inter;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Repurchase of common stock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Payment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Repayment of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Proceeds from borrowings, net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Payment of contingent consideration and deferred purchase price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3" w:type="dxa"/>
            <w:gridSpan w:val="27"/>
            <w:tcBorders/>
            <w:shd w:fill="FFFFFF" w:val="clear"/>
            <w:tcMar>
              <w:top w:w="0" w:type="dxa"/>
              <w:left w:w="0" w:type="dxa"/>
              <w:bottom w:w="0" w:type="dxa"/>
              <w:right w:w="0" w:type="dxa"/>
            </w:tcMar>
            <w:vAlign w:val="center"/>
          </w:tcPr>
          <w:p>
            <w:pPr>
              <w:pStyle w:val="TableContents"/>
              <w:bidi w:val="0"/>
              <w:spacing w:lineRule="auto" w:line="319" w:before="0" w:after="40"/>
              <w:jc w:val="left"/>
              <w:rPr/>
            </w:pPr>
            <w:r>
              <w:rPr>
                <w:rFonts w:ascii="Inter;sans-serif" w:hAnsi="Inter;sans-serif"/>
                <w:b w:val="false"/>
                <w:color w:val="000000"/>
                <w:sz w:val="9"/>
              </w:rPr>
              <w:t>1</w:t>
            </w:r>
            <w:r>
              <w:rPr>
                <w:rFonts w:ascii="Inter;sans-serif" w:hAnsi="Inter;sans-serif"/>
                <w:b w:val="false"/>
                <w:color w:val="000000"/>
                <w:sz w:val="14"/>
              </w:rPr>
              <w:t>Includes cash paid for the acquisitions of Compass Financial Technologies, Vantager and PM Insights.</w:t>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5097" w:type="dxa"/>
            <w:gridSpan w:val="24"/>
            <w:tcBorders/>
          </w:tcPr>
          <w:p>
            <w:pPr>
              <w:pStyle w:val="TableContents"/>
              <w:bidi w:val="0"/>
              <w:spacing w:before="0" w:after="283"/>
              <w:jc w:val="left"/>
              <w:rPr>
                <w:sz w:val="4"/>
                <w:szCs w:val="4"/>
              </w:rPr>
            </w:pPr>
            <w:r>
              <w:rPr>
                <w:sz w:val="4"/>
                <w:szCs w:val="4"/>
              </w:rPr>
            </w:r>
          </w:p>
        </w:tc>
      </w:tr>
      <w:tr>
        <w:trPr/>
        <w:tc>
          <w:tcPr>
            <w:tcW w:w="6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7820"/>
                <wp:effectExtent l="0" t="0" r="0" b="0"/>
                <wp:wrapNone/>
                <wp:docPr id="18" name="Frame18"/>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5: Operating Results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3"/>
        <w:gridCol w:w="377"/>
        <w:gridCol w:w="378"/>
        <w:gridCol w:w="109"/>
        <w:gridCol w:w="109"/>
        <w:gridCol w:w="109"/>
        <w:gridCol w:w="211"/>
        <w:gridCol w:w="616"/>
        <w:gridCol w:w="256"/>
        <w:gridCol w:w="109"/>
        <w:gridCol w:w="109"/>
        <w:gridCol w:w="109"/>
        <w:gridCol w:w="211"/>
        <w:gridCol w:w="616"/>
        <w:gridCol w:w="256"/>
        <w:gridCol w:w="109"/>
        <w:gridCol w:w="109"/>
        <w:gridCol w:w="109"/>
        <w:gridCol w:w="267"/>
        <w:gridCol w:w="269"/>
        <w:gridCol w:w="430"/>
        <w:gridCol w:w="109"/>
        <w:gridCol w:w="109"/>
        <w:gridCol w:w="109"/>
        <w:gridCol w:w="211"/>
        <w:gridCol w:w="766"/>
        <w:gridCol w:w="256"/>
        <w:gridCol w:w="109"/>
        <w:gridCol w:w="109"/>
        <w:gridCol w:w="109"/>
        <w:gridCol w:w="211"/>
        <w:gridCol w:w="766"/>
        <w:gridCol w:w="256"/>
        <w:gridCol w:w="109"/>
        <w:gridCol w:w="109"/>
        <w:gridCol w:w="109"/>
        <w:gridCol w:w="267"/>
        <w:gridCol w:w="269"/>
        <w:gridCol w:w="491"/>
      </w:tblGrid>
      <w:tr>
        <w:trPr/>
        <w:tc>
          <w:tcPr>
            <w:tcW w:w="86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i/>
                <w:color w:val="000000"/>
                <w:sz w:val="16"/>
              </w:rPr>
            </w:pPr>
            <w:r>
              <w:rPr>
                <w:rFonts w:ascii="Inter;sans-serif" w:hAnsi="Inter;sans-serif"/>
                <w:b/>
                <w:i/>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24.5 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511.0 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434.9 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17.5 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1,007.3 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856.6 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397.8 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330.2 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20.5 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641.8 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i/>
                <w:color w:val="000000"/>
                <w:sz w:val="16"/>
              </w:rPr>
            </w:pPr>
            <w:r>
              <w:rPr>
                <w:rFonts w:ascii="Inter;sans-serif" w:hAnsi="Inter;sans-serif"/>
                <w:b/>
                <w:i/>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177.7 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379.4 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19.2 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168.6 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46.5 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52.1 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48.2 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i/>
                <w:color w:val="000000"/>
                <w:sz w:val="16"/>
              </w:rPr>
            </w:pPr>
            <w:r>
              <w:rPr>
                <w:rFonts w:ascii="Inter;sans-serif" w:hAnsi="Inter;sans-serif"/>
                <w:b/>
                <w:i/>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(36.8)</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183.8 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173.5 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68.6 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38.7 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37.3 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i/>
                <w:color w:val="000000"/>
                <w:sz w:val="16"/>
              </w:rPr>
            </w:pPr>
            <w:r>
              <w:rPr>
                <w:rFonts w:ascii="Inter;sans-serif" w:hAnsi="Inter;sans-serif"/>
                <w:b/>
                <w:i/>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71.2 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147.3 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12.3 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19.9 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(14.1)</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34.1 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(9.7)</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20.9 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i/>
                <w:color w:val="000000"/>
                <w:sz w:val="16"/>
              </w:rPr>
            </w:pPr>
            <w:r>
              <w:rPr>
                <w:rFonts w:ascii="Inter;sans-serif" w:hAnsi="Inter;sans-serif"/>
                <w:b/>
                <w:i/>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Change</w:t>
            </w:r>
          </w:p>
        </w:tc>
      </w:tr>
      <w:tr>
        <w:trPr/>
        <w:tc>
          <w:tcPr>
            <w:tcW w:w="1618"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457.6 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(20.5)</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867.0 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772.7 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1,717.8 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1,518.5 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13.1 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538.5 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474.4 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13.5 </w:t>
            </w:r>
          </w:p>
        </w:tc>
        <w:tc>
          <w:tcPr>
            <w:tcW w:w="43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1,043.2 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76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900.0 </w:t>
            </w:r>
          </w:p>
        </w:tc>
        <w:tc>
          <w:tcPr>
            <w:tcW w:w="25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15.9 </w:t>
            </w:r>
          </w:p>
        </w:tc>
        <w:tc>
          <w:tcPr>
            <w:tcW w:w="49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56.2 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55.0 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52.8 </w:t>
            </w:r>
          </w:p>
        </w:tc>
        <w:tc>
          <w:tcPr>
            <w:tcW w:w="25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62.1 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61.4 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60.7 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59.3 </w:t>
            </w:r>
          </w:p>
        </w:tc>
        <w:tc>
          <w:tcPr>
            <w:tcW w:w="2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7820"/>
                <wp:effectExtent l="0" t="0" r="0" b="0"/>
                <wp:wrapNone/>
                <wp:docPr id="19" name="Frame19"/>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color w:val="000000"/>
          <w:sz w:val="22"/>
        </w:rPr>
        <w:t>Table 6: Sales and Retention Rate (unaudited)</w:t>
      </w:r>
      <w:r>
        <w:rPr>
          <w:rFonts w:ascii="Inter;sans-serif" w:hAnsi="Inter;sans-serif"/>
          <w:b/>
          <w:color w:val="000000"/>
          <w:sz w:val="14"/>
        </w:rPr>
        <w:t>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6"/>
        <w:gridCol w:w="456"/>
        <w:gridCol w:w="460"/>
        <w:gridCol w:w="116"/>
        <w:gridCol w:w="116"/>
        <w:gridCol w:w="116"/>
        <w:gridCol w:w="210"/>
        <w:gridCol w:w="499"/>
        <w:gridCol w:w="258"/>
        <w:gridCol w:w="116"/>
        <w:gridCol w:w="116"/>
        <w:gridCol w:w="116"/>
        <w:gridCol w:w="210"/>
        <w:gridCol w:w="596"/>
        <w:gridCol w:w="258"/>
        <w:gridCol w:w="116"/>
        <w:gridCol w:w="116"/>
        <w:gridCol w:w="116"/>
        <w:gridCol w:w="262"/>
        <w:gridCol w:w="263"/>
        <w:gridCol w:w="374"/>
        <w:gridCol w:w="116"/>
        <w:gridCol w:w="116"/>
        <w:gridCol w:w="116"/>
        <w:gridCol w:w="210"/>
        <w:gridCol w:w="596"/>
        <w:gridCol w:w="258"/>
        <w:gridCol w:w="116"/>
        <w:gridCol w:w="116"/>
        <w:gridCol w:w="116"/>
        <w:gridCol w:w="210"/>
        <w:gridCol w:w="596"/>
        <w:gridCol w:w="258"/>
        <w:gridCol w:w="116"/>
        <w:gridCol w:w="116"/>
        <w:gridCol w:w="116"/>
        <w:gridCol w:w="262"/>
        <w:gridCol w:w="263"/>
        <w:gridCol w:w="374"/>
        <w:gridCol w:w="109"/>
        <w:gridCol w:w="109"/>
        <w:gridCol w:w="109"/>
        <w:gridCol w:w="109"/>
        <w:gridCol w:w="182"/>
      </w:tblGrid>
      <w:tr>
        <w:trPr/>
        <w:tc>
          <w:tcPr>
            <w:tcW w:w="62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Six Months Ended</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34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34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34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34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Change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17.8 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67.2 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51.7 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30.0 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(31.5)</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28.1 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20.0 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40.5 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52.9 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34.2 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54.7 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(14.9)</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49.3 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46.7 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5.6 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98.8 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81.6 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21.1 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Index net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37.5 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14.7 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84.5 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64.1 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31.8 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Index Retention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97.5 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96.0 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97.2 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96.3 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Analytics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0.5 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(0.9)</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(19.8)</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4.8 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11.2 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14.8 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19.4 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20.1 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(3.5)</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(48.3)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(28.8)</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(20.6)</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47.0 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(4.5)</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Analytics net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14.2 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(31.1)</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(10.7)</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Analytics Retention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94.3 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93.7 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94.8 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94.6 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Sustainability and Climate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16.8 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39.6 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40.0 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5.0 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(62.0)</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7.5 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(62.7)</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69.2 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3.2 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(0.9)</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Sustainability and Climate net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(34.9)</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(43.9)</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Inter;sans-serif" w:hAnsi="Inter;sans-serif"/>
                <w:b w:val="false"/>
                <w:color w:val="000000"/>
                <w:sz w:val="14"/>
              </w:rPr>
            </w:pPr>
            <w:r>
              <w:rPr>
                <w:rFonts w:ascii="Inter;sans-serif" w:hAnsi="Inter;sans-serif"/>
                <w:b w:val="false"/>
                <w:color w:val="000000"/>
                <w:sz w:val="14"/>
              </w:rPr>
              <w:t>Sustainability and Climate Retention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92.3 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93.8 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92.6 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94.2 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All Other - Private Assets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9.1 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7.1 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(23.7)</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(21.7)</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4.0 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57.5 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12.0 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8.1 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48.1 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0.7 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(28.6)</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(27.8)</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6.6 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21.4 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4.2 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All Other - Private Assets net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44.7 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34.3 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All Other - Private Assets Retention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93.8 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91.2 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93.8 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91.4 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Consolidated</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76.6 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75.2 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1.9 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144.2 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127.8 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12.8 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Subscription cancellations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(29.1)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(31.4)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(57.9)</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Net new recurring subscription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47.5 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43.8 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8.4 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87.1 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69.9 </w:t>
            </w:r>
          </w:p>
        </w:tc>
        <w:tc>
          <w:tcPr>
            <w:tcW w:w="25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24.6 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Non-recurring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20.6 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25.3 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(18.6)</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41.8 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42.9 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(2.6)</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gross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97.2 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100.5 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(3.3)</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186.0 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170.7 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9.0 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net sales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499"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68.1 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69.1 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128.9 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596"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112.8 </w:t>
            </w:r>
          </w:p>
        </w:tc>
        <w:tc>
          <w:tcPr>
            <w:tcW w:w="258"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14.3 </w:t>
            </w:r>
          </w:p>
        </w:tc>
        <w:tc>
          <w:tcPr>
            <w:tcW w:w="37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Total Retention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95.3 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94.4 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95.3 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94.8 </w:t>
            </w:r>
          </w:p>
        </w:tc>
        <w:tc>
          <w:tcPr>
            <w:tcW w:w="25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587"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See "Notes Regarding the Use of Operating Metrics" for details regarding the definition of new recurring subscription sales, subscription cancellations, net new recurring subscription sales, non-recurring sales, total gross sales, total net sales and Retention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7820"/>
                <wp:effectExtent l="0" t="0" r="0" b="0"/>
                <wp:wrapNone/>
                <wp:docPr id="20" name="Frame20"/>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Inter;sans-serif" w:hAnsi="Inter;sans-serif"/>
          <w:b/>
          <w:color w:val="000000"/>
          <w:sz w:val="22"/>
        </w:rPr>
        <w:t>Table 7: AUM in ETFs Linked to MSCI Equity Indexes (unaudited)</w:t>
      </w:r>
      <w:r>
        <w:rPr>
          <w:rFonts w:ascii="Inter;sans-serif" w:hAnsi="Inter;sans-serif"/>
          <w:b/>
          <w:color w:val="000000"/>
          <w:sz w:val="14"/>
        </w:rPr>
        <w:t>1,2</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7"/>
        <w:gridCol w:w="319"/>
        <w:gridCol w:w="271"/>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09"/>
        <w:gridCol w:w="109"/>
        <w:gridCol w:w="109"/>
        <w:gridCol w:w="109"/>
        <w:gridCol w:w="212"/>
        <w:gridCol w:w="619"/>
        <w:gridCol w:w="178"/>
      </w:tblGrid>
      <w:tr>
        <w:trPr/>
        <w:tc>
          <w:tcPr>
            <w:tcW w:w="6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5" w:type="dxa"/>
            <w:gridSpan w:val="30"/>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Sep.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Dec. 31,</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Mar. 31,</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r>
      <w:tr>
        <w:trPr/>
        <w:tc>
          <w:tcPr>
            <w:tcW w:w="1267"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 xml:space="preserve">Beginning Period AUM in ETFs linked </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 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1,783 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2,025 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2,211 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2,403 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1,725 </w:t>
            </w:r>
          </w:p>
        </w:tc>
        <w:tc>
          <w:tcPr>
            <w:tcW w:w="109"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78" w:type="dxa"/>
            <w:tcBorders>
              <w:top w:val="single" w:sz="8"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Market Appreciation/(Depreciation)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Cash Inflows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Period-End AUM in ETFs linked to</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2,025 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2,211 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2,341 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2,403 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2,818 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2,025 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2,818 </w:t>
            </w:r>
          </w:p>
        </w:tc>
        <w:tc>
          <w:tcPr>
            <w:tcW w:w="178"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Period Average AUM in ETFs linked to</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MSCI equity indexes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Period-End Basis Point Fee</w:t>
            </w:r>
            <w:r>
              <w:rPr>
                <w:rFonts w:ascii="Inter;sans-serif" w:hAnsi="Inter;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The historical values of the AUM in ETFs linked to our equity indexes as of the last day of the month and the monthly average balance can be found under the link “AUM in ETFs Linked to MSCI Equity Indexes” on our Investor Relations homepage at https://ir.msci.com. Information contained on our website is not incorporated by reference into this Press Release or any other report filed with the SEC. The AUM in ETFs also includes AUM in Exchange Traded Notes, the value of which is less than 1.0% of the AUM amounts presented.</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2</w:t>
            </w:r>
            <w:r>
              <w:rPr>
                <w:color w:val="000000"/>
              </w:rPr>
              <w:t xml:space="preserve"> </w:t>
            </w:r>
            <w:r>
              <w:rPr>
                <w:rFonts w:ascii="Inter;sans-serif" w:hAnsi="Inter;sans-serif"/>
                <w:b w:val="false"/>
                <w:color w:val="000000"/>
                <w:sz w:val="14"/>
              </w:rPr>
              <w:t>The value of AUM in ETFs linked to MSCI equity indexes is calculated by multiplying the equity ETFs net asset value by the number of shares outstanding.</w:t>
            </w:r>
          </w:p>
        </w:tc>
      </w:tr>
      <w:tr>
        <w:trPr/>
        <w:tc>
          <w:tcPr>
            <w:tcW w:w="10205" w:type="dxa"/>
            <w:gridSpan w:val="4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3</w:t>
            </w:r>
            <w:r>
              <w:rPr>
                <w:color w:val="000000"/>
              </w:rPr>
              <w:t xml:space="preserve"> </w:t>
            </w:r>
            <w:r>
              <w:rPr>
                <w:rFonts w:ascii="Inter;sans-serif" w:hAnsi="Inter;sans-serif"/>
                <w:b w:val="false"/>
                <w:color w:val="000000"/>
                <w:sz w:val="14"/>
              </w:rPr>
              <w:t>Based on period-end Run Rate for ETFs linked to MSCI equity indexes using period-end AUM.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pPr>
      <w:r>
        <w:rPr>
          <w:rFonts w:ascii="Inter;sans-serif" w:hAnsi="Inter;sans-serif"/>
          <w:b/>
          <w:color w:val="000000"/>
          <w:sz w:val="22"/>
        </w:rPr>
        <w:t>Table 8: Run Rate (unaudited)</w:t>
      </w:r>
      <w:r>
        <w:rPr>
          <w:rFonts w:ascii="Inter;sans-serif" w:hAnsi="Inter;sans-serif"/>
          <w:b/>
          <w:color w:val="000000"/>
          <w:sz w:val="14"/>
        </w:rPr>
        <w:t>1</w:t>
      </w:r>
    </w:p>
    <w:tbl>
      <w:tblPr>
        <w:tblW w:w="10205" w:type="dxa"/>
        <w:jc w:val="center"/>
        <w:tblInd w:w="0" w:type="dxa"/>
        <w:tblLayout w:type="fixed"/>
        <w:tblCellMar>
          <w:top w:w="28" w:type="dxa"/>
          <w:left w:w="28" w:type="dxa"/>
          <w:bottom w:w="28" w:type="dxa"/>
          <w:right w:w="28" w:type="dxa"/>
        </w:tblCellMar>
      </w:tblPr>
      <w:tblGrid>
        <w:gridCol w:w="1071"/>
        <w:gridCol w:w="896"/>
        <w:gridCol w:w="905"/>
        <w:gridCol w:w="109"/>
        <w:gridCol w:w="109"/>
        <w:gridCol w:w="109"/>
        <w:gridCol w:w="226"/>
        <w:gridCol w:w="886"/>
        <w:gridCol w:w="109"/>
        <w:gridCol w:w="109"/>
        <w:gridCol w:w="109"/>
        <w:gridCol w:w="109"/>
        <w:gridCol w:w="226"/>
        <w:gridCol w:w="886"/>
        <w:gridCol w:w="109"/>
        <w:gridCol w:w="109"/>
        <w:gridCol w:w="109"/>
        <w:gridCol w:w="109"/>
        <w:gridCol w:w="371"/>
        <w:gridCol w:w="326"/>
        <w:gridCol w:w="784"/>
        <w:gridCol w:w="109"/>
        <w:gridCol w:w="109"/>
        <w:gridCol w:w="109"/>
        <w:gridCol w:w="478"/>
        <w:gridCol w:w="413"/>
        <w:gridCol w:w="1211"/>
      </w:tblGrid>
      <w:tr>
        <w:trPr/>
        <w:tc>
          <w:tcPr>
            <w:tcW w:w="107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c>
          <w:tcPr>
            <w:tcW w:w="327" w:type="dxa"/>
            <w:gridSpan w:val="3"/>
            <w:tcBorders>
              <w:top w:val="single" w:sz="8"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Run Rate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Organic Run Rate Growth</w:t>
            </w:r>
          </w:p>
        </w:tc>
      </w:tr>
      <w:tr>
        <w:trPr/>
        <w:tc>
          <w:tcPr>
            <w:tcW w:w="287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11.4 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11.1 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25.2 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25.0 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2,027.0 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1,726.0 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17.4 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17.2 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3.2 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8.0 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3,479.7</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3,106.7</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12.0</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12.3</w:t>
            </w:r>
            <w:r>
              <w:rPr>
                <w:color w:val="000000"/>
              </w:rPr>
              <w:t>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7.8 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8.1 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Total 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25.2 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25.0 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3,479.7</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3,106.7</w:t>
            </w:r>
            <w:r>
              <w:rPr>
                <w:color w:val="000000"/>
              </w:rPr>
              <w:t> </w:t>
            </w:r>
          </w:p>
        </w:tc>
        <w:tc>
          <w:tcPr>
            <w:tcW w:w="109"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12.0</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12.3</w:t>
            </w:r>
            <w:r>
              <w:rPr>
                <w:color w:val="000000"/>
              </w:rPr>
              <w:t> </w:t>
            </w:r>
          </w:p>
        </w:tc>
        <w:tc>
          <w:tcPr>
            <w:tcW w:w="121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r>
      <w:tr>
        <w:trPr/>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6"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See "Notes Regarding the Use of Operating Metrics" for details regarding the definition of Run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7820"/>
                <wp:effectExtent l="0" t="0" r="0" b="0"/>
                <wp:wrapNone/>
                <wp:docPr id="21" name="Frame21"/>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9: Reconciliation of Net Income to Adjusted EBITDA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5"/>
        <w:gridCol w:w="731"/>
        <w:gridCol w:w="736"/>
        <w:gridCol w:w="136"/>
        <w:gridCol w:w="136"/>
        <w:gridCol w:w="136"/>
        <w:gridCol w:w="283"/>
        <w:gridCol w:w="885"/>
        <w:gridCol w:w="136"/>
        <w:gridCol w:w="136"/>
        <w:gridCol w:w="136"/>
        <w:gridCol w:w="136"/>
        <w:gridCol w:w="283"/>
        <w:gridCol w:w="885"/>
        <w:gridCol w:w="136"/>
        <w:gridCol w:w="136"/>
        <w:gridCol w:w="136"/>
        <w:gridCol w:w="136"/>
        <w:gridCol w:w="283"/>
        <w:gridCol w:w="1110"/>
        <w:gridCol w:w="136"/>
        <w:gridCol w:w="136"/>
        <w:gridCol w:w="136"/>
        <w:gridCol w:w="136"/>
        <w:gridCol w:w="283"/>
        <w:gridCol w:w="885"/>
        <w:gridCol w:w="206"/>
      </w:tblGrid>
      <w:tr>
        <w:trPr/>
        <w:tc>
          <w:tcPr>
            <w:tcW w:w="159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0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08"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306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342.0</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303.7</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1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748.0</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592.3</w:t>
            </w:r>
            <w:r>
              <w:rPr>
                <w:color w:val="000000"/>
              </w:rPr>
              <w:t> </w:t>
            </w:r>
          </w:p>
        </w:tc>
        <w:tc>
          <w:tcPr>
            <w:tcW w:w="20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Provision for income taxes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Other expense (income), net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Operating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487.5</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425.3</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944.4</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802.3</w:t>
            </w:r>
            <w:r>
              <w:rPr>
                <w:color w:val="000000"/>
              </w:rPr>
              <w:t> </w:t>
            </w:r>
          </w:p>
        </w:tc>
        <w:tc>
          <w:tcPr>
            <w:tcW w:w="20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Amortization of intangible assets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Depreciation and amortization of property,</w:t>
            </w:r>
          </w:p>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equipment and leasehold improvements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15" w:after="2"/>
              <w:jc w:val="left"/>
              <w:rPr/>
            </w:pPr>
            <w:r>
              <w:rPr>
                <w:rFonts w:ascii="Inter;sans-serif" w:hAnsi="Inter;sans-serif"/>
                <w:b w:val="false"/>
                <w:color w:val="000000"/>
                <w:sz w:val="16"/>
              </w:rPr>
              <w:t>Acquisition-related integration and transaction costs</w:t>
            </w:r>
            <w:r>
              <w:rPr>
                <w:rFonts w:ascii="Inter;sans-serif" w:hAnsi="Inter;sans-serif"/>
                <w:b w:val="false"/>
                <w:color w:val="000000"/>
                <w:sz w:val="10"/>
              </w:rPr>
              <w:t>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 adjusted EBITDA</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538.5</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474.4</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1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1,043.2</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900.0</w:t>
            </w:r>
            <w:r>
              <w:rPr>
                <w:color w:val="000000"/>
              </w:rPr>
              <w:t> </w:t>
            </w:r>
          </w:p>
        </w:tc>
        <w:tc>
          <w:tcPr>
            <w:tcW w:w="20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Index adjusted EBITDA</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Analytics adjusted EBITDA</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Sustainability and Climate adjusted EBITDA</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All Other - Private Assets adjusted EBITDA</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19.9 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 adjusted EBITDA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538.5</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474.4</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1110"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1,043.2</w:t>
            </w:r>
            <w:r>
              <w:rPr>
                <w:color w:val="000000"/>
              </w:rPr>
              <w:t> </w:t>
            </w:r>
          </w:p>
        </w:tc>
        <w:tc>
          <w:tcPr>
            <w:tcW w:w="13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88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900.0</w:t>
            </w:r>
            <w:r>
              <w:rPr>
                <w:color w:val="000000"/>
              </w:rPr>
              <w:t> </w:t>
            </w:r>
          </w:p>
        </w:tc>
        <w:tc>
          <w:tcPr>
            <w:tcW w:w="206"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40" w:after="2"/>
              <w:jc w:val="left"/>
              <w:rPr/>
            </w:pPr>
            <w:r>
              <w:rPr>
                <w:rFonts w:ascii="Inter;sans-serif" w:hAnsi="Inter;sans-serif"/>
                <w:b w:val="false"/>
                <w:color w:val="000000"/>
                <w:sz w:val="9"/>
              </w:rPr>
              <w:t xml:space="preserve">1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Inter;sans-serif" w:hAnsi="Inter;sans-serif"/>
          <w:b/>
          <w:color w:val="000000"/>
          <w:sz w:val="22"/>
        </w:rPr>
      </w:pPr>
      <w:r>
        <w:rPr>
          <w:rFonts w:ascii="Inter;sans-serif" w:hAnsi="Inter;sans-serif"/>
          <w:b/>
          <w:color w:val="000000"/>
          <w:sz w:val="22"/>
        </w:rPr>
        <w:t>Table 10: Reconciliation of Net Income and Diluted EPS to Adjusted Net Income and Adjusted EPS (unaudited)</w:t>
      </w:r>
    </w:p>
    <w:tbl>
      <w:tblPr>
        <w:tblW w:w="10205" w:type="dxa"/>
        <w:jc w:val="left"/>
        <w:tblInd w:w="0" w:type="dxa"/>
        <w:tblLayout w:type="fixed"/>
        <w:tblCellMar>
          <w:top w:w="28" w:type="dxa"/>
          <w:left w:w="28" w:type="dxa"/>
          <w:bottom w:w="28" w:type="dxa"/>
          <w:right w:w="28" w:type="dxa"/>
        </w:tblCellMar>
      </w:tblPr>
      <w:tblGrid>
        <w:gridCol w:w="1309"/>
        <w:gridCol w:w="872"/>
        <w:gridCol w:w="878"/>
        <w:gridCol w:w="141"/>
        <w:gridCol w:w="141"/>
        <w:gridCol w:w="141"/>
        <w:gridCol w:w="292"/>
        <w:gridCol w:w="914"/>
        <w:gridCol w:w="141"/>
        <w:gridCol w:w="141"/>
        <w:gridCol w:w="141"/>
        <w:gridCol w:w="141"/>
        <w:gridCol w:w="292"/>
        <w:gridCol w:w="914"/>
        <w:gridCol w:w="141"/>
        <w:gridCol w:w="141"/>
        <w:gridCol w:w="141"/>
        <w:gridCol w:w="141"/>
        <w:gridCol w:w="292"/>
        <w:gridCol w:w="914"/>
        <w:gridCol w:w="141"/>
        <w:gridCol w:w="141"/>
        <w:gridCol w:w="141"/>
        <w:gridCol w:w="141"/>
        <w:gridCol w:w="292"/>
        <w:gridCol w:w="914"/>
        <w:gridCol w:w="207"/>
      </w:tblGrid>
      <w:tr>
        <w:trPr/>
        <w:tc>
          <w:tcPr>
            <w:tcW w:w="13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Three Months Ended</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Six Months Ended</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2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c>
          <w:tcPr>
            <w:tcW w:w="42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June 30,</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 millions, except per share data</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2025</w:t>
            </w:r>
          </w:p>
        </w:tc>
      </w:tr>
      <w:tr>
        <w:trPr/>
        <w:tc>
          <w:tcPr>
            <w:tcW w:w="305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Net income</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342.0 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303.7 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748.0 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592.3 </w:t>
            </w:r>
          </w:p>
        </w:tc>
        <w:tc>
          <w:tcPr>
            <w:tcW w:w="20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Plus: Amortization of acquired intangible assets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Plus: Acquisition-related integration and transaction costs</w:t>
            </w:r>
            <w:r>
              <w:rPr>
                <w:rFonts w:ascii="Inter;sans-serif" w:hAnsi="Inter;sans-serif"/>
                <w:b w:val="false"/>
                <w:color w:val="000000"/>
                <w:sz w:val="10"/>
              </w:rPr>
              <w:t>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Tax impact of internal legal entity restructuring</w:t>
            </w:r>
            <w:r>
              <w:rPr>
                <w:rFonts w:ascii="Inter;sans-serif" w:hAnsi="Inter;sans-serif"/>
                <w:b w:val="false"/>
                <w:color w:val="000000"/>
                <w:sz w:val="10"/>
              </w:rPr>
              <w:t>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Income tax effect</w:t>
            </w:r>
            <w:r>
              <w:rPr>
                <w:rFonts w:ascii="Inter;sans-serif" w:hAnsi="Inter;sans-serif"/>
                <w:b w:val="false"/>
                <w:color w:val="000000"/>
                <w:sz w:val="10"/>
              </w:rPr>
              <w:t>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Adjusted net income</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360.0</w:t>
            </w:r>
            <w:r>
              <w:rPr>
                <w:color w:val="000000"/>
              </w:rPr>
              <w:t> </w:t>
            </w:r>
          </w:p>
        </w:tc>
        <w:tc>
          <w:tcPr>
            <w:tcW w:w="141" w:type="dxa"/>
            <w:tcBorders>
              <w:top w:val="single" w:sz="4"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322.9</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694.0</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634.0</w:t>
            </w:r>
            <w:r>
              <w:rPr>
                <w:color w:val="000000"/>
              </w:rPr>
              <w:t> </w:t>
            </w:r>
          </w:p>
        </w:tc>
        <w:tc>
          <w:tcPr>
            <w:tcW w:w="20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EPS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Plus: Amortization of acquired intangible assets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Plus: Acquisition-related integration and transaction costs</w:t>
            </w:r>
            <w:r>
              <w:rPr>
                <w:rFonts w:ascii="Inter;sans-serif" w:hAnsi="Inter;sans-serif"/>
                <w:b w:val="false"/>
                <w:color w:val="000000"/>
                <w:sz w:val="10"/>
              </w:rPr>
              <w:t>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Tax impact of internal legal entity restructuring</w:t>
            </w:r>
            <w:r>
              <w:rPr>
                <w:rFonts w:ascii="Inter;sans-serif" w:hAnsi="Inter;sans-serif"/>
                <w:b w:val="false"/>
                <w:color w:val="000000"/>
                <w:sz w:val="10"/>
              </w:rPr>
              <w:t>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pPr>
            <w:r>
              <w:rPr>
                <w:rFonts w:ascii="Inter;sans-serif" w:hAnsi="Inter;sans-serif"/>
                <w:b w:val="false"/>
                <w:color w:val="000000"/>
                <w:sz w:val="16"/>
              </w:rPr>
              <w:t>Less: Income tax effect</w:t>
            </w:r>
            <w:r>
              <w:rPr>
                <w:rFonts w:ascii="Inter;sans-serif" w:hAnsi="Inter;sans-serif"/>
                <w:b w:val="false"/>
                <w:color w:val="000000"/>
                <w:sz w:val="10"/>
              </w:rPr>
              <w:t>3</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(0.06)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Adjusted EPS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4.94</w:t>
            </w:r>
            <w:r>
              <w:rPr>
                <w:color w:val="000000"/>
              </w:rPr>
              <w:t> </w:t>
            </w:r>
          </w:p>
        </w:tc>
        <w:tc>
          <w:tcPr>
            <w:tcW w:w="14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4.17</w:t>
            </w:r>
            <w:r>
              <w:rPr>
                <w:color w:val="000000"/>
              </w:rPr>
              <w:t> </w:t>
            </w:r>
          </w:p>
        </w:tc>
        <w:tc>
          <w:tcPr>
            <w:tcW w:w="14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9.49</w:t>
            </w:r>
            <w:r>
              <w:rPr>
                <w:color w:val="000000"/>
              </w:rPr>
              <w:t> </w:t>
            </w:r>
          </w:p>
        </w:tc>
        <w:tc>
          <w:tcPr>
            <w:tcW w:w="14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6"/>
              </w:rPr>
            </w:pPr>
            <w:r>
              <w:rPr>
                <w:rFonts w:ascii="Inter;sans-serif" w:hAnsi="Inter;sans-serif"/>
                <w:b/>
                <w:color w:val="000000"/>
                <w:sz w:val="16"/>
              </w:rPr>
              <w:t>$</w:t>
            </w:r>
          </w:p>
        </w:tc>
        <w:tc>
          <w:tcPr>
            <w:tcW w:w="914" w:type="dxa"/>
            <w:tcBorders>
              <w:top w:val="single" w:sz="4" w:space="0" w:color="494949"/>
            </w:tcBorders>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6"/>
              </w:rPr>
              <w:t>8.17</w:t>
            </w:r>
            <w:r>
              <w:rPr>
                <w:color w:val="000000"/>
              </w:rPr>
              <w:t> </w:t>
            </w:r>
          </w:p>
        </w:tc>
        <w:tc>
          <w:tcPr>
            <w:tcW w:w="207"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Diluted weighted average common shares outstanding</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77.7 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40" w:after="1"/>
              <w:jc w:val="left"/>
              <w:rPr/>
            </w:pPr>
            <w:r>
              <w:rPr>
                <w:rFonts w:ascii="Inter;sans-serif" w:hAnsi="Inter;sans-serif"/>
                <w:b w:val="false"/>
                <w:color w:val="000000"/>
                <w:sz w:val="9"/>
              </w:rPr>
              <w:t xml:space="preserve">1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9"/>
              </w:rPr>
              <w:t xml:space="preserve">2 </w:t>
            </w:r>
            <w:r>
              <w:rPr>
                <w:rFonts w:ascii="Inter;sans-serif" w:hAnsi="Inter;sans-serif"/>
                <w:b w:val="false"/>
                <w:color w:val="000000"/>
                <w:sz w:val="14"/>
              </w:rPr>
              <w:t>This adjustment reflects income tax effects recognized in connection with a multi-phase internal legal entity restructuring that commenced in fourth quarter 2025 and was completed in first quarter 2026. In fourth quarter 2025, the Company recognized discrete tax expense of $38 million related to the first phase and recognized a discrete tax benefit of approximately $88 million in first quarter 2026 related to the subsequent phases of this internal legal entity restructuring. Management excludes these discrete tax effects from non-GAAP results because they are not indicative of ongoing operating performance or the Company’s underlying tax profile.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9"/>
              </w:rPr>
              <w:t>3</w:t>
            </w:r>
            <w:r>
              <w:rPr>
                <w:rFonts w:ascii="Inter;sans-serif" w:hAnsi="Inter;sans-serif"/>
                <w:b w:val="false"/>
                <w:color w:val="000000"/>
                <w:sz w:val="14"/>
              </w:rPr>
              <w:t>Adjustments relate to the tax effect of non-GAAP adjustments, which were determined based on the nature of the underlying non-GAAP adjustments and their relevant jurisdictional tax rates.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7820"/>
                <wp:effectExtent l="0" t="0" r="0" b="0"/>
                <wp:wrapNone/>
                <wp:docPr id="22" name="Frame22"/>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11: Reconciliation of Operating Expenses to Adjusted EBITDA Expenses (unaudited)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2"/>
        <w:gridCol w:w="626"/>
        <w:gridCol w:w="586"/>
        <w:gridCol w:w="134"/>
        <w:gridCol w:w="134"/>
        <w:gridCol w:w="134"/>
        <w:gridCol w:w="242"/>
        <w:gridCol w:w="706"/>
        <w:gridCol w:w="134"/>
        <w:gridCol w:w="134"/>
        <w:gridCol w:w="134"/>
        <w:gridCol w:w="134"/>
        <w:gridCol w:w="242"/>
        <w:gridCol w:w="706"/>
        <w:gridCol w:w="134"/>
        <w:gridCol w:w="134"/>
        <w:gridCol w:w="134"/>
        <w:gridCol w:w="134"/>
        <w:gridCol w:w="242"/>
        <w:gridCol w:w="706"/>
        <w:gridCol w:w="134"/>
        <w:gridCol w:w="134"/>
        <w:gridCol w:w="134"/>
        <w:gridCol w:w="134"/>
        <w:gridCol w:w="242"/>
        <w:gridCol w:w="706"/>
        <w:gridCol w:w="134"/>
        <w:gridCol w:w="134"/>
        <w:gridCol w:w="134"/>
        <w:gridCol w:w="134"/>
        <w:gridCol w:w="403"/>
        <w:gridCol w:w="374"/>
        <w:gridCol w:w="536"/>
      </w:tblGrid>
      <w:tr>
        <w:trPr/>
        <w:tc>
          <w:tcPr>
            <w:tcW w:w="134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Six Months Ended</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Full-Year</w:t>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0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pPr>
            <w:r>
              <w:rPr>
                <w:rFonts w:ascii="Inter;sans-serif" w:hAnsi="Inter;sans-serif"/>
                <w:b/>
                <w:color w:val="000000"/>
                <w:sz w:val="14"/>
              </w:rPr>
              <w:t xml:space="preserve">Guidance </w:t>
            </w:r>
            <w:r>
              <w:rPr>
                <w:rFonts w:ascii="Inter;sans-serif" w:hAnsi="Inter;sans-serif"/>
                <w:b/>
                <w:color w:val="000000"/>
                <w:sz w:val="9"/>
              </w:rPr>
              <w:t>1</w:t>
            </w:r>
          </w:p>
        </w:tc>
      </w:tr>
      <w:tr>
        <w:trPr/>
        <w:tc>
          <w:tcPr>
            <w:tcW w:w="25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Total operating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379.5 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347.4 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773.4 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716.2 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4"/>
              </w:rPr>
            </w:pPr>
            <w:r>
              <w:rPr>
                <w:rFonts w:ascii="Inter;sans-serif" w:hAnsi="Inter;sans-serif"/>
                <w:b w:val="false"/>
                <w:color w:val="000000"/>
                <w:sz w:val="14"/>
              </w:rPr>
              <w:t>$1,535.0 - $1,575.0</w:t>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Amortization of intangible assets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Depreciation and amortization of property,</w:t>
            </w:r>
          </w:p>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equipment and leasehold improvements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4"/>
              </w:rPr>
            </w:pPr>
            <w:r>
              <w:rPr>
                <w:rFonts w:ascii="Inter;sans-serif" w:hAnsi="Inter;sans-serif"/>
                <w:b w:val="false"/>
                <w:color w:val="000000"/>
                <w:sz w:val="14"/>
              </w:rPr>
              <w:t>$195.0 - $205.0</w:t>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15" w:after="2"/>
              <w:jc w:val="left"/>
              <w:rPr/>
            </w:pPr>
            <w:r>
              <w:rPr>
                <w:rFonts w:ascii="Inter;sans-serif" w:hAnsi="Inter;sans-serif"/>
                <w:b w:val="false"/>
                <w:color w:val="000000"/>
                <w:sz w:val="14"/>
              </w:rPr>
              <w:t>Acquisition-related integration and transaction costs</w:t>
            </w:r>
            <w:r>
              <w:rPr>
                <w:rFonts w:ascii="Inter;sans-serif" w:hAnsi="Inter;sans-serif"/>
                <w:b w:val="false"/>
                <w:color w:val="000000"/>
                <w:sz w:val="9"/>
              </w:rPr>
              <w:t>2</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Consolidated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328.5</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298.3</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674.6</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618.5</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$1,340.0 - $1,370.0</w:t>
            </w:r>
          </w:p>
        </w:tc>
      </w:tr>
      <w:tr>
        <w:trPr/>
        <w:tc>
          <w:tcPr>
            <w:tcW w:w="25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Index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234.3 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214.8 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Analytics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85.1 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208.6 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181.3 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Sustainability and Climate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All Other - Private Assets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104.4 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Consolidated adjusted EBITDA expenses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328.5</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298.3</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674.6</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0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618.5</w:t>
            </w:r>
            <w:r>
              <w:rPr>
                <w:color w:val="000000"/>
              </w:rPr>
              <w:t> </w:t>
            </w:r>
          </w:p>
        </w:tc>
        <w:tc>
          <w:tcPr>
            <w:tcW w:w="134"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$1,340.0 - $1,370.0</w:t>
            </w:r>
          </w:p>
        </w:tc>
      </w:tr>
      <w:tr>
        <w:trPr/>
        <w:tc>
          <w:tcPr>
            <w:tcW w:w="255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We have not provided a full line-item reconciliation for total operating expenses to adjusted EBITDA expenses for this future period because we believe such a reconciliation would imply a degree of precision and certainty that could be confusing to investors and we are unable to reasonably predict certain items contained in the GAAP measure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See “Forward-Looking Statements” above.</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40" w:after="1"/>
              <w:jc w:val="left"/>
              <w:rPr/>
            </w:pPr>
            <w:r>
              <w:rPr>
                <w:rFonts w:ascii="Inter;sans-serif" w:hAnsi="Inter;sans-serif"/>
                <w:b w:val="false"/>
                <w:color w:val="000000"/>
                <w:sz w:val="9"/>
              </w:rPr>
              <w:t xml:space="preserve">2 </w:t>
            </w:r>
            <w:r>
              <w:rPr>
                <w:rFonts w:ascii="Inter;sans-serif" w:hAnsi="Inter;sans-serif"/>
                <w:b w:val="false"/>
                <w:color w:val="000000"/>
                <w:sz w:val="14"/>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Inter;sans-serif" w:hAnsi="Inter;sans-serif"/>
          <w:b/>
          <w:color w:val="000000"/>
          <w:sz w:val="22"/>
        </w:rPr>
      </w:pPr>
      <w:r>
        <w:rPr>
          <w:rFonts w:ascii="Inter;sans-serif" w:hAnsi="Inter;sans-serif"/>
          <w:b/>
          <w:color w:val="000000"/>
          <w:sz w:val="22"/>
        </w:rPr>
        <w:t xml:space="preserve">Table 12: Reconciliation of Net Cash Provided by Operating Activities to Free Cash Flow (unaudited)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9"/>
        <w:gridCol w:w="617"/>
        <w:gridCol w:w="578"/>
        <w:gridCol w:w="141"/>
        <w:gridCol w:w="141"/>
        <w:gridCol w:w="141"/>
        <w:gridCol w:w="255"/>
        <w:gridCol w:w="743"/>
        <w:gridCol w:w="141"/>
        <w:gridCol w:w="141"/>
        <w:gridCol w:w="141"/>
        <w:gridCol w:w="141"/>
        <w:gridCol w:w="255"/>
        <w:gridCol w:w="743"/>
        <w:gridCol w:w="141"/>
        <w:gridCol w:w="141"/>
        <w:gridCol w:w="141"/>
        <w:gridCol w:w="141"/>
        <w:gridCol w:w="255"/>
        <w:gridCol w:w="743"/>
        <w:gridCol w:w="141"/>
        <w:gridCol w:w="141"/>
        <w:gridCol w:w="141"/>
        <w:gridCol w:w="141"/>
        <w:gridCol w:w="255"/>
        <w:gridCol w:w="743"/>
        <w:gridCol w:w="141"/>
        <w:gridCol w:w="141"/>
        <w:gridCol w:w="141"/>
        <w:gridCol w:w="141"/>
        <w:gridCol w:w="419"/>
        <w:gridCol w:w="419"/>
        <w:gridCol w:w="572"/>
      </w:tblGrid>
      <w:tr>
        <w:trPr/>
        <w:tc>
          <w:tcPr>
            <w:tcW w:w="9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Three Months Ended</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Six Months Ended</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Full-Year</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2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2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June 30,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in millions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2025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pPr>
            <w:r>
              <w:rPr>
                <w:rFonts w:ascii="Inter;sans-serif" w:hAnsi="Inter;sans-serif"/>
                <w:b/>
                <w:color w:val="000000"/>
                <w:sz w:val="14"/>
              </w:rPr>
              <w:t xml:space="preserve">Guidance </w:t>
            </w:r>
            <w:r>
              <w:rPr>
                <w:rFonts w:ascii="Inter;sans-serif" w:hAnsi="Inter;sans-serif"/>
                <w:b/>
                <w:color w:val="000000"/>
                <w:sz w:val="9"/>
              </w:rPr>
              <w:t>1</w:t>
            </w:r>
          </w:p>
        </w:tc>
      </w:tr>
      <w:tr>
        <w:trPr/>
        <w:tc>
          <w:tcPr>
            <w:tcW w:w="212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Net cash provided by operating activities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370.8 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336.2 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677.6 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637.9 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$1,655.0 - $1,705.0</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Capital expenditures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(11.4)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(13.8)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(22.9)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Capitalized software development costs</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(33.4)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(23.1)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(59.4)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4"/>
              </w:rPr>
            </w:pPr>
            <w:r>
              <w:rPr>
                <w:rFonts w:ascii="Inter;sans-serif" w:hAnsi="Inter;sans-serif"/>
                <w:b w:val="false"/>
                <w:color w:val="000000"/>
                <w:sz w:val="14"/>
              </w:rPr>
              <w:t>Capex</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(44.4)</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(34.5)</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(73.2)</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4"/>
              </w:rPr>
            </w:pPr>
            <w:r>
              <w:rPr>
                <w:rFonts w:ascii="Inter;sans-serif" w:hAnsi="Inter;sans-serif"/>
                <w:b w:val="false"/>
                <w:color w:val="000000"/>
                <w:sz w:val="14"/>
              </w:rPr>
              <w:t>(67.4)</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($160.0 - $170.0)</w:t>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4"/>
              </w:rPr>
            </w:pPr>
            <w:r>
              <w:rPr>
                <w:rFonts w:ascii="Inter;sans-serif" w:hAnsi="Inter;sans-serif"/>
                <w:b/>
                <w:color w:val="000000"/>
                <w:sz w:val="14"/>
              </w:rPr>
              <w:t>Free cash flow</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326.4</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301.7</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604.4</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color w:val="000000"/>
                <w:sz w:val="14"/>
              </w:rPr>
            </w:pPr>
            <w:r>
              <w:rPr>
                <w:rFonts w:ascii="Inter;sans-serif" w:hAnsi="Inter;sans-serif"/>
                <w:b/>
                <w:color w:val="000000"/>
                <w:sz w:val="14"/>
              </w:rPr>
              <w:t>$</w:t>
            </w:r>
          </w:p>
        </w:tc>
        <w:tc>
          <w:tcPr>
            <w:tcW w:w="74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pPr>
            <w:r>
              <w:rPr>
                <w:rFonts w:ascii="Inter;sans-serif" w:hAnsi="Inter;sans-serif"/>
                <w:b/>
                <w:color w:val="000000"/>
                <w:sz w:val="14"/>
              </w:rPr>
              <w:t>570.5</w:t>
            </w:r>
            <w:r>
              <w:rPr>
                <w:color w:val="000000"/>
              </w:rPr>
              <w:t> </w:t>
            </w:r>
          </w:p>
        </w:tc>
        <w:tc>
          <w:tcPr>
            <w:tcW w:w="141"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4"/>
              </w:rPr>
            </w:pPr>
            <w:r>
              <w:rPr>
                <w:rFonts w:ascii="Inter;sans-serif" w:hAnsi="Inter;sans-serif"/>
                <w:b/>
                <w:color w:val="000000"/>
                <w:sz w:val="14"/>
              </w:rPr>
              <w:t>$1,485.0 - $1,545.0</w:t>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Inter;sans-serif" w:hAnsi="Inter;sans-serif"/>
                <w:b w:val="false"/>
                <w:color w:val="000000"/>
                <w:sz w:val="10"/>
              </w:rPr>
              <w:t>1</w:t>
            </w:r>
            <w:r>
              <w:rPr>
                <w:color w:val="000000"/>
              </w:rPr>
              <w:t xml:space="preserve"> </w:t>
            </w:r>
            <w:r>
              <w:rPr>
                <w:rFonts w:ascii="Inter;sans-serif" w:hAnsi="Inter;sans-serif"/>
                <w:b w:val="false"/>
                <w:color w:val="000000"/>
                <w:sz w:val="14"/>
              </w:rPr>
              <w:t>We have not provided a line-item reconciliation for free cash flow to net cash provided by operating activities for this future period because we believe such a reconciliation would imply a degree of precision and certainty that could be confusing to investors and we are unable to reasonably predict certain items contained in the GAAP measure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See “Forward-Looking Statements” above.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7820"/>
                <wp:effectExtent l="0" t="0" r="0" b="0"/>
                <wp:wrapNone/>
                <wp:docPr id="23" name="Frame23"/>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13: Second Quarter 2026 Reconciliation of Operating Revenue Growth to Organic Operating Revenue Growth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4"/>
        <w:gridCol w:w="677"/>
        <w:gridCol w:w="681"/>
        <w:gridCol w:w="109"/>
        <w:gridCol w:w="109"/>
        <w:gridCol w:w="109"/>
        <w:gridCol w:w="465"/>
        <w:gridCol w:w="244"/>
        <w:gridCol w:w="575"/>
        <w:gridCol w:w="147"/>
        <w:gridCol w:w="147"/>
        <w:gridCol w:w="147"/>
        <w:gridCol w:w="370"/>
        <w:gridCol w:w="370"/>
        <w:gridCol w:w="871"/>
        <w:gridCol w:w="147"/>
        <w:gridCol w:w="147"/>
        <w:gridCol w:w="147"/>
        <w:gridCol w:w="324"/>
        <w:gridCol w:w="324"/>
        <w:gridCol w:w="768"/>
        <w:gridCol w:w="147"/>
        <w:gridCol w:w="147"/>
        <w:gridCol w:w="147"/>
        <w:gridCol w:w="378"/>
        <w:gridCol w:w="378"/>
        <w:gridCol w:w="1056"/>
      </w:tblGrid>
      <w:tr>
        <w:trPr/>
        <w:tc>
          <w:tcPr>
            <w:tcW w:w="10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6" w:type="dxa"/>
            <w:gridSpan w:val="21"/>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Comparison of the Three Months Ended June 30, 2026 and 2025</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4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4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4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17.5 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11.6 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(0.7)</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17.5 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11.5 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6.6 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9.5 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0.5 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7.0 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10.0 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(55.7)</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3.4 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4.0 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3.0 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3.7 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(26.3)</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5.3 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(0.5)</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(0.6)</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4.4 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4.7 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(22.2)</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575"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9.0 </w:t>
            </w:r>
          </w:p>
        </w:tc>
        <w:tc>
          <w:tcPr>
            <w:tcW w:w="871"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8"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(20.5)</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575"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871"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768"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12.2 </w:t>
            </w:r>
          </w:p>
        </w:tc>
        <w:tc>
          <w:tcPr>
            <w:tcW w:w="575"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9.0 </w:t>
            </w:r>
          </w:p>
        </w:tc>
        <w:tc>
          <w:tcPr>
            <w:tcW w:w="871"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8"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(20.9)</w:t>
            </w:r>
          </w:p>
        </w:tc>
        <w:tc>
          <w:tcPr>
            <w:tcW w:w="10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7820"/>
                <wp:effectExtent l="0" t="0" r="0" b="0"/>
                <wp:wrapNone/>
                <wp:docPr id="24" name="Frame24"/>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Inter;sans-serif" w:hAnsi="Inter;sans-serif"/>
          <w:b/>
          <w:color w:val="000000"/>
          <w:sz w:val="22"/>
        </w:rPr>
      </w:pPr>
      <w:r>
        <w:rPr>
          <w:rFonts w:ascii="Inter;sans-serif" w:hAnsi="Inter;sans-serif"/>
          <w:b/>
          <w:color w:val="000000"/>
          <w:sz w:val="22"/>
        </w:rPr>
        <w:t>Table 14: Six Months 2026 Reconciliation of Operating Revenue Growth to Organic Operating Revenue Growth (unaudited)</w:t>
      </w:r>
    </w:p>
    <w:tbl>
      <w:tblPr>
        <w:tblW w:w="10205" w:type="dxa"/>
        <w:jc w:val="left"/>
        <w:tblInd w:w="0" w:type="dxa"/>
        <w:tblLayout w:type="fixed"/>
        <w:tblCellMar>
          <w:top w:w="28" w:type="dxa"/>
          <w:left w:w="28" w:type="dxa"/>
          <w:bottom w:w="28" w:type="dxa"/>
          <w:right w:w="28" w:type="dxa"/>
        </w:tblCellMar>
      </w:tblPr>
      <w:tblGrid>
        <w:gridCol w:w="1077"/>
        <w:gridCol w:w="681"/>
        <w:gridCol w:w="685"/>
        <w:gridCol w:w="109"/>
        <w:gridCol w:w="109"/>
        <w:gridCol w:w="109"/>
        <w:gridCol w:w="471"/>
        <w:gridCol w:w="243"/>
        <w:gridCol w:w="572"/>
        <w:gridCol w:w="145"/>
        <w:gridCol w:w="145"/>
        <w:gridCol w:w="145"/>
        <w:gridCol w:w="370"/>
        <w:gridCol w:w="370"/>
        <w:gridCol w:w="873"/>
        <w:gridCol w:w="145"/>
        <w:gridCol w:w="145"/>
        <w:gridCol w:w="145"/>
        <w:gridCol w:w="325"/>
        <w:gridCol w:w="325"/>
        <w:gridCol w:w="769"/>
        <w:gridCol w:w="145"/>
        <w:gridCol w:w="145"/>
        <w:gridCol w:w="145"/>
        <w:gridCol w:w="378"/>
        <w:gridCol w:w="378"/>
        <w:gridCol w:w="1056"/>
      </w:tblGrid>
      <w:tr>
        <w:trPr/>
        <w:tc>
          <w:tcPr>
            <w:tcW w:w="10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5" w:type="dxa"/>
            <w:gridSpan w:val="21"/>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Comparison of the Six Months Ended June 30, 2026 and 2025</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3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3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35"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17.6 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24.5 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0.1 </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0.2 </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17.5 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10.3 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26.5 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24.1 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8.4 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2.0 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8.7 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9.0 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1.0 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5.9 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6.9 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(36.8)</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(2.7)</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3.3 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4.3 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(39.5)</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6.4 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(1.6)</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(1.5)</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4.8 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4.9 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Total</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Recurring Subscription</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Asset-Based Fees</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center"/>
              <w:rPr>
                <w:rFonts w:ascii="Inter;sans-serif" w:hAnsi="Inter;sans-serif"/>
                <w:b/>
                <w:color w:val="000000"/>
                <w:sz w:val="16"/>
              </w:rPr>
            </w:pPr>
            <w:r>
              <w:rPr>
                <w:rFonts w:ascii="Inter;sans-serif" w:hAnsi="Inter;sans-serif"/>
                <w:b/>
                <w:color w:val="000000"/>
                <w:sz w:val="16"/>
              </w:rPr>
              <w:t>Non-Recurring Revenues</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color w:val="000000"/>
                <w:sz w:val="16"/>
              </w:rPr>
            </w:pPr>
            <w:r>
              <w:rPr>
                <w:rFonts w:ascii="Inter;sans-serif" w:hAnsi="Inter;sans-serif"/>
                <w:b/>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center"/>
              <w:rPr>
                <w:rFonts w:ascii="Inter;sans-serif" w:hAnsi="Inter;sans-serif"/>
                <w:b w:val="false"/>
                <w:color w:val="000000"/>
                <w:sz w:val="16"/>
              </w:rPr>
            </w:pPr>
            <w:r>
              <w:rPr>
                <w:rFonts w:ascii="Inter;sans-serif" w:hAnsi="Inter;sans-serif"/>
                <w:b w:val="false"/>
                <w:color w:val="000000"/>
                <w:sz w:val="16"/>
              </w:rPr>
              <w:t>Change Percentage</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13.1 </w:t>
            </w:r>
          </w:p>
        </w:tc>
        <w:tc>
          <w:tcPr>
            <w:tcW w:w="572"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8.8 </w:t>
            </w:r>
          </w:p>
        </w:tc>
        <w:tc>
          <w:tcPr>
            <w:tcW w:w="87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26.6 </w:t>
            </w:r>
          </w:p>
        </w:tc>
        <w:tc>
          <w:tcPr>
            <w:tcW w:w="769"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11.8 </w:t>
            </w:r>
          </w:p>
        </w:tc>
        <w:tc>
          <w:tcPr>
            <w:tcW w:w="1056"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acquisitions and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(0.1)</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Impact of foreign currency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w:t>
            </w:r>
          </w:p>
        </w:tc>
        <w:tc>
          <w:tcPr>
            <w:tcW w:w="572"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(0.4)</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0.3 </w:t>
            </w:r>
          </w:p>
        </w:tc>
        <w:tc>
          <w:tcPr>
            <w:tcW w:w="1056" w:type="dxa"/>
            <w:tcBorders/>
            <w:shd w:fill="FFFFFF" w:val="clear"/>
            <w:tcMar>
              <w:top w:w="0" w:type="dxa"/>
              <w:left w:w="0" w:type="dxa"/>
              <w:bottom w:w="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Inter;sans-serif" w:hAnsi="Inter;sans-serif"/>
                <w:b w:val="false"/>
                <w:color w:val="000000"/>
                <w:sz w:val="16"/>
              </w:rPr>
            </w:pPr>
            <w:r>
              <w:rPr>
                <w:rFonts w:ascii="Inter;sans-serif" w:hAnsi="Inter;sans-serif"/>
                <w:b w:val="false"/>
                <w:color w:val="000000"/>
                <w:sz w:val="16"/>
              </w:rPr>
              <w:t>Organic operating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12.7 </w:t>
            </w:r>
          </w:p>
        </w:tc>
        <w:tc>
          <w:tcPr>
            <w:tcW w:w="572"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8.3 </w:t>
            </w:r>
          </w:p>
        </w:tc>
        <w:tc>
          <w:tcPr>
            <w:tcW w:w="873"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26.5 </w:t>
            </w:r>
          </w:p>
        </w:tc>
        <w:tc>
          <w:tcPr>
            <w:tcW w:w="769"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11.8 </w:t>
            </w:r>
          </w:p>
        </w:tc>
        <w:tc>
          <w:tcPr>
            <w:tcW w:w="1056" w:type="dxa"/>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319" w:before="0" w:after="2"/>
              <w:jc w:val="right"/>
              <w:rPr>
                <w:rFonts w:ascii="Inter;sans-serif" w:hAnsi="Inter;sans-serif"/>
                <w:b w:val="false"/>
                <w:color w:val="000000"/>
                <w:sz w:val="16"/>
              </w:rPr>
            </w:pPr>
            <w:r>
              <w:rPr>
                <w:rFonts w:ascii="Inter;sans-serif" w:hAnsi="Inter;sans-serif"/>
                <w:b w:val="false"/>
                <w:color w:val="000000"/>
                <w:sz w:val="16"/>
              </w:rPr>
              <w:t>%</w:t>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7820"/>
                <wp:effectExtent l="0" t="0" r="0" b="0"/>
                <wp:wrapNone/>
                <wp:docPr id="25" name="Frame25"/>
                <a:graphic xmlns:a="http://schemas.openxmlformats.org/drawingml/2006/main">
                  <a:graphicData uri="http://schemas.microsoft.com/office/word/2010/wordprocessingShape">
                    <wps:wsp>
                      <wps:cNvSpPr txBox="1"/>
                      <wps:spPr>
                        <a:xfrm>
                          <a:off x="0" y="0"/>
                          <a:ext cx="6480175" cy="337820"/>
                        </a:xfrm>
                        <a:prstGeom prst="rect"/>
                        <a:solidFill>
                          <a:srgbClr val="FFFFFF"/>
                        </a:solidFill>
                      </wps:spPr>
                      <wps:txb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Inter Light;sans-serif" w:hAnsi="Inter Light;sans-serif"/>
                          <w:b w:val="false"/>
                          <w:color w:val="465058"/>
                          <w:sz w:val="22"/>
                        </w:rPr>
                      </w:pPr>
                      <w:r>
                        <w:rPr>
                          <w:rFonts w:ascii="Inter Light;sans-serif" w:hAnsi="Inter Light;sans-serif"/>
                          <w:b w:val="false"/>
                          <w:color w:val="465058"/>
                          <w:sz w:val="22"/>
                        </w:rPr>
                        <w:t>22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Inter SemiBold">
    <w:altName w:val="sans-serif"/>
    <w:charset w:val="01"/>
    <w:family w:val="auto"/>
    <w:pitch w:val="default"/>
  </w:font>
  <w:font w:name="Inter">
    <w:altName w:val="sans-serif"/>
    <w:charset w:val="01"/>
    <w:family w:val="auto"/>
    <w:pitch w:val="default"/>
  </w:font>
  <w:font w:name="Inter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9776</Words>
  <Characters>52020</Characters>
  <CharactersWithSpaces>60074</CharactersWithSpaces>
  <Paragraphs>2851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