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Gutowski Robert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MSCI INC.</w:t>
      </w:r>
    </w:p>
    <w:p>
      <w:pPr>
        <w:spacing w:after="0" w:line="71" w:lineRule="exact"/>
        <w:rPr>
          <w:sz w:val="24"/>
          <w:szCs w:val="24"/>
          <w:color w:val="auto"/>
        </w:rPr>
      </w:pPr>
    </w:p>
    <w:p>
      <w:pPr>
        <w:ind w:left="120" w:right="100"/>
        <w:spacing w:after="0" w:line="299" w:lineRule="auto"/>
        <w:rPr>
          <w:sz w:val="20"/>
          <w:szCs w:val="20"/>
          <w:color w:val="auto"/>
        </w:rPr>
      </w:pPr>
      <w:r>
        <w:rPr>
          <w:rFonts w:ascii="Times New Roman" w:cs="Times New Roman" w:eastAsia="Times New Roman" w:hAnsi="Times New Roman"/>
          <w:sz w:val="17"/>
          <w:szCs w:val="17"/>
          <w:color w:val="0000FF"/>
        </w:rPr>
        <w:t>7 WORLD TRADE CENTER, 250 GREENWICH ST.</w:t>
      </w:r>
    </w:p>
    <w:p>
      <w:pPr>
        <w:spacing w:after="0" w:line="221"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MSCI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MSCI</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900" w:type="dxa"/>
            <w:vAlign w:val="bottom"/>
            <w:tcBorders>
              <w:bottom w:val="single" w:sz="8" w:color="0000EE"/>
            </w:tcBorders>
          </w:tcPr>
          <w:p>
            <w:pPr>
              <w:spacing w:after="0"/>
              <w:rPr>
                <w:sz w:val="3"/>
                <w:szCs w:val="3"/>
                <w:color w:val="auto"/>
              </w:rPr>
            </w:pPr>
          </w:p>
        </w:tc>
        <w:tc>
          <w:tcPr>
            <w:tcW w:w="28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Foreign Trading Symbol</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8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8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840" w:type="dxa"/>
            <w:vAlign w:val="bottom"/>
            <w:tcBorders>
              <w:bottom w:val="single" w:sz="8" w:color="808080"/>
            </w:tcBorders>
          </w:tcPr>
          <w:p>
            <w:pPr>
              <w:spacing w:after="0"/>
              <w:rPr>
                <w:sz w:val="17"/>
                <w:szCs w:val="17"/>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79"/>
        </w:trPr>
        <w:tc>
          <w:tcPr>
            <w:tcW w:w="80" w:type="dxa"/>
            <w:vAlign w:val="bottom"/>
            <w:tcBorders>
              <w:top w:val="single" w:sz="8" w:color="2C2C2C"/>
            </w:tcBorders>
          </w:tcPr>
          <w:p>
            <w:pPr>
              <w:spacing w:after="0"/>
              <w:rPr>
                <w:sz w:val="15"/>
                <w:szCs w:val="15"/>
                <w:color w:val="auto"/>
              </w:rPr>
            </w:pPr>
          </w:p>
        </w:tc>
        <w:tc>
          <w:tcPr>
            <w:tcW w:w="3740" w:type="dxa"/>
            <w:vAlign w:val="bottom"/>
            <w:tcBorders>
              <w:top w:val="single" w:sz="8" w:color="2C2C2C"/>
            </w:tcBorders>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1080"/>
              <w:spacing w:after="0" w:line="179" w:lineRule="exact"/>
              <w:rPr>
                <w:sz w:val="20"/>
                <w:szCs w:val="20"/>
                <w:color w:val="auto"/>
              </w:rPr>
            </w:pPr>
            <w:r>
              <w:rPr>
                <w:rFonts w:ascii="Times New Roman" w:cs="Times New Roman" w:eastAsia="Times New Roman" w:hAnsi="Times New Roman"/>
                <w:sz w:val="17"/>
                <w:szCs w:val="17"/>
                <w:color w:val="0000FF"/>
              </w:rPr>
              <w:t>General Counsel</w:t>
            </w:r>
          </w:p>
        </w:tc>
        <w:tc>
          <w:tcPr>
            <w:tcW w:w="0" w:type="dxa"/>
            <w:vAlign w:val="bottom"/>
          </w:tcPr>
          <w:p>
            <w:pPr>
              <w:spacing w:after="0"/>
              <w:rPr>
                <w:sz w:val="1"/>
                <w:szCs w:val="1"/>
                <w:color w:val="auto"/>
              </w:rPr>
            </w:pPr>
          </w:p>
        </w:tc>
      </w:tr>
      <w:tr>
        <w:trPr>
          <w:trHeight w:val="226"/>
        </w:trPr>
        <w:tc>
          <w:tcPr>
            <w:tcW w:w="9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10/22/2026</w:t>
            </w:r>
          </w:p>
        </w:tc>
        <w:tc>
          <w:tcPr>
            <w:tcW w:w="28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8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2840" w:type="dxa"/>
            <w:vAlign w:val="bottom"/>
            <w:tcBorders>
              <w:bottom w:val="single" w:sz="8" w:color="2C2C2C"/>
            </w:tcBorders>
          </w:tcPr>
          <w:p>
            <w:pPr>
              <w:spacing w:after="0"/>
              <w:rPr>
                <w:sz w:val="23"/>
                <w:szCs w:val="23"/>
                <w:color w:val="auto"/>
              </w:rPr>
            </w:pPr>
          </w:p>
        </w:tc>
        <w:tc>
          <w:tcPr>
            <w:tcW w:w="330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10/22/2026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2,381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623.66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14,104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$623.63 to $623.97. The price reported above reflects the weighted average sale price. The Reporting Person hereby undertakes to provide, upon request, to the SEC staff, the issuer or the security holders of the issuer full information regarding the number of shares and prices at which each transaction was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Cecilia Aza, attorney-in-</w:t>
            </w:r>
          </w:p>
        </w:tc>
        <w:tc>
          <w:tcPr>
            <w:tcW w:w="1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10/26/2026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97266" TargetMode="External"/><Relationship Id="rId14" Type="http://schemas.openxmlformats.org/officeDocument/2006/relationships/hyperlink" Target="http://www.sec.gov/cgi-bin/browse-edgar?action=getcompany&amp;CIK=00014081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2026-10-26T15:09:18Z</dcterms:created>
  <dcterms:modified xsi:type="dcterms:W3CDTF">2026-10-26T15:09:18Z</dcterms:modified>
</cp:coreProperties>
</file>