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6"/>
        </w:trPr>
        <w:tc>
          <w:tcPr>
            <w:tcW w:w="36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40" w:type="dxa"/>
            <w:vAlign w:val="bottom"/>
            <w:tcBorders>
              <w:top w:val="single" w:sz="8" w:color="auto"/>
            </w:tcBorders>
            <w:gridSpan w:val="7"/>
          </w:tcPr>
          <w:p>
            <w:pPr>
              <w:jc w:val="center"/>
              <w:ind w:right="4635"/>
              <w:spacing w:after="0"/>
              <w:rPr>
                <w:sz w:val="20"/>
                <w:szCs w:val="20"/>
                <w:color w:val="auto"/>
              </w:rPr>
            </w:pPr>
            <w:r>
              <w:rPr>
                <w:rFonts w:ascii="Times New Roman" w:cs="Times New Roman" w:eastAsia="Times New Roman" w:hAnsi="Times New Roman"/>
                <w:sz w:val="17"/>
                <w:szCs w:val="17"/>
                <w:b w:val="1"/>
                <w:bCs w:val="1"/>
                <w:color w:val="auto"/>
                <w:w w:val="97"/>
              </w:rPr>
              <w:t>UNITED STATES</w:t>
            </w:r>
          </w:p>
        </w:tc>
      </w:tr>
      <w:tr>
        <w:trPr>
          <w:trHeight w:val="202"/>
        </w:trPr>
        <w:tc>
          <w:tcPr>
            <w:tcW w:w="3600" w:type="dxa"/>
            <w:vAlign w:val="bottom"/>
          </w:tcPr>
          <w:p>
            <w:pPr>
              <w:spacing w:after="0"/>
              <w:rPr>
                <w:sz w:val="17"/>
                <w:szCs w:val="17"/>
                <w:color w:val="auto"/>
              </w:rPr>
            </w:pPr>
          </w:p>
        </w:tc>
        <w:tc>
          <w:tcPr>
            <w:tcW w:w="7700" w:type="dxa"/>
            <w:vAlign w:val="bottom"/>
            <w:gridSpan w:val="10"/>
          </w:tcPr>
          <w:p>
            <w:pPr>
              <w:jc w:val="center"/>
              <w:ind w:right="3555"/>
              <w:spacing w:after="0"/>
              <w:rPr>
                <w:sz w:val="20"/>
                <w:szCs w:val="20"/>
                <w:color w:val="auto"/>
              </w:rPr>
            </w:pPr>
            <w:r>
              <w:rPr>
                <w:rFonts w:ascii="Times New Roman" w:cs="Times New Roman" w:eastAsia="Times New Roman" w:hAnsi="Times New Roman"/>
                <w:sz w:val="17"/>
                <w:szCs w:val="17"/>
                <w:b w:val="1"/>
                <w:bCs w:val="1"/>
                <w:color w:val="auto"/>
                <w:w w:val="98"/>
              </w:rPr>
              <w:t>SECURITIES AND EXCHANGE COMMISSION</w:t>
            </w:r>
          </w:p>
        </w:tc>
      </w:tr>
      <w:tr>
        <w:trPr>
          <w:trHeight w:val="159"/>
        </w:trPr>
        <w:tc>
          <w:tcPr>
            <w:tcW w:w="3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left="297"/>
              <w:spacing w:after="0"/>
              <w:rPr>
                <w:sz w:val="20"/>
                <w:szCs w:val="20"/>
                <w:color w:val="auto"/>
              </w:rPr>
            </w:pPr>
            <w:r>
              <w:rPr>
                <w:rFonts w:ascii="Times New Roman" w:cs="Times New Roman" w:eastAsia="Times New Roman" w:hAnsi="Times New Roman"/>
                <w:sz w:val="12"/>
                <w:szCs w:val="12"/>
                <w:b w:val="1"/>
                <w:bCs w:val="1"/>
                <w:color w:val="auto"/>
                <w:w w:val="99"/>
              </w:rPr>
              <w:t>Washington, D.C. 20549</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60" w:type="dxa"/>
            <w:vAlign w:val="bottom"/>
          </w:tcPr>
          <w:p>
            <w:pPr>
              <w:spacing w:after="0"/>
              <w:rPr>
                <w:sz w:val="13"/>
                <w:szCs w:val="13"/>
                <w:color w:val="auto"/>
              </w:rPr>
            </w:pPr>
          </w:p>
        </w:tc>
      </w:tr>
      <w:tr>
        <w:trPr>
          <w:trHeight w:val="63"/>
        </w:trPr>
        <w:tc>
          <w:tcPr>
            <w:tcW w:w="3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gridSpan w:val="3"/>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left="297"/>
              <w:spacing w:after="0"/>
              <w:rPr>
                <w:sz w:val="20"/>
                <w:szCs w:val="20"/>
                <w:color w:val="auto"/>
              </w:rPr>
            </w:pPr>
            <w:r>
              <w:rPr>
                <w:rFonts w:ascii="Times New Roman" w:cs="Times New Roman" w:eastAsia="Times New Roman" w:hAnsi="Times New Roman"/>
                <w:sz w:val="17"/>
                <w:szCs w:val="17"/>
                <w:b w:val="1"/>
                <w:bCs w:val="1"/>
                <w:color w:val="auto"/>
                <w:w w:val="99"/>
              </w:rPr>
              <w:t>FORM 10-K</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9"/>
        </w:trPr>
        <w:tc>
          <w:tcPr>
            <w:tcW w:w="3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360" w:type="dxa"/>
            <w:vAlign w:val="bottom"/>
          </w:tcPr>
          <w:p>
            <w:pPr>
              <w:spacing w:after="0"/>
              <w:rPr>
                <w:sz w:val="4"/>
                <w:szCs w:val="4"/>
                <w:color w:val="auto"/>
              </w:rPr>
            </w:pPr>
          </w:p>
        </w:tc>
      </w:tr>
      <w:tr>
        <w:trPr>
          <w:trHeight w:val="129"/>
        </w:trPr>
        <w:tc>
          <w:tcPr>
            <w:tcW w:w="3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left="637"/>
              <w:spacing w:after="0"/>
              <w:rPr>
                <w:sz w:val="20"/>
                <w:szCs w:val="20"/>
                <w:color w:val="auto"/>
              </w:rPr>
            </w:pPr>
            <w:r>
              <w:rPr>
                <w:rFonts w:ascii="Times New Roman" w:cs="Times New Roman" w:eastAsia="Times New Roman" w:hAnsi="Times New Roman"/>
                <w:sz w:val="10"/>
                <w:szCs w:val="10"/>
                <w:i w:val="1"/>
                <w:iCs w:val="1"/>
                <w:color w:val="auto"/>
                <w:w w:val="96"/>
              </w:rPr>
              <w:t>(Mark One)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spacing w:after="0"/>
              <w:rPr>
                <w:sz w:val="11"/>
                <w:szCs w:val="11"/>
                <w:color w:val="auto"/>
              </w:rPr>
            </w:pPr>
          </w:p>
        </w:tc>
      </w:tr>
      <w:tr>
        <w:trPr>
          <w:trHeight w:val="160"/>
        </w:trPr>
        <w:tc>
          <w:tcPr>
            <w:tcW w:w="3600" w:type="dxa"/>
            <w:vAlign w:val="bottom"/>
          </w:tcPr>
          <w:p>
            <w:pPr>
              <w:spacing w:after="0"/>
              <w:rPr>
                <w:sz w:val="13"/>
                <w:szCs w:val="13"/>
                <w:color w:val="auto"/>
              </w:rPr>
            </w:pPr>
          </w:p>
        </w:tc>
        <w:tc>
          <w:tcPr>
            <w:tcW w:w="7700" w:type="dxa"/>
            <w:vAlign w:val="bottom"/>
            <w:gridSpan w:val="10"/>
          </w:tcPr>
          <w:p>
            <w:pPr>
              <w:jc w:val="center"/>
              <w:ind w:right="3575"/>
              <w:spacing w:after="0" w:line="138" w:lineRule="exact"/>
              <w:rPr>
                <w:sz w:val="20"/>
                <w:szCs w:val="20"/>
                <w:color w:val="auto"/>
              </w:rPr>
            </w:pPr>
            <w:r>
              <w:rPr>
                <w:rFonts w:ascii="MS PGothic" w:cs="MS PGothic" w:eastAsia="MS PGothic" w:hAnsi="MS PGothic"/>
                <w:sz w:val="12"/>
                <w:szCs w:val="12"/>
                <w:color w:val="auto"/>
                <w:w w:val="99"/>
              </w:rPr>
              <w:t>☒</w:t>
            </w:r>
            <w:r>
              <w:rPr>
                <w:rFonts w:ascii="Times New Roman" w:cs="Times New Roman" w:eastAsia="Times New Roman" w:hAnsi="Times New Roman"/>
                <w:sz w:val="12"/>
                <w:szCs w:val="12"/>
                <w:b w:val="1"/>
                <w:bCs w:val="1"/>
                <w:color w:val="auto"/>
                <w:w w:val="99"/>
              </w:rPr>
              <w:t xml:space="preserve"> ANNUAL REPORT PURSUANT TO SECTION 13 OR 15(d)</w:t>
            </w:r>
          </w:p>
        </w:tc>
      </w:tr>
      <w:tr>
        <w:trPr>
          <w:trHeight w:val="146"/>
        </w:trPr>
        <w:tc>
          <w:tcPr>
            <w:tcW w:w="3600" w:type="dxa"/>
            <w:vAlign w:val="bottom"/>
          </w:tcPr>
          <w:p>
            <w:pPr>
              <w:spacing w:after="0"/>
              <w:rPr>
                <w:sz w:val="12"/>
                <w:szCs w:val="12"/>
                <w:color w:val="auto"/>
              </w:rPr>
            </w:pPr>
          </w:p>
        </w:tc>
        <w:tc>
          <w:tcPr>
            <w:tcW w:w="7700" w:type="dxa"/>
            <w:vAlign w:val="bottom"/>
            <w:gridSpan w:val="10"/>
          </w:tcPr>
          <w:p>
            <w:pPr>
              <w:jc w:val="center"/>
              <w:ind w:right="3575"/>
              <w:spacing w:after="0"/>
              <w:rPr>
                <w:sz w:val="20"/>
                <w:szCs w:val="20"/>
                <w:color w:val="auto"/>
              </w:rPr>
            </w:pPr>
            <w:r>
              <w:rPr>
                <w:rFonts w:ascii="Times New Roman" w:cs="Times New Roman" w:eastAsia="Times New Roman" w:hAnsi="Times New Roman"/>
                <w:sz w:val="12"/>
                <w:szCs w:val="12"/>
                <w:b w:val="1"/>
                <w:bCs w:val="1"/>
                <w:color w:val="auto"/>
                <w:w w:val="99"/>
              </w:rPr>
              <w:t>OF THE SECURITIES EXCHANGE ACT OF 1934</w:t>
            </w:r>
          </w:p>
        </w:tc>
      </w:tr>
      <w:tr>
        <w:trPr>
          <w:trHeight w:val="133"/>
        </w:trPr>
        <w:tc>
          <w:tcPr>
            <w:tcW w:w="3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40" w:type="dxa"/>
            <w:vAlign w:val="bottom"/>
            <w:gridSpan w:val="7"/>
          </w:tcPr>
          <w:p>
            <w:pPr>
              <w:jc w:val="center"/>
              <w:ind w:right="4635"/>
              <w:spacing w:after="0"/>
              <w:rPr>
                <w:sz w:val="20"/>
                <w:szCs w:val="20"/>
                <w:color w:val="auto"/>
              </w:rPr>
            </w:pPr>
            <w:r>
              <w:rPr>
                <w:rFonts w:ascii="Times New Roman" w:cs="Times New Roman" w:eastAsia="Times New Roman" w:hAnsi="Times New Roman"/>
                <w:sz w:val="10"/>
                <w:szCs w:val="10"/>
                <w:b w:val="1"/>
                <w:bCs w:val="1"/>
                <w:color w:val="auto"/>
              </w:rPr>
              <w:t>For the fiscal year ended December 31, 2020</w:t>
            </w:r>
          </w:p>
        </w:tc>
      </w:tr>
      <w:tr>
        <w:trPr>
          <w:trHeight w:val="162"/>
        </w:trPr>
        <w:tc>
          <w:tcPr>
            <w:tcW w:w="3600" w:type="dxa"/>
            <w:vAlign w:val="bottom"/>
          </w:tcPr>
          <w:p>
            <w:pPr>
              <w:spacing w:after="0"/>
              <w:rPr>
                <w:sz w:val="14"/>
                <w:szCs w:val="14"/>
                <w:color w:val="auto"/>
              </w:rPr>
            </w:pPr>
          </w:p>
        </w:tc>
        <w:tc>
          <w:tcPr>
            <w:tcW w:w="7700" w:type="dxa"/>
            <w:vAlign w:val="bottom"/>
            <w:gridSpan w:val="10"/>
          </w:tcPr>
          <w:p>
            <w:pPr>
              <w:jc w:val="center"/>
              <w:ind w:right="3555"/>
              <w:spacing w:after="0" w:line="138" w:lineRule="exact"/>
              <w:rPr>
                <w:sz w:val="20"/>
                <w:szCs w:val="20"/>
                <w:color w:val="auto"/>
              </w:rPr>
            </w:pPr>
            <w:r>
              <w:rPr>
                <w:rFonts w:ascii="MS PGothic" w:cs="MS PGothic" w:eastAsia="MS PGothic" w:hAnsi="MS PGothic"/>
                <w:sz w:val="12"/>
                <w:szCs w:val="12"/>
                <w:color w:val="auto"/>
                <w:w w:val="99"/>
              </w:rPr>
              <w:t>☐</w:t>
            </w:r>
            <w:r>
              <w:rPr>
                <w:rFonts w:ascii="Times New Roman" w:cs="Times New Roman" w:eastAsia="Times New Roman" w:hAnsi="Times New Roman"/>
                <w:sz w:val="12"/>
                <w:szCs w:val="12"/>
                <w:b w:val="1"/>
                <w:bCs w:val="1"/>
                <w:color w:val="auto"/>
                <w:w w:val="99"/>
              </w:rPr>
              <w:t xml:space="preserve"> TRANSITION REPORT PURSUANT TO SECTION 13 OR 15(d)</w:t>
            </w:r>
          </w:p>
        </w:tc>
      </w:tr>
      <w:tr>
        <w:trPr>
          <w:trHeight w:val="159"/>
        </w:trPr>
        <w:tc>
          <w:tcPr>
            <w:tcW w:w="3600" w:type="dxa"/>
            <w:vAlign w:val="bottom"/>
          </w:tcPr>
          <w:p>
            <w:pPr>
              <w:spacing w:after="0"/>
              <w:rPr>
                <w:sz w:val="13"/>
                <w:szCs w:val="13"/>
                <w:color w:val="auto"/>
              </w:rPr>
            </w:pPr>
          </w:p>
        </w:tc>
        <w:tc>
          <w:tcPr>
            <w:tcW w:w="7700" w:type="dxa"/>
            <w:vAlign w:val="bottom"/>
            <w:gridSpan w:val="10"/>
          </w:tcPr>
          <w:p>
            <w:pPr>
              <w:jc w:val="center"/>
              <w:ind w:right="3575"/>
              <w:spacing w:after="0"/>
              <w:rPr>
                <w:sz w:val="20"/>
                <w:szCs w:val="20"/>
                <w:color w:val="auto"/>
              </w:rPr>
            </w:pPr>
            <w:r>
              <w:rPr>
                <w:rFonts w:ascii="Times New Roman" w:cs="Times New Roman" w:eastAsia="Times New Roman" w:hAnsi="Times New Roman"/>
                <w:sz w:val="12"/>
                <w:szCs w:val="12"/>
                <w:b w:val="1"/>
                <w:bCs w:val="1"/>
                <w:color w:val="auto"/>
                <w:w w:val="99"/>
              </w:rPr>
              <w:t>OF THE SECURITIES EXCHANGE ACT OF 1934</w:t>
            </w:r>
          </w:p>
        </w:tc>
      </w:tr>
      <w:tr>
        <w:trPr>
          <w:trHeight w:val="156"/>
        </w:trPr>
        <w:tc>
          <w:tcPr>
            <w:tcW w:w="3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960" w:type="dxa"/>
            <w:vAlign w:val="bottom"/>
            <w:gridSpan w:val="9"/>
          </w:tcPr>
          <w:p>
            <w:pPr>
              <w:jc w:val="center"/>
              <w:ind w:right="4315"/>
              <w:spacing w:after="0"/>
              <w:rPr>
                <w:sz w:val="20"/>
                <w:szCs w:val="20"/>
                <w:color w:val="auto"/>
              </w:rPr>
            </w:pPr>
            <w:r>
              <w:rPr>
                <w:rFonts w:ascii="Times New Roman" w:cs="Times New Roman" w:eastAsia="Times New Roman" w:hAnsi="Times New Roman"/>
                <w:sz w:val="10"/>
                <w:szCs w:val="10"/>
                <w:b w:val="1"/>
                <w:bCs w:val="1"/>
                <w:color w:val="auto"/>
              </w:rPr>
              <w:t>For the transition period from ___________ to ___________</w:t>
            </w:r>
          </w:p>
        </w:tc>
      </w:tr>
      <w:tr>
        <w:trPr>
          <w:trHeight w:val="144"/>
        </w:trPr>
        <w:tc>
          <w:tcPr>
            <w:tcW w:w="3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40" w:type="dxa"/>
            <w:vAlign w:val="bottom"/>
            <w:gridSpan w:val="7"/>
          </w:tcPr>
          <w:p>
            <w:pPr>
              <w:jc w:val="center"/>
              <w:ind w:right="4615"/>
              <w:spacing w:after="0"/>
              <w:rPr>
                <w:sz w:val="20"/>
                <w:szCs w:val="20"/>
                <w:color w:val="auto"/>
              </w:rPr>
            </w:pPr>
            <w:r>
              <w:rPr>
                <w:rFonts w:ascii="Times New Roman" w:cs="Times New Roman" w:eastAsia="Times New Roman" w:hAnsi="Times New Roman"/>
                <w:sz w:val="10"/>
                <w:szCs w:val="10"/>
                <w:b w:val="1"/>
                <w:bCs w:val="1"/>
                <w:color w:val="auto"/>
              </w:rPr>
              <w:t>Commission file number 001-33812</w:t>
            </w:r>
          </w:p>
        </w:tc>
      </w:tr>
      <w:tr>
        <w:trPr>
          <w:trHeight w:val="42"/>
        </w:trPr>
        <w:tc>
          <w:tcPr>
            <w:tcW w:w="3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360" w:type="dxa"/>
            <w:vAlign w:val="bottom"/>
          </w:tcPr>
          <w:p>
            <w:pPr>
              <w:spacing w:after="0"/>
              <w:rPr>
                <w:sz w:val="3"/>
                <w:szCs w:val="3"/>
                <w:color w:val="auto"/>
              </w:rPr>
            </w:pPr>
          </w:p>
        </w:tc>
      </w:tr>
      <w:tr>
        <w:trPr>
          <w:trHeight w:val="291"/>
        </w:trPr>
        <w:tc>
          <w:tcPr>
            <w:tcW w:w="3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jc w:val="center"/>
              <w:ind w:left="317"/>
              <w:spacing w:after="0"/>
              <w:rPr>
                <w:sz w:val="20"/>
                <w:szCs w:val="20"/>
                <w:color w:val="auto"/>
              </w:rPr>
            </w:pPr>
            <w:r>
              <w:rPr>
                <w:rFonts w:ascii="Times New Roman" w:cs="Times New Roman" w:eastAsia="Times New Roman" w:hAnsi="Times New Roman"/>
                <w:sz w:val="24"/>
                <w:szCs w:val="24"/>
                <w:b w:val="1"/>
                <w:bCs w:val="1"/>
                <w:color w:val="auto"/>
                <w:w w:val="99"/>
              </w:rPr>
              <w:t>MSCI INC.</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33"/>
        </w:trPr>
        <w:tc>
          <w:tcPr>
            <w:tcW w:w="3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960" w:type="dxa"/>
            <w:vAlign w:val="bottom"/>
            <w:gridSpan w:val="9"/>
          </w:tcPr>
          <w:p>
            <w:pPr>
              <w:jc w:val="center"/>
              <w:ind w:right="4315"/>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tc>
      </w:tr>
      <w:tr>
        <w:trPr>
          <w:trHeight w:val="51"/>
        </w:trPr>
        <w:tc>
          <w:tcPr>
            <w:tcW w:w="3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360" w:type="dxa"/>
            <w:vAlign w:val="bottom"/>
          </w:tcPr>
          <w:p>
            <w:pPr>
              <w:spacing w:after="0"/>
              <w:rPr>
                <w:sz w:val="4"/>
                <w:szCs w:val="4"/>
                <w:color w:val="auto"/>
              </w:rPr>
            </w:pPr>
          </w:p>
        </w:tc>
      </w:tr>
      <w:tr>
        <w:trPr>
          <w:trHeight w:val="156"/>
        </w:trPr>
        <w:tc>
          <w:tcPr>
            <w:tcW w:w="3600" w:type="dxa"/>
            <w:vAlign w:val="bottom"/>
          </w:tcPr>
          <w:p>
            <w:pPr>
              <w:jc w:val="center"/>
              <w:ind w:left="1992"/>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40" w:type="dxa"/>
            <w:vAlign w:val="bottom"/>
            <w:gridSpan w:val="4"/>
          </w:tcPr>
          <w:p>
            <w:pPr>
              <w:jc w:val="center"/>
              <w:ind w:right="315"/>
              <w:spacing w:after="0"/>
              <w:rPr>
                <w:sz w:val="20"/>
                <w:szCs w:val="20"/>
                <w:color w:val="auto"/>
              </w:rPr>
            </w:pPr>
            <w:r>
              <w:rPr>
                <w:rFonts w:ascii="Times New Roman" w:cs="Times New Roman" w:eastAsia="Times New Roman" w:hAnsi="Times New Roman"/>
                <w:sz w:val="11"/>
                <w:szCs w:val="11"/>
                <w:b w:val="1"/>
                <w:bCs w:val="1"/>
                <w:color w:val="auto"/>
                <w:w w:val="97"/>
              </w:rPr>
              <w:t>13-4038723</w:t>
            </w:r>
          </w:p>
        </w:tc>
      </w:tr>
      <w:tr>
        <w:trPr>
          <w:trHeight w:val="90"/>
        </w:trPr>
        <w:tc>
          <w:tcPr>
            <w:tcW w:w="3600" w:type="dxa"/>
            <w:vAlign w:val="bottom"/>
          </w:tcPr>
          <w:p>
            <w:pPr>
              <w:jc w:val="center"/>
              <w:ind w:left="1992"/>
              <w:spacing w:after="0" w:line="90" w:lineRule="exact"/>
              <w:rPr>
                <w:sz w:val="20"/>
                <w:szCs w:val="20"/>
                <w:color w:val="auto"/>
              </w:rPr>
            </w:pPr>
            <w:r>
              <w:rPr>
                <w:rFonts w:ascii="Times New Roman" w:cs="Times New Roman" w:eastAsia="Times New Roman" w:hAnsi="Times New Roman"/>
                <w:sz w:val="8"/>
                <w:szCs w:val="8"/>
                <w:b w:val="1"/>
                <w:bCs w:val="1"/>
                <w:color w:val="auto"/>
              </w:rPr>
              <w:t>(State or Other Jurisdiction of</w:t>
            </w: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360" w:type="dxa"/>
            <w:vAlign w:val="bottom"/>
          </w:tcPr>
          <w:p>
            <w:pPr>
              <w:jc w:val="center"/>
              <w:ind w:right="1015"/>
              <w:spacing w:after="0" w:line="90" w:lineRule="exact"/>
              <w:rPr>
                <w:sz w:val="20"/>
                <w:szCs w:val="20"/>
                <w:color w:val="auto"/>
              </w:rPr>
            </w:pPr>
            <w:r>
              <w:rPr>
                <w:rFonts w:ascii="Times New Roman" w:cs="Times New Roman" w:eastAsia="Times New Roman" w:hAnsi="Times New Roman"/>
                <w:sz w:val="8"/>
                <w:szCs w:val="8"/>
                <w:b w:val="1"/>
                <w:bCs w:val="1"/>
                <w:color w:val="auto"/>
              </w:rPr>
              <w:t>(I.R.S. Employer</w:t>
            </w:r>
          </w:p>
        </w:tc>
      </w:tr>
      <w:tr>
        <w:trPr>
          <w:trHeight w:val="109"/>
        </w:trPr>
        <w:tc>
          <w:tcPr>
            <w:tcW w:w="3600" w:type="dxa"/>
            <w:vAlign w:val="bottom"/>
          </w:tcPr>
          <w:p>
            <w:pPr>
              <w:jc w:val="center"/>
              <w:ind w:left="1972"/>
              <w:spacing w:after="0"/>
              <w:rPr>
                <w:sz w:val="20"/>
                <w:szCs w:val="20"/>
                <w:color w:val="auto"/>
              </w:rPr>
            </w:pPr>
            <w:r>
              <w:rPr>
                <w:rFonts w:ascii="Times New Roman" w:cs="Times New Roman" w:eastAsia="Times New Roman" w:hAnsi="Times New Roman"/>
                <w:sz w:val="8"/>
                <w:szCs w:val="8"/>
                <w:b w:val="1"/>
                <w:bCs w:val="1"/>
                <w:color w:val="auto"/>
              </w:rPr>
              <w:t>Incorporation or Organization)</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360" w:type="dxa"/>
            <w:vAlign w:val="bottom"/>
          </w:tcPr>
          <w:p>
            <w:pPr>
              <w:jc w:val="center"/>
              <w:ind w:right="1015"/>
              <w:spacing w:after="0"/>
              <w:rPr>
                <w:sz w:val="20"/>
                <w:szCs w:val="20"/>
                <w:color w:val="auto"/>
              </w:rPr>
            </w:pPr>
            <w:r>
              <w:rPr>
                <w:rFonts w:ascii="Times New Roman" w:cs="Times New Roman" w:eastAsia="Times New Roman" w:hAnsi="Times New Roman"/>
                <w:sz w:val="8"/>
                <w:szCs w:val="8"/>
                <w:b w:val="1"/>
                <w:bCs w:val="1"/>
                <w:color w:val="auto"/>
              </w:rPr>
              <w:t>Identification Number)</w:t>
            </w:r>
          </w:p>
        </w:tc>
      </w:tr>
      <w:tr>
        <w:trPr>
          <w:trHeight w:val="134"/>
        </w:trPr>
        <w:tc>
          <w:tcPr>
            <w:tcW w:w="3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left="297"/>
              <w:spacing w:after="0"/>
              <w:rPr>
                <w:sz w:val="20"/>
                <w:szCs w:val="20"/>
                <w:color w:val="auto"/>
              </w:rPr>
            </w:pPr>
            <w:r>
              <w:rPr>
                <w:rFonts w:ascii="Times New Roman" w:cs="Times New Roman" w:eastAsia="Times New Roman" w:hAnsi="Times New Roman"/>
                <w:sz w:val="10"/>
                <w:szCs w:val="10"/>
                <w:b w:val="1"/>
                <w:bCs w:val="1"/>
                <w:color w:val="auto"/>
              </w:rPr>
              <w:t>7 World Trade Center</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spacing w:after="0"/>
              <w:rPr>
                <w:sz w:val="11"/>
                <w:szCs w:val="11"/>
                <w:color w:val="auto"/>
              </w:rPr>
            </w:pPr>
          </w:p>
        </w:tc>
      </w:tr>
      <w:tr>
        <w:trPr>
          <w:trHeight w:val="108"/>
        </w:trPr>
        <w:tc>
          <w:tcPr>
            <w:tcW w:w="3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40" w:type="dxa"/>
            <w:vAlign w:val="bottom"/>
            <w:gridSpan w:val="7"/>
          </w:tcPr>
          <w:p>
            <w:pPr>
              <w:jc w:val="center"/>
              <w:ind w:right="4635"/>
              <w:spacing w:after="0" w:line="108" w:lineRule="exact"/>
              <w:rPr>
                <w:sz w:val="20"/>
                <w:szCs w:val="20"/>
                <w:color w:val="auto"/>
              </w:rPr>
            </w:pPr>
            <w:r>
              <w:rPr>
                <w:rFonts w:ascii="Times New Roman" w:cs="Times New Roman" w:eastAsia="Times New Roman" w:hAnsi="Times New Roman"/>
                <w:sz w:val="10"/>
                <w:szCs w:val="10"/>
                <w:b w:val="1"/>
                <w:bCs w:val="1"/>
                <w:color w:val="auto"/>
              </w:rPr>
              <w:t>250 Greenwich Street, 49th Floor</w:t>
            </w:r>
          </w:p>
        </w:tc>
      </w:tr>
      <w:tr>
        <w:trPr>
          <w:trHeight w:val="108"/>
        </w:trPr>
        <w:tc>
          <w:tcPr>
            <w:tcW w:w="3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3"/>
          </w:tcPr>
          <w:p>
            <w:pPr>
              <w:jc w:val="center"/>
              <w:ind w:left="297"/>
              <w:spacing w:after="0" w:line="108" w:lineRule="exact"/>
              <w:rPr>
                <w:sz w:val="20"/>
                <w:szCs w:val="20"/>
                <w:color w:val="auto"/>
              </w:rPr>
            </w:pPr>
            <w:r>
              <w:rPr>
                <w:rFonts w:ascii="Times New Roman" w:cs="Times New Roman" w:eastAsia="Times New Roman" w:hAnsi="Times New Roman"/>
                <w:sz w:val="10"/>
                <w:szCs w:val="10"/>
                <w:b w:val="1"/>
                <w:bCs w:val="1"/>
                <w:color w:val="auto"/>
              </w:rPr>
              <w:t>New York, New York 10007</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360" w:type="dxa"/>
            <w:vAlign w:val="bottom"/>
          </w:tcPr>
          <w:p>
            <w:pPr>
              <w:spacing w:after="0"/>
              <w:rPr>
                <w:sz w:val="9"/>
                <w:szCs w:val="9"/>
                <w:color w:val="auto"/>
              </w:rPr>
            </w:pPr>
          </w:p>
        </w:tc>
      </w:tr>
      <w:tr>
        <w:trPr>
          <w:trHeight w:val="133"/>
        </w:trPr>
        <w:tc>
          <w:tcPr>
            <w:tcW w:w="3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780" w:type="dxa"/>
            <w:vAlign w:val="bottom"/>
            <w:gridSpan w:val="8"/>
          </w:tcPr>
          <w:p>
            <w:pPr>
              <w:jc w:val="center"/>
              <w:ind w:right="4475"/>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tc>
      </w:tr>
      <w:tr>
        <w:trPr>
          <w:trHeight w:val="119"/>
        </w:trPr>
        <w:tc>
          <w:tcPr>
            <w:tcW w:w="3600" w:type="dxa"/>
            <w:vAlign w:val="bottom"/>
          </w:tcPr>
          <w:p>
            <w:pPr>
              <w:spacing w:after="0"/>
              <w:rPr>
                <w:sz w:val="10"/>
                <w:szCs w:val="10"/>
                <w:color w:val="auto"/>
              </w:rPr>
            </w:pPr>
          </w:p>
        </w:tc>
        <w:tc>
          <w:tcPr>
            <w:tcW w:w="2660" w:type="dxa"/>
            <w:vAlign w:val="bottom"/>
            <w:gridSpan w:val="6"/>
          </w:tcPr>
          <w:p>
            <w:pPr>
              <w:jc w:val="center"/>
              <w:ind w:left="1359"/>
              <w:spacing w:after="0"/>
              <w:rPr>
                <w:sz w:val="20"/>
                <w:szCs w:val="20"/>
                <w:color w:val="auto"/>
              </w:rPr>
            </w:pPr>
            <w:r>
              <w:rPr>
                <w:rFonts w:ascii="Times New Roman" w:cs="Times New Roman" w:eastAsia="Times New Roman" w:hAnsi="Times New Roman"/>
                <w:sz w:val="10"/>
                <w:szCs w:val="10"/>
                <w:b w:val="1"/>
                <w:bCs w:val="1"/>
                <w:color w:val="auto"/>
              </w:rPr>
              <w:t>(212) 804-3900</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60" w:type="dxa"/>
            <w:vAlign w:val="bottom"/>
          </w:tcPr>
          <w:p>
            <w:pPr>
              <w:spacing w:after="0"/>
              <w:rPr>
                <w:sz w:val="10"/>
                <w:szCs w:val="10"/>
                <w:color w:val="auto"/>
              </w:rPr>
            </w:pPr>
          </w:p>
        </w:tc>
      </w:tr>
      <w:tr>
        <w:trPr>
          <w:trHeight w:val="133"/>
        </w:trPr>
        <w:tc>
          <w:tcPr>
            <w:tcW w:w="3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960" w:type="dxa"/>
            <w:vAlign w:val="bottom"/>
            <w:gridSpan w:val="9"/>
          </w:tcPr>
          <w:p>
            <w:pPr>
              <w:jc w:val="center"/>
              <w:ind w:right="4295"/>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r>
      <w:tr>
        <w:trPr>
          <w:trHeight w:val="144"/>
        </w:trPr>
        <w:tc>
          <w:tcPr>
            <w:tcW w:w="3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960" w:type="dxa"/>
            <w:vAlign w:val="bottom"/>
            <w:gridSpan w:val="9"/>
          </w:tcPr>
          <w:p>
            <w:pPr>
              <w:jc w:val="center"/>
              <w:ind w:right="4295"/>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tc>
      </w:tr>
      <w:tr>
        <w:trPr>
          <w:trHeight w:val="123"/>
        </w:trPr>
        <w:tc>
          <w:tcPr>
            <w:tcW w:w="3600" w:type="dxa"/>
            <w:vAlign w:val="bottom"/>
            <w:tcBorders>
              <w:bottom w:val="single" w:sz="8" w:color="auto"/>
            </w:tcBorders>
          </w:tcPr>
          <w:p>
            <w:pPr>
              <w:jc w:val="center"/>
              <w:ind w:left="872"/>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Borders>
              <w:bottom w:val="single" w:sz="8" w:color="auto"/>
            </w:tcBorders>
            <w:gridSpan w:val="3"/>
          </w:tcPr>
          <w:p>
            <w:pPr>
              <w:jc w:val="center"/>
              <w:ind w:left="357"/>
              <w:spacing w:after="0"/>
              <w:rPr>
                <w:sz w:val="20"/>
                <w:szCs w:val="20"/>
                <w:color w:val="auto"/>
              </w:rPr>
            </w:pPr>
            <w:r>
              <w:rPr>
                <w:rFonts w:ascii="Times New Roman" w:cs="Times New Roman" w:eastAsia="Times New Roman" w:hAnsi="Times New Roman"/>
                <w:sz w:val="8"/>
                <w:szCs w:val="8"/>
                <w:b w:val="1"/>
                <w:bCs w:val="1"/>
                <w:color w:val="auto"/>
              </w:rPr>
              <w:t>Trading Symbol(s)</w:t>
            </w:r>
          </w:p>
        </w:tc>
        <w:tc>
          <w:tcPr>
            <w:tcW w:w="4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138"/>
        </w:trPr>
        <w:tc>
          <w:tcPr>
            <w:tcW w:w="3600" w:type="dxa"/>
            <w:vAlign w:val="bottom"/>
          </w:tcPr>
          <w:p>
            <w:pPr>
              <w:jc w:val="center"/>
              <w:ind w:left="872"/>
              <w:spacing w:after="0"/>
              <w:rPr>
                <w:sz w:val="20"/>
                <w:szCs w:val="20"/>
                <w:color w:val="auto"/>
              </w:rPr>
            </w:pPr>
            <w:r>
              <w:rPr>
                <w:rFonts w:ascii="Times New Roman" w:cs="Times New Roman" w:eastAsia="Times New Roman" w:hAnsi="Times New Roman"/>
                <w:sz w:val="11"/>
                <w:szCs w:val="11"/>
                <w:b w:val="1"/>
                <w:bCs w:val="1"/>
                <w:color w:val="auto"/>
                <w:w w:val="98"/>
              </w:rPr>
              <w:t>Common stock, par value $0.01 per share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MSCI</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6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r>
        <w:trPr>
          <w:trHeight w:val="178"/>
        </w:trPr>
        <w:tc>
          <w:tcPr>
            <w:tcW w:w="3600" w:type="dxa"/>
            <w:vAlign w:val="bottom"/>
          </w:tcPr>
          <w:p>
            <w:pPr>
              <w:spacing w:after="0"/>
              <w:rPr>
                <w:sz w:val="15"/>
                <w:szCs w:val="15"/>
                <w:color w:val="auto"/>
              </w:rPr>
            </w:pPr>
          </w:p>
        </w:tc>
        <w:tc>
          <w:tcPr>
            <w:tcW w:w="7700" w:type="dxa"/>
            <w:vAlign w:val="bottom"/>
            <w:gridSpan w:val="10"/>
          </w:tcPr>
          <w:p>
            <w:pPr>
              <w:jc w:val="center"/>
              <w:ind w:right="3555"/>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12(g) of the Act: None</w:t>
            </w:r>
          </w:p>
        </w:tc>
      </w:tr>
      <w:tr>
        <w:trPr>
          <w:trHeight w:val="42"/>
        </w:trPr>
        <w:tc>
          <w:tcPr>
            <w:tcW w:w="4340" w:type="dxa"/>
            <w:vAlign w:val="bottom"/>
            <w:gridSpan w:val="2"/>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4"/>
          </w:tcPr>
          <w:p>
            <w:pPr>
              <w:spacing w:after="0"/>
              <w:rPr>
                <w:sz w:val="3"/>
                <w:szCs w:val="3"/>
                <w:color w:val="auto"/>
              </w:rPr>
            </w:pPr>
          </w:p>
        </w:tc>
        <w:tc>
          <w:tcPr>
            <w:tcW w:w="4360" w:type="dxa"/>
            <w:vAlign w:val="bottom"/>
          </w:tcPr>
          <w:p>
            <w:pPr>
              <w:spacing w:after="0"/>
              <w:rPr>
                <w:sz w:val="3"/>
                <w:szCs w:val="3"/>
                <w:color w:val="auto"/>
              </w:rPr>
            </w:pPr>
          </w:p>
        </w:tc>
      </w:tr>
      <w:tr>
        <w:trPr>
          <w:trHeight w:val="166"/>
        </w:trPr>
        <w:tc>
          <w:tcPr>
            <w:tcW w:w="5460" w:type="dxa"/>
            <w:vAlign w:val="bottom"/>
            <w:gridSpan w:val="5"/>
          </w:tcPr>
          <w:p>
            <w:pPr>
              <w:ind w:left="580"/>
              <w:spacing w:after="0"/>
              <w:rPr>
                <w:sz w:val="20"/>
                <w:szCs w:val="20"/>
                <w:color w:val="auto"/>
              </w:rPr>
            </w:pPr>
            <w:r>
              <w:rPr>
                <w:rFonts w:ascii="Times New Roman" w:cs="Times New Roman" w:eastAsia="Times New Roman" w:hAnsi="Times New Roman"/>
                <w:sz w:val="10"/>
                <w:szCs w:val="10"/>
                <w:color w:val="auto"/>
              </w:rPr>
              <w:t>Indicate by check mark if the registrant is a well-known seasoned issuer, as defined in Rule 405 of the Securities Act.</w:t>
            </w:r>
          </w:p>
        </w:tc>
        <w:tc>
          <w:tcPr>
            <w:tcW w:w="480" w:type="dxa"/>
            <w:vAlign w:val="bottom"/>
          </w:tcPr>
          <w:p>
            <w:pPr>
              <w:jc w:val="center"/>
              <w:ind w:right="28"/>
              <w:spacing w:after="0" w:line="115" w:lineRule="exact"/>
              <w:rPr>
                <w:sz w:val="20"/>
                <w:szCs w:val="20"/>
                <w:color w:val="auto"/>
              </w:rPr>
            </w:pPr>
            <w:r>
              <w:rPr>
                <w:rFonts w:ascii="Times New Roman" w:cs="Times New Roman" w:eastAsia="Times New Roman" w:hAnsi="Times New Roman"/>
                <w:sz w:val="10"/>
                <w:szCs w:val="10"/>
                <w:color w:val="auto"/>
              </w:rPr>
              <w:t xml:space="preserve">YES  </w:t>
            </w:r>
            <w:r>
              <w:rPr>
                <w:rFonts w:ascii="MS PGothic" w:cs="MS PGothic" w:eastAsia="MS PGothic" w:hAnsi="MS PGothic"/>
                <w:sz w:val="10"/>
                <w:szCs w:val="10"/>
                <w:color w:val="auto"/>
              </w:rPr>
              <w:t>☒</w:t>
            </w:r>
          </w:p>
        </w:tc>
        <w:tc>
          <w:tcPr>
            <w:tcW w:w="5360" w:type="dxa"/>
            <w:vAlign w:val="bottom"/>
            <w:gridSpan w:val="5"/>
          </w:tcPr>
          <w:p>
            <w:pPr>
              <w:jc w:val="center"/>
              <w:ind w:right="4955"/>
              <w:spacing w:after="0" w:line="115" w:lineRule="exact"/>
              <w:rPr>
                <w:sz w:val="20"/>
                <w:szCs w:val="20"/>
                <w:color w:val="auto"/>
              </w:rPr>
            </w:pP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tc>
      </w:tr>
      <w:tr>
        <w:trPr>
          <w:trHeight w:val="162"/>
        </w:trPr>
        <w:tc>
          <w:tcPr>
            <w:tcW w:w="5460" w:type="dxa"/>
            <w:vAlign w:val="bottom"/>
            <w:gridSpan w:val="5"/>
          </w:tcPr>
          <w:p>
            <w:pPr>
              <w:ind w:left="580"/>
              <w:spacing w:after="0"/>
              <w:rPr>
                <w:sz w:val="20"/>
                <w:szCs w:val="20"/>
                <w:color w:val="auto"/>
              </w:rPr>
            </w:pPr>
            <w:r>
              <w:rPr>
                <w:rFonts w:ascii="Times New Roman" w:cs="Times New Roman" w:eastAsia="Times New Roman" w:hAnsi="Times New Roman"/>
                <w:sz w:val="10"/>
                <w:szCs w:val="10"/>
                <w:color w:val="auto"/>
              </w:rPr>
              <w:t>Indicate by check mark if the registrant is not required to file reports pursuant to Section 13 or Section 15(d) of the Act.</w:t>
            </w:r>
          </w:p>
        </w:tc>
        <w:tc>
          <w:tcPr>
            <w:tcW w:w="480" w:type="dxa"/>
            <w:vAlign w:val="bottom"/>
          </w:tcPr>
          <w:p>
            <w:pPr>
              <w:ind w:left="100"/>
              <w:spacing w:after="0" w:line="115" w:lineRule="exact"/>
              <w:rPr>
                <w:sz w:val="20"/>
                <w:szCs w:val="20"/>
                <w:color w:val="auto"/>
              </w:rPr>
            </w:pPr>
            <w:r>
              <w:rPr>
                <w:rFonts w:ascii="Times New Roman" w:cs="Times New Roman" w:eastAsia="Times New Roman" w:hAnsi="Times New Roman"/>
                <w:sz w:val="10"/>
                <w:szCs w:val="10"/>
                <w:color w:val="auto"/>
              </w:rPr>
              <w:t xml:space="preserve">YES  </w:t>
            </w:r>
            <w:r>
              <w:rPr>
                <w:rFonts w:ascii="MS PGothic" w:cs="MS PGothic" w:eastAsia="MS PGothic" w:hAnsi="MS PGothic"/>
                <w:sz w:val="10"/>
                <w:szCs w:val="10"/>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w:t>
            </w:r>
          </w:p>
        </w:tc>
        <w:tc>
          <w:tcPr>
            <w:tcW w:w="5040" w:type="dxa"/>
            <w:vAlign w:val="bottom"/>
            <w:gridSpan w:val="4"/>
          </w:tcPr>
          <w:p>
            <w:pPr>
              <w:ind w:left="20"/>
              <w:spacing w:after="0" w:line="101" w:lineRule="exact"/>
              <w:rPr>
                <w:sz w:val="20"/>
                <w:szCs w:val="20"/>
                <w:color w:val="auto"/>
              </w:rPr>
            </w:pPr>
            <w:r>
              <w:rPr>
                <w:rFonts w:ascii="MS PGothic" w:cs="MS PGothic" w:eastAsia="MS PGothic" w:hAnsi="MS PGothic"/>
                <w:sz w:val="10"/>
                <w:szCs w:val="10"/>
                <w:color w:val="auto"/>
              </w:rPr>
              <w:t>☒</w:t>
            </w:r>
          </w:p>
        </w:tc>
      </w:tr>
    </w:tbl>
    <w:p>
      <w:pPr>
        <w:spacing w:after="0" w:line="10" w:lineRule="exact"/>
        <w:rPr>
          <w:sz w:val="24"/>
          <w:szCs w:val="24"/>
          <w:color w:val="auto"/>
        </w:rPr>
      </w:pPr>
    </w:p>
    <w:p>
      <w:pPr>
        <w:ind w:right="340" w:firstLine="592"/>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0" w:lineRule="exact"/>
        <w:rPr>
          <w:sz w:val="24"/>
          <w:szCs w:val="24"/>
          <w:color w:val="auto"/>
        </w:rPr>
      </w:pPr>
    </w:p>
    <w:p>
      <w:pPr>
        <w:ind w:right="80" w:firstLine="592"/>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0" w:lineRule="exact"/>
        <w:rPr>
          <w:sz w:val="24"/>
          <w:szCs w:val="24"/>
          <w:color w:val="auto"/>
        </w:rPr>
      </w:pPr>
    </w:p>
    <w:p>
      <w:pPr>
        <w:ind w:right="320" w:firstLine="592"/>
        <w:spacing w:after="0" w:line="258"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3860" w:type="dxa"/>
            <w:vAlign w:val="bottom"/>
          </w:tcPr>
          <w:p>
            <w:pPr>
              <w:ind w:left="880"/>
              <w:spacing w:after="0" w:line="101" w:lineRule="exact"/>
              <w:rPr>
                <w:sz w:val="20"/>
                <w:szCs w:val="20"/>
                <w:color w:val="auto"/>
              </w:rPr>
            </w:pPr>
            <w:r>
              <w:rPr>
                <w:rFonts w:ascii="MS PGothic" w:cs="MS PGothic" w:eastAsia="MS PGothic" w:hAnsi="MS PGothic"/>
                <w:sz w:val="10"/>
                <w:szCs w:val="10"/>
                <w:color w:val="auto"/>
              </w:rPr>
              <w:t>☒</w:t>
            </w:r>
          </w:p>
        </w:tc>
        <w:tc>
          <w:tcPr>
            <w:tcW w:w="4740" w:type="dxa"/>
            <w:vAlign w:val="bottom"/>
          </w:tcPr>
          <w:p>
            <w:pPr>
              <w:ind w:left="2900"/>
              <w:spacing w:after="0"/>
              <w:rPr>
                <w:sz w:val="20"/>
                <w:szCs w:val="20"/>
                <w:color w:val="auto"/>
              </w:rPr>
            </w:pPr>
            <w:r>
              <w:rPr>
                <w:rFonts w:ascii="Times New Roman" w:cs="Times New Roman" w:eastAsia="Times New Roman" w:hAnsi="Times New Roman"/>
                <w:sz w:val="10"/>
                <w:szCs w:val="10"/>
                <w:color w:val="auto"/>
              </w:rPr>
              <w:t>Accelerated filer</w:t>
            </w:r>
          </w:p>
        </w:tc>
        <w:tc>
          <w:tcPr>
            <w:tcW w:w="840" w:type="dxa"/>
            <w:vAlign w:val="bottom"/>
          </w:tcPr>
          <w:p>
            <w:pPr>
              <w:ind w:left="760"/>
              <w:spacing w:after="0" w:line="81" w:lineRule="exact"/>
              <w:rPr>
                <w:sz w:val="20"/>
                <w:szCs w:val="20"/>
                <w:color w:val="auto"/>
              </w:rPr>
            </w:pPr>
            <w:r>
              <w:rPr>
                <w:rFonts w:ascii="MS PGothic" w:cs="MS PGothic" w:eastAsia="MS PGothic" w:hAnsi="MS PGothic"/>
                <w:sz w:val="8"/>
                <w:szCs w:val="8"/>
                <w:color w:val="auto"/>
                <w:w w:val="74"/>
              </w:rPr>
              <w:t>☐</w:t>
            </w:r>
          </w:p>
        </w:tc>
      </w:tr>
      <w:tr>
        <w:trPr>
          <w:trHeight w:val="162"/>
        </w:trPr>
        <w:tc>
          <w:tcPr>
            <w:tcW w:w="172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3860" w:type="dxa"/>
            <w:vAlign w:val="bottom"/>
          </w:tcPr>
          <w:p>
            <w:pPr>
              <w:ind w:left="880"/>
              <w:spacing w:after="0" w:line="101" w:lineRule="exact"/>
              <w:rPr>
                <w:sz w:val="20"/>
                <w:szCs w:val="20"/>
                <w:color w:val="auto"/>
              </w:rPr>
            </w:pPr>
            <w:r>
              <w:rPr>
                <w:rFonts w:ascii="MS PGothic" w:cs="MS PGothic" w:eastAsia="MS PGothic" w:hAnsi="MS PGothic"/>
                <w:sz w:val="10"/>
                <w:szCs w:val="10"/>
                <w:color w:val="auto"/>
              </w:rPr>
              <w:t>☐</w:t>
            </w:r>
          </w:p>
        </w:tc>
        <w:tc>
          <w:tcPr>
            <w:tcW w:w="4740" w:type="dxa"/>
            <w:vAlign w:val="bottom"/>
          </w:tcPr>
          <w:p>
            <w:pPr>
              <w:ind w:left="290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840" w:type="dxa"/>
            <w:vAlign w:val="bottom"/>
          </w:tcPr>
          <w:p>
            <w:pPr>
              <w:ind w:left="760"/>
              <w:spacing w:after="0" w:line="81" w:lineRule="exact"/>
              <w:rPr>
                <w:sz w:val="20"/>
                <w:szCs w:val="20"/>
                <w:color w:val="auto"/>
              </w:rPr>
            </w:pPr>
            <w:r>
              <w:rPr>
                <w:rFonts w:ascii="MS PGothic" w:cs="MS PGothic" w:eastAsia="MS PGothic" w:hAnsi="MS PGothic"/>
                <w:sz w:val="8"/>
                <w:szCs w:val="8"/>
                <w:color w:val="auto"/>
                <w:w w:val="74"/>
              </w:rPr>
              <w:t>☐</w:t>
            </w:r>
          </w:p>
        </w:tc>
      </w:tr>
      <w:tr>
        <w:trPr>
          <w:trHeight w:val="162"/>
        </w:trPr>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740" w:type="dxa"/>
            <w:vAlign w:val="bottom"/>
          </w:tcPr>
          <w:p>
            <w:pPr>
              <w:ind w:left="2900"/>
              <w:spacing w:after="0"/>
              <w:rPr>
                <w:sz w:val="20"/>
                <w:szCs w:val="20"/>
                <w:color w:val="auto"/>
              </w:rPr>
            </w:pPr>
            <w:r>
              <w:rPr>
                <w:rFonts w:ascii="Times New Roman" w:cs="Times New Roman" w:eastAsia="Times New Roman" w:hAnsi="Times New Roman"/>
                <w:sz w:val="10"/>
                <w:szCs w:val="10"/>
                <w:color w:val="auto"/>
              </w:rPr>
              <w:t>Emerging growth company</w:t>
            </w:r>
          </w:p>
        </w:tc>
        <w:tc>
          <w:tcPr>
            <w:tcW w:w="840" w:type="dxa"/>
            <w:vAlign w:val="bottom"/>
          </w:tcPr>
          <w:p>
            <w:pPr>
              <w:ind w:left="76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14" w:lineRule="exact"/>
        <w:rPr>
          <w:sz w:val="24"/>
          <w:szCs w:val="24"/>
          <w:color w:val="auto"/>
        </w:rPr>
      </w:pPr>
    </w:p>
    <w:p>
      <w:pPr>
        <w:ind w:left="580"/>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6" w:lineRule="exact"/>
        <w:rPr>
          <w:sz w:val="24"/>
          <w:szCs w:val="24"/>
          <w:color w:val="auto"/>
        </w:rPr>
      </w:pPr>
    </w:p>
    <w:p>
      <w:pPr>
        <w:ind w:right="260" w:firstLine="592"/>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2" w:lineRule="exact"/>
        <w:rPr>
          <w:sz w:val="24"/>
          <w:szCs w:val="24"/>
          <w:color w:val="auto"/>
        </w:rPr>
      </w:pPr>
    </w:p>
    <w:p>
      <w:pPr>
        <w:ind w:left="580"/>
        <w:spacing w:after="0" w:line="115" w:lineRule="exact"/>
        <w:tabs>
          <w:tab w:leader="none" w:pos="4900" w:val="left"/>
          <w:tab w:leader="none" w:pos="5380" w:val="left"/>
        </w:tabs>
        <w:rPr>
          <w:sz w:val="20"/>
          <w:szCs w:val="20"/>
          <w:color w:val="auto"/>
        </w:rPr>
      </w:pPr>
      <w:r>
        <w:rPr>
          <w:rFonts w:ascii="Times New Roman" w:cs="Times New Roman" w:eastAsia="Times New Roman" w:hAnsi="Times New Roman"/>
          <w:sz w:val="10"/>
          <w:szCs w:val="10"/>
          <w:color w:val="auto"/>
        </w:rPr>
        <w:t>Indicate by check mark whether the registrant is a shell company (as defined in Rule 12b-2 of the Act).</w:t>
        <w:tab/>
        <w:t xml:space="preserve">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ab/>
        <w:t xml:space="preserve">NO  </w:t>
      </w:r>
      <w:r>
        <w:rPr>
          <w:rFonts w:ascii="MS PGothic" w:cs="MS PGothic" w:eastAsia="MS PGothic" w:hAnsi="MS PGothic"/>
          <w:sz w:val="10"/>
          <w:szCs w:val="10"/>
          <w:color w:val="auto"/>
        </w:rPr>
        <w:t>☒</w:t>
      </w:r>
    </w:p>
    <w:p>
      <w:pPr>
        <w:spacing w:after="0" w:line="56" w:lineRule="exact"/>
        <w:rPr>
          <w:sz w:val="24"/>
          <w:szCs w:val="24"/>
          <w:color w:val="auto"/>
        </w:rPr>
      </w:pPr>
    </w:p>
    <w:p>
      <w:pPr>
        <w:ind w:right="160" w:firstLine="592"/>
        <w:spacing w:after="0" w:line="241" w:lineRule="auto"/>
        <w:rPr>
          <w:sz w:val="20"/>
          <w:szCs w:val="20"/>
          <w:color w:val="auto"/>
        </w:rPr>
      </w:pPr>
      <w:r>
        <w:rPr>
          <w:rFonts w:ascii="Times New Roman" w:cs="Times New Roman" w:eastAsia="Times New Roman" w:hAnsi="Times New Roman"/>
          <w:sz w:val="10"/>
          <w:szCs w:val="10"/>
          <w:color w:val="auto"/>
        </w:rPr>
        <w:t>The aggregate market value of Common Stock held by non-affiliates of the registrant as of the last business day of the registrant’s most recently completed second fiscal quarter (based on the closing price of these securities as reported by The New York Stock Exchange on June 30, 2020) was $27,134,141,425. Shares of Common Stock held by executive officers and directors of the registrant are not included in the computation. However, the registrant has made no determination that such individuals are “affiliates” within the meaning of Rule 405 under the Securities Act of 1933.</w:t>
      </w:r>
    </w:p>
    <w:p>
      <w:pPr>
        <w:spacing w:after="0" w:line="1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0"/>
          <w:szCs w:val="10"/>
          <w:color w:val="auto"/>
        </w:rPr>
        <w:t>As of February 5, 2021, there were 82,574,643 shares of the registrant’s Common Stock, par value $0.01 per share, outstanding.</w:t>
      </w:r>
    </w:p>
    <w:p>
      <w:pPr>
        <w:spacing w:after="0" w:line="2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0"/>
          <w:szCs w:val="10"/>
          <w:color w:val="auto"/>
        </w:rPr>
        <w:t>Documents incorporated by reference: Portions of the registrant’s proxy statement for its annual meeting of stockholders, to be held on April 27, 2021, are incorporated herein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311150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71"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840" w:type="dxa"/>
            <w:vAlign w:val="bottom"/>
          </w:tcPr>
          <w:p>
            <w:pPr>
              <w:spacing w:after="0"/>
              <w:rPr>
                <w:sz w:val="13"/>
                <w:szCs w:val="13"/>
                <w:color w:val="auto"/>
              </w:rPr>
            </w:pPr>
          </w:p>
        </w:tc>
        <w:tc>
          <w:tcPr>
            <w:tcW w:w="8180" w:type="dxa"/>
            <w:vAlign w:val="bottom"/>
          </w:tcPr>
          <w:p>
            <w:pPr>
              <w:jc w:val="center"/>
              <w:ind w:left="1360"/>
              <w:spacing w:after="0"/>
              <w:rPr>
                <w:sz w:val="20"/>
                <w:szCs w:val="20"/>
                <w:color w:val="auto"/>
              </w:rPr>
            </w:pPr>
            <w:r>
              <w:rPr>
                <w:rFonts w:ascii="Times New Roman" w:cs="Times New Roman" w:eastAsia="Times New Roman" w:hAnsi="Times New Roman"/>
                <w:sz w:val="12"/>
                <w:szCs w:val="12"/>
                <w:b w:val="1"/>
                <w:bCs w:val="1"/>
                <w:color w:val="auto"/>
              </w:rPr>
              <w:t>MSCI INC.</w:t>
            </w:r>
          </w:p>
        </w:tc>
        <w:tc>
          <w:tcPr>
            <w:tcW w:w="2280" w:type="dxa"/>
            <w:vAlign w:val="bottom"/>
          </w:tcPr>
          <w:p>
            <w:pPr>
              <w:spacing w:after="0"/>
              <w:rPr>
                <w:sz w:val="13"/>
                <w:szCs w:val="13"/>
                <w:color w:val="auto"/>
              </w:rPr>
            </w:pPr>
          </w:p>
        </w:tc>
      </w:tr>
      <w:tr>
        <w:trPr>
          <w:trHeight w:val="288"/>
        </w:trPr>
        <w:tc>
          <w:tcPr>
            <w:tcW w:w="840" w:type="dxa"/>
            <w:vAlign w:val="bottom"/>
          </w:tcPr>
          <w:p>
            <w:pPr>
              <w:spacing w:after="0"/>
              <w:rPr>
                <w:sz w:val="24"/>
                <w:szCs w:val="24"/>
                <w:color w:val="auto"/>
              </w:rPr>
            </w:pPr>
          </w:p>
        </w:tc>
        <w:tc>
          <w:tcPr>
            <w:tcW w:w="8180" w:type="dxa"/>
            <w:vAlign w:val="bottom"/>
          </w:tcPr>
          <w:p>
            <w:pPr>
              <w:jc w:val="center"/>
              <w:ind w:left="1360"/>
              <w:spacing w:after="0"/>
              <w:rPr>
                <w:sz w:val="20"/>
                <w:szCs w:val="20"/>
                <w:color w:val="auto"/>
              </w:rPr>
            </w:pPr>
            <w:r>
              <w:rPr>
                <w:rFonts w:ascii="Times New Roman" w:cs="Times New Roman" w:eastAsia="Times New Roman" w:hAnsi="Times New Roman"/>
                <w:sz w:val="12"/>
                <w:szCs w:val="12"/>
                <w:b w:val="1"/>
                <w:bCs w:val="1"/>
                <w:color w:val="auto"/>
                <w:w w:val="98"/>
              </w:rPr>
              <w:t>FORM 10-K</w:t>
            </w:r>
          </w:p>
        </w:tc>
        <w:tc>
          <w:tcPr>
            <w:tcW w:w="228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8180" w:type="dxa"/>
            <w:vAlign w:val="bottom"/>
          </w:tcPr>
          <w:p>
            <w:pPr>
              <w:jc w:val="center"/>
              <w:ind w:left="1360"/>
              <w:spacing w:after="0"/>
              <w:rPr>
                <w:sz w:val="20"/>
                <w:szCs w:val="20"/>
                <w:color w:val="auto"/>
              </w:rPr>
            </w:pPr>
            <w:r>
              <w:rPr>
                <w:rFonts w:ascii="Times New Roman" w:cs="Times New Roman" w:eastAsia="Times New Roman" w:hAnsi="Times New Roman"/>
                <w:sz w:val="12"/>
                <w:szCs w:val="12"/>
                <w:b w:val="1"/>
                <w:bCs w:val="1"/>
                <w:color w:val="auto"/>
                <w:w w:val="99"/>
              </w:rPr>
              <w:t>FOR THE YEAR ENDED DECEMBER 31, 2020</w:t>
            </w:r>
          </w:p>
        </w:tc>
        <w:tc>
          <w:tcPr>
            <w:tcW w:w="228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8180" w:type="dxa"/>
            <w:vAlign w:val="bottom"/>
          </w:tcPr>
          <w:p>
            <w:pPr>
              <w:jc w:val="center"/>
              <w:ind w:left="136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2280" w:type="dxa"/>
            <w:vAlign w:val="bottom"/>
          </w:tcPr>
          <w:p>
            <w:pPr>
              <w:spacing w:after="0"/>
              <w:rPr>
                <w:sz w:val="24"/>
                <w:szCs w:val="24"/>
                <w:color w:val="auto"/>
              </w:rPr>
            </w:pPr>
          </w:p>
        </w:tc>
      </w:tr>
      <w:tr>
        <w:trPr>
          <w:trHeight w:val="277"/>
        </w:trPr>
        <w:tc>
          <w:tcPr>
            <w:tcW w:w="840" w:type="dxa"/>
            <w:vAlign w:val="bottom"/>
          </w:tcPr>
          <w:p>
            <w:pPr>
              <w:spacing w:after="0"/>
              <w:rPr>
                <w:sz w:val="24"/>
                <w:szCs w:val="24"/>
                <w:color w:val="auto"/>
              </w:rPr>
            </w:pPr>
          </w:p>
        </w:tc>
        <w:tc>
          <w:tcPr>
            <w:tcW w:w="8180" w:type="dxa"/>
            <w:vAlign w:val="bottom"/>
          </w:tcPr>
          <w:p>
            <w:pPr>
              <w:jc w:val="center"/>
              <w:ind w:left="820"/>
              <w:spacing w:after="0"/>
              <w:rPr>
                <w:rFonts w:ascii="Times New Roman" w:cs="Times New Roman" w:eastAsia="Times New Roman" w:hAnsi="Times New Roman"/>
                <w:sz w:val="12"/>
                <w:szCs w:val="12"/>
                <w:b w:val="1"/>
                <w:bCs w:val="1"/>
                <w:u w:val="single" w:color="auto"/>
                <w:color w:val="0000EE"/>
                <w:w w:val="94"/>
              </w:rPr>
            </w:pPr>
            <w:hyperlink w:anchor="page3">
              <w:r>
                <w:rPr>
                  <w:rFonts w:ascii="Times New Roman" w:cs="Times New Roman" w:eastAsia="Times New Roman" w:hAnsi="Times New Roman"/>
                  <w:sz w:val="12"/>
                  <w:szCs w:val="12"/>
                  <w:b w:val="1"/>
                  <w:bCs w:val="1"/>
                  <w:u w:val="single" w:color="auto"/>
                  <w:color w:val="0000EE"/>
                  <w:w w:val="94"/>
                </w:rPr>
                <w:t>PART I</w:t>
              </w:r>
            </w:hyperlink>
          </w:p>
        </w:tc>
        <w:tc>
          <w:tcPr>
            <w:tcW w:w="2280" w:type="dxa"/>
            <w:vAlign w:val="bottom"/>
          </w:tcPr>
          <w:p>
            <w:pPr>
              <w:spacing w:after="0"/>
              <w:rPr>
                <w:sz w:val="24"/>
                <w:szCs w:val="24"/>
                <w:color w:val="auto"/>
              </w:rPr>
            </w:pP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Business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1A.</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16">
              <w:r>
                <w:rPr>
                  <w:rFonts w:ascii="Times New Roman" w:cs="Times New Roman" w:eastAsia="Times New Roman" w:hAnsi="Times New Roman"/>
                  <w:sz w:val="12"/>
                  <w:szCs w:val="12"/>
                  <w:u w:val="single" w:color="auto"/>
                  <w:color w:val="0000EE"/>
                </w:rPr>
                <w:t>Risk Factors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1B.</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31">
              <w:r>
                <w:rPr>
                  <w:rFonts w:ascii="Times New Roman" w:cs="Times New Roman" w:eastAsia="Times New Roman" w:hAnsi="Times New Roman"/>
                  <w:sz w:val="12"/>
                  <w:szCs w:val="12"/>
                  <w:u w:val="single" w:color="auto"/>
                  <w:color w:val="0000EE"/>
                </w:rPr>
                <w:t>Unresolved Staff Comments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2.</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32">
              <w:r>
                <w:rPr>
                  <w:rFonts w:ascii="Times New Roman" w:cs="Times New Roman" w:eastAsia="Times New Roman" w:hAnsi="Times New Roman"/>
                  <w:sz w:val="12"/>
                  <w:szCs w:val="12"/>
                  <w:u w:val="single" w:color="auto"/>
                  <w:color w:val="0000EE"/>
                </w:rPr>
                <w:t>Properties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3.</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32">
              <w:r>
                <w:rPr>
                  <w:rFonts w:ascii="Times New Roman" w:cs="Times New Roman" w:eastAsia="Times New Roman" w:hAnsi="Times New Roman"/>
                  <w:sz w:val="12"/>
                  <w:szCs w:val="12"/>
                  <w:u w:val="single" w:color="auto"/>
                  <w:color w:val="0000EE"/>
                </w:rPr>
                <w:t>Legal Proceedings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5"/>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4.</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32">
              <w:r>
                <w:rPr>
                  <w:rFonts w:ascii="Times New Roman" w:cs="Times New Roman" w:eastAsia="Times New Roman" w:hAnsi="Times New Roman"/>
                  <w:sz w:val="12"/>
                  <w:szCs w:val="12"/>
                  <w:u w:val="single" w:color="auto"/>
                  <w:color w:val="0000EE"/>
                </w:rPr>
                <w:t>Mine Safety Disclosures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214"/>
        </w:trPr>
        <w:tc>
          <w:tcPr>
            <w:tcW w:w="840" w:type="dxa"/>
            <w:vAlign w:val="bottom"/>
          </w:tcPr>
          <w:p>
            <w:pPr>
              <w:spacing w:after="0"/>
              <w:rPr>
                <w:sz w:val="18"/>
                <w:szCs w:val="18"/>
                <w:color w:val="auto"/>
              </w:rPr>
            </w:pPr>
          </w:p>
        </w:tc>
        <w:tc>
          <w:tcPr>
            <w:tcW w:w="8180" w:type="dxa"/>
            <w:vAlign w:val="bottom"/>
          </w:tcPr>
          <w:p>
            <w:pPr>
              <w:jc w:val="center"/>
              <w:ind w:left="800"/>
              <w:spacing w:after="0"/>
              <w:rPr>
                <w:rFonts w:ascii="Times New Roman" w:cs="Times New Roman" w:eastAsia="Times New Roman" w:hAnsi="Times New Roman"/>
                <w:sz w:val="12"/>
                <w:szCs w:val="12"/>
                <w:b w:val="1"/>
                <w:bCs w:val="1"/>
                <w:u w:val="single" w:color="auto"/>
                <w:color w:val="0000EE"/>
                <w:w w:val="97"/>
              </w:rPr>
            </w:pPr>
            <w:hyperlink w:anchor="page33">
              <w:r>
                <w:rPr>
                  <w:rFonts w:ascii="Times New Roman" w:cs="Times New Roman" w:eastAsia="Times New Roman" w:hAnsi="Times New Roman"/>
                  <w:sz w:val="12"/>
                  <w:szCs w:val="12"/>
                  <w:b w:val="1"/>
                  <w:bCs w:val="1"/>
                  <w:u w:val="single" w:color="auto"/>
                  <w:color w:val="0000EE"/>
                  <w:w w:val="97"/>
                </w:rPr>
                <w:t>PART II</w:t>
              </w:r>
            </w:hyperlink>
          </w:p>
        </w:tc>
        <w:tc>
          <w:tcPr>
            <w:tcW w:w="2280" w:type="dxa"/>
            <w:vAlign w:val="bottom"/>
          </w:tcPr>
          <w:p>
            <w:pPr>
              <w:spacing w:after="0"/>
              <w:rPr>
                <w:sz w:val="18"/>
                <w:szCs w:val="18"/>
                <w:color w:val="auto"/>
              </w:rPr>
            </w:pP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5.</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33">
              <w:r>
                <w:rPr>
                  <w:rFonts w:ascii="Times New Roman" w:cs="Times New Roman" w:eastAsia="Times New Roman" w:hAnsi="Times New Roman"/>
                  <w:sz w:val="12"/>
                  <w:szCs w:val="12"/>
                  <w:u w:val="single" w:color="auto"/>
                  <w:color w:val="0000EE"/>
                </w:rPr>
                <w:t>Market for Registrant’s Common Equity, Related Stockholder Matters and Issuer Purchases of Equity Securities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6.</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37">
              <w:r>
                <w:rPr>
                  <w:rFonts w:ascii="Times New Roman" w:cs="Times New Roman" w:eastAsia="Times New Roman" w:hAnsi="Times New Roman"/>
                  <w:sz w:val="12"/>
                  <w:szCs w:val="12"/>
                  <w:u w:val="single" w:color="auto"/>
                  <w:color w:val="0000EE"/>
                </w:rPr>
                <w:t>Selected Financial Data</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7.</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38">
              <w:r>
                <w:rPr>
                  <w:rFonts w:ascii="Times New Roman" w:cs="Times New Roman" w:eastAsia="Times New Roman" w:hAnsi="Times New Roman"/>
                  <w:sz w:val="12"/>
                  <w:szCs w:val="12"/>
                  <w:u w:val="single" w:color="auto"/>
                  <w:color w:val="0000EE"/>
                </w:rPr>
                <w:t>Management’s Discussion and Analysis of Financial Condition and Results of Operations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7A.</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58">
              <w:r>
                <w:rPr>
                  <w:rFonts w:ascii="Times New Roman" w:cs="Times New Roman" w:eastAsia="Times New Roman" w:hAnsi="Times New Roman"/>
                  <w:sz w:val="12"/>
                  <w:szCs w:val="12"/>
                  <w:u w:val="single" w:color="auto"/>
                  <w:color w:val="0000EE"/>
                </w:rPr>
                <w:t>Quantitative and Qualitative Disclosures About Market Risk</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8.</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59">
              <w:r>
                <w:rPr>
                  <w:rFonts w:ascii="Times New Roman" w:cs="Times New Roman" w:eastAsia="Times New Roman" w:hAnsi="Times New Roman"/>
                  <w:sz w:val="12"/>
                  <w:szCs w:val="12"/>
                  <w:u w:val="single" w:color="auto"/>
                  <w:color w:val="0000EE"/>
                </w:rPr>
                <w:t>Financial Statements and Supplementary Data</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9.</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95">
              <w:r>
                <w:rPr>
                  <w:rFonts w:ascii="Times New Roman" w:cs="Times New Roman" w:eastAsia="Times New Roman" w:hAnsi="Times New Roman"/>
                  <w:sz w:val="12"/>
                  <w:szCs w:val="12"/>
                  <w:u w:val="single" w:color="auto"/>
                  <w:color w:val="0000EE"/>
                </w:rPr>
                <w:t>Changes in and Disagreements With Accountants on Accounting and Financial Disclosure</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9A.</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95">
              <w:r>
                <w:rPr>
                  <w:rFonts w:ascii="Times New Roman" w:cs="Times New Roman" w:eastAsia="Times New Roman" w:hAnsi="Times New Roman"/>
                  <w:sz w:val="12"/>
                  <w:szCs w:val="12"/>
                  <w:u w:val="single" w:color="auto"/>
                  <w:color w:val="0000EE"/>
                </w:rPr>
                <w:t>Controls and Procedures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55"/>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9B.</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96">
              <w:r>
                <w:rPr>
                  <w:rFonts w:ascii="Times New Roman" w:cs="Times New Roman" w:eastAsia="Times New Roman" w:hAnsi="Times New Roman"/>
                  <w:sz w:val="12"/>
                  <w:szCs w:val="12"/>
                  <w:u w:val="single" w:color="auto"/>
                  <w:color w:val="0000EE"/>
                </w:rPr>
                <w:t>Other Information</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214"/>
        </w:trPr>
        <w:tc>
          <w:tcPr>
            <w:tcW w:w="840" w:type="dxa"/>
            <w:vAlign w:val="bottom"/>
          </w:tcPr>
          <w:p>
            <w:pPr>
              <w:spacing w:after="0"/>
              <w:rPr>
                <w:sz w:val="18"/>
                <w:szCs w:val="18"/>
                <w:color w:val="auto"/>
              </w:rPr>
            </w:pPr>
          </w:p>
        </w:tc>
        <w:tc>
          <w:tcPr>
            <w:tcW w:w="8180" w:type="dxa"/>
            <w:vAlign w:val="bottom"/>
          </w:tcPr>
          <w:p>
            <w:pPr>
              <w:jc w:val="center"/>
              <w:ind w:left="800"/>
              <w:spacing w:after="0"/>
              <w:rPr>
                <w:rFonts w:ascii="Times New Roman" w:cs="Times New Roman" w:eastAsia="Times New Roman" w:hAnsi="Times New Roman"/>
                <w:sz w:val="12"/>
                <w:szCs w:val="12"/>
                <w:b w:val="1"/>
                <w:bCs w:val="1"/>
                <w:u w:val="single" w:color="auto"/>
                <w:color w:val="0000EE"/>
                <w:w w:val="96"/>
              </w:rPr>
            </w:pPr>
            <w:hyperlink w:anchor="page97">
              <w:r>
                <w:rPr>
                  <w:rFonts w:ascii="Times New Roman" w:cs="Times New Roman" w:eastAsia="Times New Roman" w:hAnsi="Times New Roman"/>
                  <w:sz w:val="12"/>
                  <w:szCs w:val="12"/>
                  <w:b w:val="1"/>
                  <w:bCs w:val="1"/>
                  <w:u w:val="single" w:color="auto"/>
                  <w:color w:val="0000EE"/>
                  <w:w w:val="96"/>
                </w:rPr>
                <w:t>PART III</w:t>
              </w:r>
            </w:hyperlink>
          </w:p>
        </w:tc>
        <w:tc>
          <w:tcPr>
            <w:tcW w:w="2280" w:type="dxa"/>
            <w:vAlign w:val="bottom"/>
          </w:tcPr>
          <w:p>
            <w:pPr>
              <w:spacing w:after="0"/>
              <w:rPr>
                <w:sz w:val="18"/>
                <w:szCs w:val="18"/>
                <w:color w:val="auto"/>
              </w:rPr>
            </w:pP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10.</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97">
              <w:r>
                <w:rPr>
                  <w:rFonts w:ascii="Times New Roman" w:cs="Times New Roman" w:eastAsia="Times New Roman" w:hAnsi="Times New Roman"/>
                  <w:sz w:val="12"/>
                  <w:szCs w:val="12"/>
                  <w:u w:val="single" w:color="auto"/>
                  <w:color w:val="0000EE"/>
                </w:rPr>
                <w:t>Directors, Executive Officers and Corporate Governance</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11.</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97">
              <w:r>
                <w:rPr>
                  <w:rFonts w:ascii="Times New Roman" w:cs="Times New Roman" w:eastAsia="Times New Roman" w:hAnsi="Times New Roman"/>
                  <w:sz w:val="12"/>
                  <w:szCs w:val="12"/>
                  <w:u w:val="single" w:color="auto"/>
                  <w:color w:val="0000EE"/>
                </w:rPr>
                <w:t>Executive Compensation</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12.</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97">
              <w:r>
                <w:rPr>
                  <w:rFonts w:ascii="Times New Roman" w:cs="Times New Roman" w:eastAsia="Times New Roman" w:hAnsi="Times New Roman"/>
                  <w:sz w:val="12"/>
                  <w:szCs w:val="12"/>
                  <w:u w:val="single" w:color="auto"/>
                  <w:color w:val="0000EE"/>
                </w:rPr>
                <w:t>Security Ownership of Certain Beneficial Owners and Management and Related Stockholder Matters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13.</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97">
              <w:r>
                <w:rPr>
                  <w:rFonts w:ascii="Times New Roman" w:cs="Times New Roman" w:eastAsia="Times New Roman" w:hAnsi="Times New Roman"/>
                  <w:sz w:val="12"/>
                  <w:szCs w:val="12"/>
                  <w:u w:val="single" w:color="auto"/>
                  <w:color w:val="0000EE"/>
                </w:rPr>
                <w:t>Certain Relationships and Related Transactions, and Director Independence</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55"/>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14.</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97">
              <w:r>
                <w:rPr>
                  <w:rFonts w:ascii="Times New Roman" w:cs="Times New Roman" w:eastAsia="Times New Roman" w:hAnsi="Times New Roman"/>
                  <w:sz w:val="12"/>
                  <w:szCs w:val="12"/>
                  <w:u w:val="single" w:color="auto"/>
                  <w:color w:val="0000EE"/>
                </w:rPr>
                <w:t>Principal Accountant Fees and Services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214"/>
        </w:trPr>
        <w:tc>
          <w:tcPr>
            <w:tcW w:w="840" w:type="dxa"/>
            <w:vAlign w:val="bottom"/>
          </w:tcPr>
          <w:p>
            <w:pPr>
              <w:spacing w:after="0"/>
              <w:rPr>
                <w:sz w:val="18"/>
                <w:szCs w:val="18"/>
                <w:color w:val="auto"/>
              </w:rPr>
            </w:pPr>
          </w:p>
        </w:tc>
        <w:tc>
          <w:tcPr>
            <w:tcW w:w="8180" w:type="dxa"/>
            <w:vAlign w:val="bottom"/>
          </w:tcPr>
          <w:p>
            <w:pPr>
              <w:jc w:val="center"/>
              <w:ind w:left="800"/>
              <w:spacing w:after="0"/>
              <w:rPr>
                <w:rFonts w:ascii="Times New Roman" w:cs="Times New Roman" w:eastAsia="Times New Roman" w:hAnsi="Times New Roman"/>
                <w:sz w:val="12"/>
                <w:szCs w:val="12"/>
                <w:b w:val="1"/>
                <w:bCs w:val="1"/>
                <w:u w:val="single" w:color="auto"/>
                <w:color w:val="0000EE"/>
                <w:w w:val="97"/>
              </w:rPr>
            </w:pPr>
            <w:hyperlink w:anchor="page98">
              <w:r>
                <w:rPr>
                  <w:rFonts w:ascii="Times New Roman" w:cs="Times New Roman" w:eastAsia="Times New Roman" w:hAnsi="Times New Roman"/>
                  <w:sz w:val="12"/>
                  <w:szCs w:val="12"/>
                  <w:b w:val="1"/>
                  <w:bCs w:val="1"/>
                  <w:u w:val="single" w:color="auto"/>
                  <w:color w:val="0000EE"/>
                  <w:w w:val="97"/>
                </w:rPr>
                <w:t>PART IV</w:t>
              </w:r>
            </w:hyperlink>
          </w:p>
        </w:tc>
        <w:tc>
          <w:tcPr>
            <w:tcW w:w="2280" w:type="dxa"/>
            <w:vAlign w:val="bottom"/>
          </w:tcPr>
          <w:p>
            <w:pPr>
              <w:spacing w:after="0"/>
              <w:rPr>
                <w:sz w:val="18"/>
                <w:szCs w:val="18"/>
                <w:color w:val="auto"/>
              </w:rPr>
            </w:pP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15.</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98">
              <w:r>
                <w:rPr>
                  <w:rFonts w:ascii="Times New Roman" w:cs="Times New Roman" w:eastAsia="Times New Roman" w:hAnsi="Times New Roman"/>
                  <w:sz w:val="12"/>
                  <w:szCs w:val="12"/>
                  <w:u w:val="single" w:color="auto"/>
                  <w:color w:val="0000EE"/>
                </w:rPr>
                <w:t>Exhibit and Financial Statement Schedules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55"/>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16.</w:t>
            </w:r>
          </w:p>
        </w:tc>
        <w:tc>
          <w:tcPr>
            <w:tcW w:w="8180" w:type="dxa"/>
            <w:vAlign w:val="bottom"/>
          </w:tcPr>
          <w:p>
            <w:pPr>
              <w:ind w:left="400"/>
              <w:spacing w:after="0"/>
              <w:rPr>
                <w:rFonts w:ascii="Times New Roman" w:cs="Times New Roman" w:eastAsia="Times New Roman" w:hAnsi="Times New Roman"/>
                <w:sz w:val="12"/>
                <w:szCs w:val="12"/>
                <w:u w:val="single" w:color="auto"/>
                <w:color w:val="0000EE"/>
              </w:rPr>
            </w:pPr>
            <w:hyperlink w:anchor="page114">
              <w:r>
                <w:rPr>
                  <w:rFonts w:ascii="Times New Roman" w:cs="Times New Roman" w:eastAsia="Times New Roman" w:hAnsi="Times New Roman"/>
                  <w:sz w:val="12"/>
                  <w:szCs w:val="12"/>
                  <w:u w:val="single" w:color="auto"/>
                  <w:color w:val="0000EE"/>
                </w:rPr>
                <w:t>Form 10-K Summary</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r>
    </w:tbl>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i w:val="1"/>
          <w:iCs w:val="1"/>
          <w:color w:val="auto"/>
        </w:rPr>
        <w:t>Except as the context otherwise indicates, the terms “MSCI,” the “Company,” “we,” “our” and “us” refer to MSCI Inc. together with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514985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25" w:lineRule="exact"/>
        <w:rPr>
          <w:sz w:val="20"/>
          <w:szCs w:val="20"/>
          <w:color w:val="auto"/>
        </w:rPr>
      </w:pPr>
    </w:p>
    <w:p>
      <w:pPr>
        <w:ind w:right="240" w:firstLine="555"/>
        <w:spacing w:after="0" w:line="266" w:lineRule="auto"/>
        <w:rPr>
          <w:sz w:val="20"/>
          <w:szCs w:val="20"/>
          <w:color w:val="auto"/>
        </w:rPr>
      </w:pPr>
      <w:r>
        <w:rPr>
          <w:rFonts w:ascii="Times New Roman" w:cs="Times New Roman" w:eastAsia="Times New Roman" w:hAnsi="Times New Roman"/>
          <w:sz w:val="12"/>
          <w:szCs w:val="12"/>
          <w:i w:val="1"/>
          <w:iCs w:val="1"/>
          <w:color w:val="auto"/>
        </w:rPr>
        <w:t>We have included in this Annual Report on Form 10-K, and from time to time may make in our public filings, press releases or other public statements, certain statements that constitute forward-looking statements. In addition, our management may make forward-looking statements to analysts, investors, representatives of the media and others. These forward-looking statements are not historical facts and represent only MSCI’s beliefs regarding future events, many of which, by their nature, are inherently uncertain and beyond our control.</w:t>
      </w:r>
    </w:p>
    <w:p>
      <w:pPr>
        <w:spacing w:after="0" w:line="117" w:lineRule="exact"/>
        <w:rPr>
          <w:sz w:val="20"/>
          <w:szCs w:val="20"/>
          <w:color w:val="auto"/>
        </w:rPr>
      </w:pPr>
    </w:p>
    <w:p>
      <w:pPr>
        <w:ind w:right="100" w:firstLine="592"/>
        <w:spacing w:after="0" w:line="257" w:lineRule="auto"/>
        <w:rPr>
          <w:sz w:val="20"/>
          <w:szCs w:val="20"/>
          <w:color w:val="auto"/>
        </w:rPr>
      </w:pPr>
      <w:r>
        <w:rPr>
          <w:rFonts w:ascii="Times New Roman" w:cs="Times New Roman" w:eastAsia="Times New Roman" w:hAnsi="Times New Roman"/>
          <w:sz w:val="12"/>
          <w:szCs w:val="12"/>
          <w:i w:val="1"/>
          <w:iCs w:val="1"/>
          <w:color w:val="auto"/>
        </w:rPr>
        <w:t>In some cases, you can identify forward-looking statements by the use of words such as “may,” “could,” “expect,” “intend,” “plan,” “seek,” “anticipate,” “believe,” “estimate,” “predict,” “potential” or “continue,” or the negative of these terms or other comparable terminology. Statements concerning our financial position, business strategy and plans or objectives for future operations are forward-looking statements. You should not place undue reliance on forward-looking statements because they involve known and unknown risks, uncertainties and other factors that are, in some cases, beyond our control and that could materially affect our actual results, levels of activity, performance or achievements. Such risks and uncertainties include those set forth under “Risk Factors” in Part I, Item 1A of this Annual Report on Form 10-K. The forward-looking statements in this report speak only as of the time they are made and do not necessarily reflect our outlook at any other point in time. We undertake no obligation to update publicly any forward-looking statements, whether as a result of new information, future events or for any other reason. Therefore, readers should carefully review the risk factors set forth in other reports or documents we file from time to time with the Securities and Exchange Commission (the “SEC”).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Business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Mission</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MSCI’s mission is to enable investors to build better portfolios for a better world.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91" w:lineRule="exact"/>
        <w:rPr>
          <w:sz w:val="20"/>
          <w:szCs w:val="20"/>
          <w:color w:val="auto"/>
        </w:rPr>
      </w:pPr>
    </w:p>
    <w:p>
      <w:pPr>
        <w:ind w:right="60" w:firstLine="592"/>
        <w:spacing w:after="0" w:line="279" w:lineRule="auto"/>
        <w:rPr>
          <w:sz w:val="20"/>
          <w:szCs w:val="20"/>
          <w:color w:val="auto"/>
        </w:rPr>
      </w:pPr>
      <w:r>
        <w:rPr>
          <w:rFonts w:ascii="Times New Roman" w:cs="Times New Roman" w:eastAsia="Times New Roman" w:hAnsi="Times New Roman"/>
          <w:sz w:val="12"/>
          <w:szCs w:val="12"/>
          <w:color w:val="auto"/>
        </w:rPr>
        <w:t>We are a leading provider of critical decision support tools and services for the global investment community. Leveraging our knowledge of the global investment process and our expertise in research, data and technology, our actionable solutions power better investment decisions by enabling our clients to understand and analyze key drivers of risk and return and confidently and efficiently build more effective portfolios.</w:t>
      </w:r>
    </w:p>
    <w:p>
      <w:pPr>
        <w:spacing w:after="0" w:line="138" w:lineRule="exact"/>
        <w:rPr>
          <w:sz w:val="20"/>
          <w:szCs w:val="20"/>
          <w:color w:val="auto"/>
        </w:rPr>
      </w:pPr>
    </w:p>
    <w:p>
      <w:pPr>
        <w:jc w:val="both"/>
        <w:ind w:right="300" w:firstLine="592"/>
        <w:spacing w:after="0" w:line="265" w:lineRule="auto"/>
        <w:rPr>
          <w:sz w:val="20"/>
          <w:szCs w:val="20"/>
          <w:color w:val="auto"/>
        </w:rPr>
      </w:pPr>
      <w:r>
        <w:rPr>
          <w:rFonts w:ascii="Times New Roman" w:cs="Times New Roman" w:eastAsia="Times New Roman" w:hAnsi="Times New Roman"/>
          <w:sz w:val="12"/>
          <w:szCs w:val="12"/>
          <w:color w:val="auto"/>
        </w:rPr>
        <w:t>Investors all over the world use our tools and services to gain insights and improve transparency throughout their investment processes, including to help define their investment universe, inform and analyze their asset allocation and portfolio construction decisions, measure and manage portfolio performance and risk, conduct performance attribution, implement sustainable and other investment strategies, design and issue exchange traded funds (“ETFs”) and other indexed financial products, and facilitate reporting to stakeholders.</w:t>
      </w:r>
    </w:p>
    <w:p>
      <w:pPr>
        <w:spacing w:after="0" w:line="137" w:lineRule="exact"/>
        <w:rPr>
          <w:sz w:val="20"/>
          <w:szCs w:val="20"/>
          <w:color w:val="auto"/>
        </w:rPr>
      </w:pPr>
    </w:p>
    <w:p>
      <w:pPr>
        <w:ind w:right="440" w:firstLine="592"/>
        <w:spacing w:after="0" w:line="265" w:lineRule="auto"/>
        <w:rPr>
          <w:sz w:val="20"/>
          <w:szCs w:val="20"/>
          <w:color w:val="auto"/>
        </w:rPr>
      </w:pPr>
      <w:r>
        <w:rPr>
          <w:rFonts w:ascii="Times New Roman" w:cs="Times New Roman" w:eastAsia="Times New Roman" w:hAnsi="Times New Roman"/>
          <w:sz w:val="12"/>
          <w:szCs w:val="12"/>
          <w:color w:val="auto"/>
        </w:rPr>
        <w:t>Our leading, research-enhanced products and services include indexes; portfolio construction and risk management analytics; environmental, social and governance (“ESG”) and climate solutions; and real estate benchmarks, return-analytics and market insights. Through our integrated franchise we provide solutions across our products and services to support our clients’ dynamic and complex needs. Our content and capabilities can be accessed by our clients through multiple channels and platforms.</w:t>
      </w:r>
    </w:p>
    <w:p>
      <w:pPr>
        <w:spacing w:after="0" w:line="146" w:lineRule="exact"/>
        <w:rPr>
          <w:sz w:val="20"/>
          <w:szCs w:val="20"/>
          <w:color w:val="auto"/>
        </w:rPr>
      </w:pPr>
    </w:p>
    <w:p>
      <w:pPr>
        <w:ind w:firstLine="592"/>
        <w:spacing w:after="0" w:line="279" w:lineRule="auto"/>
        <w:rPr>
          <w:sz w:val="20"/>
          <w:szCs w:val="20"/>
          <w:color w:val="auto"/>
        </w:rPr>
      </w:pPr>
      <w:r>
        <w:rPr>
          <w:rFonts w:ascii="Times New Roman" w:cs="Times New Roman" w:eastAsia="Times New Roman" w:hAnsi="Times New Roman"/>
          <w:sz w:val="12"/>
          <w:szCs w:val="12"/>
          <w:color w:val="auto"/>
        </w:rPr>
        <w:t>We are focused on product innovation to address the evolving needs of our clients in light of changing investment trends and an increasingly complex industry. In order to most effectively serve our clients, we are committed to driving an integrated solutions-based approach, achieving service excellence, enhancing our differentiated research and content, and delivering flexible, cutting-edge technology and platforms.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Clients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Our clients comprise a wide spectrum of the global investment industry and include the following key client types:</w:t>
      </w:r>
    </w:p>
    <w:p>
      <w:pPr>
        <w:spacing w:after="0" w:line="87" w:lineRule="exact"/>
        <w:rPr>
          <w:sz w:val="20"/>
          <w:szCs w:val="20"/>
          <w:color w:val="auto"/>
        </w:rPr>
      </w:pPr>
    </w:p>
    <w:p>
      <w:pPr>
        <w:ind w:left="1000" w:hanging="423"/>
        <w:spacing w:after="0"/>
        <w:tabs>
          <w:tab w:leader="none" w:pos="100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 owners (pension funds, endowments, foundations, central banks, sovereign wealth funds, family offices and insurance companies)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 managers (institutional funds and accounts, mutual funds, hedge funds, ETFs, insurance products, private banks and real estate investment trusts)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intermediaries (banks, broker-dealers, exchanges, custodians, trust companies and investment consultants)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Wealth managers (including robo-advisors and self-directed brokerages)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Corporates</w:t>
      </w:r>
    </w:p>
    <w:p>
      <w:pPr>
        <w:spacing w:after="0" w:line="168" w:lineRule="exact"/>
        <w:rPr>
          <w:sz w:val="20"/>
          <w:szCs w:val="20"/>
          <w:color w:val="auto"/>
        </w:rPr>
      </w:pPr>
    </w:p>
    <w:p>
      <w:pPr>
        <w:ind w:right="60" w:firstLine="592"/>
        <w:spacing w:after="0" w:line="279" w:lineRule="auto"/>
        <w:rPr>
          <w:sz w:val="20"/>
          <w:szCs w:val="20"/>
          <w:color w:val="auto"/>
        </w:rPr>
      </w:pPr>
      <w:r>
        <w:rPr>
          <w:rFonts w:ascii="Times New Roman" w:cs="Times New Roman" w:eastAsia="Times New Roman" w:hAnsi="Times New Roman"/>
          <w:sz w:val="12"/>
          <w:szCs w:val="12"/>
          <w:color w:val="auto"/>
        </w:rPr>
        <w:t>As of December 31, 2020, we served over 4,400 clients</w:t>
      </w:r>
      <w:r>
        <w:rPr>
          <w:rFonts w:ascii="Times New Roman" w:cs="Times New Roman" w:eastAsia="Times New Roman" w:hAnsi="Times New Roman"/>
          <w:sz w:val="10"/>
          <w:szCs w:val="10"/>
          <w:color w:val="auto"/>
        </w:rPr>
        <w:t>1</w:t>
      </w:r>
      <w:r>
        <w:rPr>
          <w:rFonts w:ascii="Times New Roman" w:cs="Times New Roman" w:eastAsia="Times New Roman" w:hAnsi="Times New Roman"/>
          <w:sz w:val="12"/>
          <w:szCs w:val="12"/>
          <w:color w:val="auto"/>
        </w:rPr>
        <w:t xml:space="preserve"> in more than 95 countries. For the year ended December 31, 2020, our largest client organization by revenue, BlackRock, accounted for 11.0% of our total revenues, with 94.3% of the revenue from BlackRock coming from fees based on the assets in BlackRock’s ETFs that are based on our indexes.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Industry Trends and Competitive Advantages</w:t>
      </w:r>
    </w:p>
    <w:p>
      <w:pPr>
        <w:spacing w:after="0" w:line="91" w:lineRule="exact"/>
        <w:rPr>
          <w:sz w:val="20"/>
          <w:szCs w:val="20"/>
          <w:color w:val="auto"/>
        </w:rPr>
      </w:pPr>
    </w:p>
    <w:p>
      <w:pPr>
        <w:jc w:val="both"/>
        <w:ind w:firstLine="592"/>
        <w:spacing w:after="0" w:line="265" w:lineRule="auto"/>
        <w:rPr>
          <w:sz w:val="20"/>
          <w:szCs w:val="20"/>
          <w:color w:val="auto"/>
        </w:rPr>
      </w:pPr>
      <w:r>
        <w:rPr>
          <w:rFonts w:ascii="Times New Roman" w:cs="Times New Roman" w:eastAsia="Times New Roman" w:hAnsi="Times New Roman"/>
          <w:sz w:val="12"/>
          <w:szCs w:val="12"/>
          <w:color w:val="auto"/>
        </w:rPr>
        <w:t>We believe we are uniquely positioned to benefit from emerging trends and to help our clients adapt to a large and rapidly expanding and evolving investment industry. Investing has grown in complexity, with more choices across asset classes, security types and geographies. Investors are increasingly looking outside their home countries, and the access to and diversity of investment choices are growing. As a result, the investment process is transforming, reflected in a number of trends we have observed, including:</w:t>
      </w:r>
    </w:p>
    <w:p>
      <w:pPr>
        <w:sectPr>
          <w:pgSz w:w="11900" w:h="16838" w:orient="portrait"/>
          <w:cols w:equalWidth="0" w:num="1">
            <w:col w:w="11280"/>
          </w:cols>
          <w:pgMar w:left="300" w:top="512" w:right="319" w:bottom="1440" w:gutter="0" w:footer="0" w:header="0"/>
        </w:sectPr>
      </w:pP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Changing client operating models and business strategies, driven in part by fee compression, changing demographics, the regulatory environment and economics;</w:t>
      </w:r>
    </w:p>
    <w:p>
      <w:pPr>
        <w:spacing w:after="0" w:line="78" w:lineRule="exact"/>
        <w:rPr>
          <w:sz w:val="20"/>
          <w:szCs w:val="20"/>
          <w:color w:val="auto"/>
        </w:rPr>
      </w:pPr>
    </w:p>
    <w:p>
      <w:pPr>
        <w:sectPr>
          <w:pgSz w:w="11900" w:h="16838" w:orient="portrait"/>
          <w:cols w:equalWidth="0" w:num="2">
            <w:col w:w="620" w:space="380"/>
            <w:col w:w="10280"/>
          </w:cols>
          <w:pgMar w:left="300" w:top="51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Increasing use of global and multi-asset class strategies, incorporating private asset investments and factor objectives, as investors seek specific, customized outcomes;</w:t>
      </w:r>
    </w:p>
    <w:p>
      <w:pPr>
        <w:spacing w:after="0" w:line="90" w:lineRule="exact"/>
        <w:rPr>
          <w:sz w:val="20"/>
          <w:szCs w:val="20"/>
          <w:color w:val="auto"/>
        </w:rPr>
      </w:pPr>
    </w:p>
    <w:p>
      <w:pPr>
        <w:sectPr>
          <w:pgSz w:w="11900" w:h="16838" w:orient="portrait"/>
          <w:cols w:equalWidth="0" w:num="2">
            <w:col w:w="620" w:space="380"/>
            <w:col w:w="10280"/>
          </w:cols>
          <w:pgMar w:left="300" w:top="51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ind w:right="120"/>
        <w:spacing w:after="0" w:line="279" w:lineRule="auto"/>
        <w:rPr>
          <w:sz w:val="20"/>
          <w:szCs w:val="20"/>
          <w:color w:val="auto"/>
        </w:rPr>
      </w:pPr>
      <w:r>
        <w:rPr>
          <w:rFonts w:ascii="Times New Roman" w:cs="Times New Roman" w:eastAsia="Times New Roman" w:hAnsi="Times New Roman"/>
          <w:sz w:val="12"/>
          <w:szCs w:val="12"/>
          <w:color w:val="auto"/>
        </w:rPr>
        <w:t>Accelerating integration of ESG and climate considerations into investment processes, reporting and products as sustainable investing goes increasingly mainstream and investors increasingly focus on companies with strong sustainability practices as an indicator of long-term resilience especially in light of events such as the COVID-19 pandemic;</w:t>
      </w:r>
    </w:p>
    <w:p>
      <w:pPr>
        <w:spacing w:after="0" w:line="39" w:lineRule="exact"/>
        <w:rPr>
          <w:sz w:val="20"/>
          <w:szCs w:val="20"/>
          <w:color w:val="auto"/>
        </w:rPr>
      </w:pPr>
    </w:p>
    <w:p>
      <w:pPr>
        <w:sectPr>
          <w:pgSz w:w="11900" w:h="16838" w:orient="portrait"/>
          <w:cols w:equalWidth="0" w:num="2">
            <w:col w:w="620" w:space="380"/>
            <w:col w:w="10280"/>
          </w:cols>
          <w:pgMar w:left="300" w:top="51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Times New Roman" w:cs="Times New Roman" w:eastAsia="Times New Roman" w:hAnsi="Times New Roman"/>
          <w:sz w:val="12"/>
          <w:szCs w:val="12"/>
          <w:color w:val="auto"/>
        </w:rPr>
        <w:t>Continuing growth of indexed investing through indexed investment products such as ETFs, mutual/UCITS funds and annuities, as well as indexed derivatives such as futures, options, structured products and over-the-counter swaps, and other vehicles that seek to track an index as investors increasingly seek lower-cost investment strategies;</w:t>
      </w:r>
    </w:p>
    <w:p>
      <w:pPr>
        <w:spacing w:after="0" w:line="39" w:lineRule="exact"/>
        <w:rPr>
          <w:sz w:val="20"/>
          <w:szCs w:val="20"/>
          <w:color w:val="auto"/>
        </w:rPr>
      </w:pPr>
    </w:p>
    <w:p>
      <w:pPr>
        <w:sectPr>
          <w:pgSz w:w="11900" w:h="16838" w:orient="portrait"/>
          <w:cols w:equalWidth="0" w:num="2">
            <w:col w:w="620" w:space="380"/>
            <w:col w:w="10280"/>
          </w:cols>
          <w:pgMar w:left="300" w:top="51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Increasing demand for data and tools that can be customized by clients to support their unique portfolio construction needs and to provide transparency into their investment objectives; and</w:t>
      </w:r>
    </w:p>
    <w:p>
      <w:pPr>
        <w:spacing w:after="0" w:line="78" w:lineRule="exact"/>
        <w:rPr>
          <w:sz w:val="20"/>
          <w:szCs w:val="20"/>
          <w:color w:val="auto"/>
        </w:rPr>
      </w:pPr>
    </w:p>
    <w:p>
      <w:pPr>
        <w:sectPr>
          <w:pgSz w:w="11900" w:h="16838" w:orient="portrait"/>
          <w:cols w:equalWidth="0" w:num="2">
            <w:col w:w="620" w:space="380"/>
            <w:col w:w="10280"/>
          </w:cols>
          <w:pgMar w:left="300" w:top="51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Growing use of advanced technologies to enhance investment analytics, streamline operations, create efficiencies and gain competitive advantages.</w:t>
      </w:r>
    </w:p>
    <w:p>
      <w:pPr>
        <w:spacing w:after="0" w:line="200" w:lineRule="exact"/>
        <w:rPr>
          <w:sz w:val="20"/>
          <w:szCs w:val="20"/>
          <w:color w:val="auto"/>
        </w:rPr>
      </w:pPr>
    </w:p>
    <w:p>
      <w:pPr>
        <w:sectPr>
          <w:pgSz w:w="11900" w:h="16838" w:orient="portrait"/>
          <w:cols w:equalWidth="0" w:num="2">
            <w:col w:w="620" w:space="380"/>
            <w:col w:w="10280"/>
          </w:cols>
          <w:pgMar w:left="300" w:top="512" w:right="31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xml:space="preserve">1 </w:t>
      </w:r>
      <w:r>
        <w:rPr>
          <w:rFonts w:ascii="Times New Roman" w:cs="Times New Roman" w:eastAsia="Times New Roman" w:hAnsi="Times New Roman"/>
          <w:sz w:val="9"/>
          <w:szCs w:val="9"/>
          <w:color w:val="auto"/>
        </w:rPr>
        <w:t>Represents the aggregate of all related clients under their respective parent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4344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512" w:right="319" w:bottom="1440" w:gutter="0" w:footer="0" w:header="0"/>
          <w:type w:val="continuous"/>
        </w:sectPr>
      </w:pPr>
    </w:p>
    <w:bookmarkStart w:id="4" w:name="page5"/>
    <w:bookmarkEnd w:id="4"/>
    <w:p>
      <w:pPr>
        <w:ind w:left="580"/>
        <w:spacing w:after="0"/>
        <w:rPr>
          <w:sz w:val="20"/>
          <w:szCs w:val="20"/>
          <w:color w:val="auto"/>
        </w:rPr>
      </w:pPr>
      <w:r>
        <w:rPr>
          <w:rFonts w:ascii="Times New Roman" w:cs="Times New Roman" w:eastAsia="Times New Roman" w:hAnsi="Times New Roman"/>
          <w:sz w:val="12"/>
          <w:szCs w:val="12"/>
          <w:color w:val="auto"/>
        </w:rPr>
        <w:t>We believe the following competitive advantages position us well to meet client demands in light of these trends:</w:t>
      </w:r>
    </w:p>
    <w:p>
      <w:pPr>
        <w:spacing w:after="0" w:line="157" w:lineRule="exact"/>
        <w:rPr>
          <w:sz w:val="20"/>
          <w:szCs w:val="20"/>
          <w:color w:val="auto"/>
        </w:rPr>
      </w:pPr>
    </w:p>
    <w:p>
      <w:pPr>
        <w:ind w:left="1000" w:right="40" w:hanging="423"/>
        <w:spacing w:after="0" w:line="261" w:lineRule="auto"/>
        <w:tabs>
          <w:tab w:leader="none" w:pos="10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Differentiated research-enhanced content</w:t>
      </w:r>
      <w:r>
        <w:rPr>
          <w:rFonts w:ascii="Times New Roman" w:cs="Times New Roman" w:eastAsia="Times New Roman" w:hAnsi="Times New Roman"/>
          <w:sz w:val="12"/>
          <w:szCs w:val="12"/>
          <w:color w:val="auto"/>
        </w:rPr>
        <w:t>, which is integral to the solutions we provide to clients to help them adapt to a fast-changing marketplace. We are continually developing a wide range of differentiated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content and have amassed an extensive database of historical global market data, proprietary equity index data, factor models, private real estate assets benchmark data, risk algorithms and ESG and climate data, all of which are critical components of our clients’ investment processes. This content is grounded in our deep knowledge of the global investment process and fueled by experienced research and product development and data management teams. We consult with clients and other market participants to discuss their needs, investment trends and implications for our business.</w:t>
      </w:r>
    </w:p>
    <w:p>
      <w:pPr>
        <w:spacing w:after="0" w:line="47" w:lineRule="exact"/>
        <w:rPr>
          <w:rFonts w:ascii="Times New Roman" w:cs="Times New Roman" w:eastAsia="Times New Roman" w:hAnsi="Times New Roman"/>
          <w:sz w:val="12"/>
          <w:szCs w:val="12"/>
          <w:color w:val="auto"/>
        </w:rPr>
      </w:pPr>
    </w:p>
    <w:p>
      <w:pPr>
        <w:ind w:left="1000" w:right="200" w:hanging="423"/>
        <w:spacing w:after="0" w:line="266" w:lineRule="auto"/>
        <w:tabs>
          <w:tab w:leader="none" w:pos="10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Strong client relationships </w:t>
      </w:r>
      <w:r>
        <w:rPr>
          <w:rFonts w:ascii="Times New Roman" w:cs="Times New Roman" w:eastAsia="Times New Roman" w:hAnsi="Times New Roman"/>
          <w:sz w:val="12"/>
          <w:szCs w:val="12"/>
          <w:color w:val="auto"/>
        </w:rPr>
        <w:t>supported by a client coverage team with significant industry experience. The coverage team develops and maintains strong and trusted relationships with senior executives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investment professionals at the world’s largest investment institutions. We believe that these relationships and our global operating footprint enable us to better understand our clients’ unique needs and tailor our coverage initiatives to better serve our clients in the markets in which they operate.</w:t>
      </w:r>
    </w:p>
    <w:p>
      <w:pPr>
        <w:spacing w:after="0" w:line="45" w:lineRule="exact"/>
        <w:rPr>
          <w:rFonts w:ascii="Times New Roman" w:cs="Times New Roman" w:eastAsia="Times New Roman" w:hAnsi="Times New Roman"/>
          <w:sz w:val="12"/>
          <w:szCs w:val="12"/>
          <w:color w:val="auto"/>
        </w:rPr>
      </w:pPr>
    </w:p>
    <w:p>
      <w:pPr>
        <w:jc w:val="both"/>
        <w:ind w:left="1000" w:right="160" w:hanging="423"/>
        <w:spacing w:after="0" w:line="302" w:lineRule="auto"/>
        <w:tabs>
          <w:tab w:leader="none" w:pos="100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 xml:space="preserve">Flexible, scalable, cutting-edge technology </w:t>
      </w:r>
      <w:r>
        <w:rPr>
          <w:rFonts w:ascii="Times New Roman" w:cs="Times New Roman" w:eastAsia="Times New Roman" w:hAnsi="Times New Roman"/>
          <w:sz w:val="11"/>
          <w:szCs w:val="11"/>
          <w:color w:val="auto"/>
        </w:rPr>
        <w:t>that is used, developed and enhanced by a global team of sophisticated and innovative technology and data professionals. Our technology enables clients to use content</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created by MSCI, themselves and third parties in an efficient manner and thereby helps them be more cost-effective in their own operations. Our technology allows us to continually improve our overall products and services by more efficiently processing data for distribution and ensuring advanced platform flexibility that provides for easy integration of our solutions into distribution channels and our clients’ workflows.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Strategy</w:t>
      </w:r>
    </w:p>
    <w:p>
      <w:pPr>
        <w:spacing w:after="0" w:line="82" w:lineRule="exact"/>
        <w:rPr>
          <w:sz w:val="20"/>
          <w:szCs w:val="20"/>
          <w:color w:val="auto"/>
        </w:rPr>
      </w:pPr>
    </w:p>
    <w:p>
      <w:pPr>
        <w:ind w:right="520" w:firstLine="592"/>
        <w:spacing w:after="0" w:line="279" w:lineRule="auto"/>
        <w:rPr>
          <w:sz w:val="20"/>
          <w:szCs w:val="20"/>
          <w:color w:val="auto"/>
        </w:rPr>
      </w:pPr>
      <w:r>
        <w:rPr>
          <w:rFonts w:ascii="Times New Roman" w:cs="Times New Roman" w:eastAsia="Times New Roman" w:hAnsi="Times New Roman"/>
          <w:sz w:val="12"/>
          <w:szCs w:val="12"/>
          <w:color w:val="auto"/>
        </w:rPr>
        <w:t>We provide critical tools and solutions that enable investors to manage the transformations taking place in the investment industry, better understand performance and risk, and build portfolios more effectively and efficiently to achieve their investment objectives. We are focused on the following key initiatives to deliver actionable and integrated client solutions:</w:t>
      </w:r>
    </w:p>
    <w:p>
      <w:pPr>
        <w:spacing w:after="0" w:line="46" w:lineRule="exact"/>
        <w:rPr>
          <w:sz w:val="20"/>
          <w:szCs w:val="20"/>
          <w:color w:val="auto"/>
        </w:rPr>
      </w:pPr>
    </w:p>
    <w:p>
      <w:pPr>
        <w:ind w:left="1000" w:right="40" w:hanging="423"/>
        <w:spacing w:after="0" w:line="261" w:lineRule="auto"/>
        <w:tabs>
          <w:tab w:leader="none" w:pos="10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Extend leadership in research-enhanced content across asset classes. </w:t>
      </w:r>
      <w:r>
        <w:rPr>
          <w:rFonts w:ascii="Times New Roman" w:cs="Times New Roman" w:eastAsia="Times New Roman" w:hAnsi="Times New Roman"/>
          <w:sz w:val="12"/>
          <w:szCs w:val="12"/>
          <w:color w:val="auto"/>
        </w:rPr>
        <w:t>We continue to deliver solutions that incorporate proprietary and highly differentiated content based on rich insights from our research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product development team. In addition to continuing to enhance our position as a leader with respect to tools and services for equity investors globally, our strategic priorities with respect to content also include ESG and climate, thematics, factors, fixed income, liquidity and private assets, all of which we believe represent significant growth opportunities. We are focused on expanding our performance and risk capabilities and content across asset classes, which will allow us to provide more tools to our clients that help them pursue and achieve their investment objectives.</w:t>
      </w:r>
    </w:p>
    <w:p>
      <w:pPr>
        <w:spacing w:after="0" w:line="56" w:lineRule="exact"/>
        <w:rPr>
          <w:rFonts w:ascii="Times New Roman" w:cs="Times New Roman" w:eastAsia="Times New Roman" w:hAnsi="Times New Roman"/>
          <w:sz w:val="12"/>
          <w:szCs w:val="12"/>
          <w:color w:val="auto"/>
        </w:rPr>
      </w:pPr>
    </w:p>
    <w:p>
      <w:pPr>
        <w:ind w:left="1000" w:hanging="423"/>
        <w:spacing w:after="0" w:line="266" w:lineRule="auto"/>
        <w:tabs>
          <w:tab w:leader="none" w:pos="10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Enhance distribution and content-enabling technology. </w:t>
      </w:r>
      <w:r>
        <w:rPr>
          <w:rFonts w:ascii="Times New Roman" w:cs="Times New Roman" w:eastAsia="Times New Roman" w:hAnsi="Times New Roman"/>
          <w:sz w:val="12"/>
          <w:szCs w:val="12"/>
          <w:color w:val="auto"/>
        </w:rPr>
        <w:t>We are deploying and developing advanced technology to drive integration and efficiencies, accelerate the pace of innovation and enhance distribution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client experience. We increasingly utilize proprietary and third-party technologies, including machine learning and artificial intelligence tools, to enhance our ability to gather and analyze data, create content and automate and enhance the efficiency of many of our data processes.</w:t>
      </w:r>
    </w:p>
    <w:p>
      <w:pPr>
        <w:spacing w:after="0" w:line="45" w:lineRule="exact"/>
        <w:rPr>
          <w:rFonts w:ascii="Times New Roman" w:cs="Times New Roman" w:eastAsia="Times New Roman" w:hAnsi="Times New Roman"/>
          <w:sz w:val="12"/>
          <w:szCs w:val="12"/>
          <w:color w:val="auto"/>
        </w:rPr>
      </w:pPr>
    </w:p>
    <w:p>
      <w:pPr>
        <w:ind w:left="1000" w:right="140" w:hanging="423"/>
        <w:spacing w:after="0" w:line="266" w:lineRule="auto"/>
        <w:tabs>
          <w:tab w:leader="none" w:pos="10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Expand solutions that empower client customization</w:t>
      </w:r>
      <w:r>
        <w:rPr>
          <w:rFonts w:ascii="Times New Roman" w:cs="Times New Roman" w:eastAsia="Times New Roman" w:hAnsi="Times New Roman"/>
          <w:sz w:val="12"/>
          <w:szCs w:val="12"/>
          <w:color w:val="auto"/>
        </w:rPr>
        <w:t>. We will further enhance how we support our clients’ investment objectives by embedding our highly differentiated research into solutions that allow clients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incorporate their custom preferences. For example, we will leverage existing capabilities and applications to deliver solutions that will allow clients to reflect their unique risk and return, ESG and climate and thematic preferences, as well as tax optimization strategies in a scalable way.</w:t>
      </w:r>
    </w:p>
    <w:p>
      <w:pPr>
        <w:spacing w:after="0" w:line="54" w:lineRule="exact"/>
        <w:rPr>
          <w:rFonts w:ascii="Times New Roman" w:cs="Times New Roman" w:eastAsia="Times New Roman" w:hAnsi="Times New Roman"/>
          <w:sz w:val="12"/>
          <w:szCs w:val="12"/>
          <w:color w:val="auto"/>
        </w:rPr>
      </w:pPr>
    </w:p>
    <w:p>
      <w:pPr>
        <w:ind w:left="1000" w:right="20" w:hanging="423"/>
        <w:spacing w:after="0" w:line="258" w:lineRule="auto"/>
        <w:tabs>
          <w:tab w:leader="none" w:pos="10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Growth through strengthening existing client relationships and developing new ones. </w:t>
      </w:r>
      <w:r>
        <w:rPr>
          <w:rFonts w:ascii="Times New Roman" w:cs="Times New Roman" w:eastAsia="Times New Roman" w:hAnsi="Times New Roman"/>
          <w:sz w:val="12"/>
          <w:szCs w:val="12"/>
          <w:color w:val="auto"/>
        </w:rPr>
        <w:t>In support of our solutions-driven strategy, we continue to grow our existing offerings by cultivating and expanding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relationships across our client base and serving the needs of different client types across multiple asset classes. We remain focused on building the strength and knowledge of our client coverage team to enable them to understand our clients’ needs and educate our clients on the full breadth of our content and capabilities and how using complementary tools can help clients analyze performance and risk across asset classes, investment strategies and geographies. We continue to develop relationships with the following client segments that we believe offer significant growth opportunities: wealth managers, corporates, insurance companies and exchanges, as well as clients in fast-growing regions such as Asia.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44" w:right="299" w:bottom="1440" w:gutter="0" w:footer="0" w:header="0"/>
        </w:sectPr>
      </w:pPr>
    </w:p>
    <w:bookmarkStart w:id="5" w:name="page6"/>
    <w:bookmarkEnd w:id="5"/>
    <w:p>
      <w:pPr>
        <w:ind w:left="1008" w:right="20" w:hanging="423"/>
        <w:spacing w:after="0" w:line="258" w:lineRule="auto"/>
        <w:tabs>
          <w:tab w:leader="none" w:pos="10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Execute strategic relationships and acquisitions with complementary content and technology companies. </w:t>
      </w:r>
      <w:r>
        <w:rPr>
          <w:rFonts w:ascii="Times New Roman" w:cs="Times New Roman" w:eastAsia="Times New Roman" w:hAnsi="Times New Roman"/>
          <w:sz w:val="12"/>
          <w:szCs w:val="12"/>
          <w:color w:val="auto"/>
        </w:rPr>
        <w:t>We regularly evaluate and selectively pursue strategic relationships with, and acquisitions of, providers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unique and differentiated content, products and technologies that we believe have the potential to complement, enhance or expand our offerings and client base. In order to drive value, we target acquisitions and strategic relationships that can be efficiently integrated into our existing operational structure and global sales network. For example, in January 2020, we entered into a strategic relationship with The Burgiss Group, LLC (“Burgiss”), a global provider of investment decision support tools for private capital, that is intended to accelerate and expand the data, analytics and other investment decision support tools available to investors in private assets.</w:t>
      </w:r>
    </w:p>
    <w:p>
      <w:pPr>
        <w:spacing w:after="0" w:line="2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Financial Model</w:t>
      </w:r>
    </w:p>
    <w:p>
      <w:pPr>
        <w:spacing w:after="0" w:line="91" w:lineRule="exact"/>
        <w:rPr>
          <w:sz w:val="20"/>
          <w:szCs w:val="20"/>
          <w:color w:val="auto"/>
        </w:rPr>
      </w:pPr>
    </w:p>
    <w:p>
      <w:pPr>
        <w:ind w:left="8" w:right="20" w:firstLine="592"/>
        <w:spacing w:after="0" w:line="265" w:lineRule="auto"/>
        <w:rPr>
          <w:sz w:val="20"/>
          <w:szCs w:val="20"/>
          <w:color w:val="auto"/>
        </w:rPr>
      </w:pPr>
      <w:r>
        <w:rPr>
          <w:rFonts w:ascii="Times New Roman" w:cs="Times New Roman" w:eastAsia="Times New Roman" w:hAnsi="Times New Roman"/>
          <w:sz w:val="12"/>
          <w:szCs w:val="12"/>
          <w:color w:val="auto"/>
        </w:rPr>
        <w:t>We have an attractive financial model due to our recurring revenue and strong cash generation. Clients purchase our products and services primarily through recurring fixed and variable fee arrangements, a business model which has historically delivered stable revenue and predictable cash flows. Finally, our disciplined capital-allocation policy provides us with flexibility to balance internal resources and investment needs, acquisitions and shareholder returns through dividends and opportunistic share repurchases.</w:t>
      </w:r>
    </w:p>
    <w:p>
      <w:pPr>
        <w:spacing w:after="0" w:line="135" w:lineRule="exact"/>
        <w:rPr>
          <w:sz w:val="20"/>
          <w:szCs w:val="20"/>
          <w:color w:val="auto"/>
        </w:rPr>
      </w:pPr>
    </w:p>
    <w:p>
      <w:pPr>
        <w:ind w:left="8" w:right="20" w:firstLine="592"/>
        <w:spacing w:after="0" w:line="283" w:lineRule="auto"/>
        <w:rPr>
          <w:sz w:val="20"/>
          <w:szCs w:val="20"/>
          <w:color w:val="auto"/>
        </w:rPr>
      </w:pPr>
      <w:r>
        <w:rPr>
          <w:rFonts w:ascii="Times New Roman" w:cs="Times New Roman" w:eastAsia="Times New Roman" w:hAnsi="Times New Roman"/>
          <w:sz w:val="12"/>
          <w:szCs w:val="12"/>
          <w:color w:val="auto"/>
        </w:rPr>
        <w:t>See Part II, Item 7. “Management’s Discussion and Analysis of Financial Condition and Results of Operations—Overview” and Note 1, “Introduction and Basis of Presentation—</w:t>
      </w:r>
      <w:r>
        <w:rPr>
          <w:rFonts w:ascii="Times New Roman" w:cs="Times New Roman" w:eastAsia="Times New Roman" w:hAnsi="Times New Roman"/>
          <w:sz w:val="12"/>
          <w:szCs w:val="12"/>
          <w:i w:val="1"/>
          <w:iCs w:val="1"/>
          <w:color w:val="auto"/>
        </w:rPr>
        <w:t>Significant Accounting Policies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Revenue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Recognition</w:t>
      </w:r>
      <w:r>
        <w:rPr>
          <w:rFonts w:ascii="Times New Roman" w:cs="Times New Roman" w:eastAsia="Times New Roman" w:hAnsi="Times New Roman"/>
          <w:sz w:val="12"/>
          <w:szCs w:val="12"/>
          <w:color w:val="auto"/>
        </w:rPr>
        <w:t>,” of the Notes to the Consolidated Financial Statements included herein for information on how we generate revenue and our revenue recognition policy.</w:t>
      </w:r>
    </w:p>
    <w:p>
      <w:pPr>
        <w:spacing w:after="0" w:line="2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Operating Segments</w:t>
      </w:r>
    </w:p>
    <w:p>
      <w:pPr>
        <w:spacing w:after="0" w:line="91" w:lineRule="exact"/>
        <w:rPr>
          <w:sz w:val="20"/>
          <w:szCs w:val="20"/>
          <w:color w:val="auto"/>
        </w:rPr>
      </w:pPr>
    </w:p>
    <w:p>
      <w:pPr>
        <w:jc w:val="both"/>
        <w:ind w:left="8" w:firstLine="592"/>
        <w:spacing w:after="0" w:line="260" w:lineRule="auto"/>
        <w:rPr>
          <w:sz w:val="20"/>
          <w:szCs w:val="20"/>
          <w:color w:val="auto"/>
        </w:rPr>
      </w:pPr>
      <w:r>
        <w:rPr>
          <w:rFonts w:ascii="Times New Roman" w:cs="Times New Roman" w:eastAsia="Times New Roman" w:hAnsi="Times New Roman"/>
          <w:sz w:val="12"/>
          <w:szCs w:val="12"/>
          <w:color w:val="auto"/>
        </w:rPr>
        <w:t>For the year ended December 31, 2020, we had five operating segments - Index, Analytics, ESG, Real Estate and Burgiss. For reporting purposes, the ESG and Real Estate operating segments were combined and presented as All Other as they did not meet the thresholds for separate presentation. The Burgiss operating segment represented the Company’s equity method investment in Burgiss. Effective January 1, 2021, we revised our reportable segment structure. While our strategy, organizational structure and day-to-day operations remain largely unchanged, we believe the new segment reporting structure provides additional and helpful transparency into our operations. See Note 16. “Subsequent Events,” of the Notes to the Consolidated Financial Statements included herein for additional information.</w:t>
      </w:r>
    </w:p>
    <w:p>
      <w:pPr>
        <w:spacing w:after="0" w:line="3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Index</w:t>
      </w:r>
    </w:p>
    <w:p>
      <w:pPr>
        <w:spacing w:after="0" w:line="116" w:lineRule="exact"/>
        <w:rPr>
          <w:sz w:val="20"/>
          <w:szCs w:val="20"/>
          <w:color w:val="auto"/>
        </w:rPr>
      </w:pPr>
    </w:p>
    <w:p>
      <w:pPr>
        <w:jc w:val="both"/>
        <w:ind w:left="8" w:right="20" w:firstLine="592"/>
        <w:spacing w:after="0" w:line="266" w:lineRule="auto"/>
        <w:rPr>
          <w:sz w:val="20"/>
          <w:szCs w:val="20"/>
          <w:color w:val="auto"/>
        </w:rPr>
      </w:pPr>
      <w:r>
        <w:rPr>
          <w:rFonts w:ascii="Times New Roman" w:cs="Times New Roman" w:eastAsia="Times New Roman" w:hAnsi="Times New Roman"/>
          <w:sz w:val="12"/>
          <w:szCs w:val="12"/>
          <w:color w:val="auto"/>
        </w:rPr>
        <w:t>Clients use our indexes in many areas of the investment process, including for indexed product creation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ETFs, mutual funds, annuities, futures, options, structured products, over-the-counter derivatives), performance benchmarking, portfolio construction and rebalancing, and asset allocation. We currently calculate more than 246,000</w:t>
      </w:r>
      <w:r>
        <w:rPr>
          <w:rFonts w:ascii="Times New Roman" w:cs="Times New Roman" w:eastAsia="Times New Roman" w:hAnsi="Times New Roman"/>
          <w:sz w:val="10"/>
          <w:szCs w:val="10"/>
          <w:color w:val="auto"/>
        </w:rPr>
        <w:t>2</w:t>
      </w:r>
      <w:r>
        <w:rPr>
          <w:rFonts w:ascii="Times New Roman" w:cs="Times New Roman" w:eastAsia="Times New Roman" w:hAnsi="Times New Roman"/>
          <w:sz w:val="12"/>
          <w:szCs w:val="12"/>
          <w:color w:val="auto"/>
        </w:rPr>
        <w:t xml:space="preserve"> end-of-day indexes daily and more than 14,000 indexes in real time. Clients receive index data directly from us or from third-party vendors worldwide.</w:t>
      </w:r>
    </w:p>
    <w:p>
      <w:pPr>
        <w:spacing w:after="0" w:line="137"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Our indexes include:</w:t>
      </w:r>
    </w:p>
    <w:p>
      <w:pPr>
        <w:spacing w:after="0" w:line="76" w:lineRule="exact"/>
        <w:rPr>
          <w:sz w:val="20"/>
          <w:szCs w:val="20"/>
          <w:color w:val="auto"/>
        </w:rPr>
      </w:pPr>
    </w:p>
    <w:p>
      <w:pPr>
        <w:ind w:left="1008" w:right="60" w:hanging="423"/>
        <w:spacing w:after="0" w:line="283" w:lineRule="auto"/>
        <w:tabs>
          <w:tab w:leader="none" w:pos="10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MSCI Global Equity Indexes. </w:t>
      </w:r>
      <w:r>
        <w:rPr>
          <w:rFonts w:ascii="Times New Roman" w:cs="Times New Roman" w:eastAsia="Times New Roman" w:hAnsi="Times New Roman"/>
          <w:sz w:val="12"/>
          <w:szCs w:val="12"/>
          <w:color w:val="auto"/>
        </w:rPr>
        <w:t>MSCI Global Equity Indexes are designed to measure returns across a wide variety of equity markets, size segments, sectors and industries. As of December 31, 2020, we calculated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indexes that covered more than 80 countries in developed, emerging, frontier and standalone markets, as well as various regional indexes built from the component country indexes.</w:t>
      </w:r>
    </w:p>
    <w:p>
      <w:pPr>
        <w:spacing w:after="0" w:line="34" w:lineRule="exact"/>
        <w:rPr>
          <w:rFonts w:ascii="Times New Roman" w:cs="Times New Roman" w:eastAsia="Times New Roman" w:hAnsi="Times New Roman"/>
          <w:sz w:val="12"/>
          <w:szCs w:val="12"/>
          <w:color w:val="auto"/>
        </w:rPr>
      </w:pPr>
    </w:p>
    <w:p>
      <w:pPr>
        <w:ind w:left="1008" w:hanging="423"/>
        <w:spacing w:after="0" w:line="283" w:lineRule="auto"/>
        <w:tabs>
          <w:tab w:leader="none" w:pos="10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Factor Indexes. </w:t>
      </w:r>
      <w:r>
        <w:rPr>
          <w:rFonts w:ascii="Times New Roman" w:cs="Times New Roman" w:eastAsia="Times New Roman" w:hAnsi="Times New Roman"/>
          <w:sz w:val="12"/>
          <w:szCs w:val="12"/>
          <w:color w:val="auto"/>
        </w:rPr>
        <w:t>Factor Indexes are created using the Barra Equity Models from our Analytics segment to address a growing trend among institutional investors and asset managers to target systematic style factors,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as volatility, size and momentum.</w:t>
      </w:r>
    </w:p>
    <w:p>
      <w:pPr>
        <w:spacing w:after="0" w:line="34" w:lineRule="exact"/>
        <w:rPr>
          <w:rFonts w:ascii="Times New Roman" w:cs="Times New Roman" w:eastAsia="Times New Roman" w:hAnsi="Times New Roman"/>
          <w:sz w:val="12"/>
          <w:szCs w:val="12"/>
          <w:color w:val="auto"/>
        </w:rPr>
      </w:pPr>
    </w:p>
    <w:p>
      <w:pPr>
        <w:ind w:left="1008" w:right="280" w:hanging="423"/>
        <w:spacing w:after="0" w:line="283" w:lineRule="auto"/>
        <w:tabs>
          <w:tab w:leader="none" w:pos="10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ESG and Climate Indexes. </w:t>
      </w:r>
      <w:r>
        <w:rPr>
          <w:rFonts w:ascii="Times New Roman" w:cs="Times New Roman" w:eastAsia="Times New Roman" w:hAnsi="Times New Roman"/>
          <w:sz w:val="12"/>
          <w:szCs w:val="12"/>
          <w:color w:val="auto"/>
        </w:rPr>
        <w:t>ESG and Climate Indexes are constructed using data from our ESG segment to meet the growing demand for indexes that integrate ESG and climate criteria to facilitate sustainable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investing strategies.</w:t>
      </w:r>
    </w:p>
    <w:p>
      <w:pPr>
        <w:spacing w:after="0" w:line="67" w:lineRule="exact"/>
        <w:rPr>
          <w:sz w:val="20"/>
          <w:szCs w:val="20"/>
          <w:color w:val="auto"/>
        </w:rPr>
      </w:pPr>
    </w:p>
    <w:p>
      <w:pPr>
        <w:ind w:left="68" w:hanging="68"/>
        <w:spacing w:after="0"/>
        <w:tabs>
          <w:tab w:leader="none" w:pos="68" w:val="left"/>
        </w:tabs>
        <w:numPr>
          <w:ilvl w:val="0"/>
          <w:numId w:val="6"/>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The number of indexes includes different return versions (</w:t>
      </w:r>
      <w:r>
        <w:rPr>
          <w:rFonts w:ascii="Times New Roman" w:cs="Times New Roman" w:eastAsia="Times New Roman" w:hAnsi="Times New Roman"/>
          <w:sz w:val="10"/>
          <w:szCs w:val="10"/>
          <w:i w:val="1"/>
          <w:iCs w:val="1"/>
          <w:color w:val="auto"/>
        </w:rPr>
        <w:t>e.g.</w:t>
      </w:r>
      <w:r>
        <w:rPr>
          <w:rFonts w:ascii="Times New Roman" w:cs="Times New Roman" w:eastAsia="Times New Roman" w:hAnsi="Times New Roman"/>
          <w:sz w:val="10"/>
          <w:szCs w:val="10"/>
          <w:color w:val="auto"/>
        </w:rPr>
        <w:t>, price, net and gross returns) but does not include different currency 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14344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114"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8"/>
          </w:cols>
          <w:pgMar w:left="292" w:top="415" w:right="379" w:bottom="1440" w:gutter="0" w:footer="0" w:header="0"/>
        </w:sectPr>
      </w:pPr>
    </w:p>
    <w:bookmarkStart w:id="6" w:name="page7"/>
    <w:bookmarkEnd w:id="6"/>
    <w:p>
      <w:pPr>
        <w:ind w:left="1000" w:hanging="423"/>
        <w:spacing w:after="0"/>
        <w:tabs>
          <w:tab w:leader="none" w:pos="10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Customized Indexes. </w:t>
      </w:r>
      <w:r>
        <w:rPr>
          <w:rFonts w:ascii="Times New Roman" w:cs="Times New Roman" w:eastAsia="Times New Roman" w:hAnsi="Times New Roman"/>
          <w:sz w:val="12"/>
          <w:szCs w:val="12"/>
          <w:color w:val="auto"/>
        </w:rPr>
        <w:t>Customized Indexes are calculated by applying a client’s criteria such as stock exclusion lists, currency hedging rules, tax rates or special weighting to an existing MSCI index.</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Thematic Indexes. </w:t>
      </w:r>
      <w:r>
        <w:rPr>
          <w:rFonts w:ascii="Times New Roman" w:cs="Times New Roman" w:eastAsia="Times New Roman" w:hAnsi="Times New Roman"/>
          <w:sz w:val="12"/>
          <w:szCs w:val="12"/>
          <w:color w:val="auto"/>
        </w:rPr>
        <w:t>Thematic Indexes are designed to measure the performance of specific social, economic, industrial, environmental or demographic investment strategies.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Real Assets Indexes</w:t>
      </w:r>
      <w:r>
        <w:rPr>
          <w:rFonts w:ascii="Times New Roman" w:cs="Times New Roman" w:eastAsia="Times New Roman" w:hAnsi="Times New Roman"/>
          <w:sz w:val="12"/>
          <w:szCs w:val="12"/>
          <w:color w:val="auto"/>
        </w:rPr>
        <w:t>. Real Assets Indexes provide transparency and insight to private real estate investment strategies.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In 2020, we launched the following indexes:</w:t>
      </w:r>
    </w:p>
    <w:p>
      <w:pPr>
        <w:spacing w:after="0" w:line="76" w:lineRule="exact"/>
        <w:rPr>
          <w:sz w:val="20"/>
          <w:szCs w:val="20"/>
          <w:color w:val="auto"/>
        </w:rPr>
      </w:pPr>
    </w:p>
    <w:p>
      <w:pPr>
        <w:ind w:left="1000" w:right="80" w:hanging="423"/>
        <w:spacing w:after="0" w:line="261" w:lineRule="auto"/>
        <w:tabs>
          <w:tab w:leader="none" w:pos="10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Fixed Income Indexes</w:t>
      </w:r>
      <w:r>
        <w:rPr>
          <w:rFonts w:ascii="Times New Roman" w:cs="Times New Roman" w:eastAsia="Times New Roman" w:hAnsi="Times New Roman"/>
          <w:sz w:val="12"/>
          <w:szCs w:val="12"/>
          <w:color w:val="auto"/>
        </w:rPr>
        <w:t>. Fixed Income Indexes use broad market corporate bond universes to create indexes that track the performance of investment strategies based upon (i) the credit market (MSCI Corporate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Bond Indexes), (ii) systematic style factor exposures such as carry, value, size and low risk (MSCI Factor Fixed Income Indexes), (iii) certain ESG metrics and companies’ ESG profiles (MSCI Fixed Income ESG Universal Indexes), (iv) fixed income securities from issuers that have high ESG ratings relative to their sector peers (MSCI Fixed Income ESG Leaders Indexes) and (v) the opportunities and risks associated with the transition to a lower carbon economy (MSCI Climate Change Fixed Income Indexes).</w:t>
      </w:r>
    </w:p>
    <w:p>
      <w:pPr>
        <w:spacing w:after="0" w:line="47" w:lineRule="exact"/>
        <w:rPr>
          <w:rFonts w:ascii="Times New Roman" w:cs="Times New Roman" w:eastAsia="Times New Roman" w:hAnsi="Times New Roman"/>
          <w:sz w:val="12"/>
          <w:szCs w:val="12"/>
          <w:color w:val="auto"/>
        </w:rPr>
      </w:pPr>
    </w:p>
    <w:p>
      <w:pPr>
        <w:ind w:left="1000" w:hanging="423"/>
        <w:spacing w:after="0" w:line="266" w:lineRule="auto"/>
        <w:tabs>
          <w:tab w:leader="none" w:pos="10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Innovation-Focused Thematic Indexes. </w:t>
      </w:r>
      <w:r>
        <w:rPr>
          <w:rFonts w:ascii="Times New Roman" w:cs="Times New Roman" w:eastAsia="Times New Roman" w:hAnsi="Times New Roman"/>
          <w:sz w:val="12"/>
          <w:szCs w:val="12"/>
          <w:color w:val="auto"/>
        </w:rPr>
        <w:t>Innovation-Focused Thematic Indexes expand MSCI’s megatrend index suite to include indexes that are focused on disruptive innovation. These indexes are designed to track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performance of companies in dynamic fields such as autonomous technologies, genomics, fintech, future education and next generation internet. These indexes are used by investors to realign their portfolios to capture structural economic changes.</w:t>
      </w:r>
    </w:p>
    <w:p>
      <w:pPr>
        <w:spacing w:after="0" w:line="45" w:lineRule="exact"/>
        <w:rPr>
          <w:rFonts w:ascii="Times New Roman" w:cs="Times New Roman" w:eastAsia="Times New Roman" w:hAnsi="Times New Roman"/>
          <w:sz w:val="12"/>
          <w:szCs w:val="12"/>
          <w:color w:val="auto"/>
        </w:rPr>
      </w:pPr>
    </w:p>
    <w:p>
      <w:pPr>
        <w:ind w:left="1000" w:right="20" w:hanging="423"/>
        <w:spacing w:after="0" w:line="266" w:lineRule="auto"/>
        <w:tabs>
          <w:tab w:leader="none" w:pos="10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MSCI Climate Paris Aligned Indexes. </w:t>
      </w:r>
      <w:r>
        <w:rPr>
          <w:rFonts w:ascii="Times New Roman" w:cs="Times New Roman" w:eastAsia="Times New Roman" w:hAnsi="Times New Roman"/>
          <w:sz w:val="12"/>
          <w:szCs w:val="12"/>
          <w:color w:val="auto"/>
        </w:rPr>
        <w:t>MSCI Climate Paris Aligned Indexes are designed to help investors mitigate transition and physical risks, identify potential opportunities and allocate resources in a way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supports the decarbonization of the economy while being compatible with the Paris Agreement. The MSCI Climate Paris Aligned Indexes incorporate the recommendations of the EU Task Force on Climate-related Financial Disclosures (“TCFD”) and are designed to exceed the minimum standards for EU Paris-aligned Benchmarks.</w:t>
      </w:r>
    </w:p>
    <w:p>
      <w:pPr>
        <w:spacing w:after="0" w:line="137" w:lineRule="exact"/>
        <w:rPr>
          <w:sz w:val="20"/>
          <w:szCs w:val="20"/>
          <w:color w:val="auto"/>
        </w:rPr>
      </w:pPr>
    </w:p>
    <w:p>
      <w:pPr>
        <w:ind w:right="20" w:firstLine="592"/>
        <w:spacing w:after="0" w:line="257" w:lineRule="auto"/>
        <w:rPr>
          <w:sz w:val="20"/>
          <w:szCs w:val="20"/>
          <w:color w:val="auto"/>
        </w:rPr>
      </w:pPr>
      <w:r>
        <w:rPr>
          <w:rFonts w:ascii="Times New Roman" w:cs="Times New Roman" w:eastAsia="Times New Roman" w:hAnsi="Times New Roman"/>
          <w:sz w:val="12"/>
          <w:szCs w:val="12"/>
          <w:color w:val="auto"/>
        </w:rPr>
        <w:t>Our Index segment also includes revenues from licenses of GICS</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and GICS Direct, the global industry classification standard jointly developed and maintained by MSCI and Standard &amp; Poor’s Financial Services, LLC, a subsidiary of S&amp;P Global Inc. (“Standard &amp; Poor’s”). This classification system was designed to respond to clients’ needs for a comprehensive, consistent and accurate framework for classifying companies into industries. GICS is widely accepted as an industry analysis framework for investment research, portfolio management and asset allocation. GICS Direct is a dataset comprised of active companies and securities classified by sector, industry group, industry and sub-industry in accordance with the proprietary GICS methodology. The MSCI Sector Indexes are comprised of GICS sector, industry group, and industry indexes across countries and regions in Developed, Emerging and select Frontier markets.</w:t>
      </w:r>
    </w:p>
    <w:p>
      <w:pPr>
        <w:spacing w:after="0" w:line="152" w:lineRule="exact"/>
        <w:rPr>
          <w:sz w:val="20"/>
          <w:szCs w:val="20"/>
          <w:color w:val="auto"/>
        </w:rPr>
      </w:pPr>
    </w:p>
    <w:p>
      <w:pPr>
        <w:ind w:right="40" w:firstLine="592"/>
        <w:spacing w:after="0" w:line="260" w:lineRule="auto"/>
        <w:rPr>
          <w:sz w:val="20"/>
          <w:szCs w:val="20"/>
          <w:color w:val="auto"/>
        </w:rPr>
      </w:pPr>
      <w:r>
        <w:rPr>
          <w:rFonts w:ascii="Times New Roman" w:cs="Times New Roman" w:eastAsia="Times New Roman" w:hAnsi="Times New Roman"/>
          <w:sz w:val="12"/>
          <w:szCs w:val="12"/>
          <w:color w:val="auto"/>
        </w:rPr>
        <w:t>For the year ended December 31, 2020, 60.0% of our revenues were attributable to our Index segment. A majority of those revenues are attributable to annual, recurring subscriptions. A portion of our revenues come from clients who use our indexes as the basis for indexed investment products. Such fees are primarily based on a client’s assets under management (“AUM”) or trading volumes and are referred to herein as asset-based fees. Since market movement and investment trends impact our asset-based fees, our revenues from asset-based fees are subject to volatility. For the year ended December 31, 2020, asset-based fees accounted for 39.3% of the total revenues for our Index segment.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Analytics</w:t>
      </w:r>
    </w:p>
    <w:p>
      <w:pPr>
        <w:spacing w:after="0" w:line="91" w:lineRule="exact"/>
        <w:rPr>
          <w:sz w:val="20"/>
          <w:szCs w:val="20"/>
          <w:color w:val="auto"/>
        </w:rPr>
      </w:pPr>
    </w:p>
    <w:p>
      <w:pPr>
        <w:ind w:right="200" w:firstLine="592"/>
        <w:spacing w:after="0" w:line="279" w:lineRule="auto"/>
        <w:rPr>
          <w:sz w:val="20"/>
          <w:szCs w:val="20"/>
          <w:color w:val="auto"/>
        </w:rPr>
      </w:pPr>
      <w:r>
        <w:rPr>
          <w:rFonts w:ascii="Times New Roman" w:cs="Times New Roman" w:eastAsia="Times New Roman" w:hAnsi="Times New Roman"/>
          <w:sz w:val="12"/>
          <w:szCs w:val="12"/>
          <w:color w:val="auto"/>
        </w:rPr>
        <w:t>Our Analytics segment offers risk management, performance attribution and portfolio management content, applications and services that provide clients with an integrated view of risk and return and tools for analyzing market, credit, liquidity and counterparty risk across all major asset classes, spanning short-, medium- and long-term time horizons. Our offerings also support clients’ various regulatory reporting needs.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87" w:right="319" w:bottom="1440" w:gutter="0" w:footer="0" w:header="0"/>
        </w:sectPr>
      </w:pPr>
    </w:p>
    <w:bookmarkStart w:id="7" w:name="page8"/>
    <w:bookmarkEnd w:id="7"/>
    <w:p>
      <w:pPr>
        <w:jc w:val="both"/>
        <w:ind w:left="8" w:right="80" w:firstLine="592"/>
        <w:spacing w:after="0" w:line="266" w:lineRule="auto"/>
        <w:rPr>
          <w:sz w:val="20"/>
          <w:szCs w:val="20"/>
          <w:color w:val="auto"/>
        </w:rPr>
      </w:pPr>
      <w:r>
        <w:rPr>
          <w:rFonts w:ascii="Times New Roman" w:cs="Times New Roman" w:eastAsia="Times New Roman" w:hAnsi="Times New Roman"/>
          <w:sz w:val="12"/>
          <w:szCs w:val="12"/>
          <w:color w:val="auto"/>
        </w:rPr>
        <w:t>Our Analytics tools and capabilities include: models to support factor-based analytics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Barra equity models and fixed income and multi-asset class (“MAC”) models), pricing models and single security analytics, time series-based analytics, stress testing, performance attribution, portfolio optimization and liquidity risk analytics, as well as underlying inputs such as interest rate and credit curves. We continue to develop new and improved tools and capabilities in response to the evolving needs of our clients. For example, in 2020 we released multi-period stress testing capabilities that allow investors to model the impact of long horizon scenarios on their portfolios.</w:t>
      </w:r>
    </w:p>
    <w:p>
      <w:pPr>
        <w:spacing w:after="0" w:line="137" w:lineRule="exact"/>
        <w:rPr>
          <w:sz w:val="20"/>
          <w:szCs w:val="20"/>
          <w:color w:val="auto"/>
        </w:rPr>
      </w:pPr>
    </w:p>
    <w:p>
      <w:pPr>
        <w:ind w:left="8" w:right="40" w:firstLine="592"/>
        <w:spacing w:after="0" w:line="265" w:lineRule="auto"/>
        <w:rPr>
          <w:sz w:val="20"/>
          <w:szCs w:val="20"/>
          <w:color w:val="auto"/>
        </w:rPr>
      </w:pPr>
      <w:r>
        <w:rPr>
          <w:rFonts w:ascii="Times New Roman" w:cs="Times New Roman" w:eastAsia="Times New Roman" w:hAnsi="Times New Roman"/>
          <w:sz w:val="12"/>
          <w:szCs w:val="12"/>
          <w:color w:val="auto"/>
        </w:rPr>
        <w:t>Our clients access our Analytics tools and content through our proprietary applications and APIs (application programming interfaces), third-party applications or directly through their own platforms. Our Analytics solutions provide clients with tools to construct and manage portfolios, including integrated market data from multiple third parties as well as content from MSCI’s other segments, which significantly reduces the operational burden on clients to independently source this information and populate it in our Analytics products. Our key Analytics products include:</w:t>
      </w:r>
    </w:p>
    <w:p>
      <w:pPr>
        <w:spacing w:after="0" w:line="54" w:lineRule="exact"/>
        <w:rPr>
          <w:sz w:val="20"/>
          <w:szCs w:val="20"/>
          <w:color w:val="auto"/>
        </w:rPr>
      </w:pPr>
    </w:p>
    <w:p>
      <w:pPr>
        <w:ind w:left="1008" w:hanging="423"/>
        <w:spacing w:after="0" w:line="283" w:lineRule="auto"/>
        <w:tabs>
          <w:tab w:leader="none" w:pos="10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RiskMetrics RiskManager</w:t>
      </w:r>
      <w:r>
        <w:rPr>
          <w:rFonts w:ascii="Times New Roman" w:cs="Times New Roman" w:eastAsia="Times New Roman" w:hAnsi="Times New Roman"/>
          <w:sz w:val="12"/>
          <w:szCs w:val="12"/>
          <w:color w:val="auto"/>
        </w:rPr>
        <w:t>. RiskMetrics RiskManager is an industry leader in value at risk (“VaR”) simulation and in stress testing. Clients use RiskManager for daily analysis; measuring and monitoring market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liquidity risk at position, fund and firm levels; sensitivity and stress testing; interactive what-if analysis; counterparty credit exposure; and regulatory risk reporting.</w:t>
      </w:r>
    </w:p>
    <w:p>
      <w:pPr>
        <w:spacing w:after="0" w:line="43" w:lineRule="exact"/>
        <w:rPr>
          <w:rFonts w:ascii="Times New Roman" w:cs="Times New Roman" w:eastAsia="Times New Roman" w:hAnsi="Times New Roman"/>
          <w:sz w:val="12"/>
          <w:szCs w:val="12"/>
          <w:color w:val="auto"/>
        </w:rPr>
      </w:pPr>
    </w:p>
    <w:p>
      <w:pPr>
        <w:ind w:left="1008" w:right="280" w:hanging="423"/>
        <w:spacing w:after="0" w:line="283" w:lineRule="auto"/>
        <w:tabs>
          <w:tab w:leader="none" w:pos="10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BarraOne. </w:t>
      </w:r>
      <w:r>
        <w:rPr>
          <w:rFonts w:ascii="Times New Roman" w:cs="Times New Roman" w:eastAsia="Times New Roman" w:hAnsi="Times New Roman"/>
          <w:sz w:val="12"/>
          <w:szCs w:val="12"/>
          <w:color w:val="auto"/>
        </w:rPr>
        <w:t>Powered by our MAC models and Barra Integrated Model, BarraOne provides clients with global, multi-asset class, multi-currency risk and performance analytics using Barra’s fundamental factor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methodology that allows clients to identify the factors driving the risk and performance of their portfolios and calculate portfolio optimizations.</w:t>
      </w:r>
    </w:p>
    <w:p>
      <w:pPr>
        <w:spacing w:after="0" w:line="43" w:lineRule="exact"/>
        <w:rPr>
          <w:rFonts w:ascii="Times New Roman" w:cs="Times New Roman" w:eastAsia="Times New Roman" w:hAnsi="Times New Roman"/>
          <w:sz w:val="12"/>
          <w:szCs w:val="12"/>
          <w:color w:val="auto"/>
        </w:rPr>
      </w:pPr>
    </w:p>
    <w:p>
      <w:pPr>
        <w:ind w:left="1008" w:right="180" w:hanging="423"/>
        <w:spacing w:after="0" w:line="266" w:lineRule="auto"/>
        <w:tabs>
          <w:tab w:leader="none" w:pos="10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Barra Portfolio Manager. </w:t>
      </w:r>
      <w:r>
        <w:rPr>
          <w:rFonts w:ascii="Times New Roman" w:cs="Times New Roman" w:eastAsia="Times New Roman" w:hAnsi="Times New Roman"/>
          <w:sz w:val="12"/>
          <w:szCs w:val="12"/>
          <w:color w:val="auto"/>
        </w:rPr>
        <w:t>Barra Portfolio Manager is an integrated risk, performance and optimization platform. Powered by Barra equity models, Barra Portfolio Manager enables our clients to share strategies,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analytics and reports across their organizations. It is used by equity fund managers and their teams to gain additional portfolio insight, manage their investment processes more systematically and make more efficient and informed investment decisions.</w:t>
      </w:r>
    </w:p>
    <w:p>
      <w:pPr>
        <w:spacing w:after="0" w:line="54" w:lineRule="exact"/>
        <w:rPr>
          <w:rFonts w:ascii="Times New Roman" w:cs="Times New Roman" w:eastAsia="Times New Roman" w:hAnsi="Times New Roman"/>
          <w:sz w:val="12"/>
          <w:szCs w:val="12"/>
          <w:color w:val="auto"/>
        </w:rPr>
      </w:pPr>
    </w:p>
    <w:p>
      <w:pPr>
        <w:ind w:left="1008" w:right="180" w:hanging="423"/>
        <w:spacing w:after="0" w:line="266" w:lineRule="auto"/>
        <w:tabs>
          <w:tab w:leader="none" w:pos="10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WealthBench and CreditManager</w:t>
      </w:r>
      <w:r>
        <w:rPr>
          <w:rFonts w:ascii="Times New Roman" w:cs="Times New Roman" w:eastAsia="Times New Roman" w:hAnsi="Times New Roman"/>
          <w:sz w:val="12"/>
          <w:szCs w:val="12"/>
          <w:color w:val="auto"/>
        </w:rPr>
        <w:t>. WealthBench is a web-based platform used by private banks, financial advisers, brokerages and trust companies to help wealth managers assess portfolio risk, construct asset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allocation policies and create comprehensive client proposals. CreditManager is a portfolio credit risk management system used primarily by banks to calculate economic capital, facilitate risk-based pricing and measure credit risk concentrations.</w:t>
      </w:r>
    </w:p>
    <w:p>
      <w:pPr>
        <w:spacing w:after="0" w:line="54" w:lineRule="exact"/>
        <w:rPr>
          <w:rFonts w:ascii="Times New Roman" w:cs="Times New Roman" w:eastAsia="Times New Roman" w:hAnsi="Times New Roman"/>
          <w:sz w:val="12"/>
          <w:szCs w:val="12"/>
          <w:color w:val="auto"/>
        </w:rPr>
      </w:pPr>
    </w:p>
    <w:p>
      <w:pPr>
        <w:ind w:left="1008" w:right="80" w:hanging="423"/>
        <w:spacing w:after="0" w:line="283" w:lineRule="auto"/>
        <w:tabs>
          <w:tab w:leader="none" w:pos="10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MSCI BEON™. </w:t>
      </w:r>
      <w:r>
        <w:rPr>
          <w:rFonts w:ascii="Times New Roman" w:cs="Times New Roman" w:eastAsia="Times New Roman" w:hAnsi="Times New Roman"/>
          <w:sz w:val="12"/>
          <w:szCs w:val="12"/>
          <w:color w:val="auto"/>
        </w:rPr>
        <w:t>Our BEON application provides an enhanced client experience for equity portfolio and risk managers through a graphical interface that allows clients to easily determine drivers of risk and return.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BEON offers clients consolidated access to certain capabilities and tools currently available through other Analytics applications, as well as certain tools from other MSCI operating segments.</w:t>
      </w:r>
    </w:p>
    <w:p>
      <w:pPr>
        <w:spacing w:after="0" w:line="127" w:lineRule="exact"/>
        <w:rPr>
          <w:sz w:val="20"/>
          <w:szCs w:val="20"/>
          <w:color w:val="auto"/>
        </w:rPr>
      </w:pPr>
    </w:p>
    <w:p>
      <w:pPr>
        <w:ind w:left="8" w:right="140" w:firstLine="592"/>
        <w:spacing w:after="0" w:line="265" w:lineRule="auto"/>
        <w:rPr>
          <w:sz w:val="20"/>
          <w:szCs w:val="20"/>
          <w:color w:val="auto"/>
        </w:rPr>
      </w:pPr>
      <w:r>
        <w:rPr>
          <w:rFonts w:ascii="Times New Roman" w:cs="Times New Roman" w:eastAsia="Times New Roman" w:hAnsi="Times New Roman"/>
          <w:sz w:val="12"/>
          <w:szCs w:val="12"/>
          <w:color w:val="auto"/>
        </w:rPr>
        <w:t>Our Analytics segment also provides various managed services to help clients operate more efficiently, including consolidation of client portfolio data from various sources, review and reconciliation of input data and results, and customized reporting. In addition, our HedgePlatform service allows clients such as funds of funds, pension funds and endowments who invest in hedge funds to measure, evaluate and monitor the risk of their hedge fund investments across multiple hedge fund strategies.</w:t>
      </w:r>
    </w:p>
    <w:p>
      <w:pPr>
        <w:spacing w:after="0" w:line="146"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For the year ended December 31, 2020, 30.3% of our revenues were attributable to our Analytics segment.</w:t>
      </w:r>
    </w:p>
    <w:p>
      <w:pPr>
        <w:spacing w:after="0" w:line="2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All Other – ESG</w:t>
      </w:r>
    </w:p>
    <w:p>
      <w:pPr>
        <w:spacing w:after="0" w:line="109"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2"/>
          <w:szCs w:val="12"/>
          <w:color w:val="auto"/>
        </w:rPr>
        <w:t>MSCI ESG Research</w:t>
      </w:r>
      <w:r>
        <w:rPr>
          <w:rFonts w:ascii="Times New Roman" w:cs="Times New Roman" w:eastAsia="Times New Roman" w:hAnsi="Times New Roman"/>
          <w:sz w:val="10"/>
          <w:szCs w:val="10"/>
          <w:color w:val="auto"/>
        </w:rPr>
        <w:t>3</w:t>
      </w:r>
      <w:r>
        <w:rPr>
          <w:rFonts w:ascii="Times New Roman" w:cs="Times New Roman" w:eastAsia="Times New Roman" w:hAnsi="Times New Roman"/>
          <w:sz w:val="12"/>
          <w:szCs w:val="12"/>
          <w:color w:val="auto"/>
        </w:rPr>
        <w:t xml:space="preserve"> analyzes over 8,500</w:t>
      </w:r>
      <w:r>
        <w:rPr>
          <w:rFonts w:ascii="Times New Roman" w:cs="Times New Roman" w:eastAsia="Times New Roman" w:hAnsi="Times New Roman"/>
          <w:sz w:val="10"/>
          <w:szCs w:val="10"/>
          <w:color w:val="auto"/>
        </w:rPr>
        <w:t>4</w:t>
      </w:r>
      <w:r>
        <w:rPr>
          <w:rFonts w:ascii="Times New Roman" w:cs="Times New Roman" w:eastAsia="Times New Roman" w:hAnsi="Times New Roman"/>
          <w:sz w:val="12"/>
          <w:szCs w:val="12"/>
          <w:color w:val="auto"/>
        </w:rPr>
        <w:t xml:space="preserve"> entities worldwide to help institutional investors understand how ESG and climate considerations can impact the long-term risks and opportunities in financial markets.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Subscribers to MSCI ESG Research include global asset managers, leading asset owners, consultants, advisers and academics.</w:t>
      </w:r>
    </w:p>
    <w:p>
      <w:pPr>
        <w:spacing w:after="0" w:line="100" w:lineRule="exact"/>
        <w:rPr>
          <w:sz w:val="20"/>
          <w:szCs w:val="20"/>
          <w:color w:val="auto"/>
        </w:rPr>
      </w:pPr>
    </w:p>
    <w:p>
      <w:pPr>
        <w:ind w:left="68" w:hanging="68"/>
        <w:spacing w:after="0"/>
        <w:tabs>
          <w:tab w:leader="none" w:pos="68" w:val="left"/>
        </w:tabs>
        <w:numPr>
          <w:ilvl w:val="0"/>
          <w:numId w:val="10"/>
        </w:numPr>
        <w:rPr>
          <w:rFonts w:ascii="Times New Roman" w:cs="Times New Roman" w:eastAsia="Times New Roman" w:hAnsi="Times New Roman"/>
          <w:sz w:val="7"/>
          <w:szCs w:val="7"/>
          <w:color w:val="auto"/>
        </w:rPr>
      </w:pPr>
      <w:r>
        <w:rPr>
          <w:rFonts w:ascii="Times New Roman" w:cs="Times New Roman" w:eastAsia="Times New Roman" w:hAnsi="Times New Roman"/>
          <w:sz w:val="8"/>
          <w:szCs w:val="8"/>
          <w:color w:val="auto"/>
        </w:rPr>
        <w:t>MSCI ESG Research is provided by MSCI ESG Research LLC, a wholly-owned subsidiary of MSCI Inc. that is registered with the U.S. Securities and Exchange Commission as an Investment Adviser under the Investment Advisers Act of 1940. MSCI ESG Ratings are used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14344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14"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0"/>
          <w:szCs w:val="10"/>
          <w:color w:val="auto"/>
        </w:rPr>
        <w:t>construction and calculation of MSCI ESG indexes. MSCI indexes are products of MSCI Inc., and MSCI Limited is the benchmark administrator of such indexes.</w:t>
      </w:r>
    </w:p>
    <w:p>
      <w:pPr>
        <w:spacing w:after="0" w:line="8" w:lineRule="exact"/>
        <w:rPr>
          <w:sz w:val="20"/>
          <w:szCs w:val="20"/>
          <w:color w:val="auto"/>
        </w:rPr>
      </w:pPr>
    </w:p>
    <w:p>
      <w:pPr>
        <w:ind w:left="68" w:hanging="68"/>
        <w:spacing w:after="0"/>
        <w:tabs>
          <w:tab w:leader="none" w:pos="68" w:val="left"/>
        </w:tabs>
        <w:numPr>
          <w:ilvl w:val="0"/>
          <w:numId w:val="11"/>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Does not include subsidiary-level companies.</w:t>
      </w:r>
    </w:p>
    <w:p>
      <w:pPr>
        <w:spacing w:after="0" w:line="12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8"/>
          </w:cols>
          <w:pgMar w:left="292" w:top="442" w:right="339" w:bottom="1440" w:gutter="0" w:footer="0" w:header="0"/>
        </w:sectPr>
      </w:pPr>
    </w:p>
    <w:bookmarkStart w:id="8" w:name="page9"/>
    <w:bookmarkEnd w:id="8"/>
    <w:p>
      <w:pPr>
        <w:ind w:right="360" w:firstLine="592"/>
        <w:spacing w:after="0" w:line="279" w:lineRule="auto"/>
        <w:rPr>
          <w:sz w:val="20"/>
          <w:szCs w:val="20"/>
          <w:color w:val="auto"/>
        </w:rPr>
      </w:pPr>
      <w:r>
        <w:rPr>
          <w:rFonts w:ascii="Times New Roman" w:cs="Times New Roman" w:eastAsia="Times New Roman" w:hAnsi="Times New Roman"/>
          <w:sz w:val="12"/>
          <w:szCs w:val="12"/>
          <w:color w:val="auto"/>
        </w:rPr>
        <w:t>In addition, MSCI ESG Research data and MSCI ESG Ratings are used in the construction of MSCI equity and fixed income indexes from our Index operating segment to help institutional investors more effectively benchmark ESG investment performance, issue indexed investment products, as well as manage, measure and report on ESG mandates.</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MSCI ESG Research offerings include:</w:t>
      </w:r>
    </w:p>
    <w:p>
      <w:pPr>
        <w:spacing w:after="0" w:line="85" w:lineRule="exact"/>
        <w:rPr>
          <w:sz w:val="20"/>
          <w:szCs w:val="20"/>
          <w:color w:val="auto"/>
        </w:rPr>
      </w:pPr>
    </w:p>
    <w:p>
      <w:pPr>
        <w:ind w:left="1000" w:hanging="423"/>
        <w:spacing w:after="0" w:line="258" w:lineRule="auto"/>
        <w:tabs>
          <w:tab w:leader="none" w:pos="10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MSCI ESG Ratings</w:t>
      </w:r>
      <w:r>
        <w:rPr>
          <w:rFonts w:ascii="Times New Roman" w:cs="Times New Roman" w:eastAsia="Times New Roman" w:hAnsi="Times New Roman"/>
          <w:sz w:val="12"/>
          <w:szCs w:val="12"/>
          <w:color w:val="auto"/>
        </w:rPr>
        <w:t>. Our ESG ratings aim to measure a company's resilience to long-term ESG risks. Companies are scored on an industry-relative scale across the most relevant key ESG issues based on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company's business model. MSCI ESG Ratings include ratings of equity issuers and fixed income securities. In 2020, MSCI launched the MSCI ESG Industry Materiality Map, a public tool which explores the key ESG issues by GICS</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sub-industry or sector and their contribution to companies’ overall ESG ratings. Ratings are designed to identify and analyze ESG issues, including exposures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business segment and geographic risk), management and industry-specific measures that may include the intersection of a company’s major social and environmental impacts with its core business operations, thereby identifying potential risks and opportunities for the company and its investors.</w:t>
      </w:r>
    </w:p>
    <w:p>
      <w:pPr>
        <w:spacing w:after="0" w:line="59" w:lineRule="exact"/>
        <w:rPr>
          <w:rFonts w:ascii="Times New Roman" w:cs="Times New Roman" w:eastAsia="Times New Roman" w:hAnsi="Times New Roman"/>
          <w:sz w:val="12"/>
          <w:szCs w:val="12"/>
          <w:color w:val="auto"/>
        </w:rPr>
      </w:pPr>
    </w:p>
    <w:p>
      <w:pPr>
        <w:ind w:left="1000" w:right="240" w:hanging="423"/>
        <w:spacing w:after="0" w:line="266" w:lineRule="auto"/>
        <w:tabs>
          <w:tab w:leader="none" w:pos="10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MSCI ESG Business Involvement Screening Research</w:t>
      </w:r>
      <w:r>
        <w:rPr>
          <w:rFonts w:ascii="Times New Roman" w:cs="Times New Roman" w:eastAsia="Times New Roman" w:hAnsi="Times New Roman"/>
          <w:sz w:val="12"/>
          <w:szCs w:val="12"/>
          <w:color w:val="auto"/>
        </w:rPr>
        <w:t>. MSCI ESG Business Involvement Screening Research is a screening service that enables institutional investors to manage ESG standards and restrictions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reliably and efficiently. Asset managers, investment advisers and asset owners can access screening research through the online MSCI ESG Manager platform or a data feed to satisfy their clients’ investment guidelines, implement client mandates and manage potential ESG portfolio risks.</w:t>
      </w:r>
    </w:p>
    <w:p>
      <w:pPr>
        <w:spacing w:after="0" w:line="54" w:lineRule="exact"/>
        <w:rPr>
          <w:rFonts w:ascii="Times New Roman" w:cs="Times New Roman" w:eastAsia="Times New Roman" w:hAnsi="Times New Roman"/>
          <w:sz w:val="12"/>
          <w:szCs w:val="12"/>
          <w:color w:val="auto"/>
        </w:rPr>
      </w:pPr>
    </w:p>
    <w:p>
      <w:pPr>
        <w:ind w:left="1000" w:right="40" w:hanging="423"/>
        <w:spacing w:after="0" w:line="266" w:lineRule="auto"/>
        <w:tabs>
          <w:tab w:leader="none" w:pos="10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MSCI Climate Solutions</w:t>
      </w:r>
      <w:r>
        <w:rPr>
          <w:rFonts w:ascii="Times New Roman" w:cs="Times New Roman" w:eastAsia="Times New Roman" w:hAnsi="Times New Roman"/>
          <w:sz w:val="12"/>
          <w:szCs w:val="12"/>
          <w:color w:val="auto"/>
        </w:rPr>
        <w:t>. MSCI’s Climate VaR metric provides investors with an estimation of how the value of their investment portfolios could be impacted (up or down) by climate policy risk, technology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transition opportunities and extreme weather (physical climate risks). A company's Climate VaR, expressed as a percentage change from its current market valuation, is derived from financial modeling of potential future costs and profits associated with climate-related risks and opportunities.</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For a description of regulation applicable to MSCI ESG Research offerings, see “—Government Regulation” below.</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For the year ended December 31, 2020, 6.5% of our revenues were attributable to our ESG segment.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All Other – Real Estate</w:t>
      </w:r>
    </w:p>
    <w:p>
      <w:pPr>
        <w:spacing w:after="0" w:line="91" w:lineRule="exact"/>
        <w:rPr>
          <w:sz w:val="20"/>
          <w:szCs w:val="20"/>
          <w:color w:val="auto"/>
        </w:rPr>
      </w:pPr>
    </w:p>
    <w:p>
      <w:pPr>
        <w:ind w:right="220" w:firstLine="592"/>
        <w:spacing w:after="0" w:line="260" w:lineRule="auto"/>
        <w:rPr>
          <w:sz w:val="20"/>
          <w:szCs w:val="20"/>
          <w:color w:val="auto"/>
        </w:rPr>
      </w:pPr>
      <w:r>
        <w:rPr>
          <w:rFonts w:ascii="Times New Roman" w:cs="Times New Roman" w:eastAsia="Times New Roman" w:hAnsi="Times New Roman"/>
          <w:sz w:val="12"/>
          <w:szCs w:val="12"/>
          <w:color w:val="auto"/>
        </w:rPr>
        <w:t>Our Real Estate segment includes research, reporting, market data and benchmarking offerings that provide real estate performance analytics for funds, investors and managers. Our Real Estate performance and risk analytics range from enterprise-wide to property-specific analysis. Some of the risk analysis generated in the Real Estate segment is also used in the products offered by our other operating segments. For example, the MAC models created in our Analytics segment offer a view of risk across market and asset classes, including private real estate, by incorporating content generated in the Real Estate segment. We also provide business intelligence to real estate owners, managers, developers and brokers worldwide. Real Estate offerings include:</w:t>
      </w:r>
    </w:p>
    <w:p>
      <w:pPr>
        <w:spacing w:after="0" w:line="57" w:lineRule="exact"/>
        <w:rPr>
          <w:sz w:val="20"/>
          <w:szCs w:val="20"/>
          <w:color w:val="auto"/>
        </w:rPr>
      </w:pPr>
    </w:p>
    <w:p>
      <w:pPr>
        <w:ind w:left="1000" w:hanging="423"/>
        <w:spacing w:after="0" w:line="283" w:lineRule="auto"/>
        <w:tabs>
          <w:tab w:leader="none" w:pos="100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MSCI Enterprise Analytics. </w:t>
      </w:r>
      <w:r>
        <w:rPr>
          <w:rFonts w:ascii="Times New Roman" w:cs="Times New Roman" w:eastAsia="Times New Roman" w:hAnsi="Times New Roman"/>
          <w:sz w:val="12"/>
          <w:szCs w:val="12"/>
          <w:color w:val="auto"/>
        </w:rPr>
        <w:t>Our Enterprise Analytics application offers an interactive, single integrated view to private real estate investors and managers, providing them with the ability to evaluate and analyze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drivers of portfolio performance across an organization’s investments, as well as review exposures and concentrations across markets, asset types and increasingly diverse portfolios.</w:t>
      </w:r>
    </w:p>
    <w:p>
      <w:pPr>
        <w:spacing w:after="0" w:line="106" w:lineRule="exact"/>
        <w:rPr>
          <w:rFonts w:ascii="Times New Roman" w:cs="Times New Roman" w:eastAsia="Times New Roman" w:hAnsi="Times New Roman"/>
          <w:sz w:val="12"/>
          <w:szCs w:val="12"/>
          <w:color w:val="auto"/>
        </w:rPr>
      </w:pPr>
    </w:p>
    <w:p>
      <w:pPr>
        <w:ind w:left="1000" w:right="60" w:hanging="423"/>
        <w:spacing w:after="0" w:line="283" w:lineRule="auto"/>
        <w:tabs>
          <w:tab w:leader="none" w:pos="100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MSCI Global Intel. </w:t>
      </w:r>
      <w:r>
        <w:rPr>
          <w:rFonts w:ascii="Times New Roman" w:cs="Times New Roman" w:eastAsia="Times New Roman" w:hAnsi="Times New Roman"/>
          <w:sz w:val="12"/>
          <w:szCs w:val="12"/>
          <w:color w:val="auto"/>
        </w:rPr>
        <w:t>Our Global Intel offering is an industry-leading database that equips asset owners, researchers, strategists and portfolio and risk managers with data and analytics to enhance their understanding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local, regional and global real estate performance and risks. This tool comprises a consolidated set of global, regional, national, city and submarket indexes with segmentation by property type.</w:t>
      </w:r>
    </w:p>
    <w:p>
      <w:pPr>
        <w:spacing w:after="0" w:line="43" w:lineRule="exact"/>
        <w:rPr>
          <w:rFonts w:ascii="Times New Roman" w:cs="Times New Roman" w:eastAsia="Times New Roman" w:hAnsi="Times New Roman"/>
          <w:sz w:val="12"/>
          <w:szCs w:val="12"/>
          <w:color w:val="auto"/>
        </w:rPr>
      </w:pPr>
    </w:p>
    <w:p>
      <w:pPr>
        <w:ind w:left="1000" w:right="80" w:hanging="423"/>
        <w:spacing w:after="0" w:line="266" w:lineRule="auto"/>
        <w:tabs>
          <w:tab w:leader="none" w:pos="100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MSCI Real Estate Climate Value-at-Risk (“RE Climate VaR”). </w:t>
      </w:r>
      <w:r>
        <w:rPr>
          <w:rFonts w:ascii="Times New Roman" w:cs="Times New Roman" w:eastAsia="Times New Roman" w:hAnsi="Times New Roman"/>
          <w:sz w:val="12"/>
          <w:szCs w:val="12"/>
          <w:color w:val="auto"/>
        </w:rPr>
        <w:t>Our</w:t>
      </w:r>
      <w:r>
        <w:rPr>
          <w:rFonts w:ascii="Times New Roman" w:cs="Times New Roman" w:eastAsia="Times New Roman" w:hAnsi="Times New Roman"/>
          <w:sz w:val="12"/>
          <w:szCs w:val="12"/>
          <w:i w:val="1"/>
          <w:iCs w:val="1"/>
          <w:color w:val="auto"/>
        </w:rPr>
        <w:t xml:space="preserve"> RE Climate VaR </w:t>
      </w:r>
      <w:r>
        <w:rPr>
          <w:rFonts w:ascii="Times New Roman" w:cs="Times New Roman" w:eastAsia="Times New Roman" w:hAnsi="Times New Roman"/>
          <w:sz w:val="12"/>
          <w:szCs w:val="12"/>
          <w:color w:val="auto"/>
        </w:rPr>
        <w:t>solution provides forward-looking and return-based valuation assessments to measure climate-related risks for real estate assets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an investment portfolio. By calculating both transition risk from changing legislation due to climate action and physical risk from extreme weather impacts, RE Climate VaR offers a framework for investors to improve portfolio performance, risk management, regulatory reporting and progress towards broader sustainability goals.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44" w:right="339"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2"/>
          <w:szCs w:val="12"/>
          <w:color w:val="auto"/>
        </w:rPr>
        <w:t>For the year ended December 31, 2020, 3.2% of our revenues were attributable to our Real Estate segment.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Product Development</w:t>
      </w:r>
    </w:p>
    <w:p>
      <w:pPr>
        <w:spacing w:after="0" w:line="91" w:lineRule="exact"/>
        <w:rPr>
          <w:sz w:val="20"/>
          <w:szCs w:val="20"/>
          <w:color w:val="auto"/>
        </w:rPr>
      </w:pPr>
    </w:p>
    <w:p>
      <w:pPr>
        <w:ind w:right="40" w:firstLine="592"/>
        <w:spacing w:after="0" w:line="260" w:lineRule="auto"/>
        <w:rPr>
          <w:sz w:val="20"/>
          <w:szCs w:val="20"/>
          <w:color w:val="auto"/>
        </w:rPr>
      </w:pPr>
      <w:r>
        <w:rPr>
          <w:rFonts w:ascii="Times New Roman" w:cs="Times New Roman" w:eastAsia="Times New Roman" w:hAnsi="Times New Roman"/>
          <w:sz w:val="12"/>
          <w:szCs w:val="12"/>
          <w:color w:val="auto"/>
        </w:rPr>
        <w:t>We apply an integrated team approach to developing content across our operating segments. Our product management, research and product development, data operations and technology, and application development departments are at the center of this process. Our content is developed by a research and product development team comprised of mathematicians, economists, statisticians, financial engineers and investment industry experts. Content created in one segment can often be used for the creation of products in another segment. For example, the MAC models created in our Analytics segment offer a view of risk across market and asset classes, including private real estate, by incorporating content generated in the Real Estate segment, and MSCI ESG indexes are constructed using data from our ESG segment.</w:t>
      </w:r>
    </w:p>
    <w:p>
      <w:pPr>
        <w:spacing w:after="0" w:line="140" w:lineRule="exact"/>
        <w:rPr>
          <w:sz w:val="20"/>
          <w:szCs w:val="20"/>
          <w:color w:val="auto"/>
        </w:rPr>
      </w:pPr>
    </w:p>
    <w:p>
      <w:pPr>
        <w:ind w:right="60" w:firstLine="592"/>
        <w:spacing w:after="0" w:line="260" w:lineRule="auto"/>
        <w:rPr>
          <w:sz w:val="20"/>
          <w:szCs w:val="20"/>
          <w:color w:val="auto"/>
        </w:rPr>
      </w:pPr>
      <w:r>
        <w:rPr>
          <w:rFonts w:ascii="Times New Roman" w:cs="Times New Roman" w:eastAsia="Times New Roman" w:hAnsi="Times New Roman"/>
          <w:sz w:val="12"/>
          <w:szCs w:val="12"/>
          <w:color w:val="auto"/>
        </w:rPr>
        <w:t>Through our relationships with the world’s largest investment institutions, we monitor investment trends and their drivers globally and support instrument valuation, risk modeling, portfolio construction, portfolio attribution, asset allocation and VaR simulation. An important way we monitor global investment trends and their implications for our business is through direct public consultations and client advisory panels and through the forum provided by our Advisory Council. Our Advisory Council meets twice a year to discuss current and emerging investment industry trends and is comprised of senior investment professionals from around the world and senior members of our research and product development team.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Technology</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Technology plays a pivotal role in our operations. Current areas of focus include:</w:t>
      </w:r>
    </w:p>
    <w:p>
      <w:pPr>
        <w:spacing w:after="0" w:line="85" w:lineRule="exact"/>
        <w:rPr>
          <w:sz w:val="20"/>
          <w:szCs w:val="20"/>
          <w:color w:val="auto"/>
        </w:rPr>
      </w:pPr>
    </w:p>
    <w:p>
      <w:pPr>
        <w:ind w:left="1000" w:right="200" w:hanging="423"/>
        <w:spacing w:after="0" w:line="283" w:lineRule="auto"/>
        <w:tabs>
          <w:tab w:leader="none" w:pos="10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Migrating products, data and services onto a cloud platform </w:t>
      </w:r>
      <w:r>
        <w:rPr>
          <w:rFonts w:ascii="Times New Roman" w:cs="Times New Roman" w:eastAsia="Times New Roman" w:hAnsi="Times New Roman"/>
          <w:sz w:val="12"/>
          <w:szCs w:val="12"/>
          <w:color w:val="auto"/>
        </w:rPr>
        <w:t>to accelerate the delivery of new capabilities that will help investors more swiftly and efficiently manage data and understand the drivers of risk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performance, drive automation across our corporate processes and minimize data center risks.</w:t>
      </w:r>
    </w:p>
    <w:p>
      <w:pPr>
        <w:spacing w:after="0" w:line="43"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Modernizing our workplace </w:t>
      </w:r>
      <w:r>
        <w:rPr>
          <w:rFonts w:ascii="Times New Roman" w:cs="Times New Roman" w:eastAsia="Times New Roman" w:hAnsi="Times New Roman"/>
          <w:sz w:val="12"/>
          <w:szCs w:val="12"/>
          <w:color w:val="auto"/>
        </w:rPr>
        <w:t>to better support a remote workforce that can collaborate and productively work from anywhere.</w:t>
      </w:r>
    </w:p>
    <w:p>
      <w:pPr>
        <w:spacing w:after="0" w:line="87"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Improving the client experience </w:t>
      </w:r>
      <w:r>
        <w:rPr>
          <w:rFonts w:ascii="Times New Roman" w:cs="Times New Roman" w:eastAsia="Times New Roman" w:hAnsi="Times New Roman"/>
          <w:sz w:val="12"/>
          <w:szCs w:val="12"/>
          <w:color w:val="auto"/>
        </w:rPr>
        <w:t>by enhancing the way clients access, interact with and use our data, applications and other tools.</w:t>
      </w:r>
    </w:p>
    <w:p>
      <w:pPr>
        <w:spacing w:after="0" w:line="87" w:lineRule="exact"/>
        <w:rPr>
          <w:rFonts w:ascii="Times New Roman" w:cs="Times New Roman" w:eastAsia="Times New Roman" w:hAnsi="Times New Roman"/>
          <w:sz w:val="12"/>
          <w:szCs w:val="12"/>
          <w:color w:val="auto"/>
        </w:rPr>
      </w:pPr>
    </w:p>
    <w:p>
      <w:pPr>
        <w:ind w:left="1000" w:right="200" w:hanging="423"/>
        <w:spacing w:after="0" w:line="283" w:lineRule="auto"/>
        <w:tabs>
          <w:tab w:leader="none" w:pos="10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Enhancing data processing </w:t>
      </w:r>
      <w:r>
        <w:rPr>
          <w:rFonts w:ascii="Times New Roman" w:cs="Times New Roman" w:eastAsia="Times New Roman" w:hAnsi="Times New Roman"/>
          <w:sz w:val="12"/>
          <w:szCs w:val="12"/>
          <w:color w:val="auto"/>
        </w:rPr>
        <w:t>by expanding our use of data science and machine learning in our data collection processes to enable us to more efficiently build scale and facilitate faster product enhancements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releases while also maintaining the highest quality standards.</w:t>
      </w:r>
    </w:p>
    <w:p>
      <w:pPr>
        <w:spacing w:after="0" w:line="34" w:lineRule="exact"/>
        <w:rPr>
          <w:rFonts w:ascii="Times New Roman" w:cs="Times New Roman" w:eastAsia="Times New Roman" w:hAnsi="Times New Roman"/>
          <w:sz w:val="12"/>
          <w:szCs w:val="12"/>
          <w:color w:val="auto"/>
        </w:rPr>
      </w:pPr>
    </w:p>
    <w:p>
      <w:pPr>
        <w:ind w:left="1000" w:hanging="423"/>
        <w:spacing w:after="0" w:line="266" w:lineRule="auto"/>
        <w:tabs>
          <w:tab w:leader="none" w:pos="10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Enhancing information security </w:t>
      </w:r>
      <w:r>
        <w:rPr>
          <w:rFonts w:ascii="Times New Roman" w:cs="Times New Roman" w:eastAsia="Times New Roman" w:hAnsi="Times New Roman"/>
          <w:sz w:val="12"/>
          <w:szCs w:val="12"/>
          <w:color w:val="auto"/>
        </w:rPr>
        <w:t>by further strengthening our technology infrastructure, with an emphasis on cyber and information security. Our success depends on our clients’ abilities to securely access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products and services. We implement changes and upgrades to technology and processes to minimize risk on an ongoing basis, and we seek to improve employee awareness of cyber and information security issues through training.</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44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9" w:lineRule="exact"/>
        <w:rPr>
          <w:sz w:val="20"/>
          <w:szCs w:val="20"/>
          <w:color w:val="auto"/>
        </w:rPr>
      </w:pPr>
    </w:p>
    <w:p>
      <w:pPr>
        <w:jc w:val="both"/>
        <w:ind w:right="160" w:firstLine="59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Index. </w:t>
      </w:r>
      <w:r>
        <w:rPr>
          <w:rFonts w:ascii="Times New Roman" w:cs="Times New Roman" w:eastAsia="Times New Roman" w:hAnsi="Times New Roman"/>
          <w:sz w:val="12"/>
          <w:szCs w:val="12"/>
          <w:color w:val="auto"/>
        </w:rPr>
        <w:t>Many industry participants compete with us by offering one or more indexes in similar categories. Such indexes vary widely in scope, including by geographic region, business sector and risk category, and may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used by clients in a variety of ways in many different markets around the world. Among our Index competitors are S&amp;P Dow Jones Indices LLC (a joint venture company owned by CME Group, Inc., CME Group Services LLC and S&amp;P Global Inc.) and FTSE Russell, a subsidiary of the London Stock Exchange Group PLC.</w:t>
      </w:r>
    </w:p>
    <w:p>
      <w:pPr>
        <w:spacing w:after="0" w:line="137" w:lineRule="exact"/>
        <w:rPr>
          <w:sz w:val="20"/>
          <w:szCs w:val="20"/>
          <w:color w:val="auto"/>
        </w:rPr>
      </w:pPr>
    </w:p>
    <w:p>
      <w:pPr>
        <w:ind w:right="40" w:firstLine="592"/>
        <w:spacing w:after="0" w:line="265" w:lineRule="auto"/>
        <w:rPr>
          <w:sz w:val="20"/>
          <w:szCs w:val="20"/>
          <w:color w:val="auto"/>
        </w:rPr>
      </w:pPr>
      <w:r>
        <w:rPr>
          <w:rFonts w:ascii="Times New Roman" w:cs="Times New Roman" w:eastAsia="Times New Roman" w:hAnsi="Times New Roman"/>
          <w:sz w:val="12"/>
          <w:szCs w:val="12"/>
          <w:color w:val="auto"/>
        </w:rPr>
        <w:t>Growing competition also exists from industry participants, including asset managers and investment banks, that create their own indexes, often in cooperation with index providers, which may, among other things, provide some form of calculation agent service. Asset managers manage funds, including ETFs, based on their proprietary indexes, and many investment banks launch structured products or create over-the-counter derivatives based on their proprietary indexes. This is often referred to as self-indexing.</w:t>
      </w:r>
    </w:p>
    <w:p>
      <w:pPr>
        <w:spacing w:after="0" w:line="144" w:lineRule="exact"/>
        <w:rPr>
          <w:sz w:val="20"/>
          <w:szCs w:val="20"/>
          <w:color w:val="auto"/>
        </w:rPr>
      </w:pPr>
    </w:p>
    <w:p>
      <w:pPr>
        <w:ind w:right="40" w:firstLine="59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Analytics. </w:t>
      </w:r>
      <w:r>
        <w:rPr>
          <w:rFonts w:ascii="Times New Roman" w:cs="Times New Roman" w:eastAsia="Times New Roman" w:hAnsi="Times New Roman"/>
          <w:sz w:val="12"/>
          <w:szCs w:val="12"/>
          <w:color w:val="auto"/>
        </w:rPr>
        <w:t>Our Analytics offerings compete with those from a range of competitors, including Qontigo (formerly Axioma Inc. and acquired by Deutsche Borse Group as part of a strategic partnership with General Atlantic),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BlackRock Solutions, Bloomberg Finance L.P., and FactSet Research Systems Inc. Additionally, some of the larger broker-dealers have developed proprietary analytics tools for their clients. Similarly, some of the large global investment organizations, such as custodians, have developed internal risk management and performance analytics tools that they offer to their clients.</w:t>
      </w:r>
    </w:p>
    <w:p>
      <w:pPr>
        <w:spacing w:after="0" w:line="144" w:lineRule="exact"/>
        <w:rPr>
          <w:sz w:val="20"/>
          <w:szCs w:val="20"/>
          <w:color w:val="auto"/>
        </w:rPr>
      </w:pPr>
    </w:p>
    <w:p>
      <w:pPr>
        <w:ind w:firstLine="59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All Other. </w:t>
      </w:r>
      <w:r>
        <w:rPr>
          <w:rFonts w:ascii="Times New Roman" w:cs="Times New Roman" w:eastAsia="Times New Roman" w:hAnsi="Times New Roman"/>
          <w:sz w:val="12"/>
          <w:szCs w:val="12"/>
          <w:color w:val="auto"/>
        </w:rPr>
        <w:t>We also have a variety of competitors for our other offerings that comprise a smaller portion of our revenues, including a growing number of companies that issue ESG data, ratings or research and a growing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number of companies that provide Real Estate data, indexes, performance and risk attribution services. For example, our ESG offerings compete with those from a range of competitors, including Sustainalytics Holding B.V. (now a part of Morningstar, Inc.), Institutional Shareholder Services Inc. and Refinitiv Holdings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 Other Proprietary Rights and Sources of Data</w:t>
      </w:r>
    </w:p>
    <w:p>
      <w:pPr>
        <w:spacing w:after="0" w:line="91" w:lineRule="exact"/>
        <w:rPr>
          <w:sz w:val="20"/>
          <w:szCs w:val="20"/>
          <w:color w:val="auto"/>
        </w:rPr>
      </w:pPr>
    </w:p>
    <w:p>
      <w:pPr>
        <w:jc w:val="both"/>
        <w:ind w:right="120" w:firstLine="592"/>
        <w:spacing w:after="0" w:line="265" w:lineRule="auto"/>
        <w:rPr>
          <w:sz w:val="20"/>
          <w:szCs w:val="20"/>
          <w:color w:val="auto"/>
        </w:rPr>
      </w:pPr>
      <w:r>
        <w:rPr>
          <w:rFonts w:ascii="Times New Roman" w:cs="Times New Roman" w:eastAsia="Times New Roman" w:hAnsi="Times New Roman"/>
          <w:sz w:val="12"/>
          <w:szCs w:val="12"/>
          <w:color w:val="auto"/>
        </w:rPr>
        <w:t>We consider many aspects of our offerings, processes and services to be proprietary. We have registered “MSCI” and other marks as trademarks or service marks in the United States and in certain other countries. We will continue to evaluate the registration of additional trademarks and service marks as appropriate. From time to time, we have also filed patent applications to protect our proprietary rights. Additionally, many of our offerings, processes and services require the use of intellectual property that we license for use from third parties. It may be necessary in the future to seek or renew licenses relating to various aspects of our offerings and services.</w:t>
      </w:r>
    </w:p>
    <w:p>
      <w:pPr>
        <w:spacing w:after="0" w:line="146" w:lineRule="exact"/>
        <w:rPr>
          <w:sz w:val="20"/>
          <w:szCs w:val="20"/>
          <w:color w:val="auto"/>
        </w:rPr>
      </w:pPr>
    </w:p>
    <w:p>
      <w:pPr>
        <w:jc w:val="both"/>
        <w:ind w:right="100" w:firstLine="592"/>
        <w:spacing w:after="0" w:line="279" w:lineRule="auto"/>
        <w:rPr>
          <w:sz w:val="20"/>
          <w:szCs w:val="20"/>
          <w:color w:val="auto"/>
        </w:rPr>
      </w:pPr>
      <w:r>
        <w:rPr>
          <w:rFonts w:ascii="Times New Roman" w:cs="Times New Roman" w:eastAsia="Times New Roman" w:hAnsi="Times New Roman"/>
          <w:sz w:val="12"/>
          <w:szCs w:val="12"/>
          <w:color w:val="auto"/>
        </w:rPr>
        <w:t>Our ownership and protection of intellectual property and other proprietary rights and our ability to obtain the rights to use third-party intellectual property are important to our business and contribute in part to our overall success. We do not believe we are dependent on any one of our intellectual property rights or any one license to use third-party intellectual property.</w:t>
      </w:r>
    </w:p>
    <w:p>
      <w:pPr>
        <w:spacing w:after="0" w:line="138" w:lineRule="exact"/>
        <w:rPr>
          <w:sz w:val="20"/>
          <w:szCs w:val="20"/>
          <w:color w:val="auto"/>
        </w:rPr>
      </w:pPr>
    </w:p>
    <w:p>
      <w:pPr>
        <w:ind w:right="40" w:firstLine="592"/>
        <w:spacing w:after="0" w:line="279" w:lineRule="auto"/>
        <w:rPr>
          <w:sz w:val="20"/>
          <w:szCs w:val="20"/>
          <w:color w:val="auto"/>
        </w:rPr>
      </w:pPr>
      <w:r>
        <w:rPr>
          <w:rFonts w:ascii="Times New Roman" w:cs="Times New Roman" w:eastAsia="Times New Roman" w:hAnsi="Times New Roman"/>
          <w:sz w:val="12"/>
          <w:szCs w:val="12"/>
          <w:color w:val="auto"/>
        </w:rPr>
        <w:t>In addition to our intellectual property, we rely on third-party data to create and deliver our products and services. For example, we require certain stock exchange data to construct equity indexes. Termination of or disputes regarding our rights to receive or use such data could limit the information available for us to use in connection with building or distributing our products and services and to make available to our clients.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 Management</w:t>
      </w:r>
    </w:p>
    <w:p>
      <w:pPr>
        <w:spacing w:after="0" w:line="82" w:lineRule="exact"/>
        <w:rPr>
          <w:sz w:val="20"/>
          <w:szCs w:val="20"/>
          <w:color w:val="auto"/>
        </w:rPr>
      </w:pPr>
    </w:p>
    <w:p>
      <w:pPr>
        <w:ind w:right="140" w:firstLine="592"/>
        <w:spacing w:after="0" w:line="279" w:lineRule="auto"/>
        <w:rPr>
          <w:sz w:val="20"/>
          <w:szCs w:val="20"/>
          <w:color w:val="auto"/>
        </w:rPr>
      </w:pPr>
      <w:r>
        <w:rPr>
          <w:rFonts w:ascii="Times New Roman" w:cs="Times New Roman" w:eastAsia="Times New Roman" w:hAnsi="Times New Roman"/>
          <w:sz w:val="12"/>
          <w:szCs w:val="12"/>
          <w:color w:val="auto"/>
        </w:rPr>
        <w:t>MSCI is committed to creating a performance culture with high employee engagement. Our talent and leadership development programs are designed to ensure we have the people and skills in place to deliver on MSCI’s strategy, including a workplace that values and promotes diversity, equality and inclusion.</w:t>
      </w:r>
    </w:p>
    <w:p>
      <w:pPr>
        <w:spacing w:after="0" w:line="138" w:lineRule="exact"/>
        <w:rPr>
          <w:sz w:val="20"/>
          <w:szCs w:val="20"/>
          <w:color w:val="auto"/>
        </w:rPr>
      </w:pPr>
    </w:p>
    <w:p>
      <w:pPr>
        <w:ind w:right="20" w:firstLine="592"/>
        <w:spacing w:after="0" w:line="265" w:lineRule="auto"/>
        <w:rPr>
          <w:sz w:val="20"/>
          <w:szCs w:val="20"/>
          <w:color w:val="auto"/>
        </w:rPr>
      </w:pPr>
      <w:r>
        <w:rPr>
          <w:rFonts w:ascii="Times New Roman" w:cs="Times New Roman" w:eastAsia="Times New Roman" w:hAnsi="Times New Roman"/>
          <w:sz w:val="12"/>
          <w:szCs w:val="12"/>
          <w:color w:val="auto"/>
        </w:rPr>
        <w:t>MSCI is an international company with a highly diverse footprint. Our employees are located in more than 30 cities across more than 20 countries. As of December 31, 2020, we employed 3,633 people, of which 47.0% of MSCI employees were located in the Asia Pacific region, 23.3% in Europe, Middle East and Africa, 20.7% in the U.S. and Canada, and 9.0% in Mexico and Brazil. For the one-year period ended December 31, 2020, voluntary turnover was 7.6% and involuntary turnover was 3.8%.</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58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Diversity, Equality and Inclusion</w:t>
      </w:r>
    </w:p>
    <w:p>
      <w:pPr>
        <w:spacing w:after="0" w:line="82" w:lineRule="exact"/>
        <w:rPr>
          <w:sz w:val="20"/>
          <w:szCs w:val="20"/>
          <w:color w:val="auto"/>
        </w:rPr>
      </w:pPr>
    </w:p>
    <w:p>
      <w:pPr>
        <w:ind w:right="140" w:firstLine="660"/>
        <w:spacing w:after="0" w:line="260" w:lineRule="auto"/>
        <w:rPr>
          <w:sz w:val="20"/>
          <w:szCs w:val="20"/>
          <w:color w:val="auto"/>
        </w:rPr>
      </w:pPr>
      <w:r>
        <w:rPr>
          <w:rFonts w:ascii="Times New Roman" w:cs="Times New Roman" w:eastAsia="Times New Roman" w:hAnsi="Times New Roman"/>
          <w:sz w:val="12"/>
          <w:szCs w:val="12"/>
          <w:color w:val="auto"/>
        </w:rPr>
        <w:t>At MSCI, diversity, equality and inclusion are core values of our culture. We strive to empower our people to maximize their potential in an environment where all individuals are respected and encouraged to bring their authentic selves to work. This culture embraces diverse experiences and perspectives, which we believe foster creativity and innovation. As of December 31, 2020, women represented 33.1% of our global employees, and people of color (defined as those who identify as Asian, Black/African American, Hispanic/Latino, Native American, Hawaiian, Pacific Islander or two or more races) represented 41.7% of our U.S. employees. From a global diversity perspective, the U.S. represents only 19.9% of our global workforce.</w:t>
      </w:r>
    </w:p>
    <w:p>
      <w:pPr>
        <w:spacing w:after="0" w:line="140" w:lineRule="exact"/>
        <w:rPr>
          <w:sz w:val="20"/>
          <w:szCs w:val="20"/>
          <w:color w:val="auto"/>
        </w:rPr>
      </w:pPr>
    </w:p>
    <w:p>
      <w:pPr>
        <w:ind w:right="180" w:firstLine="652"/>
        <w:spacing w:after="0" w:line="265" w:lineRule="auto"/>
        <w:rPr>
          <w:sz w:val="20"/>
          <w:szCs w:val="20"/>
          <w:color w:val="auto"/>
        </w:rPr>
      </w:pPr>
      <w:r>
        <w:rPr>
          <w:rFonts w:ascii="Times New Roman" w:cs="Times New Roman" w:eastAsia="Times New Roman" w:hAnsi="Times New Roman"/>
          <w:sz w:val="12"/>
          <w:szCs w:val="12"/>
          <w:color w:val="auto"/>
        </w:rPr>
        <w:t>Our Executive Diversity Council (the “EDC”) champions a diverse and inclusive culture by advising on corporate initiatives and facilitating collaboration across the Company. Members of the EDC partner with our employee resource groups (the Women’s Leadership Forum, Women in Tech (formed in 2020), MSCI Pride, the Black Leadership Network (formed in 2020) and Eco Groups) to raise awareness, conduct events around the globe and serve as sponsors in their respective locations.</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 2020, we established the Employer Brand Council and the Diversity Engagement and Sourcing team. These groups focus on:</w:t>
      </w:r>
    </w:p>
    <w:p>
      <w:pPr>
        <w:spacing w:after="0" w:line="87" w:lineRule="exact"/>
        <w:rPr>
          <w:sz w:val="20"/>
          <w:szCs w:val="20"/>
          <w:color w:val="auto"/>
        </w:rPr>
      </w:pPr>
    </w:p>
    <w:p>
      <w:pPr>
        <w:ind w:left="860" w:hanging="436"/>
        <w:spacing w:after="0"/>
        <w:tabs>
          <w:tab w:leader="none" w:pos="8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 and communicating the MSCI employer brand with the aim of bringing to life and showcasing our culture;</w:t>
      </w:r>
    </w:p>
    <w:p>
      <w:pPr>
        <w:spacing w:after="0" w:line="7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attracting and developing diverse talent for current and future roles;</w:t>
      </w:r>
    </w:p>
    <w:p>
      <w:pPr>
        <w:spacing w:after="0" w:line="7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 early career and internal pipeline programs that focus on gender, race, ethnicity, LGBTQ+, socio-economic and native/indigenous diversity;</w:t>
      </w:r>
    </w:p>
    <w:p>
      <w:pPr>
        <w:spacing w:after="0" w:line="7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forging relationships at institutions worldwide that promote diversity; and</w:t>
      </w:r>
    </w:p>
    <w:p>
      <w:pPr>
        <w:spacing w:after="0" w:line="7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 relationships with external partners and media to position MSCI’s programs and opportunities with new networks.</w:t>
      </w:r>
    </w:p>
    <w:p>
      <w:pPr>
        <w:spacing w:after="0" w:line="150" w:lineRule="exact"/>
        <w:rPr>
          <w:sz w:val="20"/>
          <w:szCs w:val="20"/>
          <w:color w:val="auto"/>
        </w:rPr>
      </w:pPr>
    </w:p>
    <w:p>
      <w:pPr>
        <w:ind w:right="340" w:firstLine="652"/>
        <w:spacing w:after="0" w:line="279" w:lineRule="auto"/>
        <w:rPr>
          <w:sz w:val="20"/>
          <w:szCs w:val="20"/>
          <w:color w:val="auto"/>
        </w:rPr>
      </w:pPr>
      <w:r>
        <w:rPr>
          <w:rFonts w:ascii="Times New Roman" w:cs="Times New Roman" w:eastAsia="Times New Roman" w:hAnsi="Times New Roman"/>
          <w:sz w:val="12"/>
          <w:szCs w:val="12"/>
          <w:color w:val="auto"/>
        </w:rPr>
        <w:t>The team not only creates a pipeline of diverse talent for MSCI but also ensures we are positioned more broadly as a leading organization that puts diversity, equality and inclusion at the center of its strategy. We are growing a culture that has highly competent, engaged, accountable and diverse people at every level. We believe that a diverse team is a stronger team and an important part of our success.</w:t>
      </w:r>
    </w:p>
    <w:p>
      <w:pPr>
        <w:spacing w:after="0" w:line="138" w:lineRule="exact"/>
        <w:rPr>
          <w:sz w:val="20"/>
          <w:szCs w:val="20"/>
          <w:color w:val="auto"/>
        </w:rPr>
      </w:pPr>
    </w:p>
    <w:p>
      <w:pPr>
        <w:ind w:firstLine="652"/>
        <w:spacing w:after="0" w:line="279" w:lineRule="auto"/>
        <w:rPr>
          <w:sz w:val="20"/>
          <w:szCs w:val="20"/>
          <w:color w:val="auto"/>
        </w:rPr>
      </w:pPr>
      <w:r>
        <w:rPr>
          <w:rFonts w:ascii="Times New Roman" w:cs="Times New Roman" w:eastAsia="Times New Roman" w:hAnsi="Times New Roman"/>
          <w:sz w:val="12"/>
          <w:szCs w:val="12"/>
          <w:color w:val="auto"/>
        </w:rPr>
        <w:t>Additional information on our diversity metrics and programs can be found on our website at https://www.msci.com/who-we-are/corporate-responsibility/social-responsibility/diversity-and-inclusion. Information contained on our website is not deemed part of or incorporated by reference into this Annual Report on Form 10-K or any other report filed with the SEC.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Benefits and Well-being</w:t>
      </w:r>
    </w:p>
    <w:p>
      <w:pPr>
        <w:spacing w:after="0" w:line="82" w:lineRule="exact"/>
        <w:rPr>
          <w:sz w:val="20"/>
          <w:szCs w:val="20"/>
          <w:color w:val="auto"/>
        </w:rPr>
      </w:pPr>
    </w:p>
    <w:p>
      <w:pPr>
        <w:ind w:right="40" w:firstLine="660"/>
        <w:spacing w:after="0" w:line="260" w:lineRule="auto"/>
        <w:rPr>
          <w:sz w:val="20"/>
          <w:szCs w:val="20"/>
          <w:color w:val="auto"/>
        </w:rPr>
      </w:pPr>
      <w:r>
        <w:rPr>
          <w:rFonts w:ascii="Times New Roman" w:cs="Times New Roman" w:eastAsia="Times New Roman" w:hAnsi="Times New Roman"/>
          <w:sz w:val="12"/>
          <w:szCs w:val="12"/>
          <w:color w:val="auto"/>
        </w:rPr>
        <w:t>We offer a broad range of highly competitive compensation and benefits programs to our employees and their families, including same sex domestic partners. These programs include health and welfare benefits, including an Employee Assistance Program; enhanced maternity and paternity leave policies, including a Global Minimum Standard applicable to all offices worldwide; contributions to defined contribution and defined benefit pensions plans globally and Health Savings Accounts in the U.S.; life insurance; a global wellness initiative that can help employees improve their health and well-being; presentations on well-being topics, including retirement planning, parenting, meditation, stress management and nutrition; ergonomic equipment and desk assessments for employees; and wellness rooms in all MSCI office locations.</w:t>
      </w:r>
    </w:p>
    <w:p>
      <w:pPr>
        <w:spacing w:after="0" w:line="149" w:lineRule="exact"/>
        <w:rPr>
          <w:sz w:val="20"/>
          <w:szCs w:val="20"/>
          <w:color w:val="auto"/>
        </w:rPr>
      </w:pPr>
    </w:p>
    <w:p>
      <w:pPr>
        <w:jc w:val="both"/>
        <w:ind w:right="20" w:firstLine="652"/>
        <w:spacing w:after="0" w:line="265" w:lineRule="auto"/>
        <w:rPr>
          <w:sz w:val="20"/>
          <w:szCs w:val="20"/>
          <w:color w:val="auto"/>
        </w:rPr>
      </w:pPr>
      <w:r>
        <w:rPr>
          <w:rFonts w:ascii="Times New Roman" w:cs="Times New Roman" w:eastAsia="Times New Roman" w:hAnsi="Times New Roman"/>
          <w:sz w:val="12"/>
          <w:szCs w:val="12"/>
          <w:color w:val="auto"/>
        </w:rPr>
        <w:t>Compensation at MSCI supports a culture of high performance and accountability. Our goal is to provide competitive compensation in the markets we compete for talent. We believe in linking all employee’s compensation to Company, Product/Function and individual performance by making 100% of our employees eligible for annual cash bonuses. We strongly differentiate cash bonus payouts based on actual results against goals and for managers, how effectively they demonstrate behaviors consistent with the Company’s values and culture.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512" w:right="319" w:bottom="1440" w:gutter="0" w:footer="0" w:header="0"/>
        </w:sectPr>
      </w:pPr>
    </w:p>
    <w:bookmarkStart w:id="12" w:name="page13"/>
    <w:bookmarkEnd w:id="12"/>
    <w:p>
      <w:pPr>
        <w:ind w:firstLine="652"/>
        <w:spacing w:after="0" w:line="279" w:lineRule="auto"/>
        <w:rPr>
          <w:sz w:val="20"/>
          <w:szCs w:val="20"/>
          <w:color w:val="auto"/>
        </w:rPr>
      </w:pPr>
      <w:r>
        <w:rPr>
          <w:rFonts w:ascii="Times New Roman" w:cs="Times New Roman" w:eastAsia="Times New Roman" w:hAnsi="Times New Roman"/>
          <w:sz w:val="12"/>
          <w:szCs w:val="12"/>
          <w:color w:val="auto"/>
        </w:rPr>
        <w:t>Officers of the Company are eligible to participate in the MSCI Long-Term Incentive Program with awards of MSCI stock that vest over a multi-year period. The goal of the Long-Term Incentive Program is to: (i) align the interests of eligible officers with those of our shareholders, (ii) enhance our “owner-operator” philosophy, (iii) recognize and reward potential long-term contributions, (iv) retain key leaders and top performing officers.</w:t>
      </w:r>
    </w:p>
    <w:p>
      <w:pPr>
        <w:spacing w:after="0" w:line="129" w:lineRule="exact"/>
        <w:rPr>
          <w:sz w:val="20"/>
          <w:szCs w:val="20"/>
          <w:color w:val="auto"/>
        </w:rPr>
      </w:pPr>
    </w:p>
    <w:p>
      <w:pPr>
        <w:ind w:right="120" w:firstLine="652"/>
        <w:spacing w:after="0" w:line="260" w:lineRule="auto"/>
        <w:rPr>
          <w:sz w:val="20"/>
          <w:szCs w:val="20"/>
          <w:color w:val="auto"/>
        </w:rPr>
      </w:pPr>
      <w:r>
        <w:rPr>
          <w:rFonts w:ascii="Times New Roman" w:cs="Times New Roman" w:eastAsia="Times New Roman" w:hAnsi="Times New Roman"/>
          <w:sz w:val="12"/>
          <w:szCs w:val="12"/>
          <w:color w:val="auto"/>
        </w:rPr>
        <w:t>In response to the COVID-19 pandemic, MSCI prioritized the well-being of its global workforce by having the vast majority of our employees work from home. At the onset of the pandemic, we engaged a firm of global medical and safety experts to provide additional information and guidance to all of our offices globally. In response to the pandemic, we also increased communications about employee assistance programs that provide mental health and emotional well-being support, as well as resources to help manage stress and care for individuals and their families. We also provide ergonomics workshops that focus on how to configure home workspaces for optimal health, comfort and performance.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Cultivating Talent and Employee Engagement</w:t>
      </w:r>
    </w:p>
    <w:p>
      <w:pPr>
        <w:spacing w:after="0" w:line="82" w:lineRule="exact"/>
        <w:rPr>
          <w:sz w:val="20"/>
          <w:szCs w:val="20"/>
          <w:color w:val="auto"/>
        </w:rPr>
      </w:pPr>
    </w:p>
    <w:p>
      <w:pPr>
        <w:ind w:firstLine="660"/>
        <w:spacing w:after="0" w:line="260" w:lineRule="auto"/>
        <w:rPr>
          <w:sz w:val="20"/>
          <w:szCs w:val="20"/>
          <w:color w:val="auto"/>
        </w:rPr>
      </w:pPr>
      <w:r>
        <w:rPr>
          <w:rFonts w:ascii="Times New Roman" w:cs="Times New Roman" w:eastAsia="Times New Roman" w:hAnsi="Times New Roman"/>
          <w:sz w:val="12"/>
          <w:szCs w:val="12"/>
          <w:color w:val="auto"/>
        </w:rPr>
        <w:t>MSCI is committed to investing in employee learning and development. Throughout the year, we offer tools and workshops to help employees better understand how their work aligns with MSCI’s overall strategy, seek and receive real-time and transparent feedback and coaching, successfully deliver on their goals, and more effectively plan and develop their careers. In response to the COVID-19 pandemic and the transition to working from home on a regular basis, MSCI created and delivered virtual training programs to quickly build remote capabilities, such as Leading Virtually, Working Virtually and Building Resilience. Employees were also asked to examine their goals through a start, stop, delay and pivot lens. The “re-imagined” goals focused on servicing our clients and prioritizing critical actions to help clients navigate the evolving and challenging circumstances.</w:t>
      </w:r>
    </w:p>
    <w:p>
      <w:pPr>
        <w:spacing w:after="0" w:line="149" w:lineRule="exact"/>
        <w:rPr>
          <w:sz w:val="20"/>
          <w:szCs w:val="20"/>
          <w:color w:val="auto"/>
        </w:rPr>
      </w:pPr>
    </w:p>
    <w:p>
      <w:pPr>
        <w:ind w:right="80" w:firstLine="652"/>
        <w:spacing w:after="0" w:line="257" w:lineRule="auto"/>
        <w:rPr>
          <w:sz w:val="20"/>
          <w:szCs w:val="20"/>
          <w:color w:val="auto"/>
        </w:rPr>
      </w:pPr>
      <w:r>
        <w:rPr>
          <w:rFonts w:ascii="Times New Roman" w:cs="Times New Roman" w:eastAsia="Times New Roman" w:hAnsi="Times New Roman"/>
          <w:sz w:val="12"/>
          <w:szCs w:val="12"/>
          <w:color w:val="auto"/>
        </w:rPr>
        <w:t>MSCI conducts an annual employee engagement survey that measures whether our approaches to performance, growth and career development are driving employee engagement. Managers receive anonymous feedback and are accountable for improving and enhancing the work environment to drive higher engagement. In 2020, 85% of employees responded to an employee engagement check-in survey conducted in November 2020 and to an additional employee engagement check-in survey conducted in June 2020. The June 2020 check-in survey was designed to help us understand employees’ overall work experience throughout the unprecedented personal and professional challenges they faced as a result of the COVID-19 pandemic. These responses helped us gather insights on what drives business outcomes, refine our communication throughout the COVID-19 pandemic and explore ways to continue to make MSCI more inclusive and innovative and support employee well-being.</w:t>
      </w:r>
    </w:p>
    <w:p>
      <w:pPr>
        <w:spacing w:after="0" w:line="143" w:lineRule="exact"/>
        <w:rPr>
          <w:sz w:val="20"/>
          <w:szCs w:val="20"/>
          <w:color w:val="auto"/>
        </w:rPr>
      </w:pPr>
    </w:p>
    <w:p>
      <w:pPr>
        <w:ind w:right="240" w:firstLine="652"/>
        <w:spacing w:after="0" w:line="279" w:lineRule="auto"/>
        <w:rPr>
          <w:sz w:val="20"/>
          <w:szCs w:val="20"/>
          <w:color w:val="auto"/>
        </w:rPr>
      </w:pPr>
      <w:r>
        <w:rPr>
          <w:rFonts w:ascii="Times New Roman" w:cs="Times New Roman" w:eastAsia="Times New Roman" w:hAnsi="Times New Roman"/>
          <w:sz w:val="12"/>
          <w:szCs w:val="12"/>
          <w:color w:val="auto"/>
        </w:rPr>
        <w:t>Additional information on our training programs and engagement metrics can be found on our website at https://www.msci.com/who-we-are/corporate-responsibility/social-responsibility/cultivating-talent. Information contained on our website is not deemed part of or incorporated by reference into this Annual Report on Form 10-K or any other report filed with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COVID-19 Update</w:t>
      </w:r>
    </w:p>
    <w:p>
      <w:pPr>
        <w:spacing w:after="0" w:line="82" w:lineRule="exact"/>
        <w:rPr>
          <w:sz w:val="20"/>
          <w:szCs w:val="20"/>
          <w:color w:val="auto"/>
        </w:rPr>
      </w:pPr>
    </w:p>
    <w:p>
      <w:pPr>
        <w:ind w:right="320" w:firstLine="660"/>
        <w:spacing w:after="0" w:line="260" w:lineRule="auto"/>
        <w:rPr>
          <w:sz w:val="20"/>
          <w:szCs w:val="20"/>
          <w:color w:val="auto"/>
        </w:rPr>
      </w:pPr>
      <w:r>
        <w:rPr>
          <w:rFonts w:ascii="Times New Roman" w:cs="Times New Roman" w:eastAsia="Times New Roman" w:hAnsi="Times New Roman"/>
          <w:sz w:val="12"/>
          <w:szCs w:val="12"/>
          <w:color w:val="auto"/>
        </w:rPr>
        <w:t>The COVID-19 pandemic has underscored for us the importance of keeping our employees safe and healthy. In response to the pandemic, we immediately implemented an employee communication strategy that was direct, transparent and inclusive. Through townhalls, firmwide e-mail communications and broad cross-functional meetings, management delivered key messages around employee safety and well-being, leadership, remaining productive, engaging with clients, promoting community and having empathy for others. We also increased communications around employee assistance programs that provide mental health and emotional well-being support, and resources to help manage stress and care for individuals and their families. Finally, we paid for or reimbursed employees for the cost of COVID-19 testing and enhanced our sick leave policies.</w:t>
      </w:r>
    </w:p>
    <w:p>
      <w:pPr>
        <w:spacing w:after="0" w:line="149" w:lineRule="exact"/>
        <w:rPr>
          <w:sz w:val="20"/>
          <w:szCs w:val="20"/>
          <w:color w:val="auto"/>
        </w:rPr>
      </w:pPr>
    </w:p>
    <w:p>
      <w:pPr>
        <w:jc w:val="both"/>
        <w:ind w:right="240" w:firstLine="652"/>
        <w:spacing w:after="0" w:line="291" w:lineRule="auto"/>
        <w:rPr>
          <w:sz w:val="20"/>
          <w:szCs w:val="20"/>
          <w:color w:val="auto"/>
        </w:rPr>
      </w:pPr>
      <w:r>
        <w:rPr>
          <w:rFonts w:ascii="Times New Roman" w:cs="Times New Roman" w:eastAsia="Times New Roman" w:hAnsi="Times New Roman"/>
          <w:sz w:val="11"/>
          <w:szCs w:val="11"/>
          <w:color w:val="auto"/>
        </w:rPr>
        <w:t>At the outset of the COVID-19 pandemic our technology infrastructure allowed us to seamlessly transition to a remote work environment. We increased technology effectiveness to allow our employees to remain fully engaged, productive and well. We also provided individualized support and equipment to our employees as needed to facilitate productivity. A substantial majority of our global workforce continues to work from home on a regular basis, as we continue to closely monitor and manage the situation regarding the COVID-19 pandemic and follow the recommended practices and guidelines from the World Health Organization and the local governments where our offices are located globally. Our Innovation Center of Excellence has partnered with cross-functional groups throughout the Company to help our employees address challenges, opportunities and long-term shifts in the remote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44"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color w:val="auto"/>
        </w:rPr>
        <w:t>working paradigm introduced by the COVID-19 pandemic, such as re-imagining the future of work and supporting client needs.</w:t>
      </w:r>
    </w:p>
    <w:p>
      <w:pPr>
        <w:spacing w:after="0" w:line="168" w:lineRule="exact"/>
        <w:rPr>
          <w:sz w:val="20"/>
          <w:szCs w:val="20"/>
          <w:color w:val="auto"/>
        </w:rPr>
      </w:pPr>
    </w:p>
    <w:p>
      <w:pPr>
        <w:ind w:right="120" w:firstLine="652"/>
        <w:spacing w:after="0" w:line="260" w:lineRule="auto"/>
        <w:rPr>
          <w:sz w:val="20"/>
          <w:szCs w:val="20"/>
          <w:color w:val="auto"/>
        </w:rPr>
      </w:pPr>
      <w:r>
        <w:rPr>
          <w:rFonts w:ascii="Times New Roman" w:cs="Times New Roman" w:eastAsia="Times New Roman" w:hAnsi="Times New Roman"/>
          <w:sz w:val="12"/>
          <w:szCs w:val="12"/>
          <w:color w:val="auto"/>
        </w:rPr>
        <w:t>We have in place well-defined location and business-specific continuity plans and processes which have helped us to ensure the continued operation of critical products and services. During 2020, we did not delay any of our index rebalancings. Our index methodologies are designed to ensure continuity of calculation, maintenance and distribution, and appropriate treatment of global market volatility, circuit breaker events and exchange closures. Additionally, our production environment remained fully functional with the capacity not only to run our index and risk model calculations and produce our ESG ratings, but also to process our clients’ portfolios for risk and performance reports and to respond to ad-hoc demands for stress testing scenarios and COVID-19 risk analyses.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Company is subject to reporting, disclosure and recordkeeping obligations pursuant to SEC requirements.</w:t>
      </w:r>
    </w:p>
    <w:p>
      <w:pPr>
        <w:spacing w:after="0" w:line="177" w:lineRule="exact"/>
        <w:rPr>
          <w:sz w:val="20"/>
          <w:szCs w:val="20"/>
          <w:color w:val="auto"/>
        </w:rPr>
      </w:pPr>
    </w:p>
    <w:p>
      <w:pPr>
        <w:ind w:right="360" w:firstLine="592"/>
        <w:spacing w:after="0" w:line="265" w:lineRule="auto"/>
        <w:rPr>
          <w:sz w:val="20"/>
          <w:szCs w:val="20"/>
          <w:color w:val="auto"/>
        </w:rPr>
      </w:pPr>
      <w:r>
        <w:rPr>
          <w:rFonts w:ascii="Times New Roman" w:cs="Times New Roman" w:eastAsia="Times New Roman" w:hAnsi="Times New Roman"/>
          <w:sz w:val="12"/>
          <w:szCs w:val="12"/>
          <w:color w:val="auto"/>
        </w:rPr>
        <w:t xml:space="preserve">Pursuant to the European Union’s benchmark regulation, the United Kingdom’s Financial Conduct Authority (“UK FCA”) authorized MSCI Limited (a subsidiary of MSCI Inc.) to be the benchmark administrator for applicable MSCI indexes. Information about index regulation is periodically updated on our website at </w:t>
      </w:r>
      <w:r>
        <w:rPr>
          <w:rFonts w:ascii="Times New Roman" w:cs="Times New Roman" w:eastAsia="Times New Roman" w:hAnsi="Times New Roman"/>
          <w:sz w:val="12"/>
          <w:szCs w:val="12"/>
          <w:u w:val="single" w:color="auto"/>
          <w:color w:val="auto"/>
        </w:rPr>
        <w:t>https://www.msci.com/index-regulation</w:t>
      </w:r>
      <w:r>
        <w:rPr>
          <w:rFonts w:ascii="Times New Roman" w:cs="Times New Roman" w:eastAsia="Times New Roman" w:hAnsi="Times New Roman"/>
          <w:sz w:val="12"/>
          <w:szCs w:val="12"/>
          <w:color w:val="auto"/>
        </w:rPr>
        <w:t>. The contents of our website, including this webpage, are not, however, a part of or incorporated by reference in this Annual Report on Form 10-K.</w:t>
      </w:r>
    </w:p>
    <w:p>
      <w:pPr>
        <w:spacing w:after="0" w:line="137" w:lineRule="exact"/>
        <w:rPr>
          <w:sz w:val="20"/>
          <w:szCs w:val="20"/>
          <w:color w:val="auto"/>
        </w:rPr>
      </w:pPr>
    </w:p>
    <w:p>
      <w:pPr>
        <w:ind w:right="60" w:firstLine="592"/>
        <w:spacing w:after="0" w:line="257" w:lineRule="auto"/>
        <w:rPr>
          <w:sz w:val="20"/>
          <w:szCs w:val="20"/>
          <w:color w:val="auto"/>
        </w:rPr>
      </w:pPr>
      <w:r>
        <w:rPr>
          <w:rFonts w:ascii="Times New Roman" w:cs="Times New Roman" w:eastAsia="Times New Roman" w:hAnsi="Times New Roman"/>
          <w:sz w:val="12"/>
          <w:szCs w:val="12"/>
          <w:color w:val="auto"/>
        </w:rPr>
        <w:t>MSCI ESG Research LLC is a registered investment adviser and must comply with the requirements of the Investment Advisers Act of 1940 (the “Advisers Act”) and related SEC regulations. Such requirements relate to, among other things, disclosure obligations, recordkeeping and reporting requirements, marketing restrictions and general anti-fraud prohibitions. It is possible that in addition to MSCI ESG Research LLC, other entities in our corporate family may be required to register as an investment adviser under the Advisers Act or comply with similar laws or requirements in states or foreign jurisdictions. We registered in 2012 with the State Council Information Office of the Ministry of Commerce and the State Administration for Industry and Commerce in China as a foreign institution supplying financial information services in China. This license is currently administered by the Cyberspace Administration of China.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Information About Our Executive Officers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920" w:type="dxa"/>
            <w:vAlign w:val="bottom"/>
          </w:tcPr>
          <w:p>
            <w:pPr>
              <w:spacing w:after="0"/>
              <w:rPr>
                <w:sz w:val="13"/>
                <w:szCs w:val="13"/>
                <w:color w:val="auto"/>
              </w:rPr>
            </w:pPr>
          </w:p>
        </w:tc>
      </w:tr>
      <w:tr>
        <w:trPr>
          <w:trHeight w:val="288"/>
        </w:trPr>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Age</w:t>
            </w:r>
          </w:p>
        </w:tc>
        <w:tc>
          <w:tcPr>
            <w:tcW w:w="7920" w:type="dxa"/>
            <w:vAlign w:val="bottom"/>
          </w:tcPr>
          <w:p>
            <w:pPr>
              <w:ind w:left="338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22"/>
        </w:trPr>
        <w:tc>
          <w:tcPr>
            <w:tcW w:w="26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Henry A. Fernandez</w:t>
            </w:r>
          </w:p>
        </w:tc>
        <w:tc>
          <w:tcPr>
            <w:tcW w:w="140" w:type="dxa"/>
            <w:vAlign w:val="bottom"/>
          </w:tcPr>
          <w:p>
            <w:pPr>
              <w:spacing w:after="0"/>
              <w:rPr>
                <w:sz w:val="10"/>
                <w:szCs w:val="10"/>
                <w:color w:val="auto"/>
              </w:rPr>
            </w:pPr>
          </w:p>
        </w:tc>
        <w:tc>
          <w:tcPr>
            <w:tcW w:w="420" w:type="dxa"/>
            <w:vAlign w:val="bottom"/>
            <w:tcBorders>
              <w:top w:val="single" w:sz="8" w:color="auto"/>
            </w:tcBorders>
          </w:tcPr>
          <w:p>
            <w:pPr>
              <w:jc w:val="right"/>
              <w:ind w:right="240"/>
              <w:spacing w:after="0" w:line="122" w:lineRule="exact"/>
              <w:rPr>
                <w:sz w:val="20"/>
                <w:szCs w:val="20"/>
                <w:color w:val="auto"/>
              </w:rPr>
            </w:pPr>
            <w:r>
              <w:rPr>
                <w:rFonts w:ascii="Times New Roman" w:cs="Times New Roman" w:eastAsia="Times New Roman" w:hAnsi="Times New Roman"/>
                <w:sz w:val="12"/>
                <w:szCs w:val="12"/>
                <w:color w:val="auto"/>
                <w:w w:val="82"/>
              </w:rPr>
              <w:t>62</w:t>
            </w:r>
          </w:p>
        </w:tc>
        <w:tc>
          <w:tcPr>
            <w:tcW w:w="140" w:type="dxa"/>
            <w:vAlign w:val="bottom"/>
          </w:tcPr>
          <w:p>
            <w:pPr>
              <w:spacing w:after="0"/>
              <w:rPr>
                <w:sz w:val="10"/>
                <w:szCs w:val="10"/>
                <w:color w:val="auto"/>
              </w:rPr>
            </w:pPr>
          </w:p>
        </w:tc>
        <w:tc>
          <w:tcPr>
            <w:tcW w:w="79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Chairman and Chief Executive Officer</w:t>
            </w:r>
          </w:p>
        </w:tc>
      </w:tr>
      <w:tr>
        <w:trPr>
          <w:trHeight w:val="144"/>
        </w:trPr>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C.D. Baer Pettit</w:t>
            </w: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82"/>
              </w:rPr>
              <w:t>56</w:t>
            </w:r>
          </w:p>
        </w:tc>
        <w:tc>
          <w:tcPr>
            <w:tcW w:w="140" w:type="dxa"/>
            <w:vAlign w:val="bottom"/>
          </w:tcPr>
          <w:p>
            <w:pPr>
              <w:spacing w:after="0"/>
              <w:rPr>
                <w:sz w:val="12"/>
                <w:szCs w:val="12"/>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Operating Officer</w:t>
            </w:r>
          </w:p>
        </w:tc>
      </w:tr>
      <w:tr>
        <w:trPr>
          <w:trHeight w:val="144"/>
        </w:trPr>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Andrew C. Wiechmann</w:t>
            </w: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82"/>
              </w:rPr>
              <w:t>41</w:t>
            </w:r>
          </w:p>
        </w:tc>
        <w:tc>
          <w:tcPr>
            <w:tcW w:w="140" w:type="dxa"/>
            <w:vAlign w:val="bottom"/>
          </w:tcPr>
          <w:p>
            <w:pPr>
              <w:spacing w:after="0"/>
              <w:rPr>
                <w:sz w:val="12"/>
                <w:szCs w:val="12"/>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44"/>
        </w:trPr>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Robert J. Gutowski</w:t>
            </w: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82"/>
              </w:rPr>
              <w:t>53</w:t>
            </w:r>
          </w:p>
        </w:tc>
        <w:tc>
          <w:tcPr>
            <w:tcW w:w="140" w:type="dxa"/>
            <w:vAlign w:val="bottom"/>
          </w:tcPr>
          <w:p>
            <w:pPr>
              <w:spacing w:after="0"/>
              <w:rPr>
                <w:sz w:val="12"/>
                <w:szCs w:val="12"/>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General Counsel</w:t>
            </w:r>
          </w:p>
        </w:tc>
      </w:tr>
      <w:tr>
        <w:trPr>
          <w:trHeight w:val="155"/>
        </w:trPr>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Scott A. Crum</w:t>
            </w: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82"/>
              </w:rPr>
              <w:t>64</w:t>
            </w:r>
          </w:p>
        </w:tc>
        <w:tc>
          <w:tcPr>
            <w:tcW w:w="140" w:type="dxa"/>
            <w:vAlign w:val="bottom"/>
          </w:tcPr>
          <w:p>
            <w:pPr>
              <w:spacing w:after="0"/>
              <w:rPr>
                <w:sz w:val="13"/>
                <w:szCs w:val="13"/>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Chief Human Resources Officer</w:t>
            </w:r>
          </w:p>
        </w:tc>
      </w:tr>
    </w:tbl>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There are no family relationships between any of our executive officers and any director or other executive officer of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Henry A. Fernandez</w:t>
      </w:r>
    </w:p>
    <w:p>
      <w:pPr>
        <w:spacing w:after="0" w:line="82" w:lineRule="exact"/>
        <w:rPr>
          <w:sz w:val="20"/>
          <w:szCs w:val="20"/>
          <w:color w:val="auto"/>
        </w:rPr>
      </w:pPr>
    </w:p>
    <w:p>
      <w:pPr>
        <w:ind w:right="20" w:firstLine="592"/>
        <w:spacing w:after="0" w:line="255" w:lineRule="auto"/>
        <w:rPr>
          <w:sz w:val="20"/>
          <w:szCs w:val="20"/>
          <w:color w:val="auto"/>
        </w:rPr>
      </w:pPr>
      <w:r>
        <w:rPr>
          <w:rFonts w:ascii="Times New Roman" w:cs="Times New Roman" w:eastAsia="Times New Roman" w:hAnsi="Times New Roman"/>
          <w:sz w:val="12"/>
          <w:szCs w:val="12"/>
          <w:color w:val="auto"/>
        </w:rPr>
        <w:t>Mr. Fernandez has served as Chairman since October 2007 and as Chief Executive Officer and a director since 1998. He also served as President from 1998 until October 2017. Before leading MSCI’s transition to becoming a fully independent, standalone public company in 2007, he was a Managing Director at Morgan Stanley, where he worked in emerging markets product strategy, equity derivative sales and trading, mergers and acquisitions, worldwide corporate finance and mortgage finance for U.S. financial institutions. Mr. Fernandez worked for Morgan Stanley from 1983 to 1991 and from 1994 to 2007. Mr. Fernandez also serves on the boards of directors/trustees of Royalty Pharma plc, Stanford University, King Abdullah University of Science and Technology, the Hoover Institution, the Memorial Sloan-Kettering Cancer Center, the Foreign Policy Association, and Catholic Charities of the Archdiocese of New York. Mr. Fernandez previously served on the boards of trustees at Georgetown University, the Trinity School, The Browning School and MexDer (Mexican Derivatives Exchange) and was the Chair of the Advisory Council at the Stanford University Graduate School of Business. He holds a Bachelor of Arts in economics from Georgetown University, an M.B.A. from the Stanford University Graduate School of Business and pursued doctoral studies in economics at Princeton University.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0"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i w:val="1"/>
          <w:iCs w:val="1"/>
          <w:color w:val="auto"/>
        </w:rPr>
        <w:t>C.D. Baer Pettit</w:t>
      </w:r>
    </w:p>
    <w:p>
      <w:pPr>
        <w:spacing w:after="0" w:line="82" w:lineRule="exact"/>
        <w:rPr>
          <w:sz w:val="20"/>
          <w:szCs w:val="20"/>
          <w:color w:val="auto"/>
        </w:rPr>
      </w:pPr>
    </w:p>
    <w:p>
      <w:pPr>
        <w:ind w:right="160" w:firstLine="592"/>
        <w:spacing w:after="0" w:line="260" w:lineRule="auto"/>
        <w:rPr>
          <w:sz w:val="20"/>
          <w:szCs w:val="20"/>
          <w:color w:val="auto"/>
        </w:rPr>
      </w:pPr>
      <w:r>
        <w:rPr>
          <w:rFonts w:ascii="Times New Roman" w:cs="Times New Roman" w:eastAsia="Times New Roman" w:hAnsi="Times New Roman"/>
          <w:sz w:val="12"/>
          <w:szCs w:val="12"/>
          <w:color w:val="auto"/>
        </w:rPr>
        <w:t>Mr. Pettit has served as the Company's President since October 2017 and the Company’s Chief Operating Officer since January 2020. As President and Chief Operating Officer, Mr. Pettit oversees the Company's business functions, including client coverage, marketing, product management, research and product development, technology and operations. He previously served as Chief Operating Officer from 2015 to 2017, Head of the Product Group from February 2015 to September 2015, Head of Index Products from 2011 to 2015, Head of Marketing from 2005 to 2012 and Head of Client Coverage from 2001 to 2012. Prior to joining the Company, Mr. Pettit worked for Bloomberg L.P. from 1992 to 1999. Mr. Pettit holds a Master of Arts degree in history from Cambridge University and a Master of Science degree from the School of Foreign Service at Georgetown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Andrew C. Wiechmann</w:t>
      </w:r>
    </w:p>
    <w:p>
      <w:pPr>
        <w:spacing w:after="0" w:line="82"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Mr. Wiechmann has served as the Chief Financial Officer since September 2020. Mr. Wiechmann previously served as Chief Strategy Officer from May 2019 to September 2020, Interim Chief Financial Officer from March 2019 to May 2019, Head of Strategy and Corporate Development from July 2012 to March 2019, as Head of Investor Relations from December 2017 to March 2019 and Head of Financial Planning &amp; Analysis from July 2015 to December 2017. Prior to joining MSCI in 2012, Mr. Wiechmann was an investment banker at Morgan Stanley where he executed M&amp;A and capital markets transactions for financial technology and specialty finance companies, including advising MSCI on its IPO and various acquisitions. Mr. Wiechmann holds Bachelor of Arts degrees in Physics and Economics from Hamilton College.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Robert J. Gutowski</w:t>
      </w:r>
    </w:p>
    <w:p>
      <w:pPr>
        <w:spacing w:after="0" w:line="82" w:lineRule="exact"/>
        <w:rPr>
          <w:sz w:val="20"/>
          <w:szCs w:val="20"/>
          <w:color w:val="auto"/>
        </w:rPr>
      </w:pPr>
    </w:p>
    <w:p>
      <w:pPr>
        <w:ind w:right="20" w:firstLine="592"/>
        <w:spacing w:after="0" w:line="265" w:lineRule="auto"/>
        <w:rPr>
          <w:sz w:val="20"/>
          <w:szCs w:val="20"/>
          <w:color w:val="auto"/>
        </w:rPr>
      </w:pPr>
      <w:r>
        <w:rPr>
          <w:rFonts w:ascii="Times New Roman" w:cs="Times New Roman" w:eastAsia="Times New Roman" w:hAnsi="Times New Roman"/>
          <w:sz w:val="12"/>
          <w:szCs w:val="12"/>
          <w:color w:val="auto"/>
        </w:rPr>
        <w:t>Mr. Gutowski has served as the Company’s General Counsel since January 2020. Mr. Gutowski previously served as the Company’s Deputy General Counsel and the Head of Compliance from 2010 to 2019 and the Head of Internal Audit from 2012 to 2019. He joined MSCI in 2002. Prior to joining MSCI, he was an attorney in private practice at Rogers &amp; Wells LLP and Clifford Chance LLP. He received his B.A. from Georgetown University and his J.D. from the State University of New York at Buffalo Law School.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Scott A. Crum</w:t>
      </w:r>
    </w:p>
    <w:p>
      <w:pPr>
        <w:spacing w:after="0" w:line="82" w:lineRule="exact"/>
        <w:rPr>
          <w:sz w:val="20"/>
          <w:szCs w:val="20"/>
          <w:color w:val="auto"/>
        </w:rPr>
      </w:pPr>
    </w:p>
    <w:p>
      <w:pPr>
        <w:ind w:right="160" w:firstLine="592"/>
        <w:spacing w:after="0" w:line="257" w:lineRule="auto"/>
        <w:rPr>
          <w:sz w:val="20"/>
          <w:szCs w:val="20"/>
          <w:color w:val="auto"/>
        </w:rPr>
      </w:pPr>
      <w:r>
        <w:rPr>
          <w:rFonts w:ascii="Times New Roman" w:cs="Times New Roman" w:eastAsia="Times New Roman" w:hAnsi="Times New Roman"/>
          <w:sz w:val="12"/>
          <w:szCs w:val="12"/>
          <w:color w:val="auto"/>
        </w:rPr>
        <w:t>Mr. Crum has served as the Chief Human Resources Officer since April 2014. Prior to joining MSCI, Mr. Crum served as global head of human resources for four publicly traded companies. Mr. Crum worked for Avon Products, Inc. as Senior Vice President of Human Resources and Chief People Officer from 2012 to 2013. From 2010 to 2012, Mr. Crum served as Senior Vice President and Chief People Officer of Motorola Mobility Holdings, Inc., one of two publicly traded companies formally created when Motorola Inc. split in January 2011 until it was acquired by Google. Prior to that, he served as the Senior Vice President and Director of Human Resources of ITT Corporation from 2002 to 2010 and Senior Vice President of Administration and Employee Resources at General Instruments Corp. from 1997 to 2000. Mr. Crum holds a Bachelor of Business Administration with a concentration in industrial relations from Southern Methodist University.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82" w:lineRule="exact"/>
        <w:rPr>
          <w:sz w:val="20"/>
          <w:szCs w:val="20"/>
          <w:color w:val="auto"/>
        </w:rPr>
      </w:pPr>
    </w:p>
    <w:p>
      <w:pPr>
        <w:ind w:right="440" w:firstLine="592"/>
        <w:spacing w:after="0" w:line="279" w:lineRule="auto"/>
        <w:rPr>
          <w:sz w:val="20"/>
          <w:szCs w:val="20"/>
          <w:color w:val="auto"/>
        </w:rPr>
      </w:pPr>
      <w:r>
        <w:rPr>
          <w:rFonts w:ascii="Times New Roman" w:cs="Times New Roman" w:eastAsia="Times New Roman" w:hAnsi="Times New Roman"/>
          <w:sz w:val="12"/>
          <w:szCs w:val="12"/>
          <w:color w:val="auto"/>
        </w:rPr>
        <w:t>Our corporate headquarters is located at 7 World Trade Center, 250 Greenwich Street, 49</w:t>
      </w:r>
      <w:r>
        <w:rPr>
          <w:rFonts w:ascii="Times New Roman" w:cs="Times New Roman" w:eastAsia="Times New Roman" w:hAnsi="Times New Roman"/>
          <w:sz w:val="10"/>
          <w:szCs w:val="10"/>
          <w:color w:val="auto"/>
        </w:rPr>
        <w:t>th</w:t>
      </w:r>
      <w:r>
        <w:rPr>
          <w:rFonts w:ascii="Times New Roman" w:cs="Times New Roman" w:eastAsia="Times New Roman" w:hAnsi="Times New Roman"/>
          <w:sz w:val="12"/>
          <w:szCs w:val="12"/>
          <w:color w:val="auto"/>
        </w:rPr>
        <w:t xml:space="preserve"> Floor, New York, New York, 10007, and our telephone number is (212) 804-3900. We maintain a website on the internet at www.msci.com. The contents of our website are not a part of or incorporated by reference in this Annual Report on Form 10-K.</w:t>
      </w:r>
    </w:p>
    <w:p>
      <w:pPr>
        <w:spacing w:after="0" w:line="111" w:lineRule="exact"/>
        <w:rPr>
          <w:sz w:val="20"/>
          <w:szCs w:val="20"/>
          <w:color w:val="auto"/>
        </w:rPr>
      </w:pPr>
    </w:p>
    <w:p>
      <w:pPr>
        <w:ind w:right="180" w:firstLine="592"/>
        <w:spacing w:after="0" w:line="265" w:lineRule="auto"/>
        <w:rPr>
          <w:sz w:val="20"/>
          <w:szCs w:val="20"/>
          <w:color w:val="auto"/>
        </w:rPr>
      </w:pPr>
      <w:r>
        <w:rPr>
          <w:rFonts w:ascii="Times New Roman" w:cs="Times New Roman" w:eastAsia="Times New Roman" w:hAnsi="Times New Roman"/>
          <w:sz w:val="12"/>
          <w:szCs w:val="12"/>
          <w:color w:val="auto"/>
        </w:rPr>
        <w:t>We file annual, quarterly and current reports, proxy statements and other information with the SEC. The SEC maintains a website that contains reports, proxy and information statements and other information that we file electronically with the SEC at www.sec.gov. We also make available free of charge, on or through our website, these reports, proxy statements and other information as soon as reasonably practicable following the time they are electronically filed with or furnished to the SEC. To access these, click on the “SEC Filings” link found on our Investor Relations homepage (http://ir.msci.com).</w:t>
      </w:r>
    </w:p>
    <w:p>
      <w:pPr>
        <w:spacing w:after="0" w:line="119" w:lineRule="exact"/>
        <w:rPr>
          <w:sz w:val="20"/>
          <w:szCs w:val="20"/>
          <w:color w:val="auto"/>
        </w:rPr>
      </w:pPr>
    </w:p>
    <w:p>
      <w:pPr>
        <w:ind w:right="120" w:firstLine="592"/>
        <w:spacing w:after="0" w:line="279" w:lineRule="auto"/>
        <w:rPr>
          <w:sz w:val="20"/>
          <w:szCs w:val="20"/>
          <w:color w:val="auto"/>
        </w:rPr>
      </w:pPr>
      <w:r>
        <w:rPr>
          <w:rFonts w:ascii="Times New Roman" w:cs="Times New Roman" w:eastAsia="Times New Roman" w:hAnsi="Times New Roman"/>
          <w:sz w:val="12"/>
          <w:szCs w:val="12"/>
          <w:color w:val="auto"/>
        </w:rPr>
        <w:t>We also use our Investor Relations homepage, Corporate Responsibility homepage and corporate Twitter account (@MSCI_Inc) as channels of distribution of Company information. The information we post through these channels may be deemed material.</w:t>
      </w:r>
    </w:p>
    <w:p>
      <w:pPr>
        <w:spacing w:after="0" w:line="11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2"/>
          <w:szCs w:val="12"/>
          <w:color w:val="auto"/>
        </w:rPr>
        <w:t>Accordingly, investors should monitor these channels, in addition to following our press releases, SEC filings and public conference calls and webcasts. In addition, you may automatically receive email alerts and other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15" w:name="page16"/>
    <w:bookmarkEnd w:id="15"/>
    <w:p>
      <w:pPr>
        <w:ind w:right="360"/>
        <w:spacing w:after="0" w:line="279" w:lineRule="auto"/>
        <w:rPr>
          <w:sz w:val="20"/>
          <w:szCs w:val="20"/>
          <w:color w:val="auto"/>
        </w:rPr>
      </w:pPr>
      <w:r>
        <w:rPr>
          <w:rFonts w:ascii="Times New Roman" w:cs="Times New Roman" w:eastAsia="Times New Roman" w:hAnsi="Times New Roman"/>
          <w:sz w:val="12"/>
          <w:szCs w:val="12"/>
          <w:color w:val="auto"/>
        </w:rPr>
        <w:t>information about us when you enroll your email address by visiting the “Email Alert Subscription” section of our Investor Relations homepage at http://ir.msci.com/alerts.cfm. The contents of our website, including our Investor Relations homepage, Corporate Responsibility homepage and social media channels are not, however, a part of or incorporated by reference in this Annual Report on Form 10-K.</w:t>
      </w:r>
    </w:p>
    <w:p>
      <w:pPr>
        <w:spacing w:after="0" w:line="20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i w:val="1"/>
          <w:iCs w:val="1"/>
          <w:color w:val="auto"/>
        </w:rPr>
        <w:t>Risk Factors</w:t>
      </w:r>
    </w:p>
    <w:p>
      <w:pPr>
        <w:spacing w:after="0" w:line="80" w:lineRule="exact"/>
        <w:rPr>
          <w:sz w:val="20"/>
          <w:szCs w:val="20"/>
          <w:color w:val="auto"/>
        </w:rPr>
      </w:pPr>
    </w:p>
    <w:p>
      <w:pPr>
        <w:ind w:firstLine="592"/>
        <w:spacing w:after="0" w:line="261" w:lineRule="auto"/>
        <w:rPr>
          <w:sz w:val="20"/>
          <w:szCs w:val="20"/>
          <w:color w:val="auto"/>
        </w:rPr>
      </w:pPr>
      <w:r>
        <w:rPr>
          <w:rFonts w:ascii="Times New Roman" w:cs="Times New Roman" w:eastAsia="Times New Roman" w:hAnsi="Times New Roman"/>
          <w:sz w:val="12"/>
          <w:szCs w:val="12"/>
          <w:i w:val="1"/>
          <w:iCs w:val="1"/>
          <w:color w:val="auto"/>
        </w:rPr>
        <w:t>You should carefully consider the following risks and all of the other information set forth in this Annual Report on Form 10-K. If any of the following risks actually occurs, our business, financial condition or results of operations could be materially and adversely affected. You should read the section titled “Forward-Looking Statements” on page 1 for a description of the types of statements that are considered forward-looking statements, as well as the significance of such statements in the context of this Annual Report on Form 10-K. This information should be read in conjunction with "Management’s Discussion and Analysis of Financial Condition and Result of Operations" and the consolidated financial statements and related notes. These factors could cause our future results to differ materially from our historical results and from expectations reflected in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Summary of Risk Factors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Our business is subject to numerous risks and uncertainties, discussed in more detail in the following section. These risks include, among others, the following key risks:</w:t>
      </w:r>
    </w:p>
    <w:p>
      <w:pPr>
        <w:spacing w:after="0" w:line="150" w:lineRule="exact"/>
        <w:rPr>
          <w:sz w:val="20"/>
          <w:szCs w:val="20"/>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dependence on third parties to supply data, applications and services for our products and services and on certain vendors to distribute our products;</w:t>
      </w:r>
    </w:p>
    <w:p>
      <w:pPr>
        <w:spacing w:after="0" w:line="8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Undetected errors, defects, malfunctions or similar problems in our products leading to increased costs or liability;</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COVID-19 pandemic or other widespread health crises;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exposure to potential reputational and credibility concerns;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possibility that our clients seek to negotiate lower asset-based fees or cease using our indexes as the basis for indexed investment products;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Cancellations or reductions by any of our largest clients and/or reduced demand for our products or services;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failures, disruptions, instability or vulnerabilities in our information technology systems or applications;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ensure and protect the confidentiality of data;</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exposure to cyber-attacks or failures of our cyber-security plans, systems or procedures;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Unanticipated failures, interruptions or delays in the performance or delivery of our products as a result of the adoption of new technologies;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Security vulnerabilities in our internal network, systems or applications resulting from our use of open source code;</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changes in the global capital markets;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on us from competition and financial and budgetary pressures affecting our clients;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our global operations and any future expansion on management and our exposure to additional issues from our increased global footprint;</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regulations or changes to current regulations;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protect our intellectual property rights;</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foreign currency exchange rate fluctuation;</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our indebtedness on our financial flexibility;</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changes in our credit ratings; and</w:t>
      </w:r>
    </w:p>
    <w:p>
      <w:pPr>
        <w:spacing w:after="0" w:line="14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exposure to tax liabilities in various jurisdictions.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u w:val="single" w:color="auto"/>
          <w:color w:val="auto"/>
        </w:rPr>
        <w:t>Operational Risks</w:t>
      </w:r>
    </w:p>
    <w:p>
      <w:pPr>
        <w:spacing w:after="0" w:line="7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are dependent on third parties to supply data, applications and services for our products and services and are dependent on certain vendors to distribute our products. A refusal or failure by a key vendor to distribute our products or any loss of key outside suppliers of data, applications or services or a reduction in the accuracy or quality of such data, applications or services or any failure by us to comply with our suppliers’ or distributors’ licensing requirements could impair our ability to provide our clients with our products and services, which could have a material adverse effect on our business, financial condition or results of operations.</w:t>
      </w:r>
    </w:p>
    <w:p>
      <w:pPr>
        <w:spacing w:after="0" w:line="46" w:lineRule="exact"/>
        <w:rPr>
          <w:sz w:val="20"/>
          <w:szCs w:val="20"/>
          <w:color w:val="auto"/>
        </w:rPr>
      </w:pPr>
    </w:p>
    <w:p>
      <w:pPr>
        <w:ind w:right="200" w:firstLine="592"/>
        <w:spacing w:after="0" w:line="260" w:lineRule="auto"/>
        <w:rPr>
          <w:sz w:val="20"/>
          <w:szCs w:val="20"/>
          <w:color w:val="auto"/>
        </w:rPr>
      </w:pPr>
      <w:r>
        <w:rPr>
          <w:rFonts w:ascii="Times New Roman" w:cs="Times New Roman" w:eastAsia="Times New Roman" w:hAnsi="Times New Roman"/>
          <w:sz w:val="12"/>
          <w:szCs w:val="12"/>
          <w:color w:val="auto"/>
        </w:rPr>
        <w:t>We rely on third-party suppliers of data, applications and services, including data from stock exchanges (“Vendor Products”), and depend on the accuracy and quality of Vendor Products and the ability and willingness of such suppliers to deliver, support, enhance and develop new Vendor Products on a timely and cost-effective basis, and respond to emerging industry needs and other changes in order to produce, deliver and develop our products and services. Additionally, we depend on clients to supply certain data in order to provide our services to them. Any failure to supply, errors or reduction in the amount, accuracy or quality of such data supplied from clients impairs our ability to provide them with our products and services.</w:t>
      </w:r>
    </w:p>
    <w:p>
      <w:pPr>
        <w:spacing w:after="0" w:line="122" w:lineRule="exact"/>
        <w:rPr>
          <w:sz w:val="20"/>
          <w:szCs w:val="20"/>
          <w:color w:val="auto"/>
        </w:rPr>
      </w:pPr>
    </w:p>
    <w:p>
      <w:pPr>
        <w:ind w:right="40" w:firstLine="592"/>
        <w:spacing w:after="0" w:line="255" w:lineRule="auto"/>
        <w:rPr>
          <w:sz w:val="20"/>
          <w:szCs w:val="20"/>
          <w:color w:val="auto"/>
        </w:rPr>
      </w:pPr>
      <w:r>
        <w:rPr>
          <w:rFonts w:ascii="Times New Roman" w:cs="Times New Roman" w:eastAsia="Times New Roman" w:hAnsi="Times New Roman"/>
          <w:sz w:val="12"/>
          <w:szCs w:val="12"/>
          <w:color w:val="auto"/>
        </w:rPr>
        <w:t>If Vendor Products include errors, design defects, are delayed, become incompatible with future versions of our products, are unavailable on acceptable terms or are not available at all, we may not be able to deliver our products and services. Some of our agreements with third-party suppliers allow them to cancel on short notice and from time to time we receive notices from third-party suppliers threatening to terminate the provision of their products or services to us, and some data suppliers have terminated the provision of their data to us. Termination of the provision of Vendor Products by one or more of our significant suppliers or exclusion from, or restricted use of, or litigation in connection with Vendor Products could decrease the data and materials available for us to use and deliver to our clients. In addition, some of our competitors could enter into exclusive contracts with our data suppliers, including with certain stock exchanges. If our competitors enter into such exclusive contracts, we may be precluded from receiving certain data or other materials from these suppliers or restricted in our use of such data or other materials, which would give our competitors a competitive advantage. Such exclusive contracts could hinder our ability to create our products and services or to provide our clients with the data or other products or services they prefer, which could lead to a decrease in our client base.</w:t>
      </w:r>
    </w:p>
    <w:p>
      <w:pPr>
        <w:spacing w:after="0" w:line="126" w:lineRule="exact"/>
        <w:rPr>
          <w:sz w:val="20"/>
          <w:szCs w:val="20"/>
          <w:color w:val="auto"/>
        </w:rPr>
      </w:pPr>
    </w:p>
    <w:p>
      <w:pPr>
        <w:ind w:firstLine="592"/>
        <w:spacing w:after="0" w:line="257" w:lineRule="auto"/>
        <w:rPr>
          <w:sz w:val="20"/>
          <w:szCs w:val="20"/>
          <w:color w:val="auto"/>
        </w:rPr>
      </w:pPr>
      <w:r>
        <w:rPr>
          <w:rFonts w:ascii="Times New Roman" w:cs="Times New Roman" w:eastAsia="Times New Roman" w:hAnsi="Times New Roman"/>
          <w:sz w:val="12"/>
          <w:szCs w:val="12"/>
          <w:color w:val="auto"/>
        </w:rPr>
        <w:t>Despite our efforts to comply with the licensing requirements of Vendor Products, our use of certain Vendor Products has been challenged in the past and there can be no assurance that third parties may not challenge our use in the future, resulting in increased acquisition or licensing costs, loss of rights and/or costly legal actions. Our business could be materially adversely affected if we are unable to timely or effectively replace the data or functionality provided by Vendor Products that become unavailable or fail to operate effectively for any reason. Our operating costs could increase if additional license fees are imposed or current license fees increase or the efforts to incorporate enhancements to Vendor Products are substantial and we are unable to negotiate acceptable licensing arrangements with these suppliers or find alternative sources of equivalent products or services. If any of these risks materialize, they could have a material adverse effect on our business, financial condition or results of operations.</w:t>
      </w:r>
    </w:p>
    <w:p>
      <w:pPr>
        <w:spacing w:after="0" w:line="125" w:lineRule="exact"/>
        <w:rPr>
          <w:sz w:val="20"/>
          <w:szCs w:val="20"/>
          <w:color w:val="auto"/>
        </w:rPr>
      </w:pPr>
    </w:p>
    <w:p>
      <w:pPr>
        <w:jc w:val="both"/>
        <w:ind w:right="60" w:firstLine="592"/>
        <w:spacing w:after="0" w:line="265" w:lineRule="auto"/>
        <w:rPr>
          <w:sz w:val="20"/>
          <w:szCs w:val="20"/>
          <w:color w:val="auto"/>
        </w:rPr>
      </w:pPr>
      <w:r>
        <w:rPr>
          <w:rFonts w:ascii="Times New Roman" w:cs="Times New Roman" w:eastAsia="Times New Roman" w:hAnsi="Times New Roman"/>
          <w:sz w:val="12"/>
          <w:szCs w:val="12"/>
          <w:color w:val="auto"/>
        </w:rPr>
        <w:t>We also rely on certain third-party vendors to distribute our data to clients. While some of our vendors generate revenue in connection with distributing our data, others do not derive a direct financial benefit. Should any of our key vendors refuse to distribute our data for any reason or require that we pay them new or additional fees in connection with the distribution of our data, we would need to find alternative ways to distribute our data or lose revenue or profitability for certain products, which may have a material adverse effect on our business, financial condition or results of operations.</w:t>
      </w:r>
    </w:p>
    <w:p>
      <w:pPr>
        <w:spacing w:after="0" w:line="115"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our products contain undetected errors or fail to perform properly due to defects, malfunctions or similar problems, we may, among other things, become subject to increased costs or liability based on the use of our products or services to support our clients’ investment processes, which could have a material adverse effect on our business, financial condition or results of operations.</w:t>
      </w:r>
    </w:p>
    <w:p>
      <w:pPr>
        <w:spacing w:after="0" w:line="35" w:lineRule="exact"/>
        <w:rPr>
          <w:sz w:val="20"/>
          <w:szCs w:val="20"/>
          <w:color w:val="auto"/>
        </w:rPr>
      </w:pPr>
    </w:p>
    <w:p>
      <w:pPr>
        <w:ind w:right="20" w:firstLine="592"/>
        <w:spacing w:after="0" w:line="260" w:lineRule="auto"/>
        <w:rPr>
          <w:sz w:val="20"/>
          <w:szCs w:val="20"/>
          <w:color w:val="auto"/>
        </w:rPr>
      </w:pPr>
      <w:r>
        <w:rPr>
          <w:rFonts w:ascii="Times New Roman" w:cs="Times New Roman" w:eastAsia="Times New Roman" w:hAnsi="Times New Roman"/>
          <w:sz w:val="12"/>
          <w:szCs w:val="12"/>
          <w:color w:val="auto"/>
        </w:rPr>
        <w:t>Our products and services support the investment processes of our clients, which relate to, in the aggregate, trillions of dollars in assets. Products or services we develop or license may contain undetected errors or defects despite testing. Use of our products or services as part of the investment process creates the risk that our clients, the parties whose assets are managed by our clients, investors in investment products linked to our indexes, the companies that we rate or assess in our ESG solutions or the shareholders of those companies, may pursue claims against us based on even a small error in our data, calculations, methodologies or analysis or a malfunction or failure in our systems, products or services.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17" w:name="page18"/>
    <w:bookmarkEnd w:id="17"/>
    <w:p>
      <w:pPr>
        <w:ind w:right="20" w:firstLine="592"/>
        <w:spacing w:after="0" w:line="254" w:lineRule="auto"/>
        <w:rPr>
          <w:sz w:val="20"/>
          <w:szCs w:val="20"/>
          <w:color w:val="auto"/>
        </w:rPr>
      </w:pPr>
      <w:r>
        <w:rPr>
          <w:rFonts w:ascii="Times New Roman" w:cs="Times New Roman" w:eastAsia="Times New Roman" w:hAnsi="Times New Roman"/>
          <w:sz w:val="12"/>
          <w:szCs w:val="12"/>
          <w:color w:val="auto"/>
        </w:rPr>
        <w:t>Errors or defects can exist at any point in a product’s lifecycle, but are frequently found after introduction of new products or services or enhancements to existing products. We continually introduce new methodologies and products, and new versions of and updates to our existing products or services. Despite internal testing and in some cases testing or use by clients, our products or services may contain errors in our data, calculations, methodologies or analysis, including serious defects or malfunctions. If we detect any errors before we release or deliver a product or service or publish a methodology or analysis, we might have to suspend or delay the product or service release or delivery for an extended period of time while we address the problem. We may not discover errors that affect our products or services or enhancements until after they are deployed, and we may need to provide enhancements or corrections to address such errors, and in certain cases it may be impracticable to do so. If undetected errors exist in our products or services, or if our products or services fail to perform properly due to defects, malfunctions or similar problems, it could result in harm to our brand or reputation, significantly increased costs, lost sales, delays in commercial release, third-party claims, contractual disputes, negative publicity, delays in or loss of market acceptance of our products or services, license terminations or renegotiations and/or unexpected expenses and diversion of resources to remedy or mitigate such errors, defects or malfunctions. The realization of any of these events could materially adversely affect our business, financial condition or results of operations.</w:t>
      </w:r>
    </w:p>
    <w:p>
      <w:pPr>
        <w:spacing w:after="0" w:line="128" w:lineRule="exact"/>
        <w:rPr>
          <w:sz w:val="20"/>
          <w:szCs w:val="20"/>
          <w:color w:val="auto"/>
        </w:rPr>
      </w:pPr>
    </w:p>
    <w:p>
      <w:pPr>
        <w:ind w:right="100" w:firstLine="592"/>
        <w:spacing w:after="0" w:line="260" w:lineRule="auto"/>
        <w:rPr>
          <w:sz w:val="20"/>
          <w:szCs w:val="20"/>
          <w:color w:val="auto"/>
        </w:rPr>
      </w:pPr>
      <w:r>
        <w:rPr>
          <w:rFonts w:ascii="Times New Roman" w:cs="Times New Roman" w:eastAsia="Times New Roman" w:hAnsi="Times New Roman"/>
          <w:sz w:val="12"/>
          <w:szCs w:val="12"/>
          <w:color w:val="auto"/>
        </w:rPr>
        <w:t>While we have provisions in our client contracts that are designed to limit our liability from claims brought by our clients or third parties relating to our products or services, these provisions could be invalidated or fail to adequately limit our liability, which could result in the provision of credits, adverse monetary judgments and other penalties and damages. Any such claims brought against us, even if the outcome were to be ultimately favorable to us, would require attention of our management, personnel, financial and other resources and could have a negative impact on our reputation or pose a significant disruption to our normal business operations. In addition, the duration or outcome of such claims and lawsuits is difficult to predict, which could further exacerbate the adverse effect they may have on our business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COVID-19 pandemic, or other widespread health crises, could have a material adverse effect on our business, financial condition or results of operations.</w:t>
      </w:r>
    </w:p>
    <w:p>
      <w:pPr>
        <w:spacing w:after="0" w:line="154"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The COVID-19 pandemic has caused significant economic disruption, including volatility in the global equity markets. Our operations have been affected by a range of external factors related to the COVID-19 pandemic that are not within our control, including the imposition in many jurisdictions of a wide range of restrictions on the physical movement of our employees and vendors to limit the spread of COVID-19. While we were not materially impacted in 2020, due to ongoing uncertainty related to the duration, magnitude and impact of the COVID-19 pandemic, and the volatile regional and global economic conditions stemming from the pandemic, its potential effects on our business are uncertain and difficult to predict, but may include:</w:t>
      </w:r>
    </w:p>
    <w:p>
      <w:pPr>
        <w:spacing w:after="0" w:line="122" w:lineRule="exact"/>
        <w:rPr>
          <w:sz w:val="20"/>
          <w:szCs w:val="20"/>
          <w:color w:val="auto"/>
        </w:rPr>
      </w:pPr>
    </w:p>
    <w:p>
      <w:pPr>
        <w:ind w:left="1460" w:right="100" w:hanging="442"/>
        <w:spacing w:after="0" w:line="259" w:lineRule="auto"/>
        <w:tabs>
          <w:tab w:leader="none" w:pos="14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failures, errors, delays, disruptions or instability affecting our key products or services, vendors, suppliers, distributors, information technology platforms, data centers, production and delivery systems, applications or processes, including those that negatively affect our ability to calculate, process or distribute our products or service our clients effectively;</w:t>
      </w:r>
    </w:p>
    <w:p>
      <w:pPr>
        <w:spacing w:after="0" w:line="1" w:lineRule="exact"/>
        <w:rPr>
          <w:rFonts w:ascii="Times New Roman" w:cs="Times New Roman" w:eastAsia="Times New Roman" w:hAnsi="Times New Roman"/>
          <w:sz w:val="12"/>
          <w:szCs w:val="12"/>
          <w:color w:val="auto"/>
        </w:rPr>
      </w:pPr>
    </w:p>
    <w:p>
      <w:pPr>
        <w:ind w:left="1460" w:right="140" w:hanging="442"/>
        <w:spacing w:after="0" w:line="250" w:lineRule="auto"/>
        <w:tabs>
          <w:tab w:leader="none" w:pos="14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equity market conditions, volatility in the financial markets and unforeseen investment trends resulting in a reduction in our asset-based fees, increased cancellations and reduced demand for our products and services;</w:t>
      </w:r>
    </w:p>
    <w:p>
      <w:pPr>
        <w:ind w:left="1460" w:right="100" w:hanging="442"/>
        <w:spacing w:after="0" w:line="250" w:lineRule="auto"/>
        <w:tabs>
          <w:tab w:leader="none" w:pos="14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prolonged selling cycles and increased pressures to reduce our fees on account of heightened financial and budgetary pressures affecting our clients (for example, in response to the COVID-19 pandemic, we selectively gave clients access to services licensed under a subscription agreement prior to the beginning of the fee period at no cost to help drive business in key areas);</w:t>
      </w:r>
    </w:p>
    <w:p>
      <w:pPr>
        <w:ind w:left="1460" w:right="40" w:hanging="442"/>
        <w:spacing w:after="0" w:line="250" w:lineRule="auto"/>
        <w:tabs>
          <w:tab w:leader="none" w:pos="14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inability to sustain revenue growth through obtaining new clients and achieving and maintaining a high level of renewal rates with respect to our existing clients (for example, subscription cancellations increased by 26.6% for the year ended December 31, 2020 compared to being down 1.7% for the year ended December 31, 2019, due, in part, to the challenging operating environment);</w:t>
      </w:r>
    </w:p>
    <w:p>
      <w:pPr>
        <w:ind w:left="1460" w:hanging="442"/>
        <w:spacing w:after="0"/>
        <w:tabs>
          <w:tab w:leader="none" w:pos="14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our ability to collect on our accounts receivables;</w:t>
      </w:r>
    </w:p>
    <w:p>
      <w:pPr>
        <w:spacing w:after="0" w:line="6" w:lineRule="exact"/>
        <w:rPr>
          <w:rFonts w:ascii="Times New Roman" w:cs="Times New Roman" w:eastAsia="Times New Roman" w:hAnsi="Times New Roman"/>
          <w:sz w:val="12"/>
          <w:szCs w:val="12"/>
          <w:color w:val="auto"/>
        </w:rPr>
      </w:pPr>
    </w:p>
    <w:p>
      <w:pPr>
        <w:ind w:left="1460" w:right="400" w:hanging="442"/>
        <w:spacing w:after="0" w:line="250" w:lineRule="auto"/>
        <w:tabs>
          <w:tab w:leader="none" w:pos="14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tax costs as the jurisdictions in which we do business globally may seek to generate additional revenues to offset revenue shortfalls created by the challenging operating environment and stimulus packages;</w:t>
      </w:r>
    </w:p>
    <w:p>
      <w:pPr>
        <w:ind w:left="1460" w:hanging="442"/>
        <w:spacing w:after="0"/>
        <w:tabs>
          <w:tab w:leader="none" w:pos="14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deterioration of worldwide credit and financial markets that could limit our ability to obtain necessary external financing to fund our operations and capital expenditures;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sectPr>
      </w:pPr>
    </w:p>
    <w:bookmarkStart w:id="18" w:name="page19"/>
    <w:bookmarkEnd w:id="18"/>
    <w:p>
      <w:pPr>
        <w:ind w:left="1460" w:hanging="442"/>
        <w:spacing w:after="0"/>
        <w:tabs>
          <w:tab w:leader="none" w:pos="14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strain on our workforce, management and other resources, including employee absenteeism and illness of key personnel.</w:t>
      </w:r>
    </w:p>
    <w:p>
      <w:pPr>
        <w:spacing w:after="0" w:line="150" w:lineRule="exact"/>
        <w:rPr>
          <w:sz w:val="20"/>
          <w:szCs w:val="20"/>
          <w:color w:val="auto"/>
        </w:rPr>
      </w:pPr>
    </w:p>
    <w:p>
      <w:pPr>
        <w:ind w:right="20" w:firstLine="592"/>
        <w:spacing w:after="0" w:line="265" w:lineRule="auto"/>
        <w:rPr>
          <w:sz w:val="20"/>
          <w:szCs w:val="20"/>
          <w:color w:val="auto"/>
        </w:rPr>
      </w:pPr>
      <w:r>
        <w:rPr>
          <w:rFonts w:ascii="Times New Roman" w:cs="Times New Roman" w:eastAsia="Times New Roman" w:hAnsi="Times New Roman"/>
          <w:sz w:val="12"/>
          <w:szCs w:val="12"/>
          <w:color w:val="auto"/>
        </w:rPr>
        <w:t>These effects, alone or taken together, could have a material adverse effect on our business, financial condition or results of operations. If the COVID-19 pandemic is sustained or prolonged, these effects could be exacerbated. Additionally, many of the other risk factors described in this Item may be exacerbated or the likelihood of such risks materializing may be increased by global widespread health crises such as the COVID-19 pandemic and the volatile regional and global economic conditions stemming from the pandemic.</w:t>
      </w:r>
    </w:p>
    <w:p>
      <w:pPr>
        <w:spacing w:after="0" w:line="119"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We continue to work with our stakeholders (including customers, employees, suppliers, business partners, and local communities) to attempt to mitigate any negative effects of this global pandemic on our business. These mitigation efforts have included implementing our business-specific continuity plans and processes, transitioning to a largely global work-at-home model, proactively reducing costs intended to allow us to protect against further downside revenue risk, and investing in additional initiatives to support our long-term growth, while also focusing on maintaining liquidity and capital structure flexibility. We cannot assure you that we will be successful in any of these mitigation efforts.</w:t>
      </w:r>
    </w:p>
    <w:p>
      <w:pPr>
        <w:spacing w:after="0" w:line="122" w:lineRule="exact"/>
        <w:rPr>
          <w:sz w:val="20"/>
          <w:szCs w:val="20"/>
          <w:color w:val="auto"/>
        </w:rPr>
      </w:pPr>
    </w:p>
    <w:p>
      <w:pPr>
        <w:ind w:right="40" w:firstLine="592"/>
        <w:spacing w:after="0" w:line="291" w:lineRule="auto"/>
        <w:rPr>
          <w:sz w:val="20"/>
          <w:szCs w:val="20"/>
          <w:color w:val="auto"/>
        </w:rPr>
      </w:pPr>
      <w:r>
        <w:rPr>
          <w:rFonts w:ascii="Times New Roman" w:cs="Times New Roman" w:eastAsia="Times New Roman" w:hAnsi="Times New Roman"/>
          <w:sz w:val="11"/>
          <w:szCs w:val="11"/>
          <w:color w:val="auto"/>
        </w:rPr>
        <w:t>We closely monitor the impact of the COVID-19 pandemic and continually assess its potential effects on our business. Given the dynamic nature of these circumstances, we cannot reasonably estimate the full impact of the COVID-19 pandemic at this time. The extent to which our business, financial condition, results of operations, or cash flows are affected by COVID-19 will depend in part on future developments which cannot be accurately predicted and are uncertain, as there are no comparable recent events that provide guidance as to the potential effect of the spread of a global pandemic. This situation is changing rapidly, and additional effects may arise that we are not presently aware of or that we currently do not consider significant risks to our operations. If we are not able to respond to and manage the impact of such events effectively, our business and financial condition may be negatively impacted.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MSCI is exposed to potential reputational and credibility concerns.</w:t>
      </w:r>
    </w:p>
    <w:p>
      <w:pPr>
        <w:spacing w:after="0" w:line="154" w:lineRule="exact"/>
        <w:rPr>
          <w:sz w:val="20"/>
          <w:szCs w:val="20"/>
          <w:color w:val="auto"/>
        </w:rPr>
      </w:pPr>
    </w:p>
    <w:p>
      <w:pPr>
        <w:ind w:firstLine="869"/>
        <w:spacing w:after="0" w:line="253" w:lineRule="auto"/>
        <w:rPr>
          <w:sz w:val="20"/>
          <w:szCs w:val="20"/>
          <w:color w:val="auto"/>
        </w:rPr>
      </w:pPr>
      <w:r>
        <w:rPr>
          <w:rFonts w:ascii="Times New Roman" w:cs="Times New Roman" w:eastAsia="Times New Roman" w:hAnsi="Times New Roman"/>
          <w:sz w:val="12"/>
          <w:szCs w:val="12"/>
          <w:color w:val="auto"/>
        </w:rPr>
        <w:t>To the extent that any of MSCI’s operating segments or product lines or MSCI as a whole suffers a reputational or other loss in credibility, it could have a material adverse impact on MSCI’s business. Real or perceived factors that may have already affected credibility, or which could potentially have an impact in this regard, include: the appearance of a conflict of interest; the editorial independence of our index composition and ESG rating processes and decisions; the influence of third parties, including governments and large investors or asset owners, on our editorial decisions; the performance of companies relative to their ESG ratings, index inclusion, risk characteristics or other MSCI content or analytics; the timing and nature of changes to our indexes or ESG ratings; disagreement with our methodologies or models, including for calculating indexes, value-at-risk and other risk measures, ESG ratings and related data, information and analysis; the accuracy and completeness of our data; views expressed by the media, politicians, other government officials or representatives, regulators or other third parties regarding our company or our industry or our role in the investment processes; our own sustainability and corporate responsibility policies or practices, including as a result of (i) failure to meet publicly disclosed ESG and climate-related targets or goals, or (ii) misalignment with evolving market standards or the methodologies and standards used in our products and ESG ratings; criticism of our own sustainability and corporate responsibility policies or practices by the companies we evaluate for ESG ratings or index inclusion; and the impact of political tensions relating to countries, industries, companies or issues relevant to our products and services, such as the inclusion of certain Chinese companies in our indexes or the focus on sustainable investing and climate considerations in our offerings. Errors and other actions by MSCI competitors could also damage the reputation of the industries that we operate in and, therefore, harm the reputation of the Company or certain of our products.</w:t>
      </w:r>
    </w:p>
    <w:p>
      <w:pPr>
        <w:spacing w:after="0" w:line="1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Damage to our reputation, brand or credibility could have a material adverse impact on MSCI’s business, operating results and financial condition.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2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auto"/>
        </w:rPr>
        <w:t>Client Risks</w:t>
      </w:r>
    </w:p>
    <w:p>
      <w:pPr>
        <w:spacing w:after="0" w:line="7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clients that pay us a fee based on the assets under management or total expense ratio of an indexed investment product may seek to negotiate a lower asset-based fee percentage or lower the total expense ratio of such products or may cease using our indexes, which could limit the growth of or decrease our revenues from asset-based fees.</w:t>
      </w:r>
    </w:p>
    <w:p>
      <w:pPr>
        <w:spacing w:after="0" w:line="35" w:lineRule="exact"/>
        <w:rPr>
          <w:sz w:val="20"/>
          <w:szCs w:val="20"/>
          <w:color w:val="auto"/>
        </w:rPr>
      </w:pPr>
    </w:p>
    <w:p>
      <w:pPr>
        <w:ind w:right="40" w:firstLine="592"/>
        <w:spacing w:after="0" w:line="257" w:lineRule="auto"/>
        <w:rPr>
          <w:sz w:val="20"/>
          <w:szCs w:val="20"/>
          <w:color w:val="auto"/>
        </w:rPr>
      </w:pPr>
      <w:r>
        <w:rPr>
          <w:rFonts w:ascii="Times New Roman" w:cs="Times New Roman" w:eastAsia="Times New Roman" w:hAnsi="Times New Roman"/>
          <w:sz w:val="12"/>
          <w:szCs w:val="12"/>
          <w:color w:val="auto"/>
        </w:rPr>
        <w:t>A portion of our revenues are from asset-based fees and these revenue streams are concentrated in some of our largest clients, including BlackRock, and in our largest market, the U.S. Our clients, including our largest clients, may seek for a variety of reasons to negotiate to pay us lower asset-based fee percentages, which are sometimes calculated as a percentage of the relevant product’s total expense ratio (“TER”). Additionally, competition is intense among our clients that offer or manage indexed investment products, including ETFs, and low fees are one of the competitive differentiators. Where an investment product’s TER determines our fees, a reduction in the TER may negatively impact our revenues. Additionally, our clients, including our largest clients, may seek to lower or eliminate floors on asset-based fees (i.e., minimum asset-based fee percentages) or impose or lower ceilings on asset-based fees (i.e., maximum asset-based fee percentages). Such changes affecting our fees and fee structures could individually, or in the aggregate, negatively impact our revenues.</w:t>
      </w:r>
    </w:p>
    <w:p>
      <w:pPr>
        <w:spacing w:after="0" w:line="125" w:lineRule="exact"/>
        <w:rPr>
          <w:sz w:val="20"/>
          <w:szCs w:val="20"/>
          <w:color w:val="auto"/>
        </w:rPr>
      </w:pPr>
    </w:p>
    <w:p>
      <w:pPr>
        <w:ind w:firstLine="592"/>
        <w:spacing w:after="0" w:line="254" w:lineRule="auto"/>
        <w:rPr>
          <w:sz w:val="20"/>
          <w:szCs w:val="20"/>
          <w:color w:val="auto"/>
        </w:rPr>
      </w:pPr>
      <w:r>
        <w:rPr>
          <w:rFonts w:ascii="Times New Roman" w:cs="Times New Roman" w:eastAsia="Times New Roman" w:hAnsi="Times New Roman"/>
          <w:sz w:val="12"/>
          <w:szCs w:val="12"/>
          <w:color w:val="auto"/>
        </w:rPr>
        <w:t>Moreover, clients that have licensed our indexes to serve as the basis of indexed investment products are generally not required to continue to use our indexes and could elect to cease offering the product or switch to a lower fee index. For example, at least one large client ceased using MSCI indexes as the basis for a significant number of its index funds. Clients that license our indexes to serve as the basis for listed futures and options contracts might also discontinue such contracts. Additionally, we have a differentiated licensing strategy for our indexes and from time to time experience faster growth from lower fee products, resulting in a lower average asset-based fee percentage from indexed investment products. While we aim to maximize the price and volume trade-off over the long-term, there can be no assurance that we will be able to do so. Results for any given quarter could be materially adversely affected by stronger growth in assets in indexed investment products with lower than average fees not sufficiently offset by growth in assets in indexed investment products with higher than average fees. Our asset-based fees could dramatically decrease, which could have a material adverse effect on our business, financial condition or results of operations. Finally, to the extent that multiple investment products are based on the same index, (i) assets under management in one product could shift to products that pay MSCI lower fee levels, (ii) the products could compete for the same assets such that none of the products becomes large enough to be successful or sustained, or (iii) the failure or discontinuance of one product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derivatives used for hedging) could have a detrimental effect on the use of the other products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ETFs).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Cancellations or reductions by any of our largest clients could have a material adverse effect on our business, financial condition or results of operations.</w:t>
      </w:r>
    </w:p>
    <w:p>
      <w:pPr>
        <w:spacing w:after="0" w:line="82" w:lineRule="exact"/>
        <w:rPr>
          <w:sz w:val="20"/>
          <w:szCs w:val="20"/>
          <w:color w:val="auto"/>
        </w:rPr>
      </w:pPr>
    </w:p>
    <w:p>
      <w:pPr>
        <w:ind w:right="20" w:firstLine="592"/>
        <w:spacing w:after="0" w:line="260" w:lineRule="auto"/>
        <w:rPr>
          <w:sz w:val="20"/>
          <w:szCs w:val="20"/>
          <w:color w:val="auto"/>
        </w:rPr>
      </w:pPr>
      <w:r>
        <w:rPr>
          <w:rFonts w:ascii="Times New Roman" w:cs="Times New Roman" w:eastAsia="Times New Roman" w:hAnsi="Times New Roman"/>
          <w:sz w:val="12"/>
          <w:szCs w:val="12"/>
          <w:color w:val="auto"/>
        </w:rPr>
        <w:t>A material portion of our revenues is concentrated in some of our largest customers. For the fiscal year ended December 31, 2020, our largest client organization by revenue, BlackRock, accounted for 11.0% of our total revenues. For the fiscal year ended December 31, 2019, BlackRock, accounted for 11.5% of our total revenues. Our revenue growth depends on our ability to obtain new clients, sell additional services to existing clients and achieve and sustain a high level of renewal rates with respect to our existing licenses. Failure to achieve one or more of these objectives could have a material adverse effect on our business, financial condition and operating results. If one or more of our largest clients cancels or reduces its licenses and we are unsuccessful in replacing those licenses, our business, financial condition or results of operations could be materially adversely affected.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clients may become more self-sufficient, which may reduce demand for our products or services and materially adversely affect our business, financial condition or results of operations.</w:t>
      </w:r>
    </w:p>
    <w:p>
      <w:pPr>
        <w:spacing w:after="0" w:line="82" w:lineRule="exact"/>
        <w:rPr>
          <w:sz w:val="20"/>
          <w:szCs w:val="20"/>
          <w:color w:val="auto"/>
        </w:rPr>
      </w:pPr>
    </w:p>
    <w:p>
      <w:pPr>
        <w:ind w:right="60" w:firstLine="592"/>
        <w:spacing w:after="0" w:line="286" w:lineRule="auto"/>
        <w:rPr>
          <w:sz w:val="20"/>
          <w:szCs w:val="20"/>
          <w:color w:val="auto"/>
        </w:rPr>
      </w:pPr>
      <w:r>
        <w:rPr>
          <w:rFonts w:ascii="Times New Roman" w:cs="Times New Roman" w:eastAsia="Times New Roman" w:hAnsi="Times New Roman"/>
          <w:sz w:val="11"/>
          <w:szCs w:val="11"/>
          <w:color w:val="auto"/>
        </w:rPr>
        <w:t>Our clients may internally develop certain functionality contained in the products or services they currently license from us. For example, a number of our clients have obtained regulatory clearance to create indexes for use as the basis of ETFs that they manage. Similarly, some of our clients who currently license our risk or ESG and climate data to analyze their portfolio risk may develop their own tools to collect data and assess risk or embed ESG and climate considerations into their investment processes, making our products or services unnecessary for them. A growing number of asset managers and investment banks, in partnership with index providers that offer calculation agent services, or acting together with an industry group or association, have created or may create their own range of proprietary indexes, which they use to manage funds or as the basis of ETFs, structured products or over-the-counter derivatives. To the extent that our clients become more self-sufficient, demand for our products or services may be reduced, which could have a material adverse effect on our business, financial condition or results of operations.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auto"/>
        </w:rPr>
        <w:t>Technology Risks</w:t>
      </w:r>
    </w:p>
    <w:p>
      <w:pPr>
        <w:spacing w:after="0" w:line="7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Any failures, disruptions, instability or vulnerabilities in our information technology architecture, platforms, vendors and service providers, production and delivery systems, software, code, internal network, the Internet or other systems or applications may disrupt our operations, cause our products to be unavailable or fail and impose delays or additional costs in deploying our products, or impose conditions or restrictions on our ability to commercialize our products or keep them confidential and result in reputational and other harm and have a material adverse effect on our business, financial condition or results of operations.</w:t>
      </w:r>
    </w:p>
    <w:p>
      <w:pPr>
        <w:spacing w:after="0" w:line="46" w:lineRule="exact"/>
        <w:rPr>
          <w:sz w:val="20"/>
          <w:szCs w:val="20"/>
          <w:color w:val="auto"/>
        </w:rPr>
      </w:pPr>
    </w:p>
    <w:p>
      <w:pPr>
        <w:ind w:right="20" w:firstLine="592"/>
        <w:spacing w:after="0" w:line="257" w:lineRule="auto"/>
        <w:rPr>
          <w:sz w:val="20"/>
          <w:szCs w:val="20"/>
          <w:color w:val="auto"/>
        </w:rPr>
      </w:pPr>
      <w:r>
        <w:rPr>
          <w:rFonts w:ascii="Times New Roman" w:cs="Times New Roman" w:eastAsia="Times New Roman" w:hAnsi="Times New Roman"/>
          <w:sz w:val="12"/>
          <w:szCs w:val="12"/>
          <w:color w:val="auto"/>
        </w:rPr>
        <w:t>We depend heavily on the capacity, reliability and security of our information technology systems and platforms and their components, including our data centers, cloud providers and other vendors and service providers, production and delivery systems as well the Internet, to create and deliver our products and service our clients. Our employees also depend on these systems, platforms and providers for internal use. Heavy use of our electronic delivery systems and other factors such as loss of service from third parties, operational failures, human error, terrorist or other attacks affecting systems or sites where we are located, climate or weather related events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natural disasters), power loss, telecommunications failures, technical breakdowns, Internet failures or computer viruses could impair our systems’ operations or interrupt their availability for extended periods of time. Our ability to effectively use the Internet, including our remote work force’s ability to access the Internet, may also be impaired due to infrastructure failures, service outages at third-party Internet providers or increased government regulation.</w:t>
      </w:r>
    </w:p>
    <w:p>
      <w:pPr>
        <w:spacing w:after="0" w:line="125" w:lineRule="exact"/>
        <w:rPr>
          <w:sz w:val="20"/>
          <w:szCs w:val="20"/>
          <w:color w:val="auto"/>
        </w:rPr>
      </w:pPr>
    </w:p>
    <w:p>
      <w:pPr>
        <w:ind w:right="100" w:firstLine="592"/>
        <w:spacing w:after="0" w:line="260" w:lineRule="auto"/>
        <w:rPr>
          <w:sz w:val="20"/>
          <w:szCs w:val="20"/>
          <w:color w:val="auto"/>
        </w:rPr>
      </w:pPr>
      <w:r>
        <w:rPr>
          <w:rFonts w:ascii="Times New Roman" w:cs="Times New Roman" w:eastAsia="Times New Roman" w:hAnsi="Times New Roman"/>
          <w:sz w:val="12"/>
          <w:szCs w:val="12"/>
          <w:color w:val="auto"/>
        </w:rPr>
        <w:t>Disruptions, failures or slowdowns that could occur with respect to our operations, including to our information technology systems and platforms, our electronic delivery systems or the Internet, could damage our brand and reputation, result in litigation and negatively affect our ability to distribute our products effectively and to service our clients, including delivering managed services or delivering real-time index data. There is no assurance that we will be able to successfully defend against such disruptions or that our disaster recovery or business continuity plans will be effective in mitigating the risks and associated costs, which could be exacerbated by our shift to an increasingly remote working environment, and which could have a material impact on our business,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failure to ensure and protect the confidentiality of data could have a material adverse effect on our business, financial condition or results of operations.</w:t>
      </w:r>
    </w:p>
    <w:p>
      <w:pPr>
        <w:spacing w:after="0" w:line="82" w:lineRule="exact"/>
        <w:rPr>
          <w:sz w:val="20"/>
          <w:szCs w:val="20"/>
          <w:color w:val="auto"/>
        </w:rPr>
      </w:pPr>
    </w:p>
    <w:p>
      <w:pPr>
        <w:ind w:right="100" w:firstLine="592"/>
        <w:spacing w:after="0" w:line="257" w:lineRule="auto"/>
        <w:rPr>
          <w:sz w:val="20"/>
          <w:szCs w:val="20"/>
          <w:color w:val="auto"/>
        </w:rPr>
      </w:pPr>
      <w:r>
        <w:rPr>
          <w:rFonts w:ascii="Times New Roman" w:cs="Times New Roman" w:eastAsia="Times New Roman" w:hAnsi="Times New Roman"/>
          <w:sz w:val="12"/>
          <w:szCs w:val="12"/>
          <w:color w:val="auto"/>
        </w:rPr>
        <w:t>Many of our products provide for the exchange of sensitive information with our clients through a variety of media and channels, such as the Internet, applications and dedicated transmission lines. We rely on a complex system of internal processes and software controls along with policies, procedures and training to protect data that we receive in the ordinary course of business, including sensitive and confidential client data such as material non-public information and client portfolio data that may be provided to us or hosted on our systems, against unauthorized data access or disclosure. In addition, we believe that when we change the composition of our indexes, in some cases the changes can have an indirect effect on the prices of constituent securities and on certain indexed investment products as a result of trading activity related to replicating our indexes. As the usage and types of uses of our ESG ratings increase, the ratings and changes to the ratings in some cases could also potentially have an impact on the companies that we rate and the price of their securities.</w:t>
      </w:r>
    </w:p>
    <w:p>
      <w:pPr>
        <w:spacing w:after="0" w:line="125" w:lineRule="exact"/>
        <w:rPr>
          <w:sz w:val="20"/>
          <w:szCs w:val="20"/>
          <w:color w:val="auto"/>
        </w:rPr>
      </w:pPr>
    </w:p>
    <w:p>
      <w:pPr>
        <w:ind w:right="160" w:firstLine="592"/>
        <w:spacing w:after="0" w:line="260" w:lineRule="auto"/>
        <w:rPr>
          <w:sz w:val="20"/>
          <w:szCs w:val="20"/>
          <w:color w:val="auto"/>
        </w:rPr>
      </w:pPr>
      <w:r>
        <w:rPr>
          <w:rFonts w:ascii="Times New Roman" w:cs="Times New Roman" w:eastAsia="Times New Roman" w:hAnsi="Times New Roman"/>
          <w:sz w:val="12"/>
          <w:szCs w:val="12"/>
          <w:color w:val="auto"/>
        </w:rPr>
        <w:t>If our internal processes, confidentiality policies, conflict of interest policies or information barrier procedures fail or are insufficient, including as a result of human error or manual processes, or if an employee purposely circumvents or violates our internal controls, policies or procedures, then unauthorized access to, or disclosure or misappropriation of, data, including material non-public or other confidential information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certain index composition data or ESG rating data), our brand and reputation may suffer and we may become subject to litigation, regulatory actions, sanctions or other penalties, leading to a loss of client confidence, which could have a material adverse effect on our business,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Successful cyber-attacks and the failure of cyber-security plans, systems and procedures could have a material adverse effect on our business, financial condition or results of operations.</w:t>
      </w:r>
    </w:p>
    <w:p>
      <w:pPr>
        <w:spacing w:after="0" w:line="82" w:lineRule="exact"/>
        <w:rPr>
          <w:sz w:val="20"/>
          <w:szCs w:val="20"/>
          <w:color w:val="auto"/>
        </w:rPr>
      </w:pPr>
    </w:p>
    <w:p>
      <w:pPr>
        <w:ind w:firstLine="592"/>
        <w:spacing w:after="0" w:line="257" w:lineRule="auto"/>
        <w:rPr>
          <w:sz w:val="20"/>
          <w:szCs w:val="20"/>
          <w:color w:val="auto"/>
        </w:rPr>
      </w:pPr>
      <w:r>
        <w:rPr>
          <w:rFonts w:ascii="Times New Roman" w:cs="Times New Roman" w:eastAsia="Times New Roman" w:hAnsi="Times New Roman"/>
          <w:sz w:val="12"/>
          <w:szCs w:val="12"/>
          <w:color w:val="auto"/>
        </w:rPr>
        <w:t>The Company’s operations rely on the secure processing, storage and transmission of confidential, sensitive, proprietary and other types of data and information, and on those of our third-party vendors. We and our vendors are subject to cyber risks, including cyber-attacks, such as phishing scams, hacking, tampering, intrusions, viruses, ransomware, malware and denial-of-service attacks. In some cases these risks are heightened when employees are working remotely. Our and our vendors’ use of mobile and cloud technologies may also increase our risk for such threats. The Company may be exposed to more targeted and more sophisticated cyber-attacks aimed at accessing certain information on our systems because of our role or prominence in the global marketplace, including client portfolio data, the composition of our indexes and MSCI ESG Research ratings of corporate issuers. Any such threats may cause material interruptions or malfunctions in our or our vendors’ products or services, networks, systems, websites, applications, data or data processing, or may otherwise compromise the availability,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629" w:right="319" w:bottom="1440" w:gutter="0" w:footer="0" w:header="0"/>
        </w:sectPr>
      </w:pPr>
    </w:p>
    <w:bookmarkStart w:id="21" w:name="page22"/>
    <w:bookmarkEnd w:id="21"/>
    <w:p>
      <w:pPr>
        <w:ind w:right="200"/>
        <w:spacing w:after="0" w:line="279" w:lineRule="auto"/>
        <w:rPr>
          <w:sz w:val="20"/>
          <w:szCs w:val="20"/>
          <w:color w:val="auto"/>
        </w:rPr>
      </w:pPr>
      <w:r>
        <w:rPr>
          <w:rFonts w:ascii="Times New Roman" w:cs="Times New Roman" w:eastAsia="Times New Roman" w:hAnsi="Times New Roman"/>
          <w:sz w:val="12"/>
          <w:szCs w:val="12"/>
          <w:color w:val="auto"/>
        </w:rPr>
        <w:t>confidentiality or integrity of data or information in our possession. While the Company has not experienced cyber incidents that are individually, or in the aggregate, material, the Company has experienced cyber-attacks of varying degrees in the past, including denial-of-service attacks, and there can be no assurance that there will not be a material adverse effect in the future.</w:t>
      </w:r>
    </w:p>
    <w:p>
      <w:pPr>
        <w:spacing w:after="0" w:line="39" w:lineRule="exact"/>
        <w:rPr>
          <w:sz w:val="20"/>
          <w:szCs w:val="20"/>
          <w:color w:val="auto"/>
        </w:rPr>
      </w:pPr>
    </w:p>
    <w:p>
      <w:pPr>
        <w:ind w:right="60" w:firstLine="592"/>
        <w:spacing w:after="0" w:line="260" w:lineRule="auto"/>
        <w:rPr>
          <w:sz w:val="20"/>
          <w:szCs w:val="20"/>
          <w:color w:val="auto"/>
        </w:rPr>
      </w:pPr>
      <w:r>
        <w:rPr>
          <w:rFonts w:ascii="Times New Roman" w:cs="Times New Roman" w:eastAsia="Times New Roman" w:hAnsi="Times New Roman"/>
          <w:sz w:val="12"/>
          <w:szCs w:val="12"/>
          <w:color w:val="auto"/>
        </w:rPr>
        <w:t>Our security measures or those of our third-party providers, including any cloud-based technologies, may prove insufficient depending upon the attack or threat posed. Cyber-attacks, security breaches or third-party reports of perceived security vulnerability to the Company’s systems, even if no breach has occurred, could damage our brand and reputation, result in litigation, regulatory actions, sanctions or other penalties, lead to loss of client confidence, which would harm our ability to retain clients and gain new ones, and lead to financial losses. Any of the foregoing could lead to unexpected or higher than estimated costs. We may also incur additional costs as a result of increasing and refining our internal processes and software controls and policies and procedures related to security, processing integrity and confidentiality or privacy.</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Migration of our applications, systems, processes and infrastructure to new technologies, cloud providers, data centers, processes, platforms or applications could result in unanticipated failures, interruptions or delays in the performance and delivery of our products, services and client support. Such incidents could have a material adverse effect on our financial condition or results of operations.</w:t>
      </w:r>
    </w:p>
    <w:p>
      <w:pPr>
        <w:spacing w:after="0" w:line="35" w:lineRule="exact"/>
        <w:rPr>
          <w:sz w:val="20"/>
          <w:szCs w:val="20"/>
          <w:color w:val="auto"/>
        </w:rPr>
      </w:pPr>
    </w:p>
    <w:p>
      <w:pPr>
        <w:ind w:right="100" w:firstLine="592"/>
        <w:spacing w:after="0" w:line="255" w:lineRule="auto"/>
        <w:rPr>
          <w:sz w:val="20"/>
          <w:szCs w:val="20"/>
          <w:color w:val="auto"/>
        </w:rPr>
      </w:pPr>
      <w:r>
        <w:rPr>
          <w:rFonts w:ascii="Times New Roman" w:cs="Times New Roman" w:eastAsia="Times New Roman" w:hAnsi="Times New Roman"/>
          <w:sz w:val="12"/>
          <w:szCs w:val="12"/>
          <w:color w:val="auto"/>
        </w:rPr>
        <w:t>In the past, we have experienced unanticipated interruption and delay in the performance and delivery of certain products after we migrated applications and infrastructure to new data centers. While we have taken steps to mitigate such interruptions and delays, we cannot provide assurance that they will not occur again in the future as part of major migration efforts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cloud migration), even after extensive testing of new systems, processes, applications and hardware. Such disruptions may result in cancellations and reduced demand for our products and services, resulting in decreased revenues. After adopting new technologies, applications and processes, such as cloud computing, virtualization and agile software development, we may experience unanticipated interruption and delay in the performance and delivery of certain of our products, services and client support. We may also incur increased operating expenses to recover data, repair, replace or remediate systems, equipment or facilities, and to protect ourselves from such disruptions. Accordingly, any significant failures, disruptions or instability affecting our information technology platform, cloud providers, data centers, production and delivery systems, applications, processes or the Internet could negatively affect our ability to distribute our products effectively and to service our clients, damage our brand and reputation and result in litigation, which may have a material adverse effect on our financial condition or results of operations.</w:t>
      </w:r>
    </w:p>
    <w:p>
      <w:pPr>
        <w:spacing w:after="0" w:line="19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use of open source code could introduce security vulnerabilities into our internal network, systems and applications, impose unanticipated delays or costs in deploying our products or services, or impose conditions or restrictions on our ability to commercialize our products or services or keep them confidential.</w:t>
      </w:r>
    </w:p>
    <w:p>
      <w:pPr>
        <w:spacing w:after="0" w:line="35" w:lineRule="exact"/>
        <w:rPr>
          <w:sz w:val="20"/>
          <w:szCs w:val="20"/>
          <w:color w:val="auto"/>
        </w:rPr>
      </w:pPr>
    </w:p>
    <w:p>
      <w:pPr>
        <w:ind w:firstLine="592"/>
        <w:spacing w:after="0" w:line="254" w:lineRule="auto"/>
        <w:rPr>
          <w:sz w:val="20"/>
          <w:szCs w:val="20"/>
          <w:color w:val="auto"/>
        </w:rPr>
      </w:pPr>
      <w:r>
        <w:rPr>
          <w:rFonts w:ascii="Times New Roman" w:cs="Times New Roman" w:eastAsia="Times New Roman" w:hAnsi="Times New Roman"/>
          <w:sz w:val="12"/>
          <w:szCs w:val="12"/>
          <w:color w:val="auto"/>
        </w:rPr>
        <w:t>We rely on open source code to develop software and to incorporate it in our products, as well as to support our internal systems and infrastructure. The use of open source code may entail greater risks than the use of third-party commercial software, as open source licensors generally do not provide warranties or other contractual protections regarding infringement claims, the quality of the code or the security of the code. Some open source licenses provide that if we combine our proprietary code with open source code in a certain manner, we could be required to release the source code of our proprietary applications to the public. This would allow our competitors to create similar products with less development effort and time and ultimately put us at a competitive disadvantage. Additionally, the terms of many open source code licenses are ambiguous and have not been interpreted by U.S. courts. Accordingly, there are risks that there may be a failure in our procedures for controlling the use of open source code or that these licenses could be construed in a manner that imposes unanticipated conditions or restrictions on our ability to commercialize our products. In either event, we could be required to seek licenses from third parties on terms that are not commercially feasible, to make generally available portions of our proprietary code, to re-engineer our products or systems, to discontinue the licensing of our products if re-engineering could not be accomplished on a timely or cost-effective basis, or to take other remedial action that could divert resources away from our development efforts. Any of these requirements could materially adversely affect our business, financial condition or results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auto"/>
        </w:rPr>
        <w:t>Strategy and Growth Risks</w:t>
      </w:r>
    </w:p>
    <w:p>
      <w:pPr>
        <w:spacing w:after="0" w:line="2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may be affected by changes in the global capital markets, including adverse equity market conditions, volatility in the financial markets and evolving investment trends. Such changes could decrease the use of our products and services which could have a material adverse effect on our business, financial condition or results of operations.</w:t>
      </w:r>
    </w:p>
    <w:p>
      <w:pPr>
        <w:spacing w:after="0" w:line="35" w:lineRule="exact"/>
        <w:rPr>
          <w:sz w:val="20"/>
          <w:szCs w:val="20"/>
          <w:color w:val="auto"/>
        </w:rPr>
      </w:pPr>
    </w:p>
    <w:p>
      <w:pPr>
        <w:jc w:val="both"/>
        <w:ind w:right="100" w:firstLine="592"/>
        <w:spacing w:after="0" w:line="265" w:lineRule="auto"/>
        <w:rPr>
          <w:sz w:val="20"/>
          <w:szCs w:val="20"/>
          <w:color w:val="auto"/>
        </w:rPr>
      </w:pPr>
      <w:r>
        <w:rPr>
          <w:rFonts w:ascii="Times New Roman" w:cs="Times New Roman" w:eastAsia="Times New Roman" w:hAnsi="Times New Roman"/>
          <w:sz w:val="12"/>
          <w:szCs w:val="12"/>
          <w:color w:val="auto"/>
        </w:rPr>
        <w:t>Our business is impacted by economic conditions and volatility in the global capital markets. Our clients use our products for a variety of purposes, including benchmarking, performance attribution, portfolio construction and risk management, and to support investment strategies including ESG, factor, thematic, private asset and MAC investing. Volatile capital markets may impact whether, how, where and when investors choose to invest, for example between developed or emerging markets, U.S. or non-U.S. markets, as well as whether to adopt different investment strategies.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value of an investment product’s assets may increase or decrease in response to changes in market performance and cash inflows and outflows, which could impact our revenues.</w:t>
      </w:r>
    </w:p>
    <w:p>
      <w:pPr>
        <w:spacing w:after="0" w:line="150" w:lineRule="exact"/>
        <w:rPr>
          <w:sz w:val="20"/>
          <w:szCs w:val="20"/>
          <w:color w:val="auto"/>
        </w:rPr>
      </w:pPr>
    </w:p>
    <w:p>
      <w:pPr>
        <w:jc w:val="both"/>
        <w:ind w:right="100" w:firstLine="592"/>
        <w:spacing w:after="0" w:line="279" w:lineRule="auto"/>
        <w:rPr>
          <w:sz w:val="20"/>
          <w:szCs w:val="20"/>
          <w:color w:val="auto"/>
        </w:rPr>
      </w:pPr>
      <w:r>
        <w:rPr>
          <w:rFonts w:ascii="Times New Roman" w:cs="Times New Roman" w:eastAsia="Times New Roman" w:hAnsi="Times New Roman"/>
          <w:sz w:val="12"/>
          <w:szCs w:val="12"/>
          <w:color w:val="auto"/>
        </w:rPr>
        <w:t>Additionally, an increasing portion of our revenues comes from products and services that relate to certain investment trends, such as ESG and climate, factor, thematic and MAC investing. A decline in the equity markets or a trend away from such investment trends could decrease demand for the Company’s related products and services, which could have a material adverse effect on our business, financial condition or results of operations.</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Competition and financial and budgetary pressures affecting clients in our industry may cause price reductions or loss of market share, which may materially adversely affect our business, financial condition or results of operations. To remain competitive, we must successfully develop new and enhanced products and services and effectively manage product transitions and integrations.</w:t>
      </w:r>
    </w:p>
    <w:p>
      <w:pPr>
        <w:spacing w:after="0" w:line="35" w:lineRule="exact"/>
        <w:rPr>
          <w:sz w:val="20"/>
          <w:szCs w:val="20"/>
          <w:color w:val="auto"/>
        </w:rPr>
      </w:pPr>
    </w:p>
    <w:p>
      <w:pPr>
        <w:ind w:right="20" w:firstLine="592"/>
        <w:spacing w:after="0" w:line="260" w:lineRule="auto"/>
        <w:rPr>
          <w:sz w:val="20"/>
          <w:szCs w:val="20"/>
          <w:color w:val="auto"/>
        </w:rPr>
      </w:pPr>
      <w:r>
        <w:rPr>
          <w:rFonts w:ascii="Times New Roman" w:cs="Times New Roman" w:eastAsia="Times New Roman" w:hAnsi="Times New Roman"/>
          <w:sz w:val="12"/>
          <w:szCs w:val="12"/>
          <w:color w:val="auto"/>
        </w:rPr>
        <w:t>Competition exists across all markets for our products and services. Our competitors range in size from large companies with substantial resources to small, single-product businesses that are highly specialized. Our larger competitors may have access to more resources and may be able to achieve greater economies of scale, and our specialized competitors may be more effective in devoting technical, marketing and financial resources to compete with us with respect to a particular product or service. Some competitors may offer price incentives or different pricing structures that are more attractive to clients. The competitive landscape may also experience consolidation in the form of mergers and acquisitions, joint ventures or strategic partnerships, which result in a narrower pool of competitors that are better capitalized or that are able to gain a competitive advantage through synergies.</w:t>
      </w:r>
    </w:p>
    <w:p>
      <w:pPr>
        <w:spacing w:after="0" w:line="122" w:lineRule="exact"/>
        <w:rPr>
          <w:sz w:val="20"/>
          <w:szCs w:val="20"/>
          <w:color w:val="auto"/>
        </w:rPr>
      </w:pPr>
    </w:p>
    <w:p>
      <w:pPr>
        <w:ind w:right="20" w:firstLine="592"/>
        <w:spacing w:after="0" w:line="260" w:lineRule="auto"/>
        <w:rPr>
          <w:sz w:val="20"/>
          <w:szCs w:val="20"/>
          <w:color w:val="auto"/>
        </w:rPr>
      </w:pPr>
      <w:r>
        <w:rPr>
          <w:rFonts w:ascii="Times New Roman" w:cs="Times New Roman" w:eastAsia="Times New Roman" w:hAnsi="Times New Roman"/>
          <w:sz w:val="12"/>
          <w:szCs w:val="12"/>
          <w:color w:val="auto"/>
        </w:rPr>
        <w:t>Barriers to entry may be low or declining in many of the markets for our products and services, including for single-purpose product companies, which could lead to the emergence of new competitors. For example, more broker-dealers, data suppliers, credit rating agencies or other market participants or vendors could begin developing their own content such as proprietary risk analytics, ESG and climate data or indexes. Recent developments, including increases in the availability of free or relatively inexpensive information, advances in cloud computing, increased use of open source code, as well as client development of proprietary applications in specific areas, have further reduced barriers to entry in some cases.</w:t>
      </w:r>
    </w:p>
    <w:p>
      <w:pPr>
        <w:spacing w:after="0" w:line="122" w:lineRule="exact"/>
        <w:rPr>
          <w:sz w:val="20"/>
          <w:szCs w:val="20"/>
          <w:color w:val="auto"/>
        </w:rPr>
      </w:pPr>
    </w:p>
    <w:p>
      <w:pPr>
        <w:ind w:firstLine="592"/>
        <w:spacing w:after="0" w:line="257" w:lineRule="auto"/>
        <w:rPr>
          <w:sz w:val="20"/>
          <w:szCs w:val="20"/>
          <w:color w:val="auto"/>
        </w:rPr>
      </w:pPr>
      <w:r>
        <w:rPr>
          <w:rFonts w:ascii="Times New Roman" w:cs="Times New Roman" w:eastAsia="Times New Roman" w:hAnsi="Times New Roman"/>
          <w:sz w:val="12"/>
          <w:szCs w:val="12"/>
          <w:color w:val="auto"/>
        </w:rPr>
        <w:t>We may experience pressures to reduce our fees on account of financial and budgetary pressures affecting our clients, including those resulting from weak or volatile economic or market conditions, which may lead certain clients to reduce their overall spending on our products or services, including by seeking similar products or services at a lower cost than what we are able to provide, by consolidating their spending with fewer providers, by consolidating with other clients or by self-sourcing certain of their information and analytical needs. Accordingly, competitive and market pressures may result in fewer clients or reduced sales, including as a result of client closures and consolidations, price reductions, prolonged selling and renewal cycles and increased operating costs, such as for marketing and product development, which could, individually or in the aggregate, result in a material adverse effect on our business, financial condition or results of operations.</w:t>
      </w:r>
    </w:p>
    <w:p>
      <w:pPr>
        <w:spacing w:after="0" w:line="125" w:lineRule="exact"/>
        <w:rPr>
          <w:sz w:val="20"/>
          <w:szCs w:val="20"/>
          <w:color w:val="auto"/>
        </w:rPr>
      </w:pPr>
    </w:p>
    <w:p>
      <w:pPr>
        <w:jc w:val="both"/>
        <w:ind w:right="60" w:firstLine="592"/>
        <w:spacing w:after="0" w:line="300" w:lineRule="auto"/>
        <w:rPr>
          <w:sz w:val="20"/>
          <w:szCs w:val="20"/>
          <w:color w:val="auto"/>
        </w:rPr>
      </w:pPr>
      <w:r>
        <w:rPr>
          <w:rFonts w:ascii="Times New Roman" w:cs="Times New Roman" w:eastAsia="Times New Roman" w:hAnsi="Times New Roman"/>
          <w:sz w:val="11"/>
          <w:szCs w:val="11"/>
          <w:color w:val="auto"/>
        </w:rPr>
        <w:t>To remain competitive, we must continually introduce new products and services, enhance existing products and services, including through integration of products and services within MSCI and with third-party platforms, and effectively generate customer demand for new and upgraded products and services. We may not be successful in developing, introducing, implementing, marketing, pricing, launching or licensing new products or enhancements on a timely or cost-effective basis or without impacting the stability and efficiency of existing products and systems. Any new products and enhancements may not adequately meet the requirements of the marketplace or industry</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512" w:right="319" w:bottom="1440" w:gutter="0" w:footer="0" w:header="0"/>
        </w:sectPr>
      </w:pPr>
    </w:p>
    <w:bookmarkStart w:id="23" w:name="page24"/>
    <w:bookmarkEnd w:id="23"/>
    <w:p>
      <w:pPr>
        <w:ind w:right="20"/>
        <w:spacing w:after="0" w:line="260" w:lineRule="auto"/>
        <w:rPr>
          <w:sz w:val="20"/>
          <w:szCs w:val="20"/>
          <w:color w:val="auto"/>
        </w:rPr>
      </w:pPr>
      <w:r>
        <w:rPr>
          <w:rFonts w:ascii="Times New Roman" w:cs="Times New Roman" w:eastAsia="Times New Roman" w:hAnsi="Times New Roman"/>
          <w:sz w:val="12"/>
          <w:szCs w:val="12"/>
          <w:color w:val="auto"/>
        </w:rPr>
        <w:t>standards or achieve market acceptance. We must make long-term investments and commit significant resources before knowing whether these investments will eventually result in products and services that satisfy our clients’ needs and generate revenues required to provide the desired results. From time to time, we also incur costs to integrate existing products and services and transition clients to enhanced products and services, which also present execution risks and challenges and could lead to price reductions or other concessions. If we are unable to effectively manage transitions to new or enhanced products and services, we may not be able to remain competitive and our business, financial condition or results of operations could be materially adversely affected.</w:t>
      </w:r>
    </w:p>
    <w:p>
      <w:pPr>
        <w:spacing w:after="0" w:line="19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global operations and any future expansions may continue to place significant strain on our management and other resources, as well as subject us to additional, and in some cases unanticipated, risks and costs in connection with political, economic, legal, operational and other issues resulting from our increased global footprint, which could materially adversely impact our businesses.</w:t>
      </w:r>
    </w:p>
    <w:p>
      <w:pPr>
        <w:spacing w:after="0" w:line="107" w:lineRule="exact"/>
        <w:rPr>
          <w:sz w:val="20"/>
          <w:szCs w:val="20"/>
          <w:color w:val="auto"/>
        </w:rPr>
      </w:pPr>
    </w:p>
    <w:p>
      <w:pPr>
        <w:ind w:right="60" w:firstLine="592"/>
        <w:spacing w:after="0" w:line="257" w:lineRule="auto"/>
        <w:rPr>
          <w:sz w:val="20"/>
          <w:szCs w:val="20"/>
          <w:color w:val="auto"/>
        </w:rPr>
      </w:pPr>
      <w:r>
        <w:rPr>
          <w:rFonts w:ascii="Times New Roman" w:cs="Times New Roman" w:eastAsia="Times New Roman" w:hAnsi="Times New Roman"/>
          <w:sz w:val="12"/>
          <w:szCs w:val="12"/>
          <w:color w:val="auto"/>
        </w:rPr>
        <w:t>Our global operations and any future expansion are expected to continue to place significant demands on our personnel, management and other resources. We must continue to improve our operational, financial, human resources, management, legal and compliance processes and information systems to keep pace with the expansion of our business. If we expand organically or by way of acquisition, there can be no assurance that our management will be effective in attracting, engaging and retaining additional qualified personnel, including additional managers or key employees, developing effective leadership in all our locations, expanding our physical facilities and information technology infrastructure, integrating acquired businesses or otherwise managing expansion. Additionally, new hires require significant training and may, in some cases, take a significant amount of time before becoming fully productive.</w:t>
      </w:r>
    </w:p>
    <w:p>
      <w:pPr>
        <w:spacing w:after="0" w:line="125" w:lineRule="exact"/>
        <w:rPr>
          <w:sz w:val="20"/>
          <w:szCs w:val="20"/>
          <w:color w:val="auto"/>
        </w:rPr>
      </w:pPr>
    </w:p>
    <w:p>
      <w:pPr>
        <w:ind w:right="40" w:firstLine="592"/>
        <w:spacing w:after="0" w:line="256" w:lineRule="auto"/>
        <w:rPr>
          <w:sz w:val="20"/>
          <w:szCs w:val="20"/>
          <w:color w:val="auto"/>
        </w:rPr>
      </w:pPr>
      <w:r>
        <w:rPr>
          <w:rFonts w:ascii="Times New Roman" w:cs="Times New Roman" w:eastAsia="Times New Roman" w:hAnsi="Times New Roman"/>
          <w:sz w:val="12"/>
          <w:szCs w:val="12"/>
          <w:color w:val="auto"/>
        </w:rPr>
        <w:t>Our global operations expose us to political, economic, legal, operational, franchise and other risks that are inherent in operating in many countries, including risks of possible capital controls, exchange controls, customs duties, sanctions compliance, tax penalties, levies or assessments, legal uncertainty, broad regulatory discretion and other restrictive governmental actions, as well as the outbreak of hostilities or political and governmental instability in certain of the countries or regions in which we conduct operations. The majority of our employees are located in offices outside of the U.S. and a number of those employees are located in emerging market locations. The cost of establishing and maintaining these offices, including costs related to information technology infrastructure, as well as the costs of attracting, training and retaining employees in these locations may be higher, or may increase at a faster rate, than we anticipate. Additionally, public health epidemics impacting the global economy and our employees, such as the worldwide COVID-19 pandemic, may have a material adverse effect on our business, financial condition or results of operations.</w:t>
      </w:r>
    </w:p>
    <w:p>
      <w:pPr>
        <w:spacing w:after="0" w:line="125" w:lineRule="exact"/>
        <w:rPr>
          <w:sz w:val="20"/>
          <w:szCs w:val="20"/>
          <w:color w:val="auto"/>
        </w:rPr>
      </w:pPr>
    </w:p>
    <w:p>
      <w:pPr>
        <w:ind w:right="80" w:firstLine="592"/>
        <w:spacing w:after="0" w:line="265" w:lineRule="auto"/>
        <w:rPr>
          <w:sz w:val="20"/>
          <w:szCs w:val="20"/>
          <w:color w:val="auto"/>
        </w:rPr>
      </w:pPr>
      <w:r>
        <w:rPr>
          <w:rFonts w:ascii="Times New Roman" w:cs="Times New Roman" w:eastAsia="Times New Roman" w:hAnsi="Times New Roman"/>
          <w:sz w:val="12"/>
          <w:szCs w:val="12"/>
          <w:color w:val="auto"/>
        </w:rPr>
        <w:t>The laws and regulations in many countries applicable to our business are uncertain and evolving, and it may be difficult for us to determine and remain compliant with the exact requirements of local laws in every market. Our inability to maintain consistent internal policies and procedures across our offices and remain in compliance with local laws in a particular market could have a significant and negative effect not only on our businesses in that market but also on our reputation generally.</w:t>
      </w:r>
    </w:p>
    <w:p>
      <w:pPr>
        <w:spacing w:after="0" w:line="119" w:lineRule="exact"/>
        <w:rPr>
          <w:sz w:val="20"/>
          <w:szCs w:val="20"/>
          <w:color w:val="auto"/>
        </w:rPr>
      </w:pPr>
    </w:p>
    <w:p>
      <w:pPr>
        <w:ind w:firstLine="592"/>
        <w:spacing w:after="0" w:line="265" w:lineRule="auto"/>
        <w:rPr>
          <w:sz w:val="20"/>
          <w:szCs w:val="20"/>
          <w:color w:val="auto"/>
        </w:rPr>
      </w:pPr>
      <w:r>
        <w:rPr>
          <w:rFonts w:ascii="Times New Roman" w:cs="Times New Roman" w:eastAsia="Times New Roman" w:hAnsi="Times New Roman"/>
          <w:sz w:val="12"/>
          <w:szCs w:val="12"/>
          <w:color w:val="auto"/>
        </w:rPr>
        <w:t>Demand for our products and services is still nascent in many parts of the world, particularly in emerging market locations where risk management and ESG integration practices are often not fully developed. In addition, the data required to model local securities in some emerging markets might be difficult to source. If we do not appropriately tailor our products and services to fit the needs of the local market, we may be unable to effectively grow sales of our products and services in some locations outside of the U.S. There can be no assurances that demand for our products and services will develop in these countries.</w:t>
      </w:r>
    </w:p>
    <w:p>
      <w:pPr>
        <w:spacing w:after="0" w:line="119" w:lineRule="exact"/>
        <w:rPr>
          <w:sz w:val="20"/>
          <w:szCs w:val="20"/>
          <w:color w:val="auto"/>
        </w:rPr>
      </w:pPr>
    </w:p>
    <w:p>
      <w:pPr>
        <w:ind w:right="80" w:firstLine="592"/>
        <w:spacing w:after="0" w:line="279" w:lineRule="auto"/>
        <w:rPr>
          <w:sz w:val="20"/>
          <w:szCs w:val="20"/>
          <w:color w:val="auto"/>
        </w:rPr>
      </w:pPr>
      <w:r>
        <w:rPr>
          <w:rFonts w:ascii="Times New Roman" w:cs="Times New Roman" w:eastAsia="Times New Roman" w:hAnsi="Times New Roman"/>
          <w:sz w:val="12"/>
          <w:szCs w:val="12"/>
          <w:color w:val="auto"/>
        </w:rPr>
        <w:t>Any failure to effectively manage expansion or to effectively manage the business globally could damage our brand and reputation, result in increased costs and litigation and have a material adverse effect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Legal and Regulatory Risks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to comply with regulations, or the introduction of new regulations or changes to existing regulations could materially adversely affect our business, financial condition or results of operations.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Failure to comply with any applicable laws, rules, orders, regulations or other requirements could subject us to litigation, regulatory actions, sanctions, fines or other penalties, as well as damage our brand and reputation.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2"/>
          <w:szCs w:val="12"/>
          <w:color w:val="auto"/>
        </w:rPr>
        <w:t>financial services industry, within which we and many of our clients operate, is subject to extensive laws, rules and regulations at the federal and state levels, as well as by foreign governments, with some jurisdictions regulating indexes directly. These laws, rules and regulations are complex, evolve frequently and sometimes quickly and unexpectedly, and are subject to administrative interpretation and judicial construction in ways that are difficult to predict, and could materially adversely affect our business and our clients’ businesses. Uncertainty caused by political change globally heightens regulatory uncertainty. Additionally, we may be required to comply with multiple and potentially conflicting laws, rules or regulations in various jurisdictions, which could, individually or in the aggregate, result in materially higher compliance costs to us. It is possible that laws, rules or regulations could cause us to restrict or change the way we license and price our products and services or could impose additional costs on us. Changes to the laws, rules and regulations applicable to our clients could limit our clients’ ability to use our products and services or could otherwise impact our clients’ demand for our products and services. As such, to the extent that our clients become subject to certain laws, rules or regulations, we may incur higher costs in connection with modifying our products or services. To the extent that we rely on our clients and vendors to provide data for our products and services and certain laws, rules or regulations impact our clients’ and vendors’ ability or willingness to provide that data to us or regulate the fees for which such data can be provided, our ability to continue to produce our products and services or the related costs could be negatively impacted. The regulations and regulatory developments that most significantly impact us are described below:</w:t>
      </w:r>
    </w:p>
    <w:p>
      <w:pPr>
        <w:spacing w:after="0" w:line="52" w:lineRule="exact"/>
        <w:rPr>
          <w:sz w:val="20"/>
          <w:szCs w:val="20"/>
          <w:color w:val="auto"/>
        </w:rPr>
      </w:pPr>
    </w:p>
    <w:p>
      <w:pPr>
        <w:ind w:left="1460" w:hanging="442"/>
        <w:spacing w:after="0" w:line="261" w:lineRule="auto"/>
        <w:tabs>
          <w:tab w:leader="none" w:pos="146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Brexit. </w:t>
      </w:r>
      <w:r>
        <w:rPr>
          <w:rFonts w:ascii="Times New Roman" w:cs="Times New Roman" w:eastAsia="Times New Roman" w:hAnsi="Times New Roman"/>
          <w:sz w:val="12"/>
          <w:szCs w:val="12"/>
          <w:color w:val="auto"/>
        </w:rPr>
        <w:t>The United Kingdom (“UK”) exited the European Union (“EU”) on January 31, 2020 (commonly referred to as “Brexit”) and the UK’s membership in the EU single market ended on December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2020. On December 24, 2020, the UK and the EU announced that they had struck a new bilateral trade and cooperation deal governing the future relationship between the UK and the EU (the “EU-UK Trade and Cooperation Agreement”) which was formally approved by the 27 member states of the EU on December 29, 2020. The EU-UK Trade and Cooperation Agreement was formally approved by the UK parliament on December 30, 2020 and is being applied provisionally until it is formally ratified by the EU parliament.</w:t>
      </w:r>
    </w:p>
    <w:p>
      <w:pPr>
        <w:spacing w:after="0" w:line="121" w:lineRule="exact"/>
        <w:rPr>
          <w:rFonts w:ascii="Times New Roman" w:cs="Times New Roman" w:eastAsia="Times New Roman" w:hAnsi="Times New Roman"/>
          <w:sz w:val="12"/>
          <w:szCs w:val="12"/>
          <w:color w:val="auto"/>
        </w:rPr>
      </w:pPr>
    </w:p>
    <w:p>
      <w:pPr>
        <w:ind w:left="1460" w:right="20"/>
        <w:spacing w:after="0" w:line="25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EU-UK Trade and Cooperation Agreement provides some clarity regarding the future relationship between the UK and the EU including some detailed matters of trade and cooperation, but there remain uncertainties related to Brexit and the new relationship between the UK and EU that will continue to be developed and defined, as well as uncertainties related to the wider trading, legal, regulatory, tax and labor environments, and the resulting impact on our business and that of our clients. Because we have significant operations in Europe and certain members of our senior management team are based in London, any of these uncertainties could increase our costs of doing business, or in some cases, affect our ability to do business, which could have a material adverse effect on our business, financial condition or results of operations.</w:t>
      </w:r>
    </w:p>
    <w:p>
      <w:pPr>
        <w:spacing w:after="0" w:line="51" w:lineRule="exact"/>
        <w:rPr>
          <w:rFonts w:ascii="Times New Roman" w:cs="Times New Roman" w:eastAsia="Times New Roman" w:hAnsi="Times New Roman"/>
          <w:sz w:val="12"/>
          <w:szCs w:val="12"/>
          <w:color w:val="auto"/>
        </w:rPr>
      </w:pPr>
    </w:p>
    <w:p>
      <w:pPr>
        <w:ind w:left="1460" w:right="80" w:hanging="442"/>
        <w:spacing w:after="0" w:line="258" w:lineRule="auto"/>
        <w:tabs>
          <w:tab w:leader="none" w:pos="146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Regulation Affecting Benchmarks. </w:t>
      </w:r>
      <w:r>
        <w:rPr>
          <w:rFonts w:ascii="Times New Roman" w:cs="Times New Roman" w:eastAsia="Times New Roman" w:hAnsi="Times New Roman"/>
          <w:sz w:val="12"/>
          <w:szCs w:val="12"/>
          <w:color w:val="auto"/>
        </w:rPr>
        <w:t>Compliance efforts associated with regulations affecting benchmarks or their uses and any related technical standards and guidance could have a negative impact on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 and results of operations. In particular, compliance could lead to a change in our business practices, product offerings and/or our ability to offer indexes in certain jurisdictions, including the EU, including without limitation, by increasing our costs of doing business, including direct costs paid to regulators, diminishing our intellectual property rights, impacting the fees we can charge for our indexes, imposing constraints on our ability to meet contractual commitments to our data providers, imposing constraints on how we offer our products or causing our data providers to refuse to provide data to us, any of which could have a material adverse effect on our index products.</w:t>
      </w:r>
    </w:p>
    <w:p>
      <w:pPr>
        <w:spacing w:after="0" w:line="124" w:lineRule="exact"/>
        <w:rPr>
          <w:rFonts w:ascii="Times New Roman" w:cs="Times New Roman" w:eastAsia="Times New Roman" w:hAnsi="Times New Roman"/>
          <w:sz w:val="12"/>
          <w:szCs w:val="12"/>
          <w:color w:val="auto"/>
        </w:rPr>
      </w:pPr>
    </w:p>
    <w:p>
      <w:pPr>
        <w:ind w:left="1460"/>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example, the benchmark industry is subject to regulations in the EU, such as Regulation (EU) 2016/1011 (as amended) and Regulation (EU) No 600/2014, as well as increased scrutiny and potential new or increased regulation in various other jurisdictions. Additionally, the European Securities and Markets Authority (“ESMA”) issues guidance from time to time regarding interpretations of the benchmark regulation. The ESMA Guidelines on ETFs and other UCITS Issues limit the types of indexes that can be used as the basis of Undertakings for Collective Investment in Transferable Securities (“UCITS”) funds and require, among other things, index constituents, together with their respective weightings, to be made easily accessible free of charge, such as via the internet, to investors and prospective investors on a delayed and periodic basis. The International Organization of Securities Commissions (“IOSCO”) recommends that benchmark administrators, on a voluntary basis, publicly disclose whether they comply with the principles for financial benchmarks published by IOSCO. Other jurisdictions have also indicated they may consider potential benchmark regulation. The heightened attention and scrutiny on benchmarks and index providers by regulators,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25" w:name="page26"/>
    <w:bookmarkEnd w:id="25"/>
    <w:p>
      <w:pPr>
        <w:ind w:left="1460" w:right="220"/>
        <w:spacing w:after="0" w:line="279" w:lineRule="auto"/>
        <w:rPr>
          <w:sz w:val="20"/>
          <w:szCs w:val="20"/>
          <w:color w:val="auto"/>
        </w:rPr>
      </w:pPr>
      <w:r>
        <w:rPr>
          <w:rFonts w:ascii="Times New Roman" w:cs="Times New Roman" w:eastAsia="Times New Roman" w:hAnsi="Times New Roman"/>
          <w:sz w:val="12"/>
          <w:szCs w:val="12"/>
          <w:color w:val="auto"/>
        </w:rPr>
        <w:t>policymakers and the media in the EU, the U.S. and other jurisdictions around the world could result in negative publicity or comments about the role or influence of our company or the index industry generally, which could harm our reputation and credibility.</w:t>
      </w:r>
    </w:p>
    <w:p>
      <w:pPr>
        <w:spacing w:after="0" w:line="111" w:lineRule="exact"/>
        <w:rPr>
          <w:sz w:val="20"/>
          <w:szCs w:val="20"/>
          <w:color w:val="auto"/>
        </w:rPr>
      </w:pPr>
    </w:p>
    <w:p>
      <w:pPr>
        <w:ind w:left="1460" w:right="120"/>
        <w:spacing w:after="0" w:line="279" w:lineRule="auto"/>
        <w:rPr>
          <w:sz w:val="20"/>
          <w:szCs w:val="20"/>
          <w:color w:val="auto"/>
        </w:rPr>
      </w:pPr>
      <w:r>
        <w:rPr>
          <w:rFonts w:ascii="Times New Roman" w:cs="Times New Roman" w:eastAsia="Times New Roman" w:hAnsi="Times New Roman"/>
          <w:sz w:val="12"/>
          <w:szCs w:val="12"/>
          <w:color w:val="auto"/>
        </w:rPr>
        <w:t>Further, laws, rules, regulations and orders affecting users of our indexes can have an indirect impact on our indexes, including their construction and composition, such as sanctions that prohibit users of our indexes from investing or transacting in securities included in our indexes.</w:t>
      </w:r>
    </w:p>
    <w:p>
      <w:pPr>
        <w:spacing w:after="0" w:line="37" w:lineRule="exact"/>
        <w:rPr>
          <w:sz w:val="20"/>
          <w:szCs w:val="20"/>
          <w:color w:val="auto"/>
        </w:rPr>
      </w:pPr>
    </w:p>
    <w:p>
      <w:pPr>
        <w:ind w:left="1460" w:right="80" w:hanging="442"/>
        <w:spacing w:after="0" w:line="255" w:lineRule="auto"/>
        <w:tabs>
          <w:tab w:leader="none" w:pos="14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Data Privacy Legislation. </w:t>
      </w:r>
      <w:r>
        <w:rPr>
          <w:rFonts w:ascii="Times New Roman" w:cs="Times New Roman" w:eastAsia="Times New Roman" w:hAnsi="Times New Roman"/>
          <w:sz w:val="12"/>
          <w:szCs w:val="12"/>
          <w:color w:val="auto"/>
        </w:rPr>
        <w:t>Changes in laws, rules or regulations, or consumer environments relating to privacy or information collection and use may affect our ability to collect, manage, aggregate, store,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transfer and use personal data. There could be a material adverse impact on our direct marketing due to the enactment of legislation or industry regulations, or simply a change in practices, arising from public concern over privacy issues. Restrictions or bans could be placed upon the collection, management, aggregation, storage, transfer and use of information that is currently legally available, in which case our costs related to handling information could increase materially. For example, California passed the California Consumer Privacy Act (“CCPA”), which took effect on January 1, 2020. The CCPA regulates the processing of personal data of all Californians and imposes significant penalties for non-compliance. The European General Data Protection Regulation imposes enhanced operational requirements for companies that receive or process personal data of residents of the EU and includes significant penalties for non-compliance. In Japan, the Act on the Protection of Personal Information (“APPI”) regulates the use of personal information and personal data of “data subjects” for business purposes without regard to whether such use is within Japan. In addition, other jurisdictions, including China and India, are considering imposing or have already imposed additional restrictions.</w:t>
      </w:r>
    </w:p>
    <w:p>
      <w:pPr>
        <w:spacing w:after="0" w:line="51" w:lineRule="exact"/>
        <w:rPr>
          <w:rFonts w:ascii="Times New Roman" w:cs="Times New Roman" w:eastAsia="Times New Roman" w:hAnsi="Times New Roman"/>
          <w:sz w:val="12"/>
          <w:szCs w:val="12"/>
          <w:color w:val="auto"/>
        </w:rPr>
      </w:pPr>
    </w:p>
    <w:p>
      <w:pPr>
        <w:ind w:left="1460" w:right="40" w:hanging="442"/>
        <w:spacing w:after="0" w:line="257" w:lineRule="auto"/>
        <w:tabs>
          <w:tab w:leader="none" w:pos="14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Investment Advisers Act. </w:t>
      </w:r>
      <w:r>
        <w:rPr>
          <w:rFonts w:ascii="Times New Roman" w:cs="Times New Roman" w:eastAsia="Times New Roman" w:hAnsi="Times New Roman"/>
          <w:sz w:val="12"/>
          <w:szCs w:val="12"/>
          <w:color w:val="auto"/>
        </w:rPr>
        <w:t>Except with respect to certain products provided by MSCI ESG Research LLC and certain of its designated foreign affiliates, we believe that our products and services do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constitute or provide investment advice as contemplated by the Advisers Act. The Advisers Act imposes fiduciary duties, recordkeeping and reporting requirements, disclosure requirements, limitations on agency and principal transactions between an adviser and advisory clients, as well as general anti-fraud prohibitions. Future developments in our product lines or changes to current laws, rules, regulations or interpretations could cause this status to change, requiring other entities in our corporate family to register as investment advisers under the Advisers Act or comply with similar laws or requirements in states or foreign jurisdictions. Certain regulators in the U.S., for example, have commented publicly on whether index providers, in some cases, are or should be subject to the Advisers Act. See Part I, Item 1. “Business—Government Regulation” above for information about similar regulations in other countries.</w:t>
      </w:r>
    </w:p>
    <w:p>
      <w:pPr>
        <w:spacing w:after="0" w:line="141"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In some instances, in connection with the provision of data and services, we have incurred additional costs to implement processes and systems at the request of our clients to ensure that the products and services that they in turn provide to their clients using our data are compliant with the financial regulations to which our clients may be subject. For example, a U.S. Executive Order prohibiting many of our clients from transacting in the securities of certain Chinese companies resulted in our decision to remove these companies from relevant indexes in order to support our clients’ needs that our indexes meet their objective to be replicable in investment portfolios. To the extent that our clients are subject to increased regulation, we may be indirectly impacted and could incur increased costs that could have a negative impact on the profitability of certain products.</w:t>
      </w:r>
    </w:p>
    <w:p>
      <w:pPr>
        <w:spacing w:after="0" w:line="140" w:lineRule="exact"/>
        <w:rPr>
          <w:sz w:val="20"/>
          <w:szCs w:val="20"/>
          <w:color w:val="auto"/>
        </w:rPr>
      </w:pPr>
    </w:p>
    <w:p>
      <w:pPr>
        <w:ind w:right="460" w:firstLine="592"/>
        <w:spacing w:after="0" w:line="279" w:lineRule="auto"/>
        <w:rPr>
          <w:sz w:val="20"/>
          <w:szCs w:val="20"/>
          <w:color w:val="auto"/>
        </w:rPr>
      </w:pPr>
      <w:r>
        <w:rPr>
          <w:rFonts w:ascii="Times New Roman" w:cs="Times New Roman" w:eastAsia="Times New Roman" w:hAnsi="Times New Roman"/>
          <w:sz w:val="12"/>
          <w:szCs w:val="12"/>
          <w:color w:val="auto"/>
        </w:rPr>
        <w:t>Additionally, there has been increased attention on and scrutiny of index and ESG ratings providers by politicians, regulators, policymakers and the media, which could create negative publicity that could harm our reputation or credibility as well as result in new or additional regulation that could increase our costs and have a negative impact on profitability.</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Legal protections for our intellectual property rights and other rights may not be sufficient or available to protect our competitive advantages. Third parties may infringe on our intellectual property rights or we may infringe upon their intellectual property rights, which, in each case, could have a material adverse effect on our business, financial condition or results of operations.</w:t>
      </w:r>
    </w:p>
    <w:p>
      <w:pPr>
        <w:spacing w:after="0" w:line="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We consider many aspects of our products and services to be proprietary. We rely primarily on a combination of trade secrets, patents, copyrights and trademark rights, as well as technical measures and contractual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protections,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sectPr>
      </w:pPr>
    </w:p>
    <w:bookmarkStart w:id="26" w:name="page27"/>
    <w:bookmarkEnd w:id="26"/>
    <w:p>
      <w:pPr>
        <w:ind w:right="60"/>
        <w:spacing w:after="0" w:line="279" w:lineRule="auto"/>
        <w:rPr>
          <w:sz w:val="20"/>
          <w:szCs w:val="20"/>
          <w:color w:val="auto"/>
        </w:rPr>
      </w:pPr>
      <w:r>
        <w:rPr>
          <w:rFonts w:ascii="Times New Roman" w:cs="Times New Roman" w:eastAsia="Times New Roman" w:hAnsi="Times New Roman"/>
          <w:sz w:val="12"/>
          <w:szCs w:val="12"/>
          <w:color w:val="auto"/>
        </w:rPr>
        <w:t>such as non-disclosure obligations, to protect our products and services. Despite our best efforts, we cannot be certain that the steps we have taken to protect our intellectual property rights, and the rights of those from whom we license intellectual property, are adequate to prevent unauthorized use, misappropriation, distribution or theft of our intellectual property.</w:t>
      </w:r>
    </w:p>
    <w:p>
      <w:pPr>
        <w:spacing w:after="0" w:line="111" w:lineRule="exact"/>
        <w:rPr>
          <w:sz w:val="20"/>
          <w:szCs w:val="20"/>
          <w:color w:val="auto"/>
        </w:rPr>
      </w:pPr>
    </w:p>
    <w:p>
      <w:pPr>
        <w:ind w:right="300" w:firstLine="592"/>
        <w:spacing w:after="0" w:line="265" w:lineRule="auto"/>
        <w:rPr>
          <w:sz w:val="20"/>
          <w:szCs w:val="20"/>
          <w:color w:val="auto"/>
        </w:rPr>
      </w:pPr>
      <w:r>
        <w:rPr>
          <w:rFonts w:ascii="Times New Roman" w:cs="Times New Roman" w:eastAsia="Times New Roman" w:hAnsi="Times New Roman"/>
          <w:sz w:val="12"/>
          <w:szCs w:val="12"/>
          <w:color w:val="auto"/>
        </w:rPr>
        <w:t>Intellectual property laws in various jurisdictions in which we operate are subject to change at any time and could further restrict our ability to protect our intellectual property rights. The enforceability of intellectual property rights and obligations under our agreements, as well as the availability of remedies in the event of a breach, may vary due to the different jurisdictions in which our clients and employees are located. Failure to protect the Company’s intellectual property adequately could harm its brand and reputation and affect the Company’s ability to compete effectively.</w:t>
      </w:r>
    </w:p>
    <w:p>
      <w:pPr>
        <w:spacing w:after="0" w:line="119" w:lineRule="exact"/>
        <w:rPr>
          <w:sz w:val="20"/>
          <w:szCs w:val="20"/>
          <w:color w:val="auto"/>
        </w:rPr>
      </w:pPr>
    </w:p>
    <w:p>
      <w:pPr>
        <w:ind w:firstLine="592"/>
        <w:spacing w:after="0" w:line="265" w:lineRule="auto"/>
        <w:rPr>
          <w:sz w:val="20"/>
          <w:szCs w:val="20"/>
          <w:color w:val="auto"/>
        </w:rPr>
      </w:pPr>
      <w:r>
        <w:rPr>
          <w:rFonts w:ascii="Times New Roman" w:cs="Times New Roman" w:eastAsia="Times New Roman" w:hAnsi="Times New Roman"/>
          <w:sz w:val="12"/>
          <w:szCs w:val="12"/>
          <w:color w:val="auto"/>
        </w:rPr>
        <w:t>There is no guarantee that any intellectual property rights that we may obtain will protect our competitive advantages, nor is there any assurance that our competitors will not infringe upon our rights. Furthermore, our competitors may independently develop and patent or otherwise protect products and services that are the same or similar to ours. We may be unable to detect the unauthorized use or disclosure of our intellectual property or confidential information, or to take the necessary steps to enforce our rights. In addition, our products and services, or third-party products that we provide to our clients, could infringe upon the intellectual property rights of others.</w:t>
      </w:r>
    </w:p>
    <w:p>
      <w:pPr>
        <w:spacing w:after="0" w:line="119" w:lineRule="exact"/>
        <w:rPr>
          <w:sz w:val="20"/>
          <w:szCs w:val="20"/>
          <w:color w:val="auto"/>
        </w:rPr>
      </w:pPr>
    </w:p>
    <w:p>
      <w:pPr>
        <w:ind w:right="20" w:firstLine="592"/>
        <w:spacing w:after="0" w:line="256" w:lineRule="auto"/>
        <w:rPr>
          <w:sz w:val="20"/>
          <w:szCs w:val="20"/>
          <w:color w:val="auto"/>
        </w:rPr>
      </w:pPr>
      <w:r>
        <w:rPr>
          <w:rFonts w:ascii="Times New Roman" w:cs="Times New Roman" w:eastAsia="Times New Roman" w:hAnsi="Times New Roman"/>
          <w:sz w:val="12"/>
          <w:szCs w:val="12"/>
          <w:color w:val="auto"/>
        </w:rPr>
        <w:t>Pursuing intellectual property claims to preserve our intellectual property rights or responding to intellectual property claims, regardless of merit, can consume valuable time, and result in costly litigation or delays, and there is no guarantee that the Company will be successful. From time to time, we receive claims or notices from third parties alleging infringement or potential infringement of their intellectual property rights; and the number of these claims may grow. These intellectual property claims would likely be costly to defend and could require us to pay damages, limit our future use of certain technologies, harm our brand and reputation, significantly increase our costs and prevent us from offering some services or products. We may need to settle such claims on unfavorable terms, pay damages, stop providing or using the affected products or services or enter into royalty and licensing agreements, which may include terms that are not commercially acceptable to us. From time to time we receive notices calling upon us to defend partners, clients, suppliers or distributors against third-party claims under indemnification clauses in our contracts. If any of these risks materialize, they could have a material adverse effect on our business, financial condition or results of operations.</w:t>
      </w:r>
    </w:p>
    <w:p>
      <w:pPr>
        <w:spacing w:after="0" w:line="125" w:lineRule="exact"/>
        <w:rPr>
          <w:sz w:val="20"/>
          <w:szCs w:val="20"/>
          <w:color w:val="auto"/>
        </w:rPr>
      </w:pPr>
    </w:p>
    <w:p>
      <w:pPr>
        <w:ind w:right="40" w:firstLine="592"/>
        <w:spacing w:after="0" w:line="257" w:lineRule="auto"/>
        <w:rPr>
          <w:sz w:val="20"/>
          <w:szCs w:val="20"/>
          <w:color w:val="auto"/>
        </w:rPr>
      </w:pPr>
      <w:r>
        <w:rPr>
          <w:rFonts w:ascii="Times New Roman" w:cs="Times New Roman" w:eastAsia="Times New Roman" w:hAnsi="Times New Roman"/>
          <w:sz w:val="12"/>
          <w:szCs w:val="12"/>
          <w:color w:val="auto"/>
        </w:rPr>
        <w:t>There have been a number of lawsuits in multiple jurisdictions, including in the U.S. and Germany, regarding whether issuers of indexed investment products are required to obtain a license from the index owner or whether issuers may issue investment products based on publicly-available index level data without obtaining permission from (or making payment to) the index owner. The outcome of these cases depends on a number of factors, including the governing law, the amount of information about the index available without a license and the other particular facts and circumstances of the cases. In some instances, the results have been unfavorable to the index owner. If courts or regulators or other governmental bodies in relevant jurisdictions determine that a license is not required to issue investment products linked to indexes, this could have a material adverse effect on our business, financial condition or results of operations. It might also lead to changes in current industry practices such that we would no longer make our index level data publicly available, such as via our website or news media, on a timely basis.</w:t>
      </w:r>
    </w:p>
    <w:p>
      <w:pPr>
        <w:spacing w:after="0" w:line="125" w:lineRule="exact"/>
        <w:rPr>
          <w:sz w:val="20"/>
          <w:szCs w:val="20"/>
          <w:color w:val="auto"/>
        </w:rPr>
      </w:pPr>
    </w:p>
    <w:p>
      <w:pPr>
        <w:ind w:right="120" w:firstLine="592"/>
        <w:spacing w:after="0" w:line="279" w:lineRule="auto"/>
        <w:rPr>
          <w:sz w:val="20"/>
          <w:szCs w:val="20"/>
          <w:color w:val="auto"/>
        </w:rPr>
      </w:pPr>
      <w:r>
        <w:rPr>
          <w:rFonts w:ascii="Times New Roman" w:cs="Times New Roman" w:eastAsia="Times New Roman" w:hAnsi="Times New Roman"/>
          <w:sz w:val="12"/>
          <w:szCs w:val="12"/>
          <w:color w:val="auto"/>
        </w:rPr>
        <w:t>Some of our products and services help our clients to meet their regulatory requirements. Changes to regulatory requirements may obviate the need for these products or services or may cause us to invest in enhancing the products or services to help our clients meet the new regulatory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Financial Risks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revenues, expenses, assets and liabilities are subject to foreign currency exchange rate fluctuation risk.</w:t>
      </w:r>
    </w:p>
    <w:p>
      <w:pPr>
        <w:spacing w:after="0" w:line="82" w:lineRule="exact"/>
        <w:rPr>
          <w:sz w:val="20"/>
          <w:szCs w:val="20"/>
          <w:color w:val="auto"/>
        </w:rPr>
      </w:pPr>
    </w:p>
    <w:p>
      <w:pPr>
        <w:ind w:right="20" w:firstLine="592"/>
        <w:spacing w:after="0" w:line="265" w:lineRule="auto"/>
        <w:rPr>
          <w:sz w:val="20"/>
          <w:szCs w:val="20"/>
          <w:color w:val="auto"/>
        </w:rPr>
      </w:pPr>
      <w:r>
        <w:rPr>
          <w:rFonts w:ascii="Times New Roman" w:cs="Times New Roman" w:eastAsia="Times New Roman" w:hAnsi="Times New Roman"/>
          <w:sz w:val="12"/>
          <w:szCs w:val="12"/>
          <w:color w:val="auto"/>
        </w:rPr>
        <w:t>We are subject to foreign currency exchange rate fluctuation risk. Exchange rate movements can impact the U.S. dollar reported value of our revenues, expenses, assets and liabilities denominated in non-U.S. dollar currencies or where the currency of such items is different than the functional currency of the entity where these items were recorded. Additionally, the value of assets in indexed investment products can fluctuate significantly over short periods of time and such volatility may be further impacted by fluctuations in foreign currency exchange rates.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45" w:right="299" w:bottom="1440" w:gutter="0" w:footer="0" w:header="0"/>
        </w:sectPr>
      </w:pPr>
    </w:p>
    <w:bookmarkStart w:id="27" w:name="page28"/>
    <w:bookmarkEnd w:id="27"/>
    <w:p>
      <w:pPr>
        <w:ind w:right="40" w:firstLine="592"/>
        <w:spacing w:after="0" w:line="279" w:lineRule="auto"/>
        <w:rPr>
          <w:sz w:val="20"/>
          <w:szCs w:val="20"/>
          <w:color w:val="auto"/>
        </w:rPr>
      </w:pPr>
      <w:r>
        <w:rPr>
          <w:rFonts w:ascii="Times New Roman" w:cs="Times New Roman" w:eastAsia="Times New Roman" w:hAnsi="Times New Roman"/>
          <w:sz w:val="12"/>
          <w:szCs w:val="12"/>
          <w:color w:val="auto"/>
        </w:rPr>
        <w:t>We manage certain of our foreign currency exchange rate risk, in part, through the use of derivative financial instruments comprised principally of forward contracts on foreign currency which are not designated as hedging instruments for accounting purposes. Any derivative financial instruments that we are currently party to or may enter into in the future may not be successful, resulting in an adverse impact on our results of operations.</w:t>
      </w:r>
    </w:p>
    <w:p>
      <w:pPr>
        <w:spacing w:after="0" w:line="111" w:lineRule="exact"/>
        <w:rPr>
          <w:sz w:val="20"/>
          <w:szCs w:val="20"/>
          <w:color w:val="auto"/>
        </w:rPr>
      </w:pPr>
    </w:p>
    <w:p>
      <w:pPr>
        <w:ind w:right="80" w:firstLine="592"/>
        <w:spacing w:after="0" w:line="256" w:lineRule="auto"/>
        <w:rPr>
          <w:sz w:val="20"/>
          <w:szCs w:val="20"/>
          <w:color w:val="auto"/>
        </w:rPr>
      </w:pPr>
      <w:r>
        <w:rPr>
          <w:rFonts w:ascii="Times New Roman" w:cs="Times New Roman" w:eastAsia="Times New Roman" w:hAnsi="Times New Roman"/>
          <w:sz w:val="12"/>
          <w:szCs w:val="12"/>
          <w:color w:val="auto"/>
        </w:rPr>
        <w:t>To the extent that our international activities recorded in local currencies increase or decrease in the future, our exposure to fluctuations in foreign currency exchange rates may correspondingly increase or decrease and could have a material adverse effect on our business, financial condition or results of operations. In addition, Brexit has caused, and may continue to cause, significant volatility in currency exchange rates, especially between the U.S. dollar and the British pound sterling. A weaker British pound sterling means that revenues earned in British pound sterling translate to lower reported U.S. dollar revenues. A weaker British pound sterling also means that expenses incurred in British pound sterling translate to lower reported U.S. dollar expenses. A weaker British pound sterling could also impair the purchasing power of certain clients and could result in decreased demand for our products and services. A fall in the British pound sterling relative to the U.S. dollar, and the strengthening of the U.S. dollar relative to a number of currencies including the British pound sterling, could have significant impacts on our business, financial condition or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indebtedness could materially adversely affect our cash flows and financial flexibility.</w:t>
      </w:r>
    </w:p>
    <w:p>
      <w:pPr>
        <w:spacing w:after="0" w:line="154" w:lineRule="exact"/>
        <w:rPr>
          <w:sz w:val="20"/>
          <w:szCs w:val="20"/>
          <w:color w:val="auto"/>
        </w:rPr>
      </w:pPr>
    </w:p>
    <w:p>
      <w:pPr>
        <w:ind w:right="180" w:firstLine="592"/>
        <w:spacing w:after="0" w:line="255" w:lineRule="auto"/>
        <w:rPr>
          <w:sz w:val="20"/>
          <w:szCs w:val="20"/>
          <w:color w:val="auto"/>
        </w:rPr>
      </w:pPr>
      <w:r>
        <w:rPr>
          <w:rFonts w:ascii="Times New Roman" w:cs="Times New Roman" w:eastAsia="Times New Roman" w:hAnsi="Times New Roman"/>
          <w:sz w:val="12"/>
          <w:szCs w:val="12"/>
          <w:color w:val="auto"/>
        </w:rPr>
        <w:t>For an overview of our current outstanding indebtedness and history of our offerings, see “Management’s Discussion and Analysis of Financial Condition and Results of Operations” below. Although we believe that our cash flows will be sufficient to service our outstanding indebtedness, we cannot provide assurance that we will generate and maintain cash flows sufficient to permit us to pay the principal, premium, if any, and interest on our indebtedness. Our ability to make payments on indebtedness and to fund planned capital expenditures depends on our ability to generate and access cash in the future, which, in turn, is subject to general economic, financial, competitive, regulatory and other factors, many of which are beyond our control. If we are unable to pay our obligations as they mature, we may need to refinance all or a portion of our indebtedness on or before maturity. If we are unable to secure additional financing on terms favorable or acceptable to us or at all, we could also be forced to sell assets to make up for any shortfall in our payment obligations. The restrictive covenants in our debt agreements, however, limit our and our subsidiaries’ ability to sell assets and also restrict the use of proceeds from such a sale. If we cannot refinance or otherwise pay our obligations as they mature and fund our liquidity needs, our business, financial condition, results of operations, cash flows, liquidity, ability to obtain financing and ability to compete in our industry could be materially adversely affected.</w:t>
      </w:r>
    </w:p>
    <w:p>
      <w:pPr>
        <w:spacing w:after="0" w:line="126" w:lineRule="exact"/>
        <w:rPr>
          <w:sz w:val="20"/>
          <w:szCs w:val="20"/>
          <w:color w:val="auto"/>
        </w:rPr>
      </w:pPr>
    </w:p>
    <w:p>
      <w:pPr>
        <w:ind w:right="140" w:firstLine="592"/>
        <w:spacing w:after="0" w:line="265" w:lineRule="auto"/>
        <w:rPr>
          <w:sz w:val="20"/>
          <w:szCs w:val="20"/>
          <w:color w:val="auto"/>
        </w:rPr>
      </w:pPr>
      <w:r>
        <w:rPr>
          <w:rFonts w:ascii="Times New Roman" w:cs="Times New Roman" w:eastAsia="Times New Roman" w:hAnsi="Times New Roman"/>
          <w:sz w:val="12"/>
          <w:szCs w:val="12"/>
          <w:color w:val="auto"/>
        </w:rPr>
        <w:t>We may need or want to refinance our existing debt or incur additional debt from time to time to finance working capital, capital expenditures, investments or acquisitions, or for other purposes. If we do so, we may be subject to less favorable terms. The risks related to our level of indebtedness could also intensify, including by making it difficult for us to optimally capitalize and manage the cash flow for our business or placing us at a competitive disadvantage compared to our competitors that have less indebtedness.</w:t>
      </w:r>
    </w:p>
    <w:p>
      <w:pPr>
        <w:spacing w:after="0" w:line="119" w:lineRule="exact"/>
        <w:rPr>
          <w:sz w:val="20"/>
          <w:szCs w:val="20"/>
          <w:color w:val="auto"/>
        </w:rPr>
      </w:pPr>
    </w:p>
    <w:p>
      <w:pPr>
        <w:jc w:val="both"/>
        <w:ind w:right="140" w:firstLine="592"/>
        <w:spacing w:after="0" w:line="265" w:lineRule="auto"/>
        <w:rPr>
          <w:sz w:val="20"/>
          <w:szCs w:val="20"/>
          <w:color w:val="auto"/>
        </w:rPr>
      </w:pPr>
      <w:r>
        <w:rPr>
          <w:rFonts w:ascii="Times New Roman" w:cs="Times New Roman" w:eastAsia="Times New Roman" w:hAnsi="Times New Roman"/>
          <w:sz w:val="12"/>
          <w:szCs w:val="12"/>
          <w:color w:val="auto"/>
        </w:rPr>
        <w:t>Furthermore, the terms of our debt agreements include restrictive covenants that limit, among other things, our and our existing and future subsidiaries’ financial flexibility. If we are unable to comply with the restrictions and covenants in our debt agreements, there could be a default that, in some cases, if continuing, could result in the accelerated payment of our debt obligations or the termination of borrowing commitments on the part of the lenders under our Revolving Credit Facility.</w:t>
      </w:r>
    </w:p>
    <w:p>
      <w:pPr>
        <w:spacing w:after="0" w:line="119" w:lineRule="exact"/>
        <w:rPr>
          <w:sz w:val="20"/>
          <w:szCs w:val="20"/>
          <w:color w:val="auto"/>
        </w:rPr>
      </w:pPr>
    </w:p>
    <w:p>
      <w:pPr>
        <w:ind w:firstLine="592"/>
        <w:spacing w:after="0" w:line="255" w:lineRule="auto"/>
        <w:rPr>
          <w:sz w:val="20"/>
          <w:szCs w:val="20"/>
          <w:color w:val="auto"/>
        </w:rPr>
      </w:pPr>
      <w:r>
        <w:rPr>
          <w:rFonts w:ascii="Times New Roman" w:cs="Times New Roman" w:eastAsia="Times New Roman" w:hAnsi="Times New Roman"/>
          <w:sz w:val="12"/>
          <w:szCs w:val="12"/>
          <w:color w:val="auto"/>
        </w:rPr>
        <w:t>In 2017, the U.K. Financial Conduct Authority (the “FCA”), which regulates London Interbank Offered Rate (“LIBOR”), announced that the FCA will no longer persuade or compel banks to submit rates for the calculation of the LIBOR benchmark after 2021. This announcement indicates that the continuation of LIBOR on the current basis cannot be guaranteed after 2021, and it appears highly likely that LIBOR will be discontinued or modified by the end of 2021, and although alternative reference rates have been proposed, it is unknown whether they will attain market acceptance as replacements of LIBOR. At this time, it is not possible to predict the effect that these developments, any discontinuance, modification or other reforms to LIBOR or any other reference rate, or the establishment of alternative reference rates may have on LIBOR, other benchmarks or floating rate debt instruments, including borrowings under the Credit Agreement, dated as of November 20, 2014, by and among the Company, the guarantors party thereto, JPMorgan Chase Bank, N.A., as administrative agent and the lenders from time to time party thereto, as amended, supplemented, modified or amended and restated from time to time (as amended, the “Revolving Credit Facility”). The use of alternative reference rates or other reforms could cause the interest rate calculated for such borrowings to increase or otherwise fail to correlate over time with the interest rates and/or</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17" w:right="339" w:bottom="1440" w:gutter="0" w:footer="0" w:header="0"/>
        </w:sectPr>
      </w:pPr>
    </w:p>
    <w:bookmarkStart w:id="28" w:name="page29"/>
    <w:bookmarkEnd w:id="28"/>
    <w:p>
      <w:pPr>
        <w:ind w:right="20"/>
        <w:spacing w:after="0" w:line="257" w:lineRule="auto"/>
        <w:rPr>
          <w:sz w:val="20"/>
          <w:szCs w:val="20"/>
          <w:color w:val="auto"/>
        </w:rPr>
      </w:pPr>
      <w:r>
        <w:rPr>
          <w:rFonts w:ascii="Times New Roman" w:cs="Times New Roman" w:eastAsia="Times New Roman" w:hAnsi="Times New Roman"/>
          <w:sz w:val="12"/>
          <w:szCs w:val="12"/>
          <w:color w:val="auto"/>
        </w:rPr>
        <w:t>payments that would have been made on our obligations if LIBOR was available in its current form, or have other adverse effects on us. To address the transition away from LIBOR, our Revolving Credit Facility provides for a process to amend our Revolving Credit Facility to substitute LIBOR with a replacement rate under certain circumstances. However, there is no guarantee that any such amendment for a replacement rate would become effective, and in the event that such amendment does not become effective, we may be required to pay a rate of interest higher than expected on any amounts owed under our Revolving Credit Facility. As of December 31, 2020, there were no amounts outstanding under our Revolving Credit Facility. If we were to incur any variable rate indebtedness under our Revolving Credit Facility, we would be subject to interest rate risk generally, which could cause our debt service obligations to increase significantly.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change in our credit ratings could materially adversely affect our financial condition.</w:t>
      </w:r>
    </w:p>
    <w:p>
      <w:pPr>
        <w:spacing w:after="0" w:line="154" w:lineRule="exact"/>
        <w:rPr>
          <w:sz w:val="20"/>
          <w:szCs w:val="20"/>
          <w:color w:val="auto"/>
        </w:rPr>
      </w:pPr>
    </w:p>
    <w:p>
      <w:pPr>
        <w:ind w:right="60" w:firstLine="592"/>
        <w:spacing w:after="0" w:line="260" w:lineRule="auto"/>
        <w:rPr>
          <w:sz w:val="20"/>
          <w:szCs w:val="20"/>
          <w:color w:val="auto"/>
        </w:rPr>
      </w:pPr>
      <w:r>
        <w:rPr>
          <w:rFonts w:ascii="Times New Roman" w:cs="Times New Roman" w:eastAsia="Times New Roman" w:hAnsi="Times New Roman"/>
          <w:sz w:val="12"/>
          <w:szCs w:val="12"/>
          <w:color w:val="auto"/>
        </w:rPr>
        <w:t>Our credit ratings are not recommendations to buy, sell or hold any of our common stock or outstanding debt. Our outstanding debt under the Senior Notes currently has non-investment grade ratings. Any rating assigned to such debt is subject to ongoing evaluation by the credit rating agencies and could be lowered or withdrawn entirely at any time by either or both agencies if, in the agency’s judgment, future circumstances relating to the basis of the rating so warrant. Such future circumstances include, but are not limited to, adverse changes to our results of operations, financial condition or cash flows, or revisions to our corporate strategy pertaining to capitalization or leverage. Any such downgrade or withdrawal could adversely affect the amount of capital we can access, as well as the terms of any financing we obtain.</w:t>
      </w:r>
    </w:p>
    <w:p>
      <w:pPr>
        <w:spacing w:after="0" w:line="122" w:lineRule="exact"/>
        <w:rPr>
          <w:sz w:val="20"/>
          <w:szCs w:val="20"/>
          <w:color w:val="auto"/>
        </w:rPr>
      </w:pPr>
    </w:p>
    <w:p>
      <w:pPr>
        <w:ind w:right="140" w:firstLine="592"/>
        <w:spacing w:after="0" w:line="265" w:lineRule="auto"/>
        <w:rPr>
          <w:sz w:val="20"/>
          <w:szCs w:val="20"/>
          <w:color w:val="auto"/>
        </w:rPr>
      </w:pPr>
      <w:r>
        <w:rPr>
          <w:rFonts w:ascii="Times New Roman" w:cs="Times New Roman" w:eastAsia="Times New Roman" w:hAnsi="Times New Roman"/>
          <w:sz w:val="12"/>
          <w:szCs w:val="12"/>
          <w:color w:val="auto"/>
        </w:rPr>
        <w:t>In addition, our debt covenants contain certain obligations that are triggered by a change in our credit rating, including obligations to make repurchase offers to the noteholders of our Senior Notes if the following two conditions are met at the time of, or as a result of, a change of control or sale of substantially all of the Company’s assets: (i) the Senior Notes are rated below investment grade by each rating agency that rates the Senior Notes and (ii) the Senior Notes are downgraded by any rating agency.</w:t>
      </w:r>
    </w:p>
    <w:p>
      <w:pPr>
        <w:spacing w:after="0" w:line="119" w:lineRule="exact"/>
        <w:rPr>
          <w:sz w:val="20"/>
          <w:szCs w:val="20"/>
          <w:color w:val="auto"/>
        </w:rPr>
      </w:pPr>
    </w:p>
    <w:p>
      <w:pPr>
        <w:ind w:right="80" w:firstLine="592"/>
        <w:spacing w:after="0" w:line="265" w:lineRule="auto"/>
        <w:rPr>
          <w:sz w:val="20"/>
          <w:szCs w:val="20"/>
          <w:color w:val="auto"/>
        </w:rPr>
      </w:pPr>
      <w:r>
        <w:rPr>
          <w:rFonts w:ascii="Times New Roman" w:cs="Times New Roman" w:eastAsia="Times New Roman" w:hAnsi="Times New Roman"/>
          <w:sz w:val="12"/>
          <w:szCs w:val="12"/>
          <w:color w:val="auto"/>
        </w:rPr>
        <w:t>Any adverse change in our credit rating could have a negative effect on our liquidity and future growth through transactions in which we rely on the ability to receive debt capital at an advantageous cost and on favorable terms. Accordingly, actual or anticipated changes or downgrades to or withdrawal of our credit ratings, including any announcement that our ratings are under review or have been assigned a negative outlook, could result in damage to our brand and reputation and have a material adverse effect on our financial condition, results of operations and cash flows and on the market value of our common stock and outstanding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have exposure to tax liabilities in various jurisdictions. Future changes in tax law could materially affect our tax obligations and effective tax rate.</w:t>
      </w:r>
    </w:p>
    <w:p>
      <w:pPr>
        <w:spacing w:after="0" w:line="154" w:lineRule="exact"/>
        <w:rPr>
          <w:sz w:val="20"/>
          <w:szCs w:val="20"/>
          <w:color w:val="auto"/>
        </w:rPr>
      </w:pPr>
    </w:p>
    <w:p>
      <w:pPr>
        <w:ind w:firstLine="592"/>
        <w:spacing w:after="0" w:line="265" w:lineRule="auto"/>
        <w:rPr>
          <w:sz w:val="20"/>
          <w:szCs w:val="20"/>
          <w:color w:val="auto"/>
        </w:rPr>
      </w:pPr>
      <w:r>
        <w:rPr>
          <w:rFonts w:ascii="Times New Roman" w:cs="Times New Roman" w:eastAsia="Times New Roman" w:hAnsi="Times New Roman"/>
          <w:sz w:val="12"/>
          <w:szCs w:val="12"/>
          <w:color w:val="auto"/>
        </w:rPr>
        <w:t>We are subject to income taxes, as well as non-income or indirect taxes, in the U.S. and various foreign jurisdictions. Significant judgment is required in determining our global provision for income taxes and other tax liabilities. In the ordinary course of a global business, there are many intercompany transactions and calculations where the ultimate tax determination is uncertain. Changes in domestic and international tax laws could negatively impact our overall effective tax rate.</w:t>
      </w:r>
    </w:p>
    <w:p>
      <w:pPr>
        <w:spacing w:after="0" w:line="119" w:lineRule="exact"/>
        <w:rPr>
          <w:sz w:val="20"/>
          <w:szCs w:val="20"/>
          <w:color w:val="auto"/>
        </w:rPr>
      </w:pPr>
    </w:p>
    <w:p>
      <w:pPr>
        <w:jc w:val="both"/>
        <w:ind w:right="100" w:firstLine="592"/>
        <w:spacing w:after="0" w:line="260" w:lineRule="auto"/>
        <w:rPr>
          <w:sz w:val="20"/>
          <w:szCs w:val="20"/>
          <w:color w:val="auto"/>
        </w:rPr>
      </w:pPr>
      <w:r>
        <w:rPr>
          <w:rFonts w:ascii="Times New Roman" w:cs="Times New Roman" w:eastAsia="Times New Roman" w:hAnsi="Times New Roman"/>
          <w:sz w:val="12"/>
          <w:szCs w:val="12"/>
          <w:color w:val="auto"/>
        </w:rPr>
        <w:t>We are regularly under audit by tax authorities. We may be subject to additional tax liabilities as the jurisdictions in which we do business globally are increasingly focused on digital taxes and the treatment of increasingly remote workforces. Although we believe that our tax provisions are reasonable, there can be no assurance that the final determination of tax audits or tax disputes will not be different from what is reflected in our historical income tax provisions and accruals. To the extent we are required to pay amounts in excess of our reserves, such differences could have a material adverse effect on our Consolidated Statement of Income for a particular future period. In addition, an unfavorable tax settlement could require use of our cash and result in an increase in our effective tax rate in the period in which such resolution occurs.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u w:val="single" w:color="auto"/>
          <w:color w:val="auto"/>
        </w:rPr>
        <w:t>General Risks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performance might not be sufficient for us to meet the full-year financial guidance or long-term targets that we provide publicly.</w:t>
      </w:r>
    </w:p>
    <w:p>
      <w:pPr>
        <w:spacing w:after="0" w:line="154" w:lineRule="exact"/>
        <w:rPr>
          <w:sz w:val="20"/>
          <w:szCs w:val="20"/>
          <w:color w:val="auto"/>
        </w:rPr>
      </w:pPr>
    </w:p>
    <w:p>
      <w:pPr>
        <w:jc w:val="both"/>
        <w:ind w:right="180" w:firstLine="592"/>
        <w:spacing w:after="0" w:line="265" w:lineRule="auto"/>
        <w:rPr>
          <w:sz w:val="20"/>
          <w:szCs w:val="20"/>
          <w:color w:val="auto"/>
        </w:rPr>
      </w:pPr>
      <w:r>
        <w:rPr>
          <w:rFonts w:ascii="Times New Roman" w:cs="Times New Roman" w:eastAsia="Times New Roman" w:hAnsi="Times New Roman"/>
          <w:sz w:val="12"/>
          <w:szCs w:val="12"/>
          <w:color w:val="auto"/>
        </w:rPr>
        <w:t>We provide certain full-year financial guidance and long-term targets to the public based upon our assumptions regarding our expected financial performance that may not always prove to be accurate and may vary from actual results. If we fail to meet the full-year financial guidance or achieve the long-term targets that we provide, or if we find it necessary to revise such guidance or targets, the market value of our common stock or other securities could be adversely affected.</w:t>
      </w:r>
    </w:p>
    <w:p>
      <w:pPr>
        <w:spacing w:after="0" w:line="1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growth and profitability may not continue at the same rate as we have experienced in the past for several reasons, including if our operating costs are higher than expected, which could have a material adverse effect on our business, financial condition or results of operations.</w:t>
      </w:r>
    </w:p>
    <w:p>
      <w:pPr>
        <w:spacing w:after="0" w:line="107" w:lineRule="exact"/>
        <w:rPr>
          <w:sz w:val="20"/>
          <w:szCs w:val="20"/>
          <w:color w:val="auto"/>
        </w:rPr>
      </w:pPr>
    </w:p>
    <w:p>
      <w:pPr>
        <w:ind w:right="20" w:firstLine="592"/>
        <w:spacing w:after="0" w:line="256" w:lineRule="auto"/>
        <w:rPr>
          <w:sz w:val="20"/>
          <w:szCs w:val="20"/>
          <w:color w:val="auto"/>
        </w:rPr>
      </w:pPr>
      <w:r>
        <w:rPr>
          <w:rFonts w:ascii="Times New Roman" w:cs="Times New Roman" w:eastAsia="Times New Roman" w:hAnsi="Times New Roman"/>
          <w:sz w:val="12"/>
          <w:szCs w:val="12"/>
          <w:color w:val="auto"/>
        </w:rPr>
        <w:t>We have experienced significant revenue and earnings growth since we began operations. There can be no assurance that we will be able to maintain the levels of growth and profitability that we have experienced in the past. If we experience higher than expected operating costs, including increased compensation costs, regulatory compliance costs, occupancy costs, selling and marketing costs, investments in geographic expansion, market data costs, software license costs, communication costs, travel costs, application development costs, professional fees, costs related to information technology infrastructure, cloud usage and other IT costs, and we cannot adjust to these costs, our operating results may fluctuate significantly or our anticipated profitability may be reduced and our anticipated results of operations and financial position may be materially adversely affected. Additionally, there can be no assurance that we will be as successful in our product development, selling and marketing efforts, or capital return or allocation strategies as we have been in the past, or that such efforts will result in growth or profit margins comparable to those we have experienced in the past.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exposed to liabilities as a result of failure to comply with anti-corruption laws and any determination that we violated these laws could have a material adverse effect on our business.</w:t>
      </w:r>
    </w:p>
    <w:p>
      <w:pPr>
        <w:spacing w:after="0" w:line="154" w:lineRule="exact"/>
        <w:rPr>
          <w:sz w:val="20"/>
          <w:szCs w:val="20"/>
          <w:color w:val="auto"/>
        </w:rPr>
      </w:pPr>
    </w:p>
    <w:p>
      <w:pPr>
        <w:ind w:firstLine="592"/>
        <w:spacing w:after="0" w:line="255" w:lineRule="auto"/>
        <w:rPr>
          <w:sz w:val="20"/>
          <w:szCs w:val="20"/>
          <w:color w:val="auto"/>
        </w:rPr>
      </w:pPr>
      <w:r>
        <w:rPr>
          <w:rFonts w:ascii="Times New Roman" w:cs="Times New Roman" w:eastAsia="Times New Roman" w:hAnsi="Times New Roman"/>
          <w:sz w:val="12"/>
          <w:szCs w:val="12"/>
          <w:color w:val="auto"/>
        </w:rPr>
        <w:t>We are subject to various anti-corruption laws that prohibit improper payments or benefits or offers of payments or benefits to foreign governments and their officials and, in some cases, to employees of a business for the purpose of directing, obtaining or retaining business. We conduct business in countries and regions that are less developed than the U.S. and in some cases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of 1977, as amended (the “FCPA”) and the U.K. Bribery Act 2010. We have implemented safeguards and policies to discourage these practices by our employees and agents. However, our existing safeguards and any future improvements may prove to be less than fully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fines, sanctions, damages or other penalties or costs. Violations of the FCPA or other anti-corruption laws may result in severe criminal or civil sanctions and penalties, damage our brand and reputation and subject us to other liabilities which could have a material adverse effect on our business, results of operations and financial condition.</w:t>
      </w:r>
    </w:p>
    <w:p>
      <w:pPr>
        <w:spacing w:after="0" w:line="1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are unable to successfully identify, execute and realize expected returns and synergies from acquisitions or strategic partnerships or investments, or if we experience integration, financing, or other risks resulting from our acquisitions or strategic partnerships or investments, our financial results may be materially adversely affected.</w:t>
      </w:r>
    </w:p>
    <w:p>
      <w:pPr>
        <w:spacing w:after="0" w:line="107"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An element of our growth strategy is growth through acquisitions, strategic partnerships and investments. Despite our best efforts to continue pursuing such transactions, there can be no assurance that we will be able to identify suitable strategic partners, investment opportunities or candidates for successful acquisition at acceptable terms. Our ability to achieve the expected returns and synergies from our past and future acquisitions, strategic partnerships and investments depends, in part, upon our ability to effectively leverage or integrate the offerings, technology, sales, administrative functions and personnel of these businesses. We cannot provide assurance that we will be successful in integrating acquired businesses, that our acquired businesses will perform at the levels we anticipate or that our strategic partnerships and investments will advance the long-term growth strategy of our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30" w:name="page31"/>
    <w:bookmarkEnd w:id="30"/>
    <w:p>
      <w:pPr>
        <w:ind w:right="40"/>
        <w:spacing w:after="0" w:line="279" w:lineRule="auto"/>
        <w:rPr>
          <w:sz w:val="20"/>
          <w:szCs w:val="20"/>
          <w:color w:val="auto"/>
        </w:rPr>
      </w:pPr>
      <w:r>
        <w:rPr>
          <w:rFonts w:ascii="Times New Roman" w:cs="Times New Roman" w:eastAsia="Times New Roman" w:hAnsi="Times New Roman"/>
          <w:sz w:val="12"/>
          <w:szCs w:val="12"/>
          <w:color w:val="auto"/>
        </w:rPr>
        <w:t>company. Our past and future acquisitions, strategic partnerships and investments may subject us to unanticipated risks or liabilities, including the potential to disrupt our operations. Additionally, strategic partnerships may increase our reliance on third parties, which may result in future disruptions if those partnerships are unsuccessful or discontinued or the content or level of support provided by strategic partners is diminished.</w:t>
      </w:r>
    </w:p>
    <w:p>
      <w:pPr>
        <w:spacing w:after="0" w:line="111" w:lineRule="exact"/>
        <w:rPr>
          <w:sz w:val="20"/>
          <w:szCs w:val="20"/>
          <w:color w:val="auto"/>
        </w:rPr>
      </w:pPr>
    </w:p>
    <w:p>
      <w:pPr>
        <w:jc w:val="both"/>
        <w:ind w:right="120" w:firstLine="592"/>
        <w:spacing w:after="0" w:line="265" w:lineRule="auto"/>
        <w:rPr>
          <w:sz w:val="20"/>
          <w:szCs w:val="20"/>
          <w:color w:val="auto"/>
        </w:rPr>
      </w:pPr>
      <w:r>
        <w:rPr>
          <w:rFonts w:ascii="Times New Roman" w:cs="Times New Roman" w:eastAsia="Times New Roman" w:hAnsi="Times New Roman"/>
          <w:sz w:val="12"/>
          <w:szCs w:val="12"/>
          <w:color w:val="auto"/>
        </w:rPr>
        <w:t>In the event that we experience a high level of acquisition, strategic partnership or investment-related activity within a limited period of time, the probability that certain of these risks would occur would likely increase. In addition, if we are unsuccessful in completing acquisitions of other businesses or assets, executing strategic partnerships or investments, or if such opportunities for expansion do not arise, our brand or reputation could suffer, and our future growth, business, financial condition or results of operations could be materially adversely affected.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goodwill and other intangible assets resulting from our acquisitions could be impaired as a result of future business conditions, requiring us to record substantial write-downs that would reduce our operating income.</w:t>
      </w:r>
    </w:p>
    <w:p>
      <w:pPr>
        <w:spacing w:after="0" w:line="154" w:lineRule="exact"/>
        <w:rPr>
          <w:sz w:val="20"/>
          <w:szCs w:val="20"/>
          <w:color w:val="auto"/>
        </w:rPr>
      </w:pPr>
    </w:p>
    <w:p>
      <w:pPr>
        <w:ind w:right="100" w:firstLine="592"/>
        <w:spacing w:after="0" w:line="260" w:lineRule="auto"/>
        <w:rPr>
          <w:sz w:val="20"/>
          <w:szCs w:val="20"/>
          <w:color w:val="auto"/>
        </w:rPr>
      </w:pPr>
      <w:r>
        <w:rPr>
          <w:rFonts w:ascii="Times New Roman" w:cs="Times New Roman" w:eastAsia="Times New Roman" w:hAnsi="Times New Roman"/>
          <w:sz w:val="12"/>
          <w:szCs w:val="12"/>
          <w:color w:val="auto"/>
        </w:rPr>
        <w:t>We evaluate the recoverability of recorded goodwill amounts annually or when evidence of potential impairment exists. Intangible assets are reviewed for impairment whenever events or changes in circumstances indicate that the carrying value of the asset may not be recoverable. These impairment tests are based on several factors requiring management’s judgment. Changes in fair market valuations and our operating performance or business conditions, in general, could result in future impairments of goodwill or intangible assets which could materially adversely affect our results of operations. In addition, if we are not successful in achieving anticipated operating efficiencies associated with acquisitions, our goodwill and intangible assets may become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attract or retain the necessary qualified personnel, including through our compensation programs, our business, financial condition or results of operations could be materially adversely affected.</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The development, maintenance and support of our products and services are dependent upon the knowledge, skills, experience and abilities of our employees. Accordingly, we believe the success of our business depends to a significant extent upon the continued service of our executives and other key employees. Although we do not believe that we are overly dependent upon any individual employee, our management and other employees may terminate their employment at any time and the loss of any of our key employees could have a material adverse effect on our business, financial condition or results of operations. If our compensation programs do not adequately engage our key employees or are not competitive, or if we fail to attract, engage and retain the necessary qualified personnel, the quality of our products and services as well as our ability to support and retain our clients and achieve business objectives may suffer.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cannot provide any guaranty that we will continue to repurchase our common shares pursuant to our share repurchase program.</w:t>
      </w:r>
    </w:p>
    <w:p>
      <w:pPr>
        <w:spacing w:after="0" w:line="154" w:lineRule="exact"/>
        <w:rPr>
          <w:sz w:val="20"/>
          <w:szCs w:val="20"/>
          <w:color w:val="auto"/>
        </w:rPr>
      </w:pPr>
    </w:p>
    <w:p>
      <w:pPr>
        <w:ind w:right="480" w:firstLine="592"/>
        <w:spacing w:after="0" w:line="279" w:lineRule="auto"/>
        <w:rPr>
          <w:sz w:val="20"/>
          <w:szCs w:val="20"/>
          <w:color w:val="auto"/>
        </w:rPr>
      </w:pPr>
      <w:r>
        <w:rPr>
          <w:rFonts w:ascii="Times New Roman" w:cs="Times New Roman" w:eastAsia="Times New Roman" w:hAnsi="Times New Roman"/>
          <w:sz w:val="12"/>
          <w:szCs w:val="12"/>
          <w:color w:val="auto"/>
        </w:rPr>
        <w:t>The timing, price and volume of repurchases will be based on market conditions, relevant securities laws and other factors. The stock repurchases may be made from time to time, through one or more open market repurchases or privately negotiated transactions, including, without limitation, accelerated share repurchase transactions, trading plans or derivative transactions, or otherwise.</w:t>
      </w:r>
    </w:p>
    <w:p>
      <w:pPr>
        <w:spacing w:after="0" w:line="39" w:lineRule="exact"/>
        <w:rPr>
          <w:sz w:val="20"/>
          <w:szCs w:val="20"/>
          <w:color w:val="auto"/>
        </w:rPr>
      </w:pPr>
    </w:p>
    <w:p>
      <w:pPr>
        <w:ind w:right="20" w:firstLine="592"/>
        <w:spacing w:after="0" w:line="257" w:lineRule="auto"/>
        <w:rPr>
          <w:sz w:val="20"/>
          <w:szCs w:val="20"/>
          <w:color w:val="auto"/>
        </w:rPr>
      </w:pPr>
      <w:r>
        <w:rPr>
          <w:rFonts w:ascii="Times New Roman" w:cs="Times New Roman" w:eastAsia="Times New Roman" w:hAnsi="Times New Roman"/>
          <w:sz w:val="12"/>
          <w:szCs w:val="12"/>
          <w:color w:val="auto"/>
        </w:rPr>
        <w:t>Share repurchases under our share repurchase program constitute components of our capital allocation strategy, which we fund with free operating cash flow and borrowings. However, we are not required to make any share repurchases under our share repurchase program. The share repurchase program does not obligate us to repurchase any set dollar amount or number of shares and may be modified, suspended, or terminated at any time without prior notice. The reduction or elimination of our share repurchase program could adversely affect the market price of our common shares. Additionally, the existence of a share repurchase program could cause the market price of our common shares to be higher than it would be in the absence of such a program and could potentially reduce the market liquidity for our shares. As a result, any repurchase program may not ultimately result in enhanced value to our shareholders and may not prove to be the best use of our cash resources.</w:t>
      </w:r>
    </w:p>
    <w:p>
      <w:pPr>
        <w:spacing w:after="0" w:line="24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i w:val="1"/>
          <w:iCs w:val="1"/>
          <w:color w:val="auto"/>
        </w:rPr>
        <w:t>Unresolved Staff Comments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Nothing required to be disclosed.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59"/>
        </w:trPr>
        <w:tc>
          <w:tcPr>
            <w:tcW w:w="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2.</w:t>
            </w:r>
          </w:p>
        </w:tc>
        <w:tc>
          <w:tcPr>
            <w:tcW w:w="660" w:type="dxa"/>
            <w:vAlign w:val="bottom"/>
          </w:tcPr>
          <w:p>
            <w:pPr>
              <w:spacing w:after="0"/>
              <w:rPr>
                <w:sz w:val="13"/>
                <w:szCs w:val="13"/>
                <w:color w:val="auto"/>
              </w:rPr>
            </w:pPr>
          </w:p>
        </w:tc>
        <w:tc>
          <w:tcPr>
            <w:tcW w:w="49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Properties</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216"/>
        </w:trPr>
        <w:tc>
          <w:tcPr>
            <w:tcW w:w="46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As of December 31, 2020, our principal offices consisted of the following leased properties: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52"/>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Location</w:t>
            </w: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0"/>
                <w:szCs w:val="10"/>
                <w:b w:val="1"/>
                <w:bCs w:val="1"/>
                <w:color w:val="auto"/>
              </w:rPr>
              <w:t>Square Feet</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Expiration Date</w:t>
            </w:r>
          </w:p>
        </w:tc>
      </w:tr>
      <w:tr>
        <w:trPr>
          <w:trHeight w:val="142"/>
        </w:trPr>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Mumbai, India</w:t>
            </w:r>
          </w:p>
        </w:tc>
        <w:tc>
          <w:tcPr>
            <w:tcW w:w="200" w:type="dxa"/>
            <w:vAlign w:val="bottom"/>
            <w:tcBorders>
              <w:top w:val="single" w:sz="8" w:color="CFF0FC"/>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126,286</w:t>
            </w:r>
          </w:p>
        </w:tc>
        <w:tc>
          <w:tcPr>
            <w:tcW w:w="200" w:type="dxa"/>
            <w:vAlign w:val="bottom"/>
            <w:tcBorders>
              <w:top w:val="single" w:sz="8" w:color="CFF0FC"/>
            </w:tcBorders>
            <w:shd w:val="clear" w:color="auto" w:fill="CFF0FC"/>
          </w:tcPr>
          <w:p>
            <w:pPr>
              <w:spacing w:after="0"/>
              <w:rPr>
                <w:sz w:val="12"/>
                <w:szCs w:val="12"/>
                <w:color w:val="auto"/>
              </w:rPr>
            </w:pPr>
          </w:p>
        </w:tc>
        <w:tc>
          <w:tcPr>
            <w:tcW w:w="2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August 31, 2023</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York, New York</w:t>
            </w:r>
          </w:p>
        </w:tc>
        <w:tc>
          <w:tcPr>
            <w:tcW w:w="1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125,811</w:t>
            </w:r>
          </w:p>
        </w:tc>
        <w:tc>
          <w:tcPr>
            <w:tcW w:w="2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28, 2033</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Budapest, Hungary</w:t>
            </w:r>
          </w:p>
        </w:tc>
        <w:tc>
          <w:tcPr>
            <w:tcW w:w="14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70,833</w:t>
            </w:r>
          </w:p>
        </w:tc>
        <w:tc>
          <w:tcPr>
            <w:tcW w:w="200" w:type="dxa"/>
            <w:vAlign w:val="bottom"/>
            <w:shd w:val="clear" w:color="auto" w:fill="CFF0FC"/>
          </w:tcPr>
          <w:p>
            <w:pPr>
              <w:spacing w:after="0"/>
              <w:rPr>
                <w:sz w:val="13"/>
                <w:szCs w:val="13"/>
                <w:color w:val="auto"/>
              </w:rPr>
            </w:pP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February 28, 2029</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Monterrey, Mexico</w:t>
            </w:r>
          </w:p>
        </w:tc>
        <w:tc>
          <w:tcPr>
            <w:tcW w:w="1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46,569</w:t>
            </w:r>
          </w:p>
        </w:tc>
        <w:tc>
          <w:tcPr>
            <w:tcW w:w="2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October 31, 2028</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Manila, Philippines</w:t>
            </w:r>
          </w:p>
        </w:tc>
        <w:tc>
          <w:tcPr>
            <w:tcW w:w="14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31,544</w:t>
            </w:r>
          </w:p>
        </w:tc>
        <w:tc>
          <w:tcPr>
            <w:tcW w:w="200" w:type="dxa"/>
            <w:vAlign w:val="bottom"/>
            <w:shd w:val="clear" w:color="auto" w:fill="CFF0FC"/>
          </w:tcPr>
          <w:p>
            <w:pPr>
              <w:spacing w:after="0"/>
              <w:rPr>
                <w:sz w:val="13"/>
                <w:szCs w:val="13"/>
                <w:color w:val="auto"/>
              </w:rPr>
            </w:pP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February 28, 2027</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London, England</w:t>
            </w:r>
          </w:p>
        </w:tc>
        <w:tc>
          <w:tcPr>
            <w:tcW w:w="1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30,519</w:t>
            </w:r>
          </w:p>
        </w:tc>
        <w:tc>
          <w:tcPr>
            <w:tcW w:w="2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25, 2026</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Pune, India</w:t>
            </w:r>
          </w:p>
        </w:tc>
        <w:tc>
          <w:tcPr>
            <w:tcW w:w="14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24,434</w:t>
            </w:r>
          </w:p>
        </w:tc>
        <w:tc>
          <w:tcPr>
            <w:tcW w:w="200" w:type="dxa"/>
            <w:vAlign w:val="bottom"/>
            <w:shd w:val="clear" w:color="auto" w:fill="CFF0FC"/>
          </w:tcPr>
          <w:p>
            <w:pPr>
              <w:spacing w:after="0"/>
              <w:rPr>
                <w:sz w:val="13"/>
                <w:szCs w:val="13"/>
                <w:color w:val="auto"/>
              </w:rPr>
            </w:pP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February 14, 2026</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Norman, Oklahoma</w:t>
            </w:r>
          </w:p>
        </w:tc>
        <w:tc>
          <w:tcPr>
            <w:tcW w:w="1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23,664</w:t>
            </w:r>
          </w:p>
        </w:tc>
        <w:tc>
          <w:tcPr>
            <w:tcW w:w="2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May 31, 2024</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Berkeley, California</w:t>
            </w:r>
          </w:p>
        </w:tc>
        <w:tc>
          <w:tcPr>
            <w:tcW w:w="14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19,808</w:t>
            </w:r>
          </w:p>
        </w:tc>
        <w:tc>
          <w:tcPr>
            <w:tcW w:w="200" w:type="dxa"/>
            <w:vAlign w:val="bottom"/>
            <w:shd w:val="clear" w:color="auto" w:fill="CFF0FC"/>
          </w:tcPr>
          <w:p>
            <w:pPr>
              <w:spacing w:after="0"/>
              <w:rPr>
                <w:sz w:val="13"/>
                <w:szCs w:val="13"/>
                <w:color w:val="auto"/>
              </w:rPr>
            </w:pP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February 28, 2030</w:t>
            </w:r>
          </w:p>
        </w:tc>
      </w:tr>
    </w:tbl>
    <w:p>
      <w:pPr>
        <w:spacing w:after="0" w:line="160" w:lineRule="exact"/>
        <w:rPr>
          <w:sz w:val="20"/>
          <w:szCs w:val="20"/>
          <w:color w:val="auto"/>
        </w:rPr>
      </w:pPr>
    </w:p>
    <w:p>
      <w:pPr>
        <w:jc w:val="both"/>
        <w:ind w:right="280" w:firstLine="592"/>
        <w:spacing w:after="0" w:line="265" w:lineRule="auto"/>
        <w:rPr>
          <w:sz w:val="20"/>
          <w:szCs w:val="20"/>
          <w:color w:val="auto"/>
        </w:rPr>
      </w:pPr>
      <w:r>
        <w:rPr>
          <w:rFonts w:ascii="Times New Roman" w:cs="Times New Roman" w:eastAsia="Times New Roman" w:hAnsi="Times New Roman"/>
          <w:sz w:val="12"/>
          <w:szCs w:val="12"/>
          <w:color w:val="auto"/>
        </w:rPr>
        <w:t>As of December 31, 2020, we have more than 30 leased and occupied locations of which the principal offices are listed above. We also have additional office locations, including but not limited to, the following leased locations (in descending order of square footage): Boston, Massachusetts; Chicago, Illinois; Geneva, Switzerland; San Francisco, California; Frankfurt, Germany; Shanghai, China; Paris, France; Hong Kong, China; Tokyo, Japan; Beijing, China; Sydney, Australia; Toronto, Canada; and Singapore.</w:t>
      </w:r>
    </w:p>
    <w:p>
      <w:pPr>
        <w:spacing w:after="0" w:line="119" w:lineRule="exact"/>
        <w:rPr>
          <w:sz w:val="20"/>
          <w:szCs w:val="20"/>
          <w:color w:val="auto"/>
        </w:rPr>
      </w:pPr>
    </w:p>
    <w:p>
      <w:pPr>
        <w:ind w:firstLine="592"/>
        <w:spacing w:after="0" w:line="279" w:lineRule="auto"/>
        <w:rPr>
          <w:sz w:val="20"/>
          <w:szCs w:val="20"/>
          <w:color w:val="auto"/>
        </w:rPr>
      </w:pPr>
      <w:r>
        <w:rPr>
          <w:rFonts w:ascii="Times New Roman" w:cs="Times New Roman" w:eastAsia="Times New Roman" w:hAnsi="Times New Roman"/>
          <w:sz w:val="12"/>
          <w:szCs w:val="12"/>
          <w:color w:val="auto"/>
        </w:rPr>
        <w:t>We believe that our properties are in good operating condition and adequately serve our current business operations. We also anticipate that suitable additional or alternative space, including those under lease options, will be available at commercially reasonable terms for future expansion.</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i w:val="1"/>
          <w:iCs w:val="1"/>
          <w:color w:val="auto"/>
        </w:rPr>
        <w:t>Legal Proceedings</w:t>
      </w:r>
    </w:p>
    <w:p>
      <w:pPr>
        <w:spacing w:after="0" w:line="82" w:lineRule="exact"/>
        <w:rPr>
          <w:sz w:val="20"/>
          <w:szCs w:val="20"/>
          <w:color w:val="auto"/>
        </w:rPr>
      </w:pPr>
    </w:p>
    <w:p>
      <w:pPr>
        <w:ind w:right="20" w:firstLine="592"/>
        <w:spacing w:after="0" w:line="260" w:lineRule="auto"/>
        <w:rPr>
          <w:sz w:val="20"/>
          <w:szCs w:val="20"/>
          <w:color w:val="auto"/>
        </w:rPr>
      </w:pPr>
      <w:r>
        <w:rPr>
          <w:rFonts w:ascii="Times New Roman" w:cs="Times New Roman" w:eastAsia="Times New Roman" w:hAnsi="Times New Roman"/>
          <w:sz w:val="12"/>
          <w:szCs w:val="12"/>
          <w:color w:val="auto"/>
        </w:rPr>
        <w:t>Various lawsuits, claims and proceedings have been or may be instituted or asserted against us in the ordinary course of business. While the amounts claimed could be substantial, the ultimate liability cannot now be determined because of the considerable uncertainty that exists. Therefore, it is possible that MSCI’s business, operating results, financial condition or cash flows in a particular period could be materially affected by certain contingencies. However, based on facts currently available, management believes that the disposition of matters that are currently pending or asserted will not, individually or in the aggregate, have a material effect on MSCI’s business, operating results, financial condition or cash flows.</w:t>
      </w:r>
    </w:p>
    <w:p>
      <w:pPr>
        <w:spacing w:after="0" w:line="24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i w:val="1"/>
          <w:iCs w:val="1"/>
          <w:color w:val="auto"/>
        </w:rPr>
        <w:t>Mine Safety Disclosures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3" w:right="31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3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i w:val="1"/>
          <w:iCs w:val="1"/>
          <w:color w:val="auto"/>
        </w:rPr>
        <w:t>Market for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Price and Dividends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Our common stock has traded on the New York Stock Exchange since November 15, 2007 and trades under the symbol “MSCI.” As of February 5, 2021, there were 116 shareholders of record of our common stock.</w:t>
      </w:r>
    </w:p>
    <w:p>
      <w:pPr>
        <w:spacing w:after="0" w:line="2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Dividend Policy</w:t>
      </w:r>
    </w:p>
    <w:p>
      <w:pPr>
        <w:spacing w:after="0" w:line="80" w:lineRule="exact"/>
        <w:rPr>
          <w:sz w:val="20"/>
          <w:szCs w:val="20"/>
          <w:color w:val="auto"/>
        </w:rPr>
      </w:pPr>
    </w:p>
    <w:p>
      <w:pPr>
        <w:ind w:firstLine="592"/>
        <w:spacing w:after="0" w:line="327" w:lineRule="auto"/>
        <w:rPr>
          <w:sz w:val="20"/>
          <w:szCs w:val="20"/>
          <w:color w:val="auto"/>
        </w:rPr>
      </w:pPr>
      <w:r>
        <w:rPr>
          <w:rFonts w:ascii="Times New Roman" w:cs="Times New Roman" w:eastAsia="Times New Roman" w:hAnsi="Times New Roman"/>
          <w:sz w:val="11"/>
          <w:szCs w:val="11"/>
          <w:color w:val="auto"/>
        </w:rPr>
        <w:t>The payment amounts of future dividends will be determined by the Board of Directors in light of conditions then existing, including our earnings, financial condition and capital requirements, business conditions, corporate law requirements and other factors. See Part II, Item 7. “Management’s Discussion and Analysis of Financial Condition and Results of Operations—Liquidity and Capital Resources” for additional information on our dividend policy.</w:t>
      </w:r>
    </w:p>
    <w:p>
      <w:pPr>
        <w:spacing w:after="0" w:line="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Transfer Agent and Registrar for our common stock is Broadridge Financial Solutions,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Equity Compensation Plans</w:t>
      </w:r>
    </w:p>
    <w:p>
      <w:pPr>
        <w:spacing w:after="0" w:line="82" w:lineRule="exact"/>
        <w:rPr>
          <w:sz w:val="20"/>
          <w:szCs w:val="20"/>
          <w:color w:val="auto"/>
        </w:rPr>
      </w:pPr>
    </w:p>
    <w:p>
      <w:pPr>
        <w:ind w:right="120" w:firstLine="592"/>
        <w:spacing w:after="0" w:line="260" w:lineRule="auto"/>
        <w:rPr>
          <w:sz w:val="20"/>
          <w:szCs w:val="20"/>
          <w:color w:val="auto"/>
        </w:rPr>
      </w:pPr>
      <w:r>
        <w:rPr>
          <w:rFonts w:ascii="Times New Roman" w:cs="Times New Roman" w:eastAsia="Times New Roman" w:hAnsi="Times New Roman"/>
          <w:sz w:val="12"/>
          <w:szCs w:val="12"/>
          <w:color w:val="auto"/>
        </w:rPr>
        <w:t>On February 18, 2016, the Board of Directors, upon the recommendation of the Compensation &amp; Talent Management Committee of the Board of Directors (the “Compensation Committee”), approved the MSCI Inc. 2016 Non-Employee Directors Compensation Plan (the “Directors Plan”), a cash and equity incentive compensation plan that was approved by shareholders at the Company’s 2016 annual meeting of shareholders. The Directors Plan replaced the Company’s then existing non-employee director compensation plan—the MSCI Inc. Independent Directors’ Equity Compensation Plan (the “2011 Plan”). The total number of shares authorized to be awarded under the Directors Plan is 352,460, which is equal to the number of shares that remained available for issuance under the 2011 Plan.</w:t>
      </w:r>
    </w:p>
    <w:p>
      <w:pPr>
        <w:spacing w:after="0" w:line="122" w:lineRule="exact"/>
        <w:rPr>
          <w:sz w:val="20"/>
          <w:szCs w:val="20"/>
          <w:color w:val="auto"/>
        </w:rPr>
      </w:pPr>
    </w:p>
    <w:p>
      <w:pPr>
        <w:ind w:firstLine="592"/>
        <w:spacing w:after="0" w:line="257" w:lineRule="auto"/>
        <w:rPr>
          <w:sz w:val="20"/>
          <w:szCs w:val="20"/>
          <w:color w:val="auto"/>
        </w:rPr>
      </w:pPr>
      <w:r>
        <w:rPr>
          <w:rFonts w:ascii="Times New Roman" w:cs="Times New Roman" w:eastAsia="Times New Roman" w:hAnsi="Times New Roman"/>
          <w:sz w:val="12"/>
          <w:szCs w:val="12"/>
          <w:color w:val="auto"/>
        </w:rPr>
        <w:t>Under the Directors Plan, directors that are not employees of the Company receive annual Board retainer fees and fees for serving on the Company’s committees, if applicable, and a director may make an election to receive all or any portion of such director’s retainer and committee fees in shares of our common stock in lieu of cash. Non-employee directors are entitled to receive an annual grant of $165,000 and the lead director is entitled to an additional $50,000 in stock units (a total of $215,000), in each case, subject to a one-year vesting schedule. Under the MSCI Inc. Non-Employee Directors Deferral Plan, directors may elect to defer receipt of all or any portion of any shares of our common stock issuable upon conversion of any stock unit or any retainer elected to be paid in shares of our common stock until (i) 60 days following separation of service or (ii) the earlier of a specified date or 60 days following separation of service.</w:t>
      </w:r>
    </w:p>
    <w:p>
      <w:pPr>
        <w:spacing w:after="0" w:line="125" w:lineRule="exact"/>
        <w:rPr>
          <w:sz w:val="20"/>
          <w:szCs w:val="20"/>
          <w:color w:val="auto"/>
        </w:rPr>
      </w:pPr>
    </w:p>
    <w:p>
      <w:pPr>
        <w:ind w:right="80" w:firstLine="592"/>
        <w:spacing w:after="0" w:line="286" w:lineRule="auto"/>
        <w:rPr>
          <w:sz w:val="20"/>
          <w:szCs w:val="20"/>
          <w:color w:val="auto"/>
        </w:rPr>
      </w:pPr>
      <w:r>
        <w:rPr>
          <w:rFonts w:ascii="Times New Roman" w:cs="Times New Roman" w:eastAsia="Times New Roman" w:hAnsi="Times New Roman"/>
          <w:sz w:val="11"/>
          <w:szCs w:val="11"/>
          <w:color w:val="auto"/>
        </w:rPr>
        <w:t>On February 18, 2016, the Board of Directors, upon the recommendation of the Compensation Committee, approved the MSCI Inc. 2016 Omnibus Plan (“Omnibus Plan”), an equity incentive compensation plan that was approved by shareholders at the Company’s 2016 annual meeting of shareholders. The Omnibus Plan replaced the Company’s then existing equity compensation plan—the MSCI Inc. Amended and Restated 2007 Equity Incentive Compensation Plan (as amended, the “2007 Plan”). Compensation paid to the Company’s executive officers historically complied with the performance-based compensation exception under 162(m) of the IRC (“162(m)”) by being granted pursuant to the MSCI Inc. Performance Formula and Incentive Plan (the “Performance Plan”). Shareholder approval of the Omnibus Plan constituted approval of the material terms of the performance goals under the Omnibus Plan for purposes of 162(m). Despite the changes implemented by the Tax Cuts and Jobs Act on December 22, 2017 (“Tax Reform”), the Company will continue to maintain the Performance Plan and may make awards pursuant to it.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33" w:name="page34"/>
    <w:bookmarkEnd w:id="33"/>
    <w:p>
      <w:pPr>
        <w:ind w:firstLine="592"/>
        <w:spacing w:after="0" w:line="257" w:lineRule="auto"/>
        <w:rPr>
          <w:sz w:val="20"/>
          <w:szCs w:val="20"/>
          <w:color w:val="auto"/>
        </w:rPr>
      </w:pPr>
      <w:r>
        <w:rPr>
          <w:rFonts w:ascii="Times New Roman" w:cs="Times New Roman" w:eastAsia="Times New Roman" w:hAnsi="Times New Roman"/>
          <w:sz w:val="12"/>
          <w:szCs w:val="12"/>
          <w:color w:val="auto"/>
        </w:rPr>
        <w:t>Pursuant to the Omnibus Plan, the Company reserved 7,565,483 shares of common stock for issuance; plus any additional shares which become available due to forfeiture, expiration or cancellation of outstanding awards, which were registered under the Securities Act of 1933, as amended (the “Securities Act”) following approval by the Company’s shareholders. This is in addition to currently outstanding awards under the 2007 Plan. The Omnibus Plan permits the Compensation Committee to make grants of a variety of equity-based awards (such as stock options, stock appreciation rights, restricted stock units, restricted stock, performance awards and other stock-based awards) totaling up to 7,565,483 and other cash-based awards to eligible recipients, including employees and consultants. No awards will be granted under the Omnibus Plan after the earliest to occur of (i) April 28, 2026, (ii) the maximum number of shares available for issuance having been issued and (iii) the Board of Directors terminating the Omnibus Plan in accordance with its terms.</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certain information with respect to our equity compensation plans at December 31, 2020:</w:t>
      </w:r>
    </w:p>
    <w:p>
      <w:pPr>
        <w:spacing w:after="0" w:line="137"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5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06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Unit Award</w:t>
            </w:r>
          </w:p>
        </w:tc>
        <w:tc>
          <w:tcPr>
            <w:tcW w:w="106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 to</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4"/>
              </w:rPr>
              <w:t>Value of</w:t>
            </w:r>
          </w:p>
        </w:tc>
        <w:tc>
          <w:tcPr>
            <w:tcW w:w="10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6"/>
              </w:rPr>
              <w:t>Available for</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be Issued</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5"/>
              </w:rPr>
              <w:t>Restricted</w:t>
            </w:r>
          </w:p>
        </w:tc>
        <w:tc>
          <w:tcPr>
            <w:tcW w:w="106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4"/>
              </w:rPr>
              <w:t>Future</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Upon</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3"/>
              </w:rPr>
              <w:t>Stock Units</w:t>
            </w:r>
          </w:p>
        </w:tc>
        <w:tc>
          <w:tcPr>
            <w:tcW w:w="10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2"/>
              </w:rPr>
              <w:t>Issuance</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2"/>
              </w:rPr>
              <w:t>Vesting 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86"/>
              </w:rPr>
              <w:t>and</w:t>
            </w:r>
          </w:p>
        </w:tc>
        <w:tc>
          <w:tcPr>
            <w:tcW w:w="10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under Equity</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Restricted</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2"/>
              </w:rPr>
              <w:t>Weighted</w:t>
            </w:r>
          </w:p>
        </w:tc>
        <w:tc>
          <w:tcPr>
            <w:tcW w:w="10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7"/>
              </w:rPr>
              <w:t>Stock Units</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7"/>
              </w:rPr>
              <w:t>-Average</w:t>
            </w:r>
          </w:p>
        </w:tc>
        <w:tc>
          <w:tcPr>
            <w:tcW w:w="10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Plans</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10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(excluding</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Exercise 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0"/>
              </w:rPr>
              <w:t>Price of</w:t>
            </w:r>
          </w:p>
        </w:tc>
        <w:tc>
          <w:tcPr>
            <w:tcW w:w="10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securities</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7"/>
              </w:rPr>
              <w:t>Outstanding</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3"/>
              </w:rPr>
              <w:t>Outstanding</w:t>
            </w:r>
          </w:p>
        </w:tc>
        <w:tc>
          <w:tcPr>
            <w:tcW w:w="106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6"/>
              </w:rPr>
              <w:t>reflected</w:t>
            </w:r>
          </w:p>
        </w:tc>
        <w:tc>
          <w:tcPr>
            <w:tcW w:w="0" w:type="dxa"/>
            <w:vAlign w:val="bottom"/>
          </w:tcPr>
          <w:p>
            <w:pPr>
              <w:spacing w:after="0"/>
              <w:rPr>
                <w:sz w:val="1"/>
                <w:szCs w:val="1"/>
                <w:color w:val="auto"/>
              </w:rPr>
            </w:pPr>
          </w:p>
        </w:tc>
      </w:tr>
      <w:tr>
        <w:trPr>
          <w:trHeight w:val="99"/>
        </w:trPr>
        <w:tc>
          <w:tcPr>
            <w:tcW w:w="568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rPr>
              <w:t>Options</w:t>
            </w:r>
          </w:p>
        </w:tc>
        <w:tc>
          <w:tcPr>
            <w:tcW w:w="10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6"/>
              </w:rPr>
              <w:t>in column (a))</w:t>
            </w:r>
          </w:p>
        </w:tc>
        <w:tc>
          <w:tcPr>
            <w:tcW w:w="0" w:type="dxa"/>
            <w:vAlign w:val="bottom"/>
          </w:tcPr>
          <w:p>
            <w:pPr>
              <w:spacing w:after="0"/>
              <w:rPr>
                <w:sz w:val="1"/>
                <w:szCs w:val="1"/>
                <w:color w:val="auto"/>
              </w:rPr>
            </w:pPr>
          </w:p>
        </w:tc>
      </w:tr>
      <w:tr>
        <w:trPr>
          <w:trHeight w:val="115"/>
        </w:trPr>
        <w:tc>
          <w:tcPr>
            <w:tcW w:w="568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a</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b</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88"/>
              </w:rPr>
              <w:t>c</w:t>
            </w:r>
          </w:p>
        </w:tc>
        <w:tc>
          <w:tcPr>
            <w:tcW w:w="0" w:type="dxa"/>
            <w:vAlign w:val="bottom"/>
          </w:tcPr>
          <w:p>
            <w:pPr>
              <w:spacing w:after="0"/>
              <w:rPr>
                <w:sz w:val="1"/>
                <w:szCs w:val="1"/>
                <w:color w:val="auto"/>
              </w:rPr>
            </w:pPr>
          </w:p>
        </w:tc>
      </w:tr>
      <w:tr>
        <w:trPr>
          <w:trHeight w:val="129"/>
        </w:trPr>
        <w:tc>
          <w:tcPr>
            <w:tcW w:w="568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Equity Compensation Plans Not Approved by Security</w:t>
            </w:r>
          </w:p>
        </w:tc>
        <w:tc>
          <w:tcPr>
            <w:tcW w:w="9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i w:val="1"/>
                <w:iCs w:val="1"/>
                <w:color w:val="auto"/>
              </w:rPr>
              <w:t>Holders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Equity Compensation Plans Approved by Security</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680" w:type="dxa"/>
            <w:vAlign w:val="bottom"/>
          </w:tcPr>
          <w:p>
            <w:pPr>
              <w:ind w:left="100"/>
              <w:spacing w:after="0"/>
              <w:rPr>
                <w:sz w:val="20"/>
                <w:szCs w:val="20"/>
                <w:color w:val="auto"/>
              </w:rPr>
            </w:pPr>
            <w:r>
              <w:rPr>
                <w:rFonts w:ascii="Times New Roman" w:cs="Times New Roman" w:eastAsia="Times New Roman" w:hAnsi="Times New Roman"/>
                <w:sz w:val="12"/>
                <w:szCs w:val="12"/>
                <w:i w:val="1"/>
                <w:iCs w:val="1"/>
                <w:color w:val="auto"/>
              </w:rPr>
              <w:t>Holders</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MSCI Inc. 2016 Omnibus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734,811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162.95</w:t>
            </w: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4,530,563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20"/>
                <w:szCs w:val="20"/>
                <w:color w:val="auto"/>
              </w:rPr>
            </w:pPr>
            <w:r>
              <w:rPr>
                <w:rFonts w:ascii="Times New Roman" w:cs="Times New Roman" w:eastAsia="Times New Roman" w:hAnsi="Times New Roman"/>
                <w:sz w:val="12"/>
                <w:szCs w:val="12"/>
                <w:color w:val="auto"/>
              </w:rPr>
              <w:t>MSCI Inc. 2016 Non-Employee Directors</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2"/>
                <w:szCs w:val="12"/>
                <w:color w:val="auto"/>
              </w:rPr>
              <w:t>Compensation Plan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4,689</w:t>
            </w:r>
          </w:p>
        </w:tc>
        <w:tc>
          <w:tcPr>
            <w:tcW w:w="34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2"/>
                <w:szCs w:val="12"/>
                <w:color w:val="auto"/>
              </w:rPr>
              <w:t>327.00</w:t>
            </w:r>
          </w:p>
        </w:tc>
        <w:tc>
          <w:tcPr>
            <w:tcW w:w="1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283,177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80" w:type="dxa"/>
            <w:vAlign w:val="bottom"/>
            <w:tcBorders>
              <w:bottom w:val="single" w:sz="8" w:color="CFF0FC"/>
            </w:tcBorders>
            <w:shd w:val="clear" w:color="auto" w:fill="CFF0FC"/>
          </w:tcPr>
          <w:p>
            <w:pPr>
              <w:ind w:left="340"/>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739,500</w:t>
            </w:r>
          </w:p>
        </w:tc>
        <w:tc>
          <w:tcPr>
            <w:tcW w:w="3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163.99</w:t>
            </w:r>
          </w:p>
        </w:tc>
        <w:tc>
          <w:tcPr>
            <w:tcW w:w="1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4,813,740</w:t>
            </w: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Repurchases</w:t>
      </w:r>
    </w:p>
    <w:p>
      <w:pPr>
        <w:spacing w:after="0" w:line="82" w:lineRule="exact"/>
        <w:rPr>
          <w:sz w:val="20"/>
          <w:szCs w:val="20"/>
          <w:color w:val="auto"/>
        </w:rPr>
      </w:pPr>
    </w:p>
    <w:p>
      <w:pPr>
        <w:ind w:firstLine="592"/>
        <w:spacing w:after="0" w:line="279" w:lineRule="auto"/>
        <w:rPr>
          <w:sz w:val="20"/>
          <w:szCs w:val="20"/>
          <w:color w:val="auto"/>
        </w:rPr>
      </w:pPr>
      <w:r>
        <w:rPr>
          <w:rFonts w:ascii="Times New Roman" w:cs="Times New Roman" w:eastAsia="Times New Roman" w:hAnsi="Times New Roman"/>
          <w:sz w:val="12"/>
          <w:szCs w:val="12"/>
          <w:color w:val="auto"/>
        </w:rPr>
        <w:t>The Board of Directors has approved a stock repurchase program for the purchase of the Company’s common stock in the open market. See Note 10, “Shareholders’ Equity (Deficit),” of the Notes to Consolidated Financial Statements included herein for additional information on our stock repurchase program.</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417" w:right="359" w:bottom="1440" w:gutter="0" w:footer="0" w:header="0"/>
        </w:sectPr>
      </w:pPr>
    </w:p>
    <w:bookmarkStart w:id="34" w:name="page35"/>
    <w:bookmarkEnd w:id="34"/>
    <w:p>
      <w:pPr>
        <w:ind w:left="588"/>
        <w:spacing w:after="0"/>
        <w:rPr>
          <w:sz w:val="20"/>
          <w:szCs w:val="20"/>
          <w:color w:val="auto"/>
        </w:rPr>
      </w:pPr>
      <w:r>
        <w:rPr>
          <w:rFonts w:ascii="Times New Roman" w:cs="Times New Roman" w:eastAsia="Times New Roman" w:hAnsi="Times New Roman"/>
          <w:sz w:val="12"/>
          <w:szCs w:val="12"/>
          <w:color w:val="auto"/>
        </w:rPr>
        <w:t>The following table provides information with respect to purchases made by or on behalf of the Company of its common stock during the quarter ended December 31, 2020.</w:t>
      </w:r>
    </w:p>
    <w:p>
      <w:pPr>
        <w:spacing w:after="0" w:line="290"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Number</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Approximate</w:t>
            </w: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Shares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Purchased</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5"/>
              </w:rPr>
              <w:t>Dollar</w:t>
            </w: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89"/>
              </w:rPr>
              <w:t>Average</w:t>
            </w: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As Part of</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5"/>
              </w:rPr>
              <w:t>Value of Shares</w:t>
            </w: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Publicly</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3"/>
              </w:rPr>
              <w:t>that May Yet Be</w:t>
            </w: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89"/>
              </w:rPr>
              <w:t>Price</w:t>
            </w: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Announced</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6"/>
              </w:rPr>
              <w:t>Purchased Under</w:t>
            </w: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89"/>
              </w:rPr>
              <w:t>Shares</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7"/>
              </w:rPr>
              <w:t>Paid Per</w:t>
            </w: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Plans or</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3"/>
              </w:rPr>
              <w:t>the Plans or</w:t>
            </w: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5280" w:type="dxa"/>
            <w:vAlign w:val="bottom"/>
            <w:gridSpan w:val="3"/>
            <w:vMerge w:val="continue"/>
          </w:tcPr>
          <w:p>
            <w:pPr>
              <w:spacing w:after="0"/>
              <w:rPr>
                <w:sz w:val="10"/>
                <w:szCs w:val="1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Purchased </w:t>
            </w:r>
            <w:r>
              <w:rPr>
                <w:rFonts w:ascii="Times New Roman" w:cs="Times New Roman" w:eastAsia="Times New Roman" w:hAnsi="Times New Roman"/>
                <w:sz w:val="8"/>
                <w:szCs w:val="8"/>
                <w:color w:val="auto"/>
                <w:w w:val="94"/>
              </w:rPr>
              <w:t>(1)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Programs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 xml:space="preserve">Programs </w:t>
            </w:r>
            <w:r>
              <w:rPr>
                <w:rFonts w:ascii="Times New Roman" w:cs="Times New Roman" w:eastAsia="Times New Roman" w:hAnsi="Times New Roman"/>
                <w:sz w:val="8"/>
                <w:szCs w:val="8"/>
                <w:b w:val="1"/>
                <w:bCs w:val="1"/>
                <w:color w:val="auto"/>
                <w:w w:val="96"/>
              </w:rPr>
              <w:t>(2)</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5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October 1, 2020-October 31, 2020</w:t>
            </w: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297,103</w:t>
            </w: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2"/>
                <w:szCs w:val="12"/>
                <w:color w:val="auto"/>
              </w:rPr>
              <w:t>347.39</w:t>
            </w: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297,103</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1,789,547,000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November 1, 2020-November 30,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177,181</w:t>
            </w:r>
          </w:p>
        </w:tc>
        <w:tc>
          <w:tcPr>
            <w:tcW w:w="42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2"/>
                <w:szCs w:val="12"/>
                <w:color w:val="auto"/>
              </w:rPr>
              <w:t>348.45</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174,488</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1,728,753,000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December 1, 2020-December 31,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42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2"/>
                <w:szCs w:val="12"/>
                <w:color w:val="auto"/>
              </w:rPr>
              <w:t>402.25</w:t>
            </w:r>
          </w:p>
        </w:tc>
        <w:tc>
          <w:tcPr>
            <w:tcW w:w="12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1,728,753,000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2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474,290</w:t>
            </w:r>
          </w:p>
        </w:tc>
        <w:tc>
          <w:tcPr>
            <w:tcW w:w="42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2"/>
                <w:szCs w:val="12"/>
                <w:color w:val="auto"/>
              </w:rPr>
              <w:t>347.79</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471,591</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1,728,753,000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588" w:hanging="588"/>
        <w:spacing w:after="0" w:line="255" w:lineRule="auto"/>
        <w:tabs>
          <w:tab w:leader="none" w:pos="588"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Includes (i) shares purchased by the Company on the open market under the stock repurchase program; (ii) shares withheld to satisfy tax withholding obligations on behalf of employees that occur upon vesting and delivery of outstanding shares underlying restricted stock units; (iii) shares withheld to satisfy tax withholding obligations and exercise price on behalf of employees that occur upon exercise and delivery of outstanding shares underlying stock options; and (iv) shares held in treasury under the MSCI Inc. Non-Employee Directors Deferral Plan. The value of shares withheld to satisfy tax withholding obligations was determined using the fair market value of the Company’s common stock on the date of withholding, using a valuation methodology established by the Company.</w:t>
      </w:r>
    </w:p>
    <w:p>
      <w:pPr>
        <w:ind w:left="588" w:hanging="588"/>
        <w:spacing w:after="0"/>
        <w:tabs>
          <w:tab w:leader="none" w:pos="588"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See Note 10, “Shareholders’ Equity (Deficit)” of the Notes to the Consolidated Financial Statements included herein for further information regarding our stock repurchase program.</w:t>
      </w:r>
    </w:p>
    <w:p>
      <w:pPr>
        <w:spacing w:after="0" w:line="2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Recent Sales of Unregistered Securities</w:t>
      </w:r>
    </w:p>
    <w:p>
      <w:pPr>
        <w:spacing w:after="0" w:line="82"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There were no unregistered sales of equity securities in the year ended December 31, 2020.</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Use of Proceeds from Sale of Registered Securities</w:t>
      </w:r>
    </w:p>
    <w:p>
      <w:pPr>
        <w:spacing w:after="0" w:line="82"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None.</w:t>
      </w:r>
    </w:p>
    <w:p>
      <w:pPr>
        <w:spacing w:after="0" w:line="150"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292" w:top="561"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2"/>
          <w:szCs w:val="12"/>
          <w:b w:val="1"/>
          <w:bCs w:val="1"/>
          <w:color w:val="auto"/>
        </w:rPr>
        <w:t>FIVE-YEAR STOCK PERFORMANCE GRAPH</w:t>
      </w:r>
    </w:p>
    <w:p>
      <w:pPr>
        <w:spacing w:after="0" w:line="127" w:lineRule="exact"/>
        <w:rPr>
          <w:sz w:val="20"/>
          <w:szCs w:val="20"/>
          <w:color w:val="auto"/>
        </w:rPr>
      </w:pPr>
    </w:p>
    <w:p>
      <w:pPr>
        <w:ind w:right="120" w:firstLine="592"/>
        <w:spacing w:after="0" w:line="260" w:lineRule="auto"/>
        <w:rPr>
          <w:sz w:val="20"/>
          <w:szCs w:val="20"/>
          <w:color w:val="auto"/>
        </w:rPr>
      </w:pPr>
      <w:r>
        <w:rPr>
          <w:rFonts w:ascii="Times New Roman" w:cs="Times New Roman" w:eastAsia="Times New Roman" w:hAnsi="Times New Roman"/>
          <w:sz w:val="12"/>
          <w:szCs w:val="12"/>
          <w:color w:val="auto"/>
        </w:rPr>
        <w:t>The following graph compares the cumulative total shareholders’ return on our common stock, the Standard &amp; Poor’s 500 Stock Index and the NYSE Composite Index since December 31, 2015 assuming an investment of $100 at the closing price on December 31, 2015. In calculating total annual shareholders’ return, reinvestment of dividends, if any, is assumed. The indexes are included for comparative purposes only. They do not necessarily reflect management’s opinion that such indexes are an appropriate measure of the relative performance of the common stock. This graph is not “soliciting material,” is not to be deemed filed with the SEC and is not to be incorporated by reference in any of our filings under the Securities Act or the Securities Exchange Act of 1934,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84455</wp:posOffset>
            </wp:positionV>
            <wp:extent cx="3566160" cy="19659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196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Total Investment Value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5"/>
        </w:trPr>
        <w:tc>
          <w:tcPr>
            <w:tcW w:w="4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90"/>
        </w:trPr>
        <w:tc>
          <w:tcPr>
            <w:tcW w:w="4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ind w:left="6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ind w:left="6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right"/>
              <w:ind w:right="125"/>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7"/>
                <w:szCs w:val="7"/>
                <w:color w:val="auto"/>
              </w:rPr>
            </w:pPr>
          </w:p>
        </w:tc>
      </w:tr>
      <w:tr>
        <w:trPr>
          <w:trHeight w:val="115"/>
        </w:trPr>
        <w:tc>
          <w:tcPr>
            <w:tcW w:w="47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2015</w:t>
            </w:r>
          </w:p>
        </w:tc>
        <w:tc>
          <w:tcPr>
            <w:tcW w:w="2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0"/>
                <w:szCs w:val="10"/>
                <w:b w:val="1"/>
                <w:bCs w:val="1"/>
                <w:color w:val="auto"/>
              </w:rPr>
              <w:t>2016</w:t>
            </w:r>
          </w:p>
        </w:tc>
        <w:tc>
          <w:tcPr>
            <w:tcW w:w="2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2017</w:t>
            </w:r>
          </w:p>
        </w:tc>
        <w:tc>
          <w:tcPr>
            <w:tcW w:w="22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0"/>
                <w:szCs w:val="10"/>
                <w:b w:val="1"/>
                <w:bCs w:val="1"/>
                <w:color w:val="auto"/>
              </w:rPr>
              <w:t>2018</w:t>
            </w:r>
          </w:p>
        </w:tc>
        <w:tc>
          <w:tcPr>
            <w:tcW w:w="2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Borders>
              <w:bottom w:val="single" w:sz="8" w:color="CFF0FC"/>
            </w:tcBorders>
          </w:tcPr>
          <w:p>
            <w:pPr>
              <w:spacing w:after="0"/>
              <w:rPr>
                <w:sz w:val="10"/>
                <w:szCs w:val="10"/>
                <w:color w:val="auto"/>
              </w:rPr>
            </w:pPr>
          </w:p>
        </w:tc>
      </w:tr>
      <w:tr>
        <w:trPr>
          <w:trHeight w:val="142"/>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MSCI Inc.</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20" w:type="dxa"/>
            <w:vAlign w:val="bottom"/>
            <w:shd w:val="clear" w:color="auto" w:fill="CFF0FC"/>
          </w:tcPr>
          <w:p>
            <w:pPr>
              <w:spacing w:after="0"/>
              <w:rPr>
                <w:sz w:val="12"/>
                <w:szCs w:val="12"/>
                <w:color w:val="auto"/>
              </w:rPr>
            </w:pPr>
          </w:p>
        </w:tc>
      </w:tr>
      <w:tr>
        <w:trPr>
          <w:trHeight w:val="153"/>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S&amp;P 500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2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22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20" w:type="dxa"/>
            <w:vAlign w:val="bottom"/>
          </w:tcPr>
          <w:p>
            <w:pPr>
              <w:spacing w:after="0"/>
              <w:rPr>
                <w:sz w:val="13"/>
                <w:szCs w:val="13"/>
                <w:color w:val="auto"/>
              </w:rPr>
            </w:pPr>
          </w:p>
        </w:tc>
      </w:tr>
      <w:tr>
        <w:trPr>
          <w:trHeight w:val="15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NYSE Composite Index</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20" w:type="dxa"/>
            <w:vAlign w:val="bottom"/>
            <w:shd w:val="clear" w:color="auto" w:fill="CFF0FC"/>
          </w:tcPr>
          <w:p>
            <w:pPr>
              <w:spacing w:after="0"/>
              <w:rPr>
                <w:sz w:val="13"/>
                <w:szCs w:val="13"/>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Source: S&amp;P Global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36" w:name="page37"/>
    <w:bookmarkEnd w:id="36"/>
    <w:p>
      <w:pPr>
        <w:ind w:left="8"/>
        <w:spacing w:after="0"/>
        <w:tabs>
          <w:tab w:leader="none" w:pos="1168"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Selected Financial Data</w:t>
      </w:r>
    </w:p>
    <w:p>
      <w:pPr>
        <w:spacing w:after="0" w:line="82" w:lineRule="exact"/>
        <w:rPr>
          <w:sz w:val="20"/>
          <w:szCs w:val="20"/>
          <w:color w:val="auto"/>
        </w:rPr>
      </w:pPr>
    </w:p>
    <w:p>
      <w:pPr>
        <w:ind w:left="8" w:right="60" w:firstLine="592"/>
        <w:spacing w:after="0" w:line="279" w:lineRule="auto"/>
        <w:rPr>
          <w:sz w:val="20"/>
          <w:szCs w:val="20"/>
          <w:color w:val="auto"/>
        </w:rPr>
      </w:pPr>
      <w:r>
        <w:rPr>
          <w:rFonts w:ascii="Times New Roman" w:cs="Times New Roman" w:eastAsia="Times New Roman" w:hAnsi="Times New Roman"/>
          <w:sz w:val="12"/>
          <w:szCs w:val="12"/>
          <w:color w:val="auto"/>
        </w:rPr>
        <w:t>Our selected consolidated financial data for the periods presented should be read in conjunction with “Item 7. Management’s Discussion and Analysis of Financial Condition and Results of Operations” and the consolidated financial statements and notes thereto provided under Part II, Item 8. “Financial Statements and Supplementary Data” of this Annual Report on Form 10-K.</w:t>
      </w:r>
    </w:p>
    <w:p>
      <w:pPr>
        <w:spacing w:after="0" w:line="16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5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6"/>
              </w:rPr>
              <w:t>For the Years Ended</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5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 xml:space="preserve">2018 </w:t>
            </w:r>
            <w:r>
              <w:rPr>
                <w:rFonts w:ascii="Times New Roman" w:cs="Times New Roman" w:eastAsia="Times New Roman" w:hAnsi="Times New Roman"/>
                <w:sz w:val="8"/>
                <w:szCs w:val="8"/>
                <w:b w:val="1"/>
                <w:bCs w:val="1"/>
                <w:color w:val="auto"/>
              </w:rPr>
              <w:t>(1)</w:t>
            </w: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2017</w:t>
            </w: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2016</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5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580" w:type="dxa"/>
            <w:vAlign w:val="bottom"/>
            <w:gridSpan w:val="13"/>
          </w:tcPr>
          <w:p>
            <w:pPr>
              <w:jc w:val="right"/>
              <w:ind w:right="60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operating margin and per share data)</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1,695,390</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1,557,796</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1,433,984</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1,274,172</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1,150,669</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810,626</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802,095</w:t>
            </w: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747,086</w:t>
            </w: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694,402</w:t>
            </w: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662,565</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884,764</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755,701</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686,898</w:t>
            </w: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579,770</w:t>
            </w: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488,104</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198,539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152,383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57,002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112,871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102,166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84,403</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39,670</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122,011</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162,927</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125,083</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Net income</w:t>
            </w:r>
          </w:p>
        </w:tc>
        <w:tc>
          <w:tcPr>
            <w:tcW w:w="1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601,822</w:t>
            </w:r>
          </w:p>
        </w:tc>
        <w:tc>
          <w:tcPr>
            <w:tcW w:w="2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563,648</w:t>
            </w:r>
          </w:p>
        </w:tc>
        <w:tc>
          <w:tcPr>
            <w:tcW w:w="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507,885</w:t>
            </w:r>
          </w:p>
        </w:tc>
        <w:tc>
          <w:tcPr>
            <w:tcW w:w="2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303,972</w:t>
            </w:r>
          </w:p>
        </w:tc>
        <w:tc>
          <w:tcPr>
            <w:tcW w:w="2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260,855</w:t>
            </w: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margin</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52.2%</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48.5%</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47.9%</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45.5%</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42.4%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Earnings per basic common share</w:t>
            </w:r>
          </w:p>
        </w:tc>
        <w:tc>
          <w:tcPr>
            <w:tcW w:w="1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Earnings per diluted common share</w:t>
            </w:r>
          </w:p>
        </w:tc>
        <w:tc>
          <w:tcPr>
            <w:tcW w:w="140" w:type="dxa"/>
            <w:vAlign w:val="bottom"/>
            <w:tcBorders>
              <w:bottom w:val="single" w:sz="8" w:color="auto"/>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0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Weighted average shares outstanding used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 computing earnings per share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83,716</w:t>
            </w:r>
          </w:p>
        </w:tc>
        <w:tc>
          <w:tcPr>
            <w:tcW w:w="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84,644</w:t>
            </w:r>
          </w:p>
        </w:tc>
        <w:tc>
          <w:tcPr>
            <w:tcW w:w="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87,179</w:t>
            </w:r>
          </w:p>
        </w:tc>
        <w:tc>
          <w:tcPr>
            <w:tcW w:w="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90,336</w:t>
            </w:r>
          </w:p>
        </w:tc>
        <w:tc>
          <w:tcPr>
            <w:tcW w:w="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95,986</w:t>
            </w: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06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84,517</w:t>
            </w:r>
          </w:p>
        </w:tc>
        <w:tc>
          <w:tcPr>
            <w:tcW w:w="2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85,536</w:t>
            </w:r>
          </w:p>
        </w:tc>
        <w:tc>
          <w:tcPr>
            <w:tcW w:w="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89,701</w:t>
            </w:r>
          </w:p>
        </w:tc>
        <w:tc>
          <w:tcPr>
            <w:tcW w:w="2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91,914</w:t>
            </w:r>
          </w:p>
        </w:tc>
        <w:tc>
          <w:tcPr>
            <w:tcW w:w="2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96,540</w:t>
            </w: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Dividends declared per common share</w:t>
            </w:r>
          </w:p>
        </w:tc>
        <w:tc>
          <w:tcPr>
            <w:tcW w:w="140" w:type="dxa"/>
            <w:vAlign w:val="bottom"/>
            <w:tcBorders>
              <w:bottom w:val="single" w:sz="8" w:color="auto"/>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6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5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5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 xml:space="preserve">2019 </w:t>
            </w:r>
            <w:r>
              <w:rPr>
                <w:rFonts w:ascii="Times New Roman" w:cs="Times New Roman" w:eastAsia="Times New Roman" w:hAnsi="Times New Roman"/>
                <w:sz w:val="8"/>
                <w:szCs w:val="8"/>
                <w:b w:val="1"/>
                <w:bCs w:val="1"/>
                <w:color w:val="auto"/>
              </w:rPr>
              <w:t>(2)</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 xml:space="preserve">2018 </w:t>
            </w:r>
            <w:r>
              <w:rPr>
                <w:rFonts w:ascii="Times New Roman" w:cs="Times New Roman" w:eastAsia="Times New Roman" w:hAnsi="Times New Roman"/>
                <w:sz w:val="8"/>
                <w:szCs w:val="8"/>
                <w:b w:val="1"/>
                <w:bCs w:val="1"/>
                <w:color w:val="auto"/>
              </w:rPr>
              <w:t>(1)</w:t>
            </w: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2017</w:t>
            </w: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2016</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5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3"/>
          </w:tcPr>
          <w:p>
            <w:pPr>
              <w:jc w:val="right"/>
              <w:ind w:right="26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1,300,521</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1,506,567</w:t>
            </w:r>
          </w:p>
        </w:tc>
        <w:tc>
          <w:tcPr>
            <w:tcW w:w="200" w:type="dxa"/>
            <w:vAlign w:val="bottom"/>
            <w:shd w:val="clear" w:color="auto" w:fill="CFF0FC"/>
          </w:tcPr>
          <w:p>
            <w:pPr>
              <w:spacing w:after="0"/>
              <w:rPr>
                <w:sz w:val="15"/>
                <w:szCs w:val="15"/>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904,176</w:t>
            </w:r>
          </w:p>
        </w:tc>
        <w:tc>
          <w:tcPr>
            <w:tcW w:w="26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889,502</w:t>
            </w:r>
          </w:p>
        </w:tc>
        <w:tc>
          <w:tcPr>
            <w:tcW w:w="26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791,834</w:t>
            </w:r>
          </w:p>
        </w:tc>
        <w:tc>
          <w:tcPr>
            <w:tcW w:w="100" w:type="dxa"/>
            <w:vAlign w:val="bottom"/>
            <w:shd w:val="clear" w:color="auto" w:fill="CFF0FC"/>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060" w:type="dxa"/>
            <w:vAlign w:val="bottom"/>
            <w:tcBorders>
              <w:top w:val="single" w:sz="8" w:color="CFF0FC"/>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558,569</w:t>
            </w:r>
          </w:p>
        </w:tc>
        <w:tc>
          <w:tcPr>
            <w:tcW w:w="200" w:type="dxa"/>
            <w:vAlign w:val="bottom"/>
            <w:tcBorders>
              <w:top w:val="single" w:sz="8" w:color="CFF0FC"/>
              <w:bottom w:val="single" w:sz="8" w:color="CFF0FC"/>
            </w:tcBorders>
          </w:tcPr>
          <w:p>
            <w:pPr>
              <w:spacing w:after="0"/>
              <w:rPr>
                <w:sz w:val="12"/>
                <w:szCs w:val="12"/>
                <w:color w:val="auto"/>
              </w:rPr>
            </w:pPr>
          </w:p>
        </w:tc>
        <w:tc>
          <w:tcPr>
            <w:tcW w:w="4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499,268</w:t>
            </w:r>
          </w:p>
        </w:tc>
        <w:tc>
          <w:tcPr>
            <w:tcW w:w="200" w:type="dxa"/>
            <w:vAlign w:val="bottom"/>
            <w:tcBorders>
              <w:top w:val="single" w:sz="8" w:color="CFF0FC"/>
              <w:bottom w:val="single" w:sz="8" w:color="CFF0FC"/>
            </w:tcBorders>
          </w:tcPr>
          <w:p>
            <w:pPr>
              <w:spacing w:after="0"/>
              <w:rPr>
                <w:sz w:val="12"/>
                <w:szCs w:val="12"/>
                <w:color w:val="auto"/>
              </w:rPr>
            </w:pPr>
          </w:p>
        </w:tc>
        <w:tc>
          <w:tcPr>
            <w:tcW w:w="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473,433</w:t>
            </w:r>
          </w:p>
        </w:tc>
        <w:tc>
          <w:tcPr>
            <w:tcW w:w="260" w:type="dxa"/>
            <w:vAlign w:val="bottom"/>
            <w:tcBorders>
              <w:top w:val="single" w:sz="8" w:color="CFF0FC"/>
              <w:bottom w:val="single" w:sz="8" w:color="CFF0FC"/>
            </w:tcBorders>
          </w:tcPr>
          <w:p>
            <w:pPr>
              <w:spacing w:after="0"/>
              <w:rPr>
                <w:sz w:val="12"/>
                <w:szCs w:val="12"/>
                <w:color w:val="auto"/>
              </w:rPr>
            </w:pPr>
          </w:p>
        </w:tc>
        <w:tc>
          <w:tcPr>
            <w:tcW w:w="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327,597</w:t>
            </w:r>
          </w:p>
        </w:tc>
        <w:tc>
          <w:tcPr>
            <w:tcW w:w="260" w:type="dxa"/>
            <w:vAlign w:val="bottom"/>
            <w:tcBorders>
              <w:top w:val="single" w:sz="8" w:color="CFF0FC"/>
              <w:bottom w:val="single" w:sz="8" w:color="CFF0FC"/>
            </w:tcBorders>
          </w:tcPr>
          <w:p>
            <w:pPr>
              <w:spacing w:after="0"/>
              <w:rPr>
                <w:sz w:val="12"/>
                <w:szCs w:val="12"/>
                <w:color w:val="auto"/>
              </w:rPr>
            </w:pPr>
          </w:p>
        </w:tc>
        <w:tc>
          <w:tcPr>
            <w:tcW w:w="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221,504</w:t>
            </w:r>
          </w:p>
        </w:tc>
        <w:tc>
          <w:tcPr>
            <w:tcW w:w="100" w:type="dxa"/>
            <w:vAlign w:val="bottom"/>
            <w:tcBorders>
              <w:top w:val="single" w:sz="8" w:color="CFF0FC"/>
              <w:bottom w:val="single" w:sz="8" w:color="CFF0FC"/>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 and intangibles, net of</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accumulated amortization</w:t>
            </w:r>
          </w:p>
        </w:tc>
        <w:tc>
          <w:tcPr>
            <w:tcW w:w="1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1,800,770</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1,824,355</w:t>
            </w:r>
          </w:p>
        </w:tc>
        <w:tc>
          <w:tcPr>
            <w:tcW w:w="200" w:type="dxa"/>
            <w:vAlign w:val="bottom"/>
            <w:shd w:val="clear" w:color="auto" w:fill="CFF0FC"/>
          </w:tcPr>
          <w:p>
            <w:pPr>
              <w:spacing w:after="0"/>
              <w:rPr>
                <w:sz w:val="15"/>
                <w:szCs w:val="15"/>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1,826,564</w:t>
            </w:r>
          </w:p>
        </w:tc>
        <w:tc>
          <w:tcPr>
            <w:tcW w:w="26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1,882,457</w:t>
            </w:r>
          </w:p>
        </w:tc>
        <w:tc>
          <w:tcPr>
            <w:tcW w:w="26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1,903,490</w:t>
            </w:r>
          </w:p>
        </w:tc>
        <w:tc>
          <w:tcPr>
            <w:tcW w:w="100" w:type="dxa"/>
            <w:vAlign w:val="bottom"/>
            <w:shd w:val="clear" w:color="auto" w:fill="CFF0FC"/>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060" w:type="dxa"/>
            <w:vAlign w:val="bottom"/>
            <w:tcBorders>
              <w:top w:val="single" w:sz="8" w:color="CFF0FC"/>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4,198,647</w:t>
            </w:r>
          </w:p>
        </w:tc>
        <w:tc>
          <w:tcPr>
            <w:tcW w:w="200" w:type="dxa"/>
            <w:vAlign w:val="bottom"/>
            <w:tcBorders>
              <w:top w:val="single" w:sz="8" w:color="CFF0FC"/>
              <w:bottom w:val="single" w:sz="8" w:color="CFF0FC"/>
            </w:tcBorders>
          </w:tcPr>
          <w:p>
            <w:pPr>
              <w:spacing w:after="0"/>
              <w:rPr>
                <w:sz w:val="12"/>
                <w:szCs w:val="12"/>
                <w:color w:val="auto"/>
              </w:rPr>
            </w:pPr>
          </w:p>
        </w:tc>
        <w:tc>
          <w:tcPr>
            <w:tcW w:w="4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4,204,439</w:t>
            </w:r>
          </w:p>
        </w:tc>
        <w:tc>
          <w:tcPr>
            <w:tcW w:w="200" w:type="dxa"/>
            <w:vAlign w:val="bottom"/>
            <w:tcBorders>
              <w:top w:val="single" w:sz="8" w:color="CFF0FC"/>
              <w:bottom w:val="single" w:sz="8" w:color="CFF0FC"/>
            </w:tcBorders>
          </w:tcPr>
          <w:p>
            <w:pPr>
              <w:spacing w:after="0"/>
              <w:rPr>
                <w:sz w:val="12"/>
                <w:szCs w:val="12"/>
                <w:color w:val="auto"/>
              </w:rPr>
            </w:pPr>
          </w:p>
        </w:tc>
        <w:tc>
          <w:tcPr>
            <w:tcW w:w="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3,387,952</w:t>
            </w:r>
          </w:p>
        </w:tc>
        <w:tc>
          <w:tcPr>
            <w:tcW w:w="260" w:type="dxa"/>
            <w:vAlign w:val="bottom"/>
            <w:tcBorders>
              <w:top w:val="single" w:sz="8" w:color="CFF0FC"/>
              <w:bottom w:val="single" w:sz="8" w:color="CFF0FC"/>
            </w:tcBorders>
          </w:tcPr>
          <w:p>
            <w:pPr>
              <w:spacing w:after="0"/>
              <w:rPr>
                <w:sz w:val="12"/>
                <w:szCs w:val="12"/>
                <w:color w:val="auto"/>
              </w:rPr>
            </w:pPr>
          </w:p>
        </w:tc>
        <w:tc>
          <w:tcPr>
            <w:tcW w:w="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3,275,668</w:t>
            </w:r>
          </w:p>
        </w:tc>
        <w:tc>
          <w:tcPr>
            <w:tcW w:w="260" w:type="dxa"/>
            <w:vAlign w:val="bottom"/>
            <w:tcBorders>
              <w:top w:val="single" w:sz="8" w:color="CFF0FC"/>
              <w:bottom w:val="single" w:sz="8" w:color="CFF0FC"/>
            </w:tcBorders>
          </w:tcPr>
          <w:p>
            <w:pPr>
              <w:spacing w:after="0"/>
              <w:rPr>
                <w:sz w:val="12"/>
                <w:szCs w:val="12"/>
                <w:color w:val="auto"/>
              </w:rPr>
            </w:pPr>
          </w:p>
        </w:tc>
        <w:tc>
          <w:tcPr>
            <w:tcW w:w="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3,082,578</w:t>
            </w:r>
          </w:p>
        </w:tc>
        <w:tc>
          <w:tcPr>
            <w:tcW w:w="100" w:type="dxa"/>
            <w:vAlign w:val="bottom"/>
            <w:tcBorders>
              <w:top w:val="single" w:sz="8" w:color="CFF0FC"/>
              <w:bottom w:val="single" w:sz="8" w:color="CFF0FC"/>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675,870</w:t>
            </w:r>
          </w:p>
        </w:tc>
        <w:tc>
          <w:tcPr>
            <w:tcW w:w="20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574,656</w:t>
            </w:r>
          </w:p>
        </w:tc>
        <w:tc>
          <w:tcPr>
            <w:tcW w:w="2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537,977</w:t>
            </w:r>
          </w:p>
        </w:tc>
        <w:tc>
          <w:tcPr>
            <w:tcW w:w="2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374,365</w:t>
            </w:r>
          </w:p>
        </w:tc>
        <w:tc>
          <w:tcPr>
            <w:tcW w:w="2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334,358</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0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Long-term debt, net of current maturities</w:t>
            </w:r>
          </w:p>
        </w:tc>
        <w:tc>
          <w:tcPr>
            <w:tcW w:w="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3,366,777</w:t>
            </w:r>
          </w:p>
        </w:tc>
        <w:tc>
          <w:tcPr>
            <w:tcW w:w="2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3,071,926</w:t>
            </w: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2,575,502</w:t>
            </w:r>
          </w:p>
        </w:tc>
        <w:tc>
          <w:tcPr>
            <w:tcW w:w="2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2,078,093</w:t>
            </w:r>
          </w:p>
        </w:tc>
        <w:tc>
          <w:tcPr>
            <w:tcW w:w="2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2,075,201</w:t>
            </w:r>
          </w:p>
        </w:tc>
        <w:tc>
          <w:tcPr>
            <w:tcW w:w="100" w:type="dxa"/>
            <w:vAlign w:val="bottom"/>
            <w:tcBorders>
              <w:bottom w:val="single" w:sz="8" w:color="CFF0FC"/>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shareholders' equity (deficit)</w:t>
            </w:r>
          </w:p>
        </w:tc>
        <w:tc>
          <w:tcPr>
            <w:tcW w:w="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(443,234)</w:t>
            </w:r>
          </w:p>
        </w:tc>
        <w:tc>
          <w:tcPr>
            <w:tcW w:w="20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(76,714)</w:t>
            </w:r>
          </w:p>
        </w:tc>
        <w:tc>
          <w:tcPr>
            <w:tcW w:w="20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(166,494)</w:t>
            </w:r>
          </w:p>
        </w:tc>
        <w:tc>
          <w:tcPr>
            <w:tcW w:w="26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401,012</w:t>
            </w:r>
          </w:p>
        </w:tc>
        <w:tc>
          <w:tcPr>
            <w:tcW w:w="26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317,605</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99441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4410" cy="5715"/>
                    </a:xfrm>
                    <a:prstGeom prst="rect">
                      <a:avLst/>
                    </a:prstGeom>
                    <a:noFill/>
                  </pic:spPr>
                </pic:pic>
              </a:graphicData>
            </a:graphic>
          </wp:anchor>
        </w:drawing>
      </w:r>
    </w:p>
    <w:p>
      <w:pPr>
        <w:spacing w:after="0" w:line="95" w:lineRule="exact"/>
        <w:rPr>
          <w:sz w:val="20"/>
          <w:szCs w:val="20"/>
          <w:color w:val="auto"/>
        </w:rPr>
      </w:pPr>
    </w:p>
    <w:p>
      <w:pPr>
        <w:ind w:left="588" w:hanging="588"/>
        <w:spacing w:after="0"/>
        <w:tabs>
          <w:tab w:leader="none" w:pos="588"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Includes the impact of the Financial Engineering Associates, Inc. (“FEA”) and Investor Force Holdings, Inc. (“InvestorForce”) divestitures.</w:t>
      </w:r>
    </w:p>
    <w:p>
      <w:pPr>
        <w:spacing w:after="0" w:line="16" w:lineRule="exact"/>
        <w:rPr>
          <w:rFonts w:ascii="Times New Roman" w:cs="Times New Roman" w:eastAsia="Times New Roman" w:hAnsi="Times New Roman"/>
          <w:sz w:val="10"/>
          <w:szCs w:val="10"/>
          <w:color w:val="auto"/>
        </w:rPr>
      </w:pPr>
    </w:p>
    <w:p>
      <w:pPr>
        <w:ind w:left="588" w:right="360" w:hanging="588"/>
        <w:spacing w:after="0" w:line="276" w:lineRule="auto"/>
        <w:tabs>
          <w:tab w:leader="none" w:pos="588"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Reflects the impact of the adoption on January 1, 2019 of Accounting Standards Update 2016-02, "Lease (Topic 842)," the impact of which was the inclusion of $166.4 million of right-of-use assets on the Company's Consolidated Statement of Financial Condition as of December 31, 2019.</w:t>
      </w:r>
    </w:p>
    <w:p>
      <w:pPr>
        <w:spacing w:after="0" w:line="3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85" w:right="299" w:bottom="1440" w:gutter="0" w:footer="0" w:header="0"/>
        </w:sectPr>
      </w:pPr>
    </w:p>
    <w:bookmarkStart w:id="37" w:name="page38"/>
    <w:bookmarkEnd w:id="37"/>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80" w:lineRule="exact"/>
        <w:rPr>
          <w:sz w:val="20"/>
          <w:szCs w:val="20"/>
          <w:color w:val="auto"/>
        </w:rPr>
      </w:pPr>
    </w:p>
    <w:p>
      <w:pPr>
        <w:ind w:right="20" w:firstLine="592"/>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the financial condition and results of our operations for the year ended December 31, 2020 should be read in conjunction with the consolidated financial statements and related notes included elsewhere in this Annual Report on Form 10-K. The discussion summarizing the significant factors affecting the results of operations and financial condition of MSCI for the year ended December 31, 2019 can be found in Part II, “Item 7. Management’s Discussion and Analysis of Financial Condition and Results of Operations” of our Annual Report on Form 10-K for the year ended December 31, 2019 (the “2019 Annual Report”), which was filed with the Securities and Exchange Commission on February 18, 2020.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91" w:lineRule="exact"/>
        <w:rPr>
          <w:sz w:val="20"/>
          <w:szCs w:val="20"/>
          <w:color w:val="auto"/>
        </w:rPr>
      </w:pPr>
    </w:p>
    <w:p>
      <w:pPr>
        <w:ind w:firstLine="592"/>
        <w:spacing w:after="0" w:line="279" w:lineRule="auto"/>
        <w:rPr>
          <w:sz w:val="20"/>
          <w:szCs w:val="20"/>
          <w:color w:val="auto"/>
        </w:rPr>
      </w:pPr>
      <w:r>
        <w:rPr>
          <w:rFonts w:ascii="Times New Roman" w:cs="Times New Roman" w:eastAsia="Times New Roman" w:hAnsi="Times New Roman"/>
          <w:sz w:val="12"/>
          <w:szCs w:val="12"/>
          <w:color w:val="auto"/>
        </w:rPr>
        <w:t>We are a leading provider of critical decision support tools and services for the global investment community. Leveraging our knowledge of the global investment process and our expertise in research, data and technology, our actionable solutions power better investment decisions by enabling our clients to understand and analyze key drivers of risk and return and confidently and efficiently build more effective portfolios.</w:t>
      </w:r>
    </w:p>
    <w:p>
      <w:pPr>
        <w:spacing w:after="0" w:line="129" w:lineRule="exact"/>
        <w:rPr>
          <w:sz w:val="20"/>
          <w:szCs w:val="20"/>
          <w:color w:val="auto"/>
        </w:rPr>
      </w:pPr>
    </w:p>
    <w:p>
      <w:pPr>
        <w:ind w:right="180" w:firstLine="592"/>
        <w:spacing w:after="0" w:line="265" w:lineRule="auto"/>
        <w:rPr>
          <w:sz w:val="20"/>
          <w:szCs w:val="20"/>
          <w:color w:val="auto"/>
        </w:rPr>
      </w:pPr>
      <w:r>
        <w:rPr>
          <w:rFonts w:ascii="Times New Roman" w:cs="Times New Roman" w:eastAsia="Times New Roman" w:hAnsi="Times New Roman"/>
          <w:sz w:val="12"/>
          <w:szCs w:val="12"/>
          <w:color w:val="auto"/>
        </w:rPr>
        <w:t>Investors all over the world use our tools and services to gain insight and improve transparency throughout their investment processes, including to help define their investment universe, inform and analyze their asset allocation and portfolio construction decisions, measure and manage portfolio performance and risk, conduct performance attribution, implement sustainable and other investment strategies, design and issue ETFs and other indexed financial products, and facilitate reporting to stakeholders.</w:t>
      </w:r>
    </w:p>
    <w:p>
      <w:pPr>
        <w:spacing w:after="0" w:line="137" w:lineRule="exact"/>
        <w:rPr>
          <w:sz w:val="20"/>
          <w:szCs w:val="20"/>
          <w:color w:val="auto"/>
        </w:rPr>
      </w:pPr>
    </w:p>
    <w:p>
      <w:pPr>
        <w:ind w:right="180" w:firstLine="592"/>
        <w:spacing w:after="0" w:line="265" w:lineRule="auto"/>
        <w:rPr>
          <w:sz w:val="20"/>
          <w:szCs w:val="20"/>
          <w:color w:val="auto"/>
        </w:rPr>
      </w:pPr>
      <w:r>
        <w:rPr>
          <w:rFonts w:ascii="Times New Roman" w:cs="Times New Roman" w:eastAsia="Times New Roman" w:hAnsi="Times New Roman"/>
          <w:sz w:val="12"/>
          <w:szCs w:val="12"/>
          <w:color w:val="auto"/>
        </w:rPr>
        <w:t>Our leading, research-enhanced products and services include indexes; portfolio construction and risk management analytics; ESG research and ratings, as well as climate solutions; and real estate benchmarks, return-analytics and market insights. Through our integrated franchise we provide solutions across our products and services to support our clients’ dynamic and complex needs. Our content and capabilities can be accessed by our clients through multiple channels and platforms.</w:t>
      </w:r>
    </w:p>
    <w:p>
      <w:pPr>
        <w:spacing w:after="0" w:line="137" w:lineRule="exact"/>
        <w:rPr>
          <w:sz w:val="20"/>
          <w:szCs w:val="20"/>
          <w:color w:val="auto"/>
        </w:rPr>
      </w:pPr>
    </w:p>
    <w:p>
      <w:pPr>
        <w:ind w:right="420" w:firstLine="592"/>
        <w:spacing w:after="0" w:line="279" w:lineRule="auto"/>
        <w:rPr>
          <w:sz w:val="20"/>
          <w:szCs w:val="20"/>
          <w:color w:val="auto"/>
        </w:rPr>
      </w:pPr>
      <w:r>
        <w:rPr>
          <w:rFonts w:ascii="Times New Roman" w:cs="Times New Roman" w:eastAsia="Times New Roman" w:hAnsi="Times New Roman"/>
          <w:sz w:val="12"/>
          <w:szCs w:val="12"/>
          <w:color w:val="auto"/>
        </w:rPr>
        <w:t>We are focused on product innovation to address the evolving needs of our clients in light of changing investment trends and an increasingly complex industry. In order to most effectively serve our clients, we are committed to driving an integrated solutions-based approach, achieving service excellence, enhancing our differentiated research and content, and delivering flexible, cutting-edge technology and platforms.</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Our clients comprise a wide spectrum of the global investment industry and include the following key client types:</w:t>
      </w:r>
    </w:p>
    <w:p>
      <w:pPr>
        <w:spacing w:after="0" w:line="87" w:lineRule="exact"/>
        <w:rPr>
          <w:sz w:val="20"/>
          <w:szCs w:val="20"/>
          <w:color w:val="auto"/>
        </w:rPr>
      </w:pPr>
    </w:p>
    <w:p>
      <w:pPr>
        <w:ind w:left="860" w:hanging="436"/>
        <w:spacing w:after="0"/>
        <w:tabs>
          <w:tab w:leader="none" w:pos="86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 owners (pension funds, endowments, foundations, central banks, sovereign wealth funds, family offices and insurance companies)</w:t>
      </w:r>
    </w:p>
    <w:p>
      <w:pPr>
        <w:spacing w:after="0" w:line="7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 managers (institutional funds and accounts, mutual funds, hedge funds, ETFs, insurance products, private banks and real estate investment trusts)</w:t>
      </w:r>
    </w:p>
    <w:p>
      <w:pPr>
        <w:spacing w:after="0" w:line="7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intermediaries (banks, broker-dealers, exchanges, custodians, trust companies and investment consultants)</w:t>
      </w:r>
    </w:p>
    <w:p>
      <w:pPr>
        <w:spacing w:after="0" w:line="7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Wealth managers (including robo-advisors and self-directed brokerages)</w:t>
      </w:r>
    </w:p>
    <w:p>
      <w:pPr>
        <w:spacing w:after="0" w:line="7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Corporates</w:t>
      </w:r>
    </w:p>
    <w:p>
      <w:pPr>
        <w:spacing w:after="0" w:line="168" w:lineRule="exact"/>
        <w:rPr>
          <w:sz w:val="20"/>
          <w:szCs w:val="20"/>
          <w:color w:val="auto"/>
        </w:rPr>
      </w:pPr>
    </w:p>
    <w:p>
      <w:pPr>
        <w:ind w:right="140" w:firstLine="592"/>
        <w:spacing w:after="0" w:line="279" w:lineRule="auto"/>
        <w:rPr>
          <w:sz w:val="20"/>
          <w:szCs w:val="20"/>
          <w:color w:val="auto"/>
        </w:rPr>
      </w:pPr>
      <w:r>
        <w:rPr>
          <w:rFonts w:ascii="Times New Roman" w:cs="Times New Roman" w:eastAsia="Times New Roman" w:hAnsi="Times New Roman"/>
          <w:sz w:val="12"/>
          <w:szCs w:val="12"/>
          <w:color w:val="auto"/>
        </w:rPr>
        <w:t>As of December 31, 2020, we had offices in more than 30 cities across more than 20 countries to help serve our diverse client base, with 46.9% of our revenues coming from clients in the Americas, 37.0% in Europe, the Middle East and Africa (“EMEA”) and 16.1% in Asia and Australia.</w:t>
      </w:r>
    </w:p>
    <w:p>
      <w:pPr>
        <w:spacing w:after="0" w:line="111" w:lineRule="exact"/>
        <w:rPr>
          <w:sz w:val="20"/>
          <w:szCs w:val="20"/>
          <w:color w:val="auto"/>
        </w:rPr>
      </w:pPr>
    </w:p>
    <w:p>
      <w:pPr>
        <w:jc w:val="both"/>
        <w:ind w:right="340" w:firstLine="592"/>
        <w:spacing w:after="0" w:line="257" w:lineRule="auto"/>
        <w:rPr>
          <w:sz w:val="20"/>
          <w:szCs w:val="20"/>
          <w:color w:val="auto"/>
        </w:rPr>
      </w:pPr>
      <w:r>
        <w:rPr>
          <w:rFonts w:ascii="Times New Roman" w:cs="Times New Roman" w:eastAsia="Times New Roman" w:hAnsi="Times New Roman"/>
          <w:sz w:val="12"/>
          <w:szCs w:val="12"/>
          <w:color w:val="auto"/>
        </w:rPr>
        <w:t>In evaluating our financial performance, we focus on revenue and profit growth, including results accounted for under accounting principles generally accepted in the United States (“GAAP”) as well as non-GAAP measures, for the Company as a whole and by operating segment. In addition, we focus on operating metrics, including Run Rate, subscription sales and Retention Rate, to manage the business. Our business is not highly capital intensive and, as such, we expect to continue to convert a high percentage of our profits into excess cash in the future. Our growth strategy includes: (a) extending leadership in research-enhanced content across asset classes, (b) enhancing distribution and content-enabling technology, (c) expanding solutions that empower client customization, (d) strengthening existing client relationships and growing by developing new ones and (e) executing strategic relationships and acquisitions with complementary content and technology companies.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26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color w:val="auto"/>
        </w:rPr>
        <w:t>Key Financial Metrics and Drivers</w:t>
      </w:r>
    </w:p>
    <w:p>
      <w:pPr>
        <w:spacing w:after="0" w:line="82" w:lineRule="exact"/>
        <w:rPr>
          <w:sz w:val="20"/>
          <w:szCs w:val="20"/>
          <w:color w:val="auto"/>
        </w:rPr>
      </w:pPr>
    </w:p>
    <w:p>
      <w:pPr>
        <w:ind w:right="20" w:firstLine="592"/>
        <w:spacing w:after="0" w:line="265" w:lineRule="auto"/>
        <w:rPr>
          <w:sz w:val="20"/>
          <w:szCs w:val="20"/>
          <w:color w:val="auto"/>
        </w:rPr>
      </w:pPr>
      <w:r>
        <w:rPr>
          <w:rFonts w:ascii="Times New Roman" w:cs="Times New Roman" w:eastAsia="Times New Roman" w:hAnsi="Times New Roman"/>
          <w:sz w:val="12"/>
          <w:szCs w:val="12"/>
          <w:color w:val="auto"/>
        </w:rPr>
        <w:t>As discussed in the previous section, we utilize a portfolio of key financial metrics to manage the Company, including GAAP and non-GAAP measures. As detailed below, we review revenues by type and by segment, or by major product line. We also review expenses by activity, which provides more transparency into how resources are being deployed. In addition, we utilize operating metrics including Run Rate, subscription sales and Retention Rate to analyze past performance and to provide insight into our latest reported recurring business.</w:t>
      </w:r>
    </w:p>
    <w:p>
      <w:pPr>
        <w:spacing w:after="0" w:line="119"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In the discussion that follows, we provide certain variances excluding the impact of foreign currency exchange rate fluctuations. Foreign currency exchange rate fluctuations reflect the difference between the current period results as reported compared to the current period results recalculated using the foreign currency exchange rates in effect for the comparable prior period. While operating revenues adjusted for the impact of foreign currency fluctuations includes asset-based fees that have been adjusted for the impact of foreign currency fluctuations, the underlying AUM, which is the primary component of asset-based fees, is not adjusted for foreign currency fluctuations. More than three-fifths of the AUM are invested in securities denominated in currencies other than the U.S. dollar, and accordingly, any such impact is excluded from the disclosed foreign currency-adjusted variances.</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82" w:lineRule="exact"/>
        <w:rPr>
          <w:sz w:val="20"/>
          <w:szCs w:val="20"/>
          <w:color w:val="auto"/>
        </w:rPr>
      </w:pPr>
    </w:p>
    <w:p>
      <w:pPr>
        <w:ind w:right="20" w:firstLine="592"/>
        <w:spacing w:after="0" w:line="279" w:lineRule="auto"/>
        <w:rPr>
          <w:sz w:val="20"/>
          <w:szCs w:val="20"/>
          <w:color w:val="auto"/>
        </w:rPr>
      </w:pPr>
      <w:r>
        <w:rPr>
          <w:rFonts w:ascii="Times New Roman" w:cs="Times New Roman" w:eastAsia="Times New Roman" w:hAnsi="Times New Roman"/>
          <w:sz w:val="12"/>
          <w:szCs w:val="12"/>
          <w:color w:val="auto"/>
        </w:rPr>
        <w:t>Our revenues are characterized by type, which broadly reflects the nature of how they are recognized or earned. Our revenue types are recurring subscriptions, asset-based fees and non-recurring revenues. We also group our revenues by segment and provide the revenue type within each segment.</w:t>
      </w:r>
    </w:p>
    <w:p>
      <w:pPr>
        <w:spacing w:after="0" w:line="111" w:lineRule="exact"/>
        <w:rPr>
          <w:sz w:val="20"/>
          <w:szCs w:val="20"/>
          <w:color w:val="auto"/>
        </w:rPr>
      </w:pPr>
    </w:p>
    <w:p>
      <w:pPr>
        <w:ind w:right="40" w:firstLine="592"/>
        <w:spacing w:after="0" w:line="279" w:lineRule="auto"/>
        <w:rPr>
          <w:sz w:val="20"/>
          <w:szCs w:val="20"/>
          <w:color w:val="auto"/>
        </w:rPr>
      </w:pPr>
      <w:r>
        <w:rPr>
          <w:rFonts w:ascii="Times New Roman" w:cs="Times New Roman" w:eastAsia="Times New Roman" w:hAnsi="Times New Roman"/>
          <w:sz w:val="12"/>
          <w:szCs w:val="12"/>
          <w:color w:val="auto"/>
        </w:rPr>
        <w:t>Recurring subscription revenues represent fees earned from clients primarily under renewable contracts and are generally recognized ratably over the term of the license or service pursuant to the contract terms. The fees are recognized as we provide the product and service to the client over the license period and are generally billed in advance, prior to the license start date.</w:t>
      </w:r>
    </w:p>
    <w:p>
      <w:pPr>
        <w:spacing w:after="0" w:line="111" w:lineRule="exact"/>
        <w:rPr>
          <w:sz w:val="20"/>
          <w:szCs w:val="20"/>
          <w:color w:val="auto"/>
        </w:rPr>
      </w:pPr>
    </w:p>
    <w:p>
      <w:pPr>
        <w:ind w:right="20" w:firstLine="592"/>
        <w:spacing w:after="0" w:line="279" w:lineRule="auto"/>
        <w:rPr>
          <w:sz w:val="20"/>
          <w:szCs w:val="20"/>
          <w:color w:val="auto"/>
        </w:rPr>
      </w:pPr>
      <w:r>
        <w:rPr>
          <w:rFonts w:ascii="Times New Roman" w:cs="Times New Roman" w:eastAsia="Times New Roman" w:hAnsi="Times New Roman"/>
          <w:sz w:val="12"/>
          <w:szCs w:val="12"/>
          <w:color w:val="auto"/>
        </w:rPr>
        <w:t>Asset-based fees represent fees earned on the AUM linked to our indexes from independent third-party sources or the most recently reported information provided by the client. Asset-based fees also include revenues related to futures and options contracts linked to our indexes, which are primarily based on trading volumes.</w:t>
      </w:r>
    </w:p>
    <w:p>
      <w:pPr>
        <w:spacing w:after="0" w:line="111" w:lineRule="exact"/>
        <w:rPr>
          <w:sz w:val="20"/>
          <w:szCs w:val="20"/>
          <w:color w:val="auto"/>
        </w:rPr>
      </w:pPr>
    </w:p>
    <w:p>
      <w:pPr>
        <w:ind w:right="200" w:firstLine="592"/>
        <w:spacing w:after="0" w:line="279" w:lineRule="auto"/>
        <w:rPr>
          <w:sz w:val="20"/>
          <w:szCs w:val="20"/>
          <w:color w:val="auto"/>
        </w:rPr>
      </w:pPr>
      <w:r>
        <w:rPr>
          <w:rFonts w:ascii="Times New Roman" w:cs="Times New Roman" w:eastAsia="Times New Roman" w:hAnsi="Times New Roman"/>
          <w:sz w:val="12"/>
          <w:szCs w:val="12"/>
          <w:color w:val="auto"/>
        </w:rPr>
        <w:t>Non-recurring revenues primarily represent fees earned on products and services where we do not have renewal contracts and primarily include revenues for providing historical data, certain implementation services and other special client requests, which are generally recognized at a point in time.</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We group our operating expenses into the following activity categories:</w:t>
      </w:r>
    </w:p>
    <w:p>
      <w:pPr>
        <w:spacing w:after="0" w:line="78" w:lineRule="exact"/>
        <w:rPr>
          <w:sz w:val="20"/>
          <w:szCs w:val="20"/>
          <w:color w:val="auto"/>
        </w:rPr>
      </w:pPr>
    </w:p>
    <w:p>
      <w:pPr>
        <w:ind w:left="1000" w:hanging="423"/>
        <w:spacing w:after="0"/>
        <w:tabs>
          <w:tab w:leader="none" w:pos="10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revenues;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and marketing;</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(“R&amp;D”);</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and administrative (“G&amp;A”);</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Amortization of intangible assets; and</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Depreciation and amortization of property, equipment and leasehold improvements.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Costs are assigned to these activity categories based on the nature of the expense or, when not directly attributable, an estimated allocation based on the type of effort involved.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2" w:right="299" w:bottom="1440" w:gutter="0" w:footer="0" w:header="0"/>
        </w:sectPr>
      </w:pPr>
    </w:p>
    <w:bookmarkStart w:id="39" w:name="page40"/>
    <w:bookmarkEnd w:id="39"/>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Revenues</w:t>
      </w:r>
    </w:p>
    <w:p>
      <w:pPr>
        <w:spacing w:after="0" w:line="82" w:lineRule="exact"/>
        <w:rPr>
          <w:sz w:val="20"/>
          <w:szCs w:val="20"/>
          <w:color w:val="auto"/>
        </w:rPr>
      </w:pPr>
    </w:p>
    <w:p>
      <w:pPr>
        <w:ind w:right="340" w:firstLine="592"/>
        <w:spacing w:after="0" w:line="265" w:lineRule="auto"/>
        <w:rPr>
          <w:sz w:val="20"/>
          <w:szCs w:val="20"/>
          <w:color w:val="auto"/>
        </w:rPr>
      </w:pPr>
      <w:r>
        <w:rPr>
          <w:rFonts w:ascii="Times New Roman" w:cs="Times New Roman" w:eastAsia="Times New Roman" w:hAnsi="Times New Roman"/>
          <w:sz w:val="12"/>
          <w:szCs w:val="12"/>
          <w:color w:val="auto"/>
        </w:rPr>
        <w:t>Cost of revenues expenses consist of costs related to the production and servicing of our products and services and primarily includes related information technology costs, including data center, cloud, platform and infrastructure costs; costs to acquire, produce and maintain market data information; costs of research to support and maintain existing products; costs of product management teams; costs of client service and consultant teams to support customer needs; as well as other support costs directly attributable to the cost of revenues including certain human resources, finance and legal costs.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Selling and Marketing</w:t>
      </w:r>
    </w:p>
    <w:p>
      <w:pPr>
        <w:spacing w:after="0" w:line="82" w:lineRule="exact"/>
        <w:rPr>
          <w:sz w:val="20"/>
          <w:szCs w:val="20"/>
          <w:color w:val="auto"/>
        </w:rPr>
      </w:pPr>
    </w:p>
    <w:p>
      <w:pPr>
        <w:ind w:firstLine="592"/>
        <w:spacing w:after="0" w:line="279" w:lineRule="auto"/>
        <w:rPr>
          <w:sz w:val="20"/>
          <w:szCs w:val="20"/>
          <w:color w:val="auto"/>
        </w:rPr>
      </w:pPr>
      <w:r>
        <w:rPr>
          <w:rFonts w:ascii="Times New Roman" w:cs="Times New Roman" w:eastAsia="Times New Roman" w:hAnsi="Times New Roman"/>
          <w:sz w:val="12"/>
          <w:szCs w:val="12"/>
          <w:color w:val="auto"/>
        </w:rPr>
        <w:t>Selling and marketing expenses consist of costs associated with acquiring new clients or selling new products or product renewals to existing clients and primarily includes the costs of our sales and marketing teams, as well as costs incurred in other groups associated with acquiring new business, including product management, research, technology and sales operations.</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82" w:lineRule="exact"/>
        <w:rPr>
          <w:sz w:val="20"/>
          <w:szCs w:val="20"/>
          <w:color w:val="auto"/>
        </w:rPr>
      </w:pPr>
    </w:p>
    <w:p>
      <w:pPr>
        <w:ind w:right="140" w:firstLine="592"/>
        <w:spacing w:after="0" w:line="279" w:lineRule="auto"/>
        <w:rPr>
          <w:sz w:val="20"/>
          <w:szCs w:val="20"/>
          <w:color w:val="auto"/>
        </w:rPr>
      </w:pPr>
      <w:r>
        <w:rPr>
          <w:rFonts w:ascii="Times New Roman" w:cs="Times New Roman" w:eastAsia="Times New Roman" w:hAnsi="Times New Roman"/>
          <w:sz w:val="12"/>
          <w:szCs w:val="12"/>
          <w:color w:val="auto"/>
        </w:rPr>
        <w:t>R&amp;D expenses consist of costs to develop new or enhance existing products and costs to develop new or improved technology and service platforms for the delivery of our products and services and primarily include the costs of development, research, product management, project management and the technology support associated with these efforts.</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82" w:lineRule="exact"/>
        <w:rPr>
          <w:sz w:val="20"/>
          <w:szCs w:val="20"/>
          <w:color w:val="auto"/>
        </w:rPr>
      </w:pPr>
    </w:p>
    <w:p>
      <w:pPr>
        <w:ind w:right="220" w:firstLine="592"/>
        <w:spacing w:after="0" w:line="279" w:lineRule="auto"/>
        <w:rPr>
          <w:sz w:val="20"/>
          <w:szCs w:val="20"/>
          <w:color w:val="auto"/>
        </w:rPr>
      </w:pPr>
      <w:r>
        <w:rPr>
          <w:rFonts w:ascii="Times New Roman" w:cs="Times New Roman" w:eastAsia="Times New Roman" w:hAnsi="Times New Roman"/>
          <w:sz w:val="12"/>
          <w:szCs w:val="12"/>
          <w:color w:val="auto"/>
        </w:rPr>
        <w:t>G&amp;A expenses consist of costs primarily related to finance operations, human resources, office of the CEO, legal, corporate technology, corporate development and certain other administrative costs that are not directly attributed, but are instead allocated, to a product or service.</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Amortization of Intangible Assets</w:t>
      </w:r>
    </w:p>
    <w:p>
      <w:pPr>
        <w:spacing w:after="0" w:line="82" w:lineRule="exact"/>
        <w:rPr>
          <w:sz w:val="20"/>
          <w:szCs w:val="20"/>
          <w:color w:val="auto"/>
        </w:rPr>
      </w:pPr>
    </w:p>
    <w:p>
      <w:pPr>
        <w:ind w:right="140" w:firstLine="592"/>
        <w:spacing w:after="0" w:line="300" w:lineRule="auto"/>
        <w:rPr>
          <w:sz w:val="20"/>
          <w:szCs w:val="20"/>
          <w:color w:val="auto"/>
        </w:rPr>
      </w:pPr>
      <w:r>
        <w:rPr>
          <w:rFonts w:ascii="Times New Roman" w:cs="Times New Roman" w:eastAsia="Times New Roman" w:hAnsi="Times New Roman"/>
          <w:sz w:val="11"/>
          <w:szCs w:val="11"/>
          <w:color w:val="auto"/>
        </w:rPr>
        <w:t>Amortization of intangible assets expense relates to definite-lived intangible assets arising from past acquisitions and internal capitalized software projects. Intangibles arising from past acquisitions consist of customer relationships, trademarks and trade names, technology and software, proprietary processes and data and non-competition agreements. We amortize definite-lived intangible assets over their estimated useful lives. Definite-lived intangible assets are tested for impairment when impairment indicators are present, and, if impaired, written down to fair value based on either discounted cash flows or appraised values. We have no indefinite-lived intangible assets.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 of Property, Equipment and Leasehold Improvements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This category consists of expenses related to depreciating or amortizing the cost of furniture and fixtures, computer and related equipment and leasehold improvements over the estimated useful life of the assets.</w:t>
      </w:r>
    </w:p>
    <w:p>
      <w:pPr>
        <w:spacing w:after="0" w:line="2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Other Expense (Income), Net</w:t>
      </w:r>
    </w:p>
    <w:p>
      <w:pPr>
        <w:spacing w:after="0" w:line="82" w:lineRule="exact"/>
        <w:rPr>
          <w:sz w:val="20"/>
          <w:szCs w:val="20"/>
          <w:color w:val="auto"/>
        </w:rPr>
      </w:pPr>
    </w:p>
    <w:p>
      <w:pPr>
        <w:ind w:right="180" w:firstLine="592"/>
        <w:spacing w:after="0" w:line="279" w:lineRule="auto"/>
        <w:rPr>
          <w:sz w:val="20"/>
          <w:szCs w:val="20"/>
          <w:color w:val="auto"/>
        </w:rPr>
      </w:pPr>
      <w:r>
        <w:rPr>
          <w:rFonts w:ascii="Times New Roman" w:cs="Times New Roman" w:eastAsia="Times New Roman" w:hAnsi="Times New Roman"/>
          <w:sz w:val="12"/>
          <w:szCs w:val="12"/>
          <w:color w:val="auto"/>
        </w:rPr>
        <w:t>This category consists primarily of interest we pay on our outstanding indebtedness, interest we collect on cash and short-term investments, foreign currency exchange rate gains and losses as well as other non-operating income and expense items, such as losses on early extinguishment of debt and income and losses associated with our equity method investment.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40" w:name="page41"/>
    <w:bookmarkEnd w:id="40"/>
    <w:p>
      <w:pPr>
        <w:ind w:left="280"/>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Adjusted EBITDA</w:t>
      </w:r>
    </w:p>
    <w:p>
      <w:pPr>
        <w:spacing w:after="0" w:line="82" w:lineRule="exact"/>
        <w:rPr>
          <w:sz w:val="20"/>
          <w:szCs w:val="20"/>
          <w:color w:val="auto"/>
        </w:rPr>
      </w:pPr>
    </w:p>
    <w:p>
      <w:pPr>
        <w:ind w:right="60" w:firstLine="592"/>
        <w:spacing w:after="0" w:line="265" w:lineRule="auto"/>
        <w:rPr>
          <w:sz w:val="20"/>
          <w:szCs w:val="20"/>
          <w:color w:val="auto"/>
        </w:rPr>
      </w:pPr>
      <w:r>
        <w:rPr>
          <w:rFonts w:ascii="Times New Roman" w:cs="Times New Roman" w:eastAsia="Times New Roman" w:hAnsi="Times New Roman"/>
          <w:sz w:val="12"/>
          <w:szCs w:val="12"/>
          <w:color w:val="auto"/>
        </w:rPr>
        <w:t>“Adjusted EBITDA,” a non-GAAP measure used by management to assess operating performance, is defined as net income before (1) provision for income taxes, (2) other expense (income), net, (3) depreciation and amortization of property, equipment and leasehold improvements, (4) amortization of intangible assets and, at times, (5) certain other transactions or adjustments, including the impact related to the vesting of multi-year restricted stock units granted in 2016 to certain senior executives that are subject to the achievement of multi-year total shareholder return targets, which are performance targets with a market condition (the “2016 Multi-Year PSUs”).</w:t>
      </w:r>
    </w:p>
    <w:p>
      <w:pPr>
        <w:spacing w:after="0" w:line="119" w:lineRule="exact"/>
        <w:rPr>
          <w:sz w:val="20"/>
          <w:szCs w:val="20"/>
          <w:color w:val="auto"/>
        </w:rPr>
      </w:pPr>
    </w:p>
    <w:p>
      <w:pPr>
        <w:ind w:right="400" w:firstLine="592"/>
        <w:spacing w:after="0" w:line="279" w:lineRule="auto"/>
        <w:rPr>
          <w:sz w:val="20"/>
          <w:szCs w:val="20"/>
          <w:color w:val="auto"/>
        </w:rPr>
      </w:pPr>
      <w:r>
        <w:rPr>
          <w:rFonts w:ascii="Times New Roman" w:cs="Times New Roman" w:eastAsia="Times New Roman" w:hAnsi="Times New Roman"/>
          <w:sz w:val="12"/>
          <w:szCs w:val="12"/>
          <w:color w:val="auto"/>
        </w:rPr>
        <w:t>“Adjusted EBITDA expenses,” a non-GAAP measure used by management to assess operating performance, is defined as operating expenses less depreciation and amortization of property, equipment and leasehold improvements and amortization of intangible assets and, at times, certain other transactions or adjustments, including the impact related to the vesting of the 2016 Multi-Year PSUs.</w:t>
      </w:r>
    </w:p>
    <w:p>
      <w:pPr>
        <w:spacing w:after="0" w:line="111" w:lineRule="exact"/>
        <w:rPr>
          <w:sz w:val="20"/>
          <w:szCs w:val="20"/>
          <w:color w:val="auto"/>
        </w:rPr>
      </w:pPr>
    </w:p>
    <w:p>
      <w:pPr>
        <w:ind w:firstLine="592"/>
        <w:spacing w:after="0" w:line="257" w:lineRule="auto"/>
        <w:rPr>
          <w:sz w:val="20"/>
          <w:szCs w:val="20"/>
          <w:color w:val="auto"/>
        </w:rPr>
      </w:pPr>
      <w:r>
        <w:rPr>
          <w:rFonts w:ascii="Times New Roman" w:cs="Times New Roman" w:eastAsia="Times New Roman" w:hAnsi="Times New Roman"/>
          <w:sz w:val="12"/>
          <w:szCs w:val="12"/>
          <w:color w:val="auto"/>
        </w:rPr>
        <w:t>Adjusted EBITDA and Adjusted EBITDA expenses are believed to be meaningful measures of the operating performance of the Company because they adjust for significant one-time, unusual or non-recurring items as well as eliminate the accounting effects of certain capital spending and acquisitions that do not directly affect what management considers to be the Company’s ongoing operating performance in the period. All companies do not calculate adjusted EBITDA and adjusted EBITDA expenses in the same way. These measures can differ significantly from company to company depending on, among other things, long-term strategic decisions regarding capital structure, the tax jurisdictions in which companies operate and capital investments. Accordingly, the Company’s computation of the Adjusted EBITDA and Adjusted EBITDA expenses measures may not be comparable to similarly-titled measures computed by other companies.</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Run Rate</w:t>
      </w:r>
    </w:p>
    <w:p>
      <w:pPr>
        <w:spacing w:after="0" w:line="82" w:lineRule="exact"/>
        <w:rPr>
          <w:sz w:val="20"/>
          <w:szCs w:val="20"/>
          <w:color w:val="auto"/>
        </w:rPr>
      </w:pPr>
    </w:p>
    <w:p>
      <w:pPr>
        <w:ind w:right="100" w:firstLine="592"/>
        <w:spacing w:after="0" w:line="265" w:lineRule="auto"/>
        <w:rPr>
          <w:sz w:val="20"/>
          <w:szCs w:val="20"/>
          <w:color w:val="auto"/>
        </w:rPr>
      </w:pPr>
      <w:r>
        <w:rPr>
          <w:rFonts w:ascii="Times New Roman" w:cs="Times New Roman" w:eastAsia="Times New Roman" w:hAnsi="Times New Roman"/>
          <w:sz w:val="12"/>
          <w:szCs w:val="12"/>
          <w:color w:val="auto"/>
        </w:rPr>
        <w:t>Run Rate is a key operating metric and is important because an increase or decrease in our Run Rate ultimately impacts our operating revenues over time. At the end of any period, we generally have subscription and investment product license agreements in place for a large portion of total revenues for the following 12 months. We measure the fees related to these agreements and refer to this as “Run Rate.” See “—</w:t>
      </w:r>
      <w:r>
        <w:rPr>
          <w:rFonts w:ascii="Times New Roman" w:cs="Times New Roman" w:eastAsia="Times New Roman" w:hAnsi="Times New Roman"/>
          <w:sz w:val="12"/>
          <w:szCs w:val="12"/>
          <w:i w:val="1"/>
          <w:iCs w:val="1"/>
          <w:color w:val="auto"/>
        </w:rPr>
        <w:t>Operating Metrics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Run Rate</w:t>
      </w:r>
      <w:r>
        <w:rPr>
          <w:rFonts w:ascii="Times New Roman" w:cs="Times New Roman" w:eastAsia="Times New Roman" w:hAnsi="Times New Roman"/>
          <w:sz w:val="12"/>
          <w:szCs w:val="12"/>
          <w:color w:val="auto"/>
        </w:rPr>
        <w:t>” below for additional information on the calculation of this metric.</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Subscription Sales</w:t>
      </w:r>
    </w:p>
    <w:p>
      <w:pPr>
        <w:spacing w:after="0" w:line="80" w:lineRule="exact"/>
        <w:rPr>
          <w:sz w:val="20"/>
          <w:szCs w:val="20"/>
          <w:color w:val="auto"/>
        </w:rPr>
      </w:pPr>
    </w:p>
    <w:p>
      <w:pPr>
        <w:ind w:right="60" w:firstLine="592"/>
        <w:spacing w:after="0" w:line="283" w:lineRule="auto"/>
        <w:rPr>
          <w:sz w:val="20"/>
          <w:szCs w:val="20"/>
          <w:color w:val="auto"/>
        </w:rPr>
      </w:pPr>
      <w:r>
        <w:rPr>
          <w:rFonts w:ascii="Times New Roman" w:cs="Times New Roman" w:eastAsia="Times New Roman" w:hAnsi="Times New Roman"/>
          <w:sz w:val="12"/>
          <w:szCs w:val="12"/>
          <w:color w:val="auto"/>
        </w:rPr>
        <w:t>Subscription sales is a key operating metric and is important because new subscription sales increase our Run Rate and ultimately our operating revenues over time. See “—</w:t>
      </w:r>
      <w:r>
        <w:rPr>
          <w:rFonts w:ascii="Times New Roman" w:cs="Times New Roman" w:eastAsia="Times New Roman" w:hAnsi="Times New Roman"/>
          <w:sz w:val="12"/>
          <w:szCs w:val="12"/>
          <w:i w:val="1"/>
          <w:iCs w:val="1"/>
          <w:color w:val="auto"/>
        </w:rPr>
        <w:t>Operating Metrics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Sales</w:t>
      </w:r>
      <w:r>
        <w:rPr>
          <w:rFonts w:ascii="Times New Roman" w:cs="Times New Roman" w:eastAsia="Times New Roman" w:hAnsi="Times New Roman"/>
          <w:sz w:val="12"/>
          <w:szCs w:val="12"/>
          <w:color w:val="auto"/>
        </w:rPr>
        <w:t>” below for additional information.</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Retention Rate</w:t>
      </w:r>
    </w:p>
    <w:p>
      <w:pPr>
        <w:spacing w:after="0" w:line="80" w:lineRule="exact"/>
        <w:rPr>
          <w:sz w:val="20"/>
          <w:szCs w:val="20"/>
          <w:color w:val="auto"/>
        </w:rPr>
      </w:pPr>
    </w:p>
    <w:p>
      <w:pPr>
        <w:ind w:right="160" w:firstLine="592"/>
        <w:spacing w:after="0" w:line="283" w:lineRule="auto"/>
        <w:rPr>
          <w:sz w:val="20"/>
          <w:szCs w:val="20"/>
          <w:color w:val="auto"/>
        </w:rPr>
      </w:pPr>
      <w:r>
        <w:rPr>
          <w:rFonts w:ascii="Times New Roman" w:cs="Times New Roman" w:eastAsia="Times New Roman" w:hAnsi="Times New Roman"/>
          <w:sz w:val="12"/>
          <w:szCs w:val="12"/>
          <w:color w:val="auto"/>
        </w:rPr>
        <w:t>Another key operating metric is Retention Rate which is important because subscription cancellations decrease our Run Rate and ultimately our operating revenues over time. See “—</w:t>
      </w:r>
      <w:r>
        <w:rPr>
          <w:rFonts w:ascii="Times New Roman" w:cs="Times New Roman" w:eastAsia="Times New Roman" w:hAnsi="Times New Roman"/>
          <w:sz w:val="12"/>
          <w:szCs w:val="12"/>
          <w:i w:val="1"/>
          <w:iCs w:val="1"/>
          <w:color w:val="auto"/>
        </w:rPr>
        <w:t>Operating Metrics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Retention Rate</w:t>
      </w:r>
      <w:r>
        <w:rPr>
          <w:rFonts w:ascii="Times New Roman" w:cs="Times New Roman" w:eastAsia="Times New Roman" w:hAnsi="Times New Roman"/>
          <w:sz w:val="12"/>
          <w:szCs w:val="12"/>
          <w:color w:val="auto"/>
        </w:rPr>
        <w:t>” below for additional information on the calculation of this metric.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82" w:lineRule="exact"/>
        <w:rPr>
          <w:sz w:val="20"/>
          <w:szCs w:val="20"/>
          <w:color w:val="auto"/>
        </w:rPr>
      </w:pPr>
    </w:p>
    <w:p>
      <w:pPr>
        <w:ind w:right="100" w:firstLine="592"/>
        <w:spacing w:after="0" w:line="257" w:lineRule="auto"/>
        <w:rPr>
          <w:sz w:val="20"/>
          <w:szCs w:val="20"/>
          <w:color w:val="auto"/>
        </w:rPr>
      </w:pPr>
      <w:r>
        <w:rPr>
          <w:rFonts w:ascii="Times New Roman" w:cs="Times New Roman" w:eastAsia="Times New Roman" w:hAnsi="Times New Roman"/>
          <w:sz w:val="12"/>
          <w:szCs w:val="12"/>
          <w:color w:val="auto"/>
        </w:rPr>
        <w:t>Our consolidated financial statements are prepared in accordance with GAAP. These accounting principles require us to make certain estimates and judgments that can affect the reported amounts of assets and liabilities as of the date of the consolidated financial statements, as well as the reported amounts of revenues and expenses during the periods presented. We believe the estimates and judgments upon which we rely are reasonable based upon information available to us at the time these estimates and judgments are made. To the extent there are material differences between these estimates and actual results, our consolidated financial statements will be affected. See Note 1, “Introduction And Basis Of Presentation—</w:t>
      </w:r>
      <w:r>
        <w:rPr>
          <w:rFonts w:ascii="Times New Roman" w:cs="Times New Roman" w:eastAsia="Times New Roman" w:hAnsi="Times New Roman"/>
          <w:sz w:val="12"/>
          <w:szCs w:val="12"/>
          <w:i w:val="1"/>
          <w:iCs w:val="1"/>
          <w:color w:val="auto"/>
        </w:rPr>
        <w:t>Significant Accounting Policies</w:t>
      </w:r>
      <w:r>
        <w:rPr>
          <w:rFonts w:ascii="Times New Roman" w:cs="Times New Roman" w:eastAsia="Times New Roman" w:hAnsi="Times New Roman"/>
          <w:sz w:val="12"/>
          <w:szCs w:val="12"/>
          <w:color w:val="auto"/>
        </w:rPr>
        <w:t>,” and Note 2, “Recent Accounting Standards Updates,” of the Notes to the Consolidated Financial Statements included herein for a listing of our accounting policies.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color w:val="auto"/>
        </w:rPr>
        <w:t>Factors Affecting the Comparability of Results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Share Repurchases</w:t>
      </w:r>
    </w:p>
    <w:p>
      <w:pPr>
        <w:spacing w:after="0" w:line="80" w:lineRule="exact"/>
        <w:rPr>
          <w:sz w:val="20"/>
          <w:szCs w:val="20"/>
          <w:color w:val="auto"/>
        </w:rPr>
      </w:pPr>
    </w:p>
    <w:p>
      <w:pPr>
        <w:ind w:right="420" w:firstLine="592"/>
        <w:spacing w:after="0" w:line="279" w:lineRule="auto"/>
        <w:rPr>
          <w:sz w:val="20"/>
          <w:szCs w:val="20"/>
          <w:color w:val="auto"/>
        </w:rPr>
      </w:pPr>
      <w:r>
        <w:rPr>
          <w:rFonts w:ascii="Times New Roman" w:cs="Times New Roman" w:eastAsia="Times New Roman" w:hAnsi="Times New Roman"/>
          <w:sz w:val="12"/>
          <w:szCs w:val="12"/>
          <w:color w:val="auto"/>
        </w:rPr>
        <w:t>The Board of Directors has approved a stock repurchase program for the purchase of the Company’s common stock. See Note 10, “Shareholders’ Equity (Deficit),” of the Notes to Consolidated Financial Statements included herein for additional information on our stock repurchase program.</w:t>
      </w:r>
    </w:p>
    <w:p>
      <w:pPr>
        <w:spacing w:after="0" w:line="111" w:lineRule="exact"/>
        <w:rPr>
          <w:sz w:val="20"/>
          <w:szCs w:val="20"/>
          <w:color w:val="auto"/>
        </w:rPr>
      </w:pPr>
    </w:p>
    <w:p>
      <w:pPr>
        <w:ind w:right="160" w:firstLine="592"/>
        <w:spacing w:after="0" w:line="279" w:lineRule="auto"/>
        <w:rPr>
          <w:sz w:val="20"/>
          <w:szCs w:val="20"/>
          <w:color w:val="auto"/>
        </w:rPr>
      </w:pPr>
      <w:r>
        <w:rPr>
          <w:rFonts w:ascii="Times New Roman" w:cs="Times New Roman" w:eastAsia="Times New Roman" w:hAnsi="Times New Roman"/>
          <w:sz w:val="12"/>
          <w:szCs w:val="12"/>
          <w:color w:val="auto"/>
        </w:rPr>
        <w:t>The weighted average shares outstanding used to calculate our diluted earnings per share for the year ended December 31, 2020 decreased by 1.2% compared to the year ended December 31, 2019. The decrease primarily reflects the impact of share repurchases made pursuant to the stock repurchase program and the vesting of the restricted stock units that were included in the dilutive share count in the prior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Senior Notes</w:t>
      </w:r>
    </w:p>
    <w:p>
      <w:pPr>
        <w:spacing w:after="0" w:line="80" w:lineRule="exact"/>
        <w:rPr>
          <w:sz w:val="20"/>
          <w:szCs w:val="20"/>
          <w:color w:val="auto"/>
        </w:rPr>
      </w:pPr>
    </w:p>
    <w:p>
      <w:pPr>
        <w:ind w:right="600" w:firstLine="592"/>
        <w:spacing w:after="0" w:line="279" w:lineRule="auto"/>
        <w:rPr>
          <w:sz w:val="20"/>
          <w:szCs w:val="20"/>
          <w:color w:val="auto"/>
        </w:rPr>
      </w:pPr>
      <w:r>
        <w:rPr>
          <w:rFonts w:ascii="Times New Roman" w:cs="Times New Roman" w:eastAsia="Times New Roman" w:hAnsi="Times New Roman"/>
          <w:sz w:val="12"/>
          <w:szCs w:val="12"/>
          <w:color w:val="auto"/>
        </w:rPr>
        <w:t>We have an aggregate $3,400.0 million of Senior Notes outstanding as of December 31, 2020. See “–Liquidity and Capital Resources–Senior Notes and Credit Agreement” below and Note 5, “Commitments and Contingencies,” of the Notes to Consolidated Financial Statements included herein for additional information on our Senior Notes and Revolving Credit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Cuts and Jobs Act of 2017</w:t>
      </w:r>
    </w:p>
    <w:p>
      <w:pPr>
        <w:spacing w:after="0" w:line="80" w:lineRule="exact"/>
        <w:rPr>
          <w:sz w:val="20"/>
          <w:szCs w:val="20"/>
          <w:color w:val="auto"/>
        </w:rPr>
      </w:pPr>
    </w:p>
    <w:p>
      <w:pPr>
        <w:ind w:right="400" w:firstLine="592"/>
        <w:spacing w:after="0" w:line="279" w:lineRule="auto"/>
        <w:rPr>
          <w:sz w:val="20"/>
          <w:szCs w:val="20"/>
          <w:color w:val="auto"/>
        </w:rPr>
      </w:pPr>
      <w:r>
        <w:rPr>
          <w:rFonts w:ascii="Times New Roman" w:cs="Times New Roman" w:eastAsia="Times New Roman" w:hAnsi="Times New Roman"/>
          <w:sz w:val="12"/>
          <w:szCs w:val="12"/>
          <w:color w:val="auto"/>
        </w:rPr>
        <w:t>Tax Reform which was enacted on December 22, 2017, significantly revised the U.S. corporate income tax by, among other things, lowering U.S. corporate income tax rates, implementing a territorial tax system and imposing a one-time tax on deemed repatriation of historic earnings of foreign subsidiaries (the “Toll Charge”).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2020 Compared to Year Ended December 31, 2019</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the results of operations for the years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90"/>
        </w:trPr>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jc w:val="right"/>
              <w:ind w:right="162"/>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jc w:val="center"/>
              <w:ind w:right="141"/>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15"/>
        </w:trPr>
        <w:tc>
          <w:tcPr>
            <w:tcW w:w="5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5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97"/>
        </w:trPr>
        <w:tc>
          <w:tcPr>
            <w:tcW w:w="5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00" w:type="dxa"/>
            <w:vAlign w:val="bottom"/>
            <w:gridSpan w:val="5"/>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 except per share data)</w:t>
            </w: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53"/>
        </w:trPr>
        <w:tc>
          <w:tcPr>
            <w:tcW w:w="56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7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1,695,390</w:t>
            </w:r>
          </w:p>
        </w:tc>
        <w:tc>
          <w:tcPr>
            <w:tcW w:w="440" w:type="dxa"/>
            <w:vAlign w:val="bottom"/>
            <w:gridSpan w:val="3"/>
            <w:shd w:val="clear" w:color="auto" w:fill="CFF0FC"/>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1,557,796</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137,594</w:t>
            </w:r>
          </w:p>
        </w:tc>
        <w:tc>
          <w:tcPr>
            <w:tcW w:w="7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8.8%</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Cost of revenues</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291,704</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294,961</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(3,257)</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Selling and marketing</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216,496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219,298</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(2,802)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101,053</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98,334</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2,719</w:t>
            </w:r>
          </w:p>
        </w:tc>
        <w:tc>
          <w:tcPr>
            <w:tcW w:w="7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2.8%</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114,627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110,093</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4,534</w:t>
            </w:r>
          </w:p>
        </w:tc>
        <w:tc>
          <w:tcPr>
            <w:tcW w:w="7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56,941</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49,410</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7,531</w:t>
            </w:r>
          </w:p>
        </w:tc>
        <w:tc>
          <w:tcPr>
            <w:tcW w:w="7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15.2%</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Depreciation and amortization of property,</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560" w:type="dxa"/>
            <w:vAlign w:val="bottom"/>
          </w:tcPr>
          <w:p>
            <w:pPr>
              <w:spacing w:after="0"/>
              <w:rPr>
                <w:sz w:val="13"/>
                <w:szCs w:val="13"/>
                <w:color w:val="auto"/>
              </w:rPr>
            </w:pPr>
          </w:p>
        </w:tc>
        <w:tc>
          <w:tcPr>
            <w:tcW w:w="3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equipment and leasehold improvements</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29,805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29,999</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(194)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16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810,626</w:t>
            </w: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802,095</w:t>
            </w:r>
          </w:p>
        </w:tc>
        <w:tc>
          <w:tcPr>
            <w:tcW w:w="22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8,531</w:t>
            </w:r>
          </w:p>
        </w:tc>
        <w:tc>
          <w:tcPr>
            <w:tcW w:w="7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w:t>
            </w:r>
          </w:p>
        </w:tc>
        <w:tc>
          <w:tcPr>
            <w:tcW w:w="580" w:type="dxa"/>
            <w:vAlign w:val="bottom"/>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884,764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755,701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129,063</w:t>
            </w:r>
          </w:p>
        </w:tc>
        <w:tc>
          <w:tcPr>
            <w:tcW w:w="7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17.1%</w:t>
            </w:r>
          </w:p>
        </w:tc>
        <w:tc>
          <w:tcPr>
            <w:tcW w:w="58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16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198,539</w:t>
            </w:r>
          </w:p>
        </w:tc>
        <w:tc>
          <w:tcPr>
            <w:tcW w:w="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152,383</w:t>
            </w:r>
          </w:p>
        </w:tc>
        <w:tc>
          <w:tcPr>
            <w:tcW w:w="22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46,156</w:t>
            </w:r>
          </w:p>
        </w:tc>
        <w:tc>
          <w:tcPr>
            <w:tcW w:w="7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30.3%</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provision for income taxes</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686,225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603,318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82,907</w:t>
            </w:r>
          </w:p>
        </w:tc>
        <w:tc>
          <w:tcPr>
            <w:tcW w:w="7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13.7%</w:t>
            </w:r>
          </w:p>
        </w:tc>
        <w:tc>
          <w:tcPr>
            <w:tcW w:w="58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6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84,403</w:t>
            </w:r>
          </w:p>
        </w:tc>
        <w:tc>
          <w:tcPr>
            <w:tcW w:w="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39,670</w:t>
            </w:r>
          </w:p>
        </w:tc>
        <w:tc>
          <w:tcPr>
            <w:tcW w:w="22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44,733</w:t>
            </w:r>
          </w:p>
        </w:tc>
        <w:tc>
          <w:tcPr>
            <w:tcW w:w="7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112.8%</w:t>
            </w:r>
          </w:p>
        </w:tc>
        <w:tc>
          <w:tcPr>
            <w:tcW w:w="580" w:type="dxa"/>
            <w:vAlign w:val="bottom"/>
          </w:tcPr>
          <w:p>
            <w:pPr>
              <w:spacing w:after="0"/>
              <w:rPr>
                <w:sz w:val="13"/>
                <w:szCs w:val="13"/>
                <w:color w:val="auto"/>
              </w:rPr>
            </w:pPr>
          </w:p>
        </w:tc>
      </w:tr>
      <w:tr>
        <w:trPr>
          <w:trHeight w:val="149"/>
        </w:trPr>
        <w:tc>
          <w:tcPr>
            <w:tcW w:w="560" w:type="dxa"/>
            <w:vAlign w:val="bottom"/>
          </w:tcPr>
          <w:p>
            <w:pPr>
              <w:spacing w:after="0"/>
              <w:rPr>
                <w:sz w:val="12"/>
                <w:szCs w:val="12"/>
                <w:color w:val="auto"/>
              </w:rPr>
            </w:pPr>
          </w:p>
        </w:tc>
        <w:tc>
          <w:tcPr>
            <w:tcW w:w="3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Net income</w:t>
            </w:r>
          </w:p>
        </w:tc>
        <w:tc>
          <w:tcPr>
            <w:tcW w:w="16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601,822</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563,648</w:t>
            </w:r>
          </w:p>
        </w:tc>
        <w:tc>
          <w:tcPr>
            <w:tcW w:w="2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38,174</w:t>
            </w:r>
          </w:p>
        </w:tc>
        <w:tc>
          <w:tcPr>
            <w:tcW w:w="720" w:type="dxa"/>
            <w:vAlign w:val="bottom"/>
            <w:tcBorders>
              <w:bottom w:val="single" w:sz="8" w:color="CFF0FC"/>
            </w:tcBorders>
          </w:tcPr>
          <w:p>
            <w:pPr>
              <w:spacing w:after="0"/>
              <w:rPr>
                <w:sz w:val="12"/>
                <w:szCs w:val="12"/>
                <w:color w:val="auto"/>
              </w:rPr>
            </w:pPr>
          </w:p>
        </w:tc>
        <w:tc>
          <w:tcPr>
            <w:tcW w:w="6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w:t>
            </w:r>
          </w:p>
        </w:tc>
        <w:tc>
          <w:tcPr>
            <w:tcW w:w="58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6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tcPr>
          <w:p>
            <w:pPr>
              <w:spacing w:after="0"/>
              <w:rPr>
                <w:sz w:val="13"/>
                <w:szCs w:val="13"/>
                <w:color w:val="auto"/>
              </w:rPr>
            </w:pPr>
          </w:p>
        </w:tc>
      </w:tr>
      <w:tr>
        <w:trPr>
          <w:trHeight w:val="160"/>
        </w:trPr>
        <w:tc>
          <w:tcPr>
            <w:tcW w:w="56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Earnings per basic common share</w:t>
            </w:r>
          </w:p>
        </w:tc>
        <w:tc>
          <w:tcPr>
            <w:tcW w:w="17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440" w:type="dxa"/>
            <w:vAlign w:val="bottom"/>
            <w:gridSpan w:val="3"/>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22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0.53</w:t>
            </w:r>
          </w:p>
        </w:tc>
        <w:tc>
          <w:tcPr>
            <w:tcW w:w="7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20" w:type="dxa"/>
            <w:vAlign w:val="bottom"/>
            <w:tcBorders>
              <w:top w:val="single" w:sz="8" w:color="CFF0FC"/>
            </w:tcBorders>
            <w:shd w:val="clear" w:color="auto" w:fill="CFF0FC"/>
          </w:tcPr>
          <w:p>
            <w:pPr>
              <w:spacing w:after="0"/>
              <w:rPr>
                <w:sz w:val="13"/>
                <w:szCs w:val="13"/>
                <w:color w:val="auto"/>
              </w:rPr>
            </w:pPr>
          </w:p>
        </w:tc>
        <w:tc>
          <w:tcPr>
            <w:tcW w:w="1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80" w:type="dxa"/>
            <w:vAlign w:val="bottom"/>
          </w:tcPr>
          <w:p>
            <w:pPr>
              <w:spacing w:after="0"/>
              <w:rPr>
                <w:sz w:val="13"/>
                <w:szCs w:val="13"/>
                <w:color w:val="auto"/>
              </w:rPr>
            </w:pPr>
          </w:p>
        </w:tc>
      </w:tr>
      <w:tr>
        <w:trPr>
          <w:trHeight w:val="160"/>
        </w:trPr>
        <w:tc>
          <w:tcPr>
            <w:tcW w:w="56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Earnings per diluted common share</w:t>
            </w:r>
          </w:p>
        </w:tc>
        <w:tc>
          <w:tcPr>
            <w:tcW w:w="17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440" w:type="dxa"/>
            <w:vAlign w:val="bottom"/>
            <w:gridSpan w:val="3"/>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22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0.53</w:t>
            </w:r>
          </w:p>
        </w:tc>
        <w:tc>
          <w:tcPr>
            <w:tcW w:w="7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20" w:type="dxa"/>
            <w:vAlign w:val="bottom"/>
            <w:tcBorders>
              <w:top w:val="single" w:sz="8" w:color="CFF0FC"/>
            </w:tcBorders>
            <w:shd w:val="clear" w:color="auto" w:fill="CFF0FC"/>
          </w:tcPr>
          <w:p>
            <w:pPr>
              <w:spacing w:after="0"/>
              <w:rPr>
                <w:sz w:val="13"/>
                <w:szCs w:val="13"/>
                <w:color w:val="auto"/>
              </w:rPr>
            </w:pPr>
          </w:p>
        </w:tc>
        <w:tc>
          <w:tcPr>
            <w:tcW w:w="1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560" w:type="dxa"/>
            <w:vAlign w:val="bottom"/>
          </w:tcPr>
          <w:p>
            <w:pPr>
              <w:spacing w:after="0"/>
              <w:rPr>
                <w:sz w:val="13"/>
                <w:szCs w:val="13"/>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Operating margin</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52.2%</w:t>
            </w:r>
          </w:p>
        </w:tc>
        <w:tc>
          <w:tcPr>
            <w:tcW w:w="2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48.5%</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430"/>
        </w:trPr>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362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377" w:right="299" w:bottom="1440" w:gutter="0" w:footer="0" w:header="0"/>
        </w:sectPr>
      </w:pPr>
    </w:p>
    <w:bookmarkStart w:id="42" w:name="page43"/>
    <w:bookmarkEnd w:id="42"/>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Operating Revenues</w:t>
      </w:r>
    </w:p>
    <w:p>
      <w:pPr>
        <w:spacing w:after="0" w:line="82" w:lineRule="exact"/>
        <w:rPr>
          <w:sz w:val="20"/>
          <w:szCs w:val="20"/>
          <w:color w:val="auto"/>
        </w:rPr>
      </w:pPr>
    </w:p>
    <w:p>
      <w:pPr>
        <w:ind w:right="320" w:firstLine="592"/>
        <w:spacing w:after="0" w:line="279" w:lineRule="auto"/>
        <w:rPr>
          <w:sz w:val="20"/>
          <w:szCs w:val="20"/>
          <w:color w:val="auto"/>
        </w:rPr>
      </w:pPr>
      <w:r>
        <w:rPr>
          <w:rFonts w:ascii="Times New Roman" w:cs="Times New Roman" w:eastAsia="Times New Roman" w:hAnsi="Times New Roman"/>
          <w:sz w:val="12"/>
          <w:szCs w:val="12"/>
          <w:color w:val="auto"/>
        </w:rPr>
        <w:t>Our revenues are grouped by the following types: recurring subscriptions, asset-based fees and non-recurring. We also group revenues by major product lines or reportable segment as follows: Index, Analytics and All Other, which includes the ESG and Real Estate product lines.</w:t>
      </w:r>
    </w:p>
    <w:p>
      <w:pPr>
        <w:spacing w:after="0" w:line="1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operating revenues by type for the years indicated:</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0"/>
        </w:trPr>
        <w:tc>
          <w:tcPr>
            <w:tcW w:w="5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tcPr>
          <w:p>
            <w:pPr>
              <w:ind w:left="8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840" w:type="dxa"/>
            <w:vAlign w:val="bottom"/>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5"/>
        </w:trPr>
        <w:tc>
          <w:tcPr>
            <w:tcW w:w="5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5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Recurring subscriptions</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1,248,175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1,154,040</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94,135</w:t>
            </w:r>
          </w:p>
        </w:tc>
        <w:tc>
          <w:tcPr>
            <w:tcW w:w="76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53"/>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Asset-based fees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399,771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361,927</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37,844</w:t>
            </w:r>
          </w:p>
        </w:tc>
        <w:tc>
          <w:tcPr>
            <w:tcW w:w="7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5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Non-recurring</w:t>
            </w: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47,444</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41,829</w:t>
            </w:r>
          </w:p>
        </w:tc>
        <w:tc>
          <w:tcPr>
            <w:tcW w:w="22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5,615</w:t>
            </w:r>
          </w:p>
        </w:tc>
        <w:tc>
          <w:tcPr>
            <w:tcW w:w="76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w:t>
            </w:r>
          </w:p>
        </w:tc>
      </w:tr>
      <w:tr>
        <w:trPr>
          <w:trHeight w:val="149"/>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Total operating revenues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1,695,390</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1,557,796</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137,594</w:t>
            </w:r>
          </w:p>
        </w:tc>
        <w:tc>
          <w:tcPr>
            <w:tcW w:w="7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8.8%</w:t>
            </w:r>
          </w:p>
        </w:tc>
      </w:tr>
    </w:tbl>
    <w:p>
      <w:pPr>
        <w:spacing w:after="0" w:line="151" w:lineRule="exact"/>
        <w:rPr>
          <w:sz w:val="20"/>
          <w:szCs w:val="20"/>
          <w:color w:val="auto"/>
        </w:rPr>
      </w:pPr>
    </w:p>
    <w:p>
      <w:pPr>
        <w:ind w:right="160" w:firstLine="592"/>
        <w:spacing w:after="0" w:line="279" w:lineRule="auto"/>
        <w:rPr>
          <w:sz w:val="20"/>
          <w:szCs w:val="20"/>
          <w:color w:val="auto"/>
        </w:rPr>
      </w:pPr>
      <w:r>
        <w:rPr>
          <w:rFonts w:ascii="Times New Roman" w:cs="Times New Roman" w:eastAsia="Times New Roman" w:hAnsi="Times New Roman"/>
          <w:sz w:val="12"/>
          <w:szCs w:val="12"/>
          <w:color w:val="auto"/>
        </w:rPr>
        <w:t>Total operating revenues grew 8.8% to $1,695.4 million for the year ended December 31, 2020 compared to $1,557.8 million for the year ended December 31, 2019. Adjusting for the impact of foreign currency exchange rate fluctuations, total operating revenues would have increased 8.7% for the year ended December 31, 2020 compared to the year ended December 31, 2019.</w:t>
      </w:r>
    </w:p>
    <w:p>
      <w:pPr>
        <w:spacing w:after="0" w:line="111" w:lineRule="exact"/>
        <w:rPr>
          <w:sz w:val="20"/>
          <w:szCs w:val="20"/>
          <w:color w:val="auto"/>
        </w:rPr>
      </w:pPr>
    </w:p>
    <w:p>
      <w:pPr>
        <w:ind w:right="160" w:firstLine="592"/>
        <w:spacing w:after="0" w:line="265" w:lineRule="auto"/>
        <w:rPr>
          <w:sz w:val="20"/>
          <w:szCs w:val="20"/>
          <w:color w:val="auto"/>
        </w:rPr>
      </w:pPr>
      <w:r>
        <w:rPr>
          <w:rFonts w:ascii="Times New Roman" w:cs="Times New Roman" w:eastAsia="Times New Roman" w:hAnsi="Times New Roman"/>
          <w:sz w:val="12"/>
          <w:szCs w:val="12"/>
          <w:color w:val="auto"/>
        </w:rPr>
        <w:t>Revenues from recurring subscriptions increased 8.2% to $1,248.2 million for the year ended December 31, 2020 compared to $1,154.0 million for the year ended December 31, 2019, primarily driven by growth in Index products, which increased $49.4 million, or 9.3%, growth in ESG products, which increased $20.4 million, or 22.8%, and growth in Analytics products, which increased $20.0 million, or 4.1%. Adjusting for the impact of foreign currency exchange rate fluctuations, recurring subscriptions would have increased 8.1% for the year ended December 31, 2020 compared to the year ended December 31, 2019.</w:t>
      </w:r>
    </w:p>
    <w:p>
      <w:pPr>
        <w:spacing w:after="0" w:line="119" w:lineRule="exact"/>
        <w:rPr>
          <w:sz w:val="20"/>
          <w:szCs w:val="20"/>
          <w:color w:val="auto"/>
        </w:rPr>
      </w:pPr>
    </w:p>
    <w:p>
      <w:pPr>
        <w:ind w:right="20" w:firstLine="592"/>
        <w:spacing w:after="0" w:line="257" w:lineRule="auto"/>
        <w:rPr>
          <w:sz w:val="20"/>
          <w:szCs w:val="20"/>
          <w:color w:val="auto"/>
        </w:rPr>
      </w:pPr>
      <w:r>
        <w:rPr>
          <w:rFonts w:ascii="Times New Roman" w:cs="Times New Roman" w:eastAsia="Times New Roman" w:hAnsi="Times New Roman"/>
          <w:sz w:val="12"/>
          <w:szCs w:val="12"/>
          <w:color w:val="auto"/>
        </w:rPr>
        <w:t>Revenues from asset-based fees increased 10.5% to $399.8 million for the year ended December 31, 2020 compared to $361.9 million for the year ended December 31, 2019. The increase in asset-based fees was driven by growth in revenues from all of our indexed investment product categories, including an increase in revenues from exchange traded futures and options contracts linked to MSCI indexes that were primarily driven by price increases. The increase in revenues from asset-based fees was also driven by higher revenues from non-ETF indexed funds linked to MSCI indexes, which was driven by price increases and an increase in average AUM. Revenues from ETFs linked to MSCI indexes also increased, driven by an 8.9% increase in average AUM in equity ETFs linked to MSCI indexes, partially offset by lower fees resulting from the impact of a change in product mix. The impact of foreign currency exchange rate fluctuations on revenues from asset-based fees was negligible.</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the value of AUM in equity ETFs linked to MSCI indexes and the sequential change of such assets as of the end of each of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9"/>
                <w:szCs w:val="9"/>
                <w:b w:val="1"/>
                <w:bCs w:val="1"/>
                <w:color w:val="auto"/>
              </w:rPr>
              <w:t>Period Ended</w:t>
            </w: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9"/>
                <w:szCs w:val="9"/>
                <w:b w:val="1"/>
                <w:bCs w:val="1"/>
                <w:color w:val="auto"/>
              </w:rPr>
              <w:t>(in billions)</w:t>
            </w: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w w:val="99"/>
              </w:rPr>
              <w:t>2019</w:t>
            </w: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b w:val="1"/>
                <w:bCs w:val="1"/>
                <w:color w:val="auto"/>
              </w:rPr>
              <w:t>2020</w:t>
            </w: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1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tcPr>
          <w:p>
            <w:pPr>
              <w:ind w:left="80"/>
              <w:spacing w:after="0" w:line="88" w:lineRule="exact"/>
              <w:rPr>
                <w:sz w:val="20"/>
                <w:szCs w:val="20"/>
                <w:color w:val="auto"/>
              </w:rPr>
            </w:pPr>
            <w:r>
              <w:rPr>
                <w:rFonts w:ascii="Times New Roman" w:cs="Times New Roman" w:eastAsia="Times New Roman" w:hAnsi="Times New Roman"/>
                <w:sz w:val="9"/>
                <w:szCs w:val="9"/>
                <w:b w:val="1"/>
                <w:bCs w:val="1"/>
                <w:color w:val="auto"/>
              </w:rPr>
              <w:t>March 31,</w:t>
            </w:r>
          </w:p>
        </w:tc>
        <w:tc>
          <w:tcPr>
            <w:tcW w:w="160" w:type="dxa"/>
            <w:vAlign w:val="bottom"/>
          </w:tcPr>
          <w:p>
            <w:pPr>
              <w:spacing w:after="0"/>
              <w:rPr>
                <w:sz w:val="7"/>
                <w:szCs w:val="7"/>
                <w:color w:val="auto"/>
              </w:rPr>
            </w:pPr>
          </w:p>
        </w:tc>
        <w:tc>
          <w:tcPr>
            <w:tcW w:w="660" w:type="dxa"/>
            <w:vAlign w:val="bottom"/>
          </w:tcPr>
          <w:p>
            <w:pPr>
              <w:jc w:val="right"/>
              <w:ind w:right="183"/>
              <w:spacing w:after="0" w:line="88" w:lineRule="exact"/>
              <w:rPr>
                <w:sz w:val="20"/>
                <w:szCs w:val="20"/>
                <w:color w:val="auto"/>
              </w:rPr>
            </w:pPr>
            <w:r>
              <w:rPr>
                <w:rFonts w:ascii="Times New Roman" w:cs="Times New Roman" w:eastAsia="Times New Roman" w:hAnsi="Times New Roman"/>
                <w:sz w:val="9"/>
                <w:szCs w:val="9"/>
                <w:b w:val="1"/>
                <w:bCs w:val="1"/>
                <w:color w:val="auto"/>
              </w:rPr>
              <w:t>June 30,</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jc w:val="right"/>
              <w:ind w:right="360"/>
              <w:spacing w:after="0" w:line="88"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100" w:type="dxa"/>
            <w:vAlign w:val="bottom"/>
          </w:tcPr>
          <w:p>
            <w:pPr>
              <w:spacing w:after="0"/>
              <w:rPr>
                <w:sz w:val="7"/>
                <w:szCs w:val="7"/>
                <w:color w:val="auto"/>
              </w:rPr>
            </w:pPr>
          </w:p>
        </w:tc>
        <w:tc>
          <w:tcPr>
            <w:tcW w:w="720" w:type="dxa"/>
            <w:vAlign w:val="bottom"/>
          </w:tcPr>
          <w:p>
            <w:pPr>
              <w:jc w:val="right"/>
              <w:ind w:right="105"/>
              <w:spacing w:after="0" w:line="88"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tcPr>
          <w:p>
            <w:pPr>
              <w:jc w:val="right"/>
              <w:ind w:right="420"/>
              <w:spacing w:after="0" w:line="88" w:lineRule="exact"/>
              <w:rPr>
                <w:sz w:val="20"/>
                <w:szCs w:val="20"/>
                <w:color w:val="auto"/>
              </w:rPr>
            </w:pPr>
            <w:r>
              <w:rPr>
                <w:rFonts w:ascii="Times New Roman" w:cs="Times New Roman" w:eastAsia="Times New Roman" w:hAnsi="Times New Roman"/>
                <w:sz w:val="9"/>
                <w:szCs w:val="9"/>
                <w:b w:val="1"/>
                <w:bCs w:val="1"/>
                <w:color w:val="auto"/>
              </w:rPr>
              <w:t>March 31,</w:t>
            </w:r>
          </w:p>
        </w:tc>
        <w:tc>
          <w:tcPr>
            <w:tcW w:w="160" w:type="dxa"/>
            <w:vAlign w:val="bottom"/>
          </w:tcPr>
          <w:p>
            <w:pPr>
              <w:spacing w:after="0"/>
              <w:rPr>
                <w:sz w:val="7"/>
                <w:szCs w:val="7"/>
                <w:color w:val="auto"/>
              </w:rPr>
            </w:pPr>
          </w:p>
        </w:tc>
        <w:tc>
          <w:tcPr>
            <w:tcW w:w="880" w:type="dxa"/>
            <w:vAlign w:val="bottom"/>
            <w:gridSpan w:val="2"/>
          </w:tcPr>
          <w:p>
            <w:pPr>
              <w:jc w:val="right"/>
              <w:ind w:right="460"/>
              <w:spacing w:after="0" w:line="88" w:lineRule="exact"/>
              <w:rPr>
                <w:sz w:val="20"/>
                <w:szCs w:val="20"/>
                <w:color w:val="auto"/>
              </w:rPr>
            </w:pPr>
            <w:r>
              <w:rPr>
                <w:rFonts w:ascii="Times New Roman" w:cs="Times New Roman" w:eastAsia="Times New Roman" w:hAnsi="Times New Roman"/>
                <w:sz w:val="9"/>
                <w:szCs w:val="9"/>
                <w:b w:val="1"/>
                <w:bCs w:val="1"/>
                <w:color w:val="auto"/>
              </w:rPr>
              <w:t>June 30,</w:t>
            </w:r>
          </w:p>
        </w:tc>
        <w:tc>
          <w:tcPr>
            <w:tcW w:w="100" w:type="dxa"/>
            <w:vAlign w:val="bottom"/>
          </w:tcPr>
          <w:p>
            <w:pPr>
              <w:spacing w:after="0"/>
              <w:rPr>
                <w:sz w:val="7"/>
                <w:szCs w:val="7"/>
                <w:color w:val="auto"/>
              </w:rPr>
            </w:pPr>
          </w:p>
        </w:tc>
        <w:tc>
          <w:tcPr>
            <w:tcW w:w="94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100" w:type="dxa"/>
            <w:vAlign w:val="bottom"/>
          </w:tcPr>
          <w:p>
            <w:pPr>
              <w:spacing w:after="0"/>
              <w:rPr>
                <w:sz w:val="7"/>
                <w:szCs w:val="7"/>
                <w:color w:val="auto"/>
              </w:rPr>
            </w:pPr>
          </w:p>
        </w:tc>
        <w:tc>
          <w:tcPr>
            <w:tcW w:w="640" w:type="dxa"/>
            <w:vAlign w:val="bottom"/>
          </w:tcPr>
          <w:p>
            <w:pPr>
              <w:jc w:val="right"/>
              <w:ind w:right="43"/>
              <w:spacing w:after="0" w:line="88" w:lineRule="exact"/>
              <w:rPr>
                <w:sz w:val="20"/>
                <w:szCs w:val="20"/>
                <w:color w:val="auto"/>
              </w:rPr>
            </w:pPr>
            <w:r>
              <w:rPr>
                <w:rFonts w:ascii="Times New Roman" w:cs="Times New Roman" w:eastAsia="Times New Roman" w:hAnsi="Times New Roman"/>
                <w:sz w:val="9"/>
                <w:szCs w:val="9"/>
                <w:b w:val="1"/>
                <w:bCs w:val="1"/>
                <w:color w:val="auto"/>
                <w:w w:val="98"/>
              </w:rPr>
              <w:t>December 31,</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FF0FC"/>
            </w:tcBorders>
            <w:shd w:val="clear" w:color="auto" w:fill="000000"/>
          </w:tcPr>
          <w:p>
            <w:pPr>
              <w:spacing w:after="0" w:line="20" w:lineRule="exact"/>
              <w:rPr>
                <w:sz w:val="1"/>
                <w:szCs w:val="1"/>
                <w:color w:val="auto"/>
              </w:rPr>
            </w:pPr>
          </w:p>
        </w:tc>
        <w:tc>
          <w:tcPr>
            <w:tcW w:w="900" w:type="dxa"/>
            <w:vAlign w:val="bottom"/>
            <w:tcBorders>
              <w:bottom w:val="single" w:sz="8" w:color="CFF0FC"/>
            </w:tcBorders>
          </w:tcPr>
          <w:p>
            <w:pPr>
              <w:spacing w:after="0" w:line="20" w:lineRule="exact"/>
              <w:rPr>
                <w:sz w:val="1"/>
                <w:szCs w:val="1"/>
                <w:color w:val="auto"/>
              </w:rPr>
            </w:pPr>
          </w:p>
        </w:tc>
        <w:tc>
          <w:tcPr>
            <w:tcW w:w="18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18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2"/>
                <w:szCs w:val="12"/>
                <w:color w:val="auto"/>
              </w:rPr>
              <w:t>AUM in equity ETFs linked to MSCI indexes</w:t>
            </w:r>
            <w:r>
              <w:rPr>
                <w:rFonts w:ascii="Times New Roman" w:cs="Times New Roman" w:eastAsia="Times New Roman" w:hAnsi="Times New Roman"/>
                <w:sz w:val="10"/>
                <w:szCs w:val="10"/>
                <w:color w:val="auto"/>
              </w:rPr>
              <w:t>(1), (2), (3)</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2"/>
                <w:szCs w:val="12"/>
                <w:color w:val="auto"/>
              </w:rPr>
              <w:t>802.2</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2"/>
                <w:szCs w:val="12"/>
                <w:color w:val="auto"/>
              </w:rPr>
              <w:t>819.3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2"/>
                <w:szCs w:val="12"/>
                <w:color w:val="auto"/>
              </w:rPr>
              <w:t>815.0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2"/>
                <w:szCs w:val="12"/>
                <w:color w:val="auto"/>
              </w:rPr>
              <w:t>934.4</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2"/>
                <w:szCs w:val="12"/>
                <w:color w:val="auto"/>
              </w:rPr>
              <w:t>709.5</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2"/>
                <w:szCs w:val="12"/>
                <w:color w:val="auto"/>
              </w:rPr>
              <w:t>825.4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2"/>
                <w:szCs w:val="12"/>
                <w:color w:val="auto"/>
              </w:rPr>
              <w:t>908.9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2"/>
                <w:szCs w:val="12"/>
                <w:color w:val="auto"/>
              </w:rPr>
              <w:t>1,103.6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1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auto"/>
              </w:rPr>
              <w:t>Sequential Change in Value</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Market Appreciation/(Depreciation)</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(216.5)</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Cash Inflows</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(8.4)</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gridSpan w:val="3"/>
            <w:vMerge w:val="restart"/>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Change</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80" w:type="dxa"/>
            <w:vAlign w:val="bottom"/>
            <w:gridSpan w:val="3"/>
            <w:vMerge w:val="continue"/>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2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(224.9)</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2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8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2"/>
                <w:szCs w:val="12"/>
                <w:color w:val="auto"/>
              </w:rPr>
              <w:t>41</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512" w:right="299" w:bottom="1440" w:gutter="0" w:footer="0" w:header="0"/>
        </w:sectPr>
      </w:pPr>
    </w:p>
    <w:bookmarkStart w:id="43" w:name="page44"/>
    <w:bookmarkEnd w:id="43"/>
    <w:p>
      <w:pPr>
        <w:ind w:left="588"/>
        <w:spacing w:after="0"/>
        <w:rPr>
          <w:sz w:val="20"/>
          <w:szCs w:val="20"/>
          <w:color w:val="auto"/>
        </w:rPr>
      </w:pPr>
      <w:r>
        <w:rPr>
          <w:rFonts w:ascii="Times New Roman" w:cs="Times New Roman" w:eastAsia="Times New Roman" w:hAnsi="Times New Roman"/>
          <w:sz w:val="12"/>
          <w:szCs w:val="12"/>
          <w:color w:val="auto"/>
        </w:rPr>
        <w:t>The following table presents the average value of AUM in equity ETFs linked to MSCI indexes for the periods indicated:</w:t>
      </w:r>
    </w:p>
    <w:p>
      <w:pPr>
        <w:spacing w:after="0" w:line="19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0"/>
                <w:szCs w:val="10"/>
                <w:b w:val="1"/>
                <w:bCs w:val="1"/>
                <w:color w:val="auto"/>
              </w:rPr>
              <w:t>Year-to-Date Average</w:t>
            </w: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42"/>
        </w:trPr>
        <w:tc>
          <w:tcPr>
            <w:tcW w:w="3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March</w:t>
            </w:r>
          </w:p>
        </w:tc>
        <w:tc>
          <w:tcPr>
            <w:tcW w:w="180" w:type="dxa"/>
            <w:vAlign w:val="bottom"/>
          </w:tcPr>
          <w:p>
            <w:pPr>
              <w:spacing w:after="0"/>
              <w:rPr>
                <w:sz w:val="12"/>
                <w:szCs w:val="12"/>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June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September</w:t>
            </w:r>
          </w:p>
        </w:tc>
        <w:tc>
          <w:tcPr>
            <w:tcW w:w="12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w:t>
            </w:r>
          </w:p>
        </w:tc>
        <w:tc>
          <w:tcPr>
            <w:tcW w:w="18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March</w:t>
            </w:r>
          </w:p>
        </w:tc>
        <w:tc>
          <w:tcPr>
            <w:tcW w:w="180" w:type="dxa"/>
            <w:vAlign w:val="bottom"/>
          </w:tcPr>
          <w:p>
            <w:pPr>
              <w:spacing w:after="0"/>
              <w:rPr>
                <w:sz w:val="12"/>
                <w:szCs w:val="12"/>
                <w:color w:val="auto"/>
              </w:rPr>
            </w:pPr>
          </w:p>
        </w:tc>
        <w:tc>
          <w:tcPr>
            <w:tcW w:w="86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June</w:t>
            </w:r>
          </w:p>
        </w:tc>
        <w:tc>
          <w:tcPr>
            <w:tcW w:w="140" w:type="dxa"/>
            <w:vAlign w:val="bottom"/>
          </w:tcPr>
          <w:p>
            <w:pPr>
              <w:spacing w:after="0"/>
              <w:rPr>
                <w:sz w:val="12"/>
                <w:szCs w:val="12"/>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September</w:t>
            </w:r>
          </w:p>
        </w:tc>
        <w:tc>
          <w:tcPr>
            <w:tcW w:w="12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December</w:t>
            </w:r>
          </w:p>
        </w:tc>
      </w:tr>
      <w:tr>
        <w:trPr>
          <w:trHeight w:val="142"/>
        </w:trPr>
        <w:tc>
          <w:tcPr>
            <w:tcW w:w="3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AUM in equity ETFs linked to MSCI indexes</w:t>
            </w:r>
            <w:r>
              <w:rPr>
                <w:rFonts w:ascii="Times New Roman" w:cs="Times New Roman" w:eastAsia="Times New Roman" w:hAnsi="Times New Roman"/>
                <w:sz w:val="10"/>
                <w:szCs w:val="10"/>
                <w:color w:val="auto"/>
              </w:rPr>
              <w:t>(1), (2), (3)</w:t>
            </w:r>
          </w:p>
        </w:tc>
        <w:tc>
          <w:tcPr>
            <w:tcW w:w="180" w:type="dxa"/>
            <w:vAlign w:val="bottom"/>
            <w:tcBorders>
              <w:top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766.0</w:t>
            </w: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788.7</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796.1</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814.4</w:t>
            </w: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877.1</w:t>
            </w: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827.0</w:t>
            </w: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849.1</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886.7</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99441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94410" cy="5715"/>
                    </a:xfrm>
                    <a:prstGeom prst="rect">
                      <a:avLst/>
                    </a:prstGeom>
                    <a:noFill/>
                  </pic:spPr>
                </pic:pic>
              </a:graphicData>
            </a:graphic>
          </wp:anchor>
        </w:drawing>
      </w:r>
    </w:p>
    <w:p>
      <w:pPr>
        <w:spacing w:after="0" w:line="90" w:lineRule="exact"/>
        <w:rPr>
          <w:sz w:val="20"/>
          <w:szCs w:val="20"/>
          <w:color w:val="auto"/>
        </w:rPr>
      </w:pPr>
    </w:p>
    <w:p>
      <w:pPr>
        <w:ind w:left="588" w:right="140" w:hanging="588"/>
        <w:spacing w:after="0" w:line="214" w:lineRule="auto"/>
        <w:tabs>
          <w:tab w:leader="none" w:pos="588" w:val="left"/>
        </w:tabs>
        <w:numPr>
          <w:ilvl w:val="0"/>
          <w:numId w:val="25"/>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 xml:space="preserve">The historical values of the AUM in equity ETFs linked to our indexes as of the last day of the month and the monthly average balance can be found under the link “AUM in equity ETFs Linked to MSCI Indexes” on our Investor Relations homepage at </w:t>
      </w:r>
      <w:r>
        <w:rPr>
          <w:rFonts w:ascii="Times New Roman" w:cs="Times New Roman" w:eastAsia="Times New Roman" w:hAnsi="Times New Roman"/>
          <w:sz w:val="10"/>
          <w:szCs w:val="10"/>
          <w:i w:val="1"/>
          <w:iCs w:val="1"/>
          <w:color w:val="auto"/>
        </w:rPr>
        <w:t>http://ir.msci.com</w:t>
      </w:r>
      <w:r>
        <w:rPr>
          <w:rFonts w:ascii="Times New Roman" w:cs="Times New Roman" w:eastAsia="Times New Roman" w:hAnsi="Times New Roman"/>
          <w:sz w:val="10"/>
          <w:szCs w:val="10"/>
          <w:color w:val="auto"/>
        </w:rPr>
        <w:t>. This information is updated mid-month each month. Information contained on our website is not incorporated by reference into this Annual Report on Form 10-K or any other report filed with the SEC. The AUM in equity ETFs also includes AUM in Exchange Traded Notes, the value of which is less than 1.0% of the AUM amounts presented.</w:t>
      </w:r>
    </w:p>
    <w:p>
      <w:pPr>
        <w:spacing w:after="0" w:line="1" w:lineRule="exact"/>
        <w:rPr>
          <w:rFonts w:ascii="Times New Roman" w:cs="Times New Roman" w:eastAsia="Times New Roman" w:hAnsi="Times New Roman"/>
          <w:sz w:val="8"/>
          <w:szCs w:val="8"/>
          <w:color w:val="auto"/>
        </w:rPr>
      </w:pPr>
    </w:p>
    <w:p>
      <w:pPr>
        <w:ind w:left="588" w:hanging="588"/>
        <w:spacing w:after="0" w:line="206" w:lineRule="auto"/>
        <w:tabs>
          <w:tab w:leader="none" w:pos="588" w:val="left"/>
        </w:tabs>
        <w:numPr>
          <w:ilvl w:val="0"/>
          <w:numId w:val="25"/>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The values for periods prior to April 26, 2019 were based on data from Bloomberg and MSCI, while the values for periods on or after April 26, 2019 were based on data from Refinitiv and MSCI. De minimis amounts of data are reported on a delayed basis.</w:t>
      </w:r>
    </w:p>
    <w:p>
      <w:pPr>
        <w:ind w:left="588" w:hanging="588"/>
        <w:spacing w:after="0" w:line="236" w:lineRule="auto"/>
        <w:tabs>
          <w:tab w:leader="none" w:pos="588" w:val="left"/>
        </w:tabs>
        <w:numPr>
          <w:ilvl w:val="0"/>
          <w:numId w:val="25"/>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The value of AUM in equity ETFs linked to MSCI indexes is calculated by multiplying the equity ETF net asset value by the number of shares outstanding.</w:t>
      </w:r>
    </w:p>
    <w:p>
      <w:pPr>
        <w:spacing w:after="0" w:line="124"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For the year ended December 31, 2020, the average value of AUM in equity ETFs linked to MSCI equity indexes was $886.7 billion, up $72.3 billion, or 8.9%, from $814.4 billion for the year ended December 31, 2019.</w:t>
      </w:r>
    </w:p>
    <w:p>
      <w:pPr>
        <w:spacing w:after="0" w:line="150" w:lineRule="exact"/>
        <w:rPr>
          <w:sz w:val="20"/>
          <w:szCs w:val="20"/>
          <w:color w:val="auto"/>
        </w:rPr>
      </w:pPr>
    </w:p>
    <w:p>
      <w:pPr>
        <w:ind w:left="8" w:right="280" w:firstLine="592"/>
        <w:spacing w:after="0" w:line="279" w:lineRule="auto"/>
        <w:rPr>
          <w:sz w:val="20"/>
          <w:szCs w:val="20"/>
          <w:color w:val="auto"/>
        </w:rPr>
      </w:pPr>
      <w:r>
        <w:rPr>
          <w:rFonts w:ascii="Times New Roman" w:cs="Times New Roman" w:eastAsia="Times New Roman" w:hAnsi="Times New Roman"/>
          <w:sz w:val="12"/>
          <w:szCs w:val="12"/>
          <w:color w:val="auto"/>
        </w:rPr>
        <w:t>Non-recurring revenues increased 13.4% to $47.4 million for the year ended December 31, 2020, compared to $41.8 million for the year ended December 31, 2019, primarily driven by growth in Index products, which increased $8.3 million, or 29.6%, partially offset by a $3.1 million, or 29.5%, decrease in Analytics products.</w:t>
      </w:r>
    </w:p>
    <w:p>
      <w:pPr>
        <w:spacing w:after="0" w:line="111"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The following table presents operating revenues by reportable segment and revenue type for the years indicated:</w:t>
      </w:r>
    </w:p>
    <w:p>
      <w:pPr>
        <w:spacing w:after="0" w:line="198" w:lineRule="exact"/>
        <w:rPr>
          <w:sz w:val="20"/>
          <w:szCs w:val="20"/>
          <w:color w:val="auto"/>
        </w:rPr>
      </w:pPr>
    </w:p>
    <w:tbl>
      <w:tblPr>
        <w:tblLayout w:type="fixed"/>
        <w:tblInd w:w="568"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90"/>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tcPr>
          <w:p>
            <w:pPr>
              <w:ind w:left="8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840" w:type="dxa"/>
            <w:vAlign w:val="bottom"/>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97"/>
        </w:trPr>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3"/>
        </w:trPr>
        <w:tc>
          <w:tcPr>
            <w:tcW w:w="5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Index</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5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Recurring subscriptions</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580,393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530,968</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49,425</w:t>
            </w:r>
          </w:p>
        </w:tc>
        <w:tc>
          <w:tcPr>
            <w:tcW w:w="7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9.3%</w:t>
            </w:r>
          </w:p>
        </w:tc>
      </w:tr>
      <w:tr>
        <w:trPr>
          <w:trHeight w:val="153"/>
        </w:trPr>
        <w:tc>
          <w:tcPr>
            <w:tcW w:w="52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Asset-based fees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399,771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361,927</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37,844</w:t>
            </w:r>
          </w:p>
        </w:tc>
        <w:tc>
          <w:tcPr>
            <w:tcW w:w="7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10.5%</w:t>
            </w:r>
          </w:p>
        </w:tc>
      </w:tr>
      <w:tr>
        <w:trPr>
          <w:trHeight w:val="153"/>
        </w:trPr>
        <w:tc>
          <w:tcPr>
            <w:tcW w:w="5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Non-recurring</w:t>
            </w: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36,331</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28,042</w:t>
            </w:r>
          </w:p>
        </w:tc>
        <w:tc>
          <w:tcPr>
            <w:tcW w:w="2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8,289</w:t>
            </w:r>
          </w:p>
        </w:tc>
        <w:tc>
          <w:tcPr>
            <w:tcW w:w="7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29.6%</w:t>
            </w:r>
          </w:p>
        </w:tc>
      </w:tr>
      <w:tr>
        <w:trPr>
          <w:trHeight w:val="142"/>
        </w:trPr>
        <w:tc>
          <w:tcPr>
            <w:tcW w:w="52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Index total</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1,016,495</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920,937</w:t>
            </w: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95,558</w:t>
            </w:r>
          </w:p>
        </w:tc>
        <w:tc>
          <w:tcPr>
            <w:tcW w:w="76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10.4%</w:t>
            </w:r>
          </w:p>
        </w:tc>
      </w:tr>
      <w:tr>
        <w:trPr>
          <w:trHeight w:val="142"/>
        </w:trPr>
        <w:tc>
          <w:tcPr>
            <w:tcW w:w="5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Analytics</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53"/>
        </w:trPr>
        <w:tc>
          <w:tcPr>
            <w:tcW w:w="52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Recurring subscriptions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506,301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486,282</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20,019</w:t>
            </w:r>
          </w:p>
        </w:tc>
        <w:tc>
          <w:tcPr>
            <w:tcW w:w="7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w:t>
            </w:r>
          </w:p>
        </w:tc>
      </w:tr>
      <w:tr>
        <w:trPr>
          <w:trHeight w:val="153"/>
        </w:trPr>
        <w:tc>
          <w:tcPr>
            <w:tcW w:w="5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Non-recurring</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10,643</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2"/>
                <w:szCs w:val="12"/>
                <w:color w:val="auto"/>
              </w:rPr>
              <w:t>(3,136)</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w:t>
            </w:r>
          </w:p>
        </w:tc>
      </w:tr>
      <w:tr>
        <w:trPr>
          <w:trHeight w:val="142"/>
        </w:trPr>
        <w:tc>
          <w:tcPr>
            <w:tcW w:w="52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Analytics total</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513,808</w:t>
            </w:r>
          </w:p>
        </w:tc>
        <w:tc>
          <w:tcPr>
            <w:tcW w:w="22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496,925</w:t>
            </w:r>
          </w:p>
        </w:tc>
        <w:tc>
          <w:tcPr>
            <w:tcW w:w="220" w:type="dxa"/>
            <w:vAlign w:val="bottom"/>
            <w:tcBorders>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16,883</w:t>
            </w:r>
          </w:p>
        </w:tc>
        <w:tc>
          <w:tcPr>
            <w:tcW w:w="76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w:t>
            </w:r>
          </w:p>
        </w:tc>
      </w:tr>
      <w:tr>
        <w:trPr>
          <w:trHeight w:val="142"/>
        </w:trPr>
        <w:tc>
          <w:tcPr>
            <w:tcW w:w="5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All Other</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53"/>
        </w:trPr>
        <w:tc>
          <w:tcPr>
            <w:tcW w:w="52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Recurring subscriptions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161,481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136,790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24,691</w:t>
            </w:r>
          </w:p>
        </w:tc>
        <w:tc>
          <w:tcPr>
            <w:tcW w:w="7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18.1%</w:t>
            </w:r>
          </w:p>
        </w:tc>
      </w:tr>
      <w:tr>
        <w:trPr>
          <w:trHeight w:val="153"/>
        </w:trPr>
        <w:tc>
          <w:tcPr>
            <w:tcW w:w="5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Non-recurring</w:t>
            </w: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3,606</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3,144</w:t>
            </w:r>
          </w:p>
        </w:tc>
        <w:tc>
          <w:tcPr>
            <w:tcW w:w="2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7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14.7%</w:t>
            </w:r>
          </w:p>
        </w:tc>
      </w:tr>
      <w:tr>
        <w:trPr>
          <w:trHeight w:val="142"/>
        </w:trPr>
        <w:tc>
          <w:tcPr>
            <w:tcW w:w="52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All Other total</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165,087</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139,934</w:t>
            </w: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25,153</w:t>
            </w:r>
          </w:p>
        </w:tc>
        <w:tc>
          <w:tcPr>
            <w:tcW w:w="76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18.0%</w:t>
            </w:r>
          </w:p>
        </w:tc>
      </w:tr>
      <w:tr>
        <w:trPr>
          <w:trHeight w:val="149"/>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operating revenues</w:t>
            </w: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1,695,390</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1,557,796</w:t>
            </w:r>
          </w:p>
        </w:tc>
        <w:tc>
          <w:tcPr>
            <w:tcW w:w="22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137,594</w:t>
            </w:r>
          </w:p>
        </w:tc>
        <w:tc>
          <w:tcPr>
            <w:tcW w:w="7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8.8%</w:t>
            </w:r>
          </w:p>
        </w:tc>
      </w:tr>
    </w:tbl>
    <w:p>
      <w:pPr>
        <w:spacing w:after="0" w:line="160"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Refer to the section titled, “Segment Results of Operations” for an explanation of the results.</w:t>
      </w:r>
    </w:p>
    <w:p>
      <w:pPr>
        <w:spacing w:after="0" w:line="272"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82" w:lineRule="exact"/>
        <w:rPr>
          <w:sz w:val="20"/>
          <w:szCs w:val="20"/>
          <w:color w:val="auto"/>
        </w:rPr>
      </w:pPr>
    </w:p>
    <w:p>
      <w:pPr>
        <w:ind w:left="8" w:right="120" w:firstLine="592"/>
        <w:spacing w:after="0" w:line="279" w:lineRule="auto"/>
        <w:rPr>
          <w:sz w:val="20"/>
          <w:szCs w:val="20"/>
          <w:color w:val="auto"/>
        </w:rPr>
      </w:pPr>
      <w:r>
        <w:rPr>
          <w:rFonts w:ascii="Times New Roman" w:cs="Times New Roman" w:eastAsia="Times New Roman" w:hAnsi="Times New Roman"/>
          <w:sz w:val="12"/>
          <w:szCs w:val="12"/>
          <w:color w:val="auto"/>
        </w:rPr>
        <w:t>Total operating expenses increased 1.1% to $810.6 million for the year ended December 31, 2020 compared to $802.1 million for the year ended December 31, 2019. Adjusting for the impact of foreign currency exchange rate fluctuations, total operating expenses would have increased 1.6% for the year ended December 31, 2020 compared to the year ended December 31, 2019.</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2"/>
          <w:szCs w:val="12"/>
          <w:color w:val="auto"/>
        </w:rPr>
        <w:t>The following table presents operating expenses by activity for the years indicated:</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90"/>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tcPr>
          <w:p>
            <w:pPr>
              <w:ind w:left="8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840" w:type="dxa"/>
            <w:vAlign w:val="bottom"/>
          </w:tcPr>
          <w:p>
            <w:pPr>
              <w:jc w:val="center"/>
              <w:ind w:right="144"/>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97"/>
        </w:trPr>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40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3"/>
        </w:trPr>
        <w:tc>
          <w:tcPr>
            <w:tcW w:w="5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Cost of revenues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291,704</w:t>
            </w:r>
          </w:p>
        </w:tc>
        <w:tc>
          <w:tcPr>
            <w:tcW w:w="22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294,961</w:t>
            </w:r>
          </w:p>
        </w:tc>
        <w:tc>
          <w:tcPr>
            <w:tcW w:w="22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(3,257)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3"/>
        </w:trPr>
        <w:tc>
          <w:tcPr>
            <w:tcW w:w="5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Selling and marketing</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216,496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219,298</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2"/>
                <w:szCs w:val="12"/>
                <w:color w:val="auto"/>
              </w:rPr>
              <w:t>(2,802)</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53"/>
        </w:trPr>
        <w:tc>
          <w:tcPr>
            <w:tcW w:w="5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101,053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98,334</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2,719</w:t>
            </w:r>
          </w:p>
        </w:tc>
        <w:tc>
          <w:tcPr>
            <w:tcW w:w="7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w:t>
            </w:r>
          </w:p>
        </w:tc>
      </w:tr>
      <w:tr>
        <w:trPr>
          <w:trHeight w:val="153"/>
        </w:trPr>
        <w:tc>
          <w:tcPr>
            <w:tcW w:w="5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114,627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110,093</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4,534</w:t>
            </w:r>
          </w:p>
        </w:tc>
        <w:tc>
          <w:tcPr>
            <w:tcW w:w="7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4.1%</w:t>
            </w:r>
          </w:p>
        </w:tc>
      </w:tr>
      <w:tr>
        <w:trPr>
          <w:trHeight w:val="153"/>
        </w:trPr>
        <w:tc>
          <w:tcPr>
            <w:tcW w:w="5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56,941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49,410</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7,531</w:t>
            </w:r>
          </w:p>
        </w:tc>
        <w:tc>
          <w:tcPr>
            <w:tcW w:w="7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15.2%</w:t>
            </w:r>
          </w:p>
        </w:tc>
      </w:tr>
      <w:tr>
        <w:trPr>
          <w:trHeight w:val="142"/>
        </w:trPr>
        <w:tc>
          <w:tcPr>
            <w:tcW w:w="5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Depreciation and amortization of property,</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55"/>
        </w:trPr>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equipment and leasehold improvements</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29,805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29,999</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2"/>
                <w:szCs w:val="12"/>
                <w:color w:val="auto"/>
              </w:rPr>
              <w:t>(194)</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49"/>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810,626</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802,095</w:t>
            </w:r>
          </w:p>
        </w:tc>
        <w:tc>
          <w:tcPr>
            <w:tcW w:w="2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8,531</w:t>
            </w:r>
          </w:p>
        </w:tc>
        <w:tc>
          <w:tcPr>
            <w:tcW w:w="78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w:t>
            </w:r>
          </w:p>
        </w:tc>
      </w:tr>
    </w:tbl>
    <w:p>
      <w:pPr>
        <w:spacing w:after="0" w:line="2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Revenues</w:t>
      </w:r>
    </w:p>
    <w:p>
      <w:pPr>
        <w:spacing w:after="0" w:line="82"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Cost of revenues for the year ended December 31, 2020 decreased 1.1% to $291.7 million compared to $295.0 million for the year ended December 31, 2019. The change was driven by the absence of $7.0 million of payroll tax expense associated with the vesting of the 2016 Multi-Year PSUs recognized during the year ended December 31, 2019, partially offset by increases in other compensation and benefits costs, primarily relating to higher wages and salaries, as well as higher non-compensation costs, reflecting higher information technology costs, partially offset by lower travel and entertainment costs. Cost of revenues reflects increases across the All Other and Index reportable segments, partially offset by a decrease in the Analytics reportable segment.</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Selling and Marketing</w:t>
      </w:r>
    </w:p>
    <w:p>
      <w:pPr>
        <w:spacing w:after="0" w:line="82" w:lineRule="exact"/>
        <w:rPr>
          <w:sz w:val="20"/>
          <w:szCs w:val="20"/>
          <w:color w:val="auto"/>
        </w:rPr>
      </w:pPr>
    </w:p>
    <w:p>
      <w:pPr>
        <w:ind w:right="20" w:firstLine="592"/>
        <w:spacing w:after="0" w:line="260" w:lineRule="auto"/>
        <w:rPr>
          <w:sz w:val="20"/>
          <w:szCs w:val="20"/>
          <w:color w:val="auto"/>
        </w:rPr>
      </w:pPr>
      <w:r>
        <w:rPr>
          <w:rFonts w:ascii="Times New Roman" w:cs="Times New Roman" w:eastAsia="Times New Roman" w:hAnsi="Times New Roman"/>
          <w:sz w:val="12"/>
          <w:szCs w:val="12"/>
          <w:color w:val="auto"/>
        </w:rPr>
        <w:t>Selling and marketing expenses for the year ended December 31, 2020 decreased 1.3% to $216.5 million compared to $219.3 million for the year ended December 31, 2019. The change was driven by lower non-compensation costs, including travel and entertainment costs, and the absence of $4.5 million of payroll tax expense associated with the vesting of the 2016 Multi-Year PSUs recognized during the year ended December 31, 2019, partially offset by increases in compensation and benefits costs, primarily relating to higher wages and salaries. Selling and marketing expenses reflect increases across the All Other and Analytics reportable segments, partially offset by a decrease in the Index reportable segment.</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82" w:lineRule="exact"/>
        <w:rPr>
          <w:sz w:val="20"/>
          <w:szCs w:val="20"/>
          <w:color w:val="auto"/>
        </w:rPr>
      </w:pPr>
    </w:p>
    <w:p>
      <w:pPr>
        <w:ind w:right="100" w:firstLine="592"/>
        <w:spacing w:after="0" w:line="279" w:lineRule="auto"/>
        <w:rPr>
          <w:sz w:val="20"/>
          <w:szCs w:val="20"/>
          <w:color w:val="auto"/>
        </w:rPr>
      </w:pPr>
      <w:r>
        <w:rPr>
          <w:rFonts w:ascii="Times New Roman" w:cs="Times New Roman" w:eastAsia="Times New Roman" w:hAnsi="Times New Roman"/>
          <w:sz w:val="12"/>
          <w:szCs w:val="12"/>
          <w:color w:val="auto"/>
        </w:rPr>
        <w:t>R&amp;D expenses for the year ended December 31, 2020 increased 2.8% to $101.1 million compared to $98.3 million for the year ended December 31, 2019. The change was driven by increases in compensation and benefits costs, including wages and salaries and benefits costs. R&amp;D expenses reflect higher investments in the All Other and Index reportable segments, partially offset by lower investment in the Analytics reportable segment.</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82" w:lineRule="exact"/>
        <w:rPr>
          <w:sz w:val="20"/>
          <w:szCs w:val="20"/>
          <w:color w:val="auto"/>
        </w:rPr>
      </w:pPr>
    </w:p>
    <w:p>
      <w:pPr>
        <w:jc w:val="both"/>
        <w:ind w:right="20" w:firstLine="592"/>
        <w:spacing w:after="0" w:line="265" w:lineRule="auto"/>
        <w:rPr>
          <w:sz w:val="20"/>
          <w:szCs w:val="20"/>
          <w:color w:val="auto"/>
        </w:rPr>
      </w:pPr>
      <w:r>
        <w:rPr>
          <w:rFonts w:ascii="Times New Roman" w:cs="Times New Roman" w:eastAsia="Times New Roman" w:hAnsi="Times New Roman"/>
          <w:sz w:val="12"/>
          <w:szCs w:val="12"/>
          <w:color w:val="auto"/>
        </w:rPr>
        <w:t>G&amp;A expenses for the year ended December 31, 2020 increased 4.1% to $114.6 million compared to $110.1 million for the year ended December 31, 2019. The change was driven by increases in compensation and benefits costs, primarily relating to higher incentive compensation and wages and salaries, partially offset by the absence of $3.5 million of payroll tax expense associated with the vesting of the 2016 Multi-Year PSUs recognized during the year ended December 31, 2019 and lower non-compensation costs. G&amp;A expenses reflect increases across all three reportable segments.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2"/>
          <w:szCs w:val="12"/>
          <w:color w:val="auto"/>
        </w:rPr>
        <w:t>The following table presents operating expenses using compensation and non-compensation categories, rather than using activity categories, for the years indicated:</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90"/>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tcPr>
          <w:p>
            <w:pPr>
              <w:ind w:left="8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840" w:type="dxa"/>
            <w:vAlign w:val="bottom"/>
          </w:tcPr>
          <w:p>
            <w:pPr>
              <w:jc w:val="center"/>
              <w:ind w:right="145"/>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97"/>
        </w:trPr>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40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527,641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518,730</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8,911</w:t>
            </w:r>
          </w:p>
        </w:tc>
        <w:tc>
          <w:tcPr>
            <w:tcW w:w="7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1.7%</w:t>
            </w:r>
          </w:p>
        </w:tc>
      </w:tr>
      <w:tr>
        <w:trPr>
          <w:trHeight w:val="153"/>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Non-compensation expenses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196,239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203,956</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(7,717)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5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56,941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49,410</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7,531</w:t>
            </w:r>
          </w:p>
        </w:tc>
        <w:tc>
          <w:tcPr>
            <w:tcW w:w="7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15.2%</w:t>
            </w:r>
          </w:p>
        </w:tc>
      </w:tr>
      <w:tr>
        <w:trPr>
          <w:trHeight w:val="142"/>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of property,</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5"/>
        </w:trPr>
        <w:tc>
          <w:tcPr>
            <w:tcW w:w="5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equipment and leasehold improvements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29,805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29,999</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(194)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49"/>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14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810,626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802,095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8,531</w:t>
            </w:r>
          </w:p>
        </w:tc>
        <w:tc>
          <w:tcPr>
            <w:tcW w:w="780" w:type="dxa"/>
            <w:vAlign w:val="bottom"/>
            <w:tcBorders>
              <w:top w:val="single" w:sz="8" w:color="CFF0FC"/>
              <w:bottom w:val="single" w:sz="8" w:color="CFF0FC"/>
            </w:tcBorders>
            <w:shd w:val="clear" w:color="auto" w:fill="CFF0FC"/>
          </w:tcPr>
          <w:p>
            <w:pPr>
              <w:spacing w:after="0"/>
              <w:rPr>
                <w:sz w:val="12"/>
                <w:szCs w:val="12"/>
                <w:color w:val="auto"/>
              </w:rPr>
            </w:pPr>
          </w:p>
        </w:tc>
        <w:tc>
          <w:tcPr>
            <w:tcW w:w="6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w:t>
            </w:r>
          </w:p>
        </w:tc>
      </w:tr>
    </w:tbl>
    <w:p>
      <w:pPr>
        <w:spacing w:after="0" w:line="160" w:lineRule="exact"/>
        <w:rPr>
          <w:sz w:val="20"/>
          <w:szCs w:val="20"/>
          <w:color w:val="auto"/>
        </w:rPr>
      </w:pPr>
    </w:p>
    <w:p>
      <w:pPr>
        <w:ind w:firstLine="592"/>
        <w:spacing w:after="0" w:line="265" w:lineRule="auto"/>
        <w:rPr>
          <w:sz w:val="20"/>
          <w:szCs w:val="20"/>
          <w:color w:val="auto"/>
        </w:rPr>
      </w:pPr>
      <w:r>
        <w:rPr>
          <w:rFonts w:ascii="Times New Roman" w:cs="Times New Roman" w:eastAsia="Times New Roman" w:hAnsi="Times New Roman"/>
          <w:sz w:val="12"/>
          <w:szCs w:val="12"/>
          <w:color w:val="auto"/>
        </w:rPr>
        <w:t>Compensation and benefits costs are our most significant expense and typically represent approximately 65% of operating expenses or more than 70% of Adjusted EBITDA expenses. We had 3,633 employees as of December 31, 2020 compared to 3,396 employees as of December 31, 2019, reflecting a 7.0% growth in the number of employees. Continued growth of our emerging market centers around the world is an important factor in our ability to manage and control the growth of our compensation and benefits costs. As of December 31, 2020, 64.6% of our employees were located in emerging market centers compared to 62.9% as of December 31, 2019.</w:t>
      </w:r>
    </w:p>
    <w:p>
      <w:pPr>
        <w:spacing w:after="0" w:line="119" w:lineRule="exact"/>
        <w:rPr>
          <w:sz w:val="20"/>
          <w:szCs w:val="20"/>
          <w:color w:val="auto"/>
        </w:rPr>
      </w:pPr>
    </w:p>
    <w:p>
      <w:pPr>
        <w:ind w:right="120" w:firstLine="592"/>
        <w:spacing w:after="0" w:line="279" w:lineRule="auto"/>
        <w:rPr>
          <w:sz w:val="20"/>
          <w:szCs w:val="20"/>
          <w:color w:val="auto"/>
        </w:rPr>
      </w:pPr>
      <w:r>
        <w:rPr>
          <w:rFonts w:ascii="Times New Roman" w:cs="Times New Roman" w:eastAsia="Times New Roman" w:hAnsi="Times New Roman"/>
          <w:sz w:val="12"/>
          <w:szCs w:val="12"/>
          <w:color w:val="auto"/>
        </w:rPr>
        <w:t>Compensation and benefits costs for the year ended December 31, 2020 increased 1.7% to $527.6 million compared to $518.7 million for the year ended December 31, 2019, driven by higher wages and salaries, incentive compensation and benefits costs, partially offset by the absence of $15.4 million of payroll tax expense associated with the vesting of the 2016 Multi-Year PSUs recognized during the year ended December 31, 2019.</w:t>
      </w:r>
    </w:p>
    <w:p>
      <w:pPr>
        <w:spacing w:after="0" w:line="111" w:lineRule="exact"/>
        <w:rPr>
          <w:sz w:val="20"/>
          <w:szCs w:val="20"/>
          <w:color w:val="auto"/>
        </w:rPr>
      </w:pPr>
    </w:p>
    <w:p>
      <w:pPr>
        <w:ind w:right="80" w:firstLine="592"/>
        <w:spacing w:after="0" w:line="279" w:lineRule="auto"/>
        <w:rPr>
          <w:sz w:val="20"/>
          <w:szCs w:val="20"/>
          <w:color w:val="auto"/>
        </w:rPr>
      </w:pPr>
      <w:r>
        <w:rPr>
          <w:rFonts w:ascii="Times New Roman" w:cs="Times New Roman" w:eastAsia="Times New Roman" w:hAnsi="Times New Roman"/>
          <w:sz w:val="12"/>
          <w:szCs w:val="12"/>
          <w:color w:val="auto"/>
        </w:rPr>
        <w:t>Non-compensation expenses for the year ended December 31, 2020 decreased 3.8% to $196.2 million compared to $204.0 million for the year ended December 31, 2019, primarily driven by lower travel and entertainment and marketing costs, partially offset by higher information technology costs.</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Amortization of Intangible Assets</w:t>
      </w:r>
    </w:p>
    <w:p>
      <w:pPr>
        <w:spacing w:after="0" w:line="82" w:lineRule="exact"/>
        <w:rPr>
          <w:sz w:val="20"/>
          <w:szCs w:val="20"/>
          <w:color w:val="auto"/>
        </w:rPr>
      </w:pPr>
    </w:p>
    <w:p>
      <w:pPr>
        <w:ind w:right="60" w:firstLine="592"/>
        <w:spacing w:after="0" w:line="279" w:lineRule="auto"/>
        <w:rPr>
          <w:sz w:val="20"/>
          <w:szCs w:val="20"/>
          <w:color w:val="auto"/>
        </w:rPr>
      </w:pPr>
      <w:r>
        <w:rPr>
          <w:rFonts w:ascii="Times New Roman" w:cs="Times New Roman" w:eastAsia="Times New Roman" w:hAnsi="Times New Roman"/>
          <w:sz w:val="12"/>
          <w:szCs w:val="12"/>
          <w:color w:val="auto"/>
        </w:rPr>
        <w:t>Amortization of intangible assets expense for the year ended December 31, 2020 increased 15.2% to $56.9 million compared to $49.4 million for the year ended December 31, 2019, primarily driven by higher amortization of internally-developed capitalized software.</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 of Property, Equipment and Leasehold Improvements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Depreciation and amortization of property, equipment and leasehold improvements for the year ended December 31, 2020 and 2019 was $29.8 million and $30.0 million, respectively.</w:t>
      </w:r>
    </w:p>
    <w:p>
      <w:pPr>
        <w:spacing w:after="0" w:line="2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Other Expense (Income), Net</w:t>
      </w:r>
    </w:p>
    <w:p>
      <w:pPr>
        <w:spacing w:after="0" w:line="82" w:lineRule="exact"/>
        <w:rPr>
          <w:sz w:val="20"/>
          <w:szCs w:val="20"/>
          <w:color w:val="auto"/>
        </w:rPr>
      </w:pPr>
    </w:p>
    <w:p>
      <w:pPr>
        <w:ind w:right="40" w:firstLine="592"/>
        <w:spacing w:after="0" w:line="255" w:lineRule="auto"/>
        <w:rPr>
          <w:sz w:val="20"/>
          <w:szCs w:val="20"/>
          <w:color w:val="auto"/>
        </w:rPr>
      </w:pPr>
      <w:r>
        <w:rPr>
          <w:rFonts w:ascii="Times New Roman" w:cs="Times New Roman" w:eastAsia="Times New Roman" w:hAnsi="Times New Roman"/>
          <w:sz w:val="12"/>
          <w:szCs w:val="12"/>
          <w:color w:val="auto"/>
        </w:rPr>
        <w:t>Other expense (income), net for the year ended December 31, 2020 increased 30.3% to $198.5 million compared to $152.4 million for the year ended December 31, 2019. The increase in net expenses was primarily driven by the $35.0 million and $10.0 million loss on debt extinguishment associated with the redemption of all of the outstanding $800.0 million aggregate principal amount of the 2025 Senior Notes (“2025 Senior Notes Redemption”) and the redemption of all of the remaining $300.0 million of the 2024 Senior Notes (“2024 Senior Notes Redemption”), respectively. The loss on debt extinguishment associated with the 2025 Senior Notes included an applicable premium of approximately $29.5 million (as defined in the indenture governing the terms of the 2025 Senior Notes) and the write-off of approximately $5.5 million of unamortized debt issuance costs. The loss on debt extinguishment associated with the 2024 Senior Notes Redemption included a redemption price of approximately $7.9 million (as set forth in the indenture governing the terms of the 2024 Senior Notes) and the write-off of approximately $2.1 million of unamortized debt issuance costs. In addition, the increase reflects higher interest expense associated with the higher outstanding debt and lower interest income due to lower rates earned on cash balances, offset by the absence of the $16.8 million loss on extinguishment associated with the partial pre-maturity redemption of the 2024 Senior Notes recognized during the year ended December 31, 2019.</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sectPr>
      </w:pPr>
    </w:p>
    <w:bookmarkStart w:id="46" w:name="page47"/>
    <w:bookmarkEnd w:id="46"/>
    <w:p>
      <w:pPr>
        <w:ind w:left="280"/>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82" w:lineRule="exact"/>
        <w:rPr>
          <w:sz w:val="20"/>
          <w:szCs w:val="20"/>
          <w:color w:val="auto"/>
        </w:rPr>
      </w:pPr>
    </w:p>
    <w:p>
      <w:pPr>
        <w:ind w:right="160" w:firstLine="592"/>
        <w:spacing w:after="0" w:line="279" w:lineRule="auto"/>
        <w:rPr>
          <w:sz w:val="20"/>
          <w:szCs w:val="20"/>
          <w:color w:val="auto"/>
        </w:rPr>
      </w:pPr>
      <w:r>
        <w:rPr>
          <w:rFonts w:ascii="Times New Roman" w:cs="Times New Roman" w:eastAsia="Times New Roman" w:hAnsi="Times New Roman"/>
          <w:sz w:val="12"/>
          <w:szCs w:val="12"/>
          <w:color w:val="auto"/>
        </w:rPr>
        <w:t>The provision for income tax is $84.4 million for the year ended December 31, 2020 compared to $39.7 million for the year ended December 31, 2019. These amounts reflect effective tax rates of 12.3% and 6.6% for the years ended December 31, 2020 and 2019, respectively.</w:t>
      </w:r>
    </w:p>
    <w:p>
      <w:pPr>
        <w:spacing w:after="0" w:line="111" w:lineRule="exact"/>
        <w:rPr>
          <w:sz w:val="20"/>
          <w:szCs w:val="20"/>
          <w:color w:val="auto"/>
        </w:rPr>
      </w:pPr>
    </w:p>
    <w:p>
      <w:pPr>
        <w:ind w:right="80" w:firstLine="592"/>
        <w:spacing w:after="0" w:line="265" w:lineRule="auto"/>
        <w:rPr>
          <w:sz w:val="20"/>
          <w:szCs w:val="20"/>
          <w:color w:val="auto"/>
        </w:rPr>
      </w:pPr>
      <w:r>
        <w:rPr>
          <w:rFonts w:ascii="Times New Roman" w:cs="Times New Roman" w:eastAsia="Times New Roman" w:hAnsi="Times New Roman"/>
          <w:sz w:val="12"/>
          <w:szCs w:val="12"/>
          <w:color w:val="auto"/>
        </w:rPr>
        <w:t>The effective tax rate of 12.3% for the year ended December 31, 2020 reflects the impact of certain discrete items totaling $47.9 million. These discrete items primarily relate to $22.2 million of excess tax benefits recognized on the vesting of equity awards during the period and $20.8 million released during the year related to the favorable impact on prior years from final regulations clarifying certain provisions of Tax Reform. Also included in the discrete items is a $6.3 million benefit related to the revaluation of the cost of deemed repatriation of foreign earnings.</w:t>
      </w:r>
    </w:p>
    <w:p>
      <w:pPr>
        <w:spacing w:after="0" w:line="119" w:lineRule="exact"/>
        <w:rPr>
          <w:sz w:val="20"/>
          <w:szCs w:val="20"/>
          <w:color w:val="auto"/>
        </w:rPr>
      </w:pPr>
    </w:p>
    <w:p>
      <w:pPr>
        <w:ind w:firstLine="592"/>
        <w:spacing w:after="0" w:line="265" w:lineRule="auto"/>
        <w:rPr>
          <w:sz w:val="20"/>
          <w:szCs w:val="20"/>
          <w:color w:val="auto"/>
        </w:rPr>
      </w:pPr>
      <w:r>
        <w:rPr>
          <w:rFonts w:ascii="Times New Roman" w:cs="Times New Roman" w:eastAsia="Times New Roman" w:hAnsi="Times New Roman"/>
          <w:sz w:val="12"/>
          <w:szCs w:val="12"/>
          <w:color w:val="auto"/>
        </w:rPr>
        <w:t>The effective tax rate of 6.6% for the year ended December 31, 2019 reflects the impact of certain favorable discrete items totaling $85.7 million. These discrete items primarily relate to $66.6 million of excess tax benefits recognized upon vesting of the 2016 Multi-Year PSUs and $16.1 million of excess tax benefits on other share-based compensation recognized during the period. In addition, the effective tax rate was impacted by a beneficial geographic mix of earnings.</w:t>
      </w:r>
    </w:p>
    <w:p>
      <w:pPr>
        <w:spacing w:after="0" w:line="1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b w:val="1"/>
          <w:bCs w:val="1"/>
          <w:i w:val="1"/>
          <w:iCs w:val="1"/>
          <w:color w:val="auto"/>
        </w:rPr>
        <w:t>Net Income</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As a result of the factors described above, net income for the year ended December 31, 2020 increased 6.8% to $601.8 million compared to $563.6 million for the year ended December 31, 2019.</w:t>
      </w:r>
    </w:p>
    <w:p>
      <w:pPr>
        <w:spacing w:after="0" w:line="2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Adjusted EBITDA</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the calculation of the non-GAAP Adjusted EBITDA measure for the years indicated:</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0"/>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tcPr>
          <w:p>
            <w:pPr>
              <w:jc w:val="right"/>
              <w:ind w:right="48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840" w:type="dxa"/>
            <w:vAlign w:val="bottom"/>
          </w:tcPr>
          <w:p>
            <w:pPr>
              <w:jc w:val="center"/>
              <w:ind w:right="145"/>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right="42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1,695,390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1,557,796</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137,594</w:t>
            </w:r>
          </w:p>
        </w:tc>
        <w:tc>
          <w:tcPr>
            <w:tcW w:w="7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53"/>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Adjusted EBITDA expenses</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723,880</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707,297</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16,583</w:t>
            </w:r>
          </w:p>
        </w:tc>
        <w:tc>
          <w:tcPr>
            <w:tcW w:w="78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62"/>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971,510</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850,499</w:t>
            </w:r>
          </w:p>
        </w:tc>
        <w:tc>
          <w:tcPr>
            <w:tcW w:w="2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121,011</w:t>
            </w:r>
          </w:p>
        </w:tc>
        <w:tc>
          <w:tcPr>
            <w:tcW w:w="78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w:t>
            </w:r>
          </w:p>
        </w:tc>
      </w:tr>
      <w:tr>
        <w:trPr>
          <w:trHeight w:val="140"/>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margin %</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57.3%</w:t>
            </w:r>
          </w:p>
        </w:tc>
        <w:tc>
          <w:tcPr>
            <w:tcW w:w="1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54.6%</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margin %</w:t>
            </w: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52.2%</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48.5%</w:t>
            </w: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bl>
    <w:p>
      <w:pPr>
        <w:spacing w:after="0" w:line="160" w:lineRule="exact"/>
        <w:rPr>
          <w:sz w:val="20"/>
          <w:szCs w:val="20"/>
          <w:color w:val="auto"/>
        </w:rPr>
      </w:pPr>
    </w:p>
    <w:p>
      <w:pPr>
        <w:ind w:right="140" w:firstLine="592"/>
        <w:spacing w:after="0" w:line="265" w:lineRule="auto"/>
        <w:rPr>
          <w:sz w:val="20"/>
          <w:szCs w:val="20"/>
          <w:color w:val="auto"/>
        </w:rPr>
      </w:pPr>
      <w:r>
        <w:rPr>
          <w:rFonts w:ascii="Times New Roman" w:cs="Times New Roman" w:eastAsia="Times New Roman" w:hAnsi="Times New Roman"/>
          <w:sz w:val="12"/>
          <w:szCs w:val="12"/>
          <w:color w:val="auto"/>
        </w:rPr>
        <w:t>Adjusted EBITDA increased 14.2% to $971.5 million for the year ended December 31, 2020 compared to $850.5 million for the year ended December 31, 2019. Adjusted EBITDA margin increased to 57.3% for the year ended December 31, 2020 compared to 54.6% for the year ended December 31, 2019. The increase in Adjusted EBITDA margin reflects a higher rate of growth in operating revenues as compared to the rate of growth of Adjusted EBITDA expenses.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47" w:name="page48"/>
    <w:bookmarkEnd w:id="47"/>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Reconciliation of Adjusted EBITDA to Net Income and Adjusted EBITDA Expenses to Operating Expenses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the reconciliation of Adjusted EBITDA to net income for the years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90"/>
        </w:trPr>
        <w:tc>
          <w:tcPr>
            <w:tcW w:w="56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tcPr>
          <w:p>
            <w:pPr>
              <w:jc w:val="center"/>
              <w:ind w:right="38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80" w:type="dxa"/>
            <w:vAlign w:val="bottom"/>
          </w:tcPr>
          <w:p>
            <w:pPr>
              <w:spacing w:after="0"/>
              <w:rPr>
                <w:sz w:val="7"/>
                <w:szCs w:val="7"/>
                <w:color w:val="auto"/>
              </w:rPr>
            </w:pPr>
          </w:p>
        </w:tc>
        <w:tc>
          <w:tcPr>
            <w:tcW w:w="840" w:type="dxa"/>
            <w:vAlign w:val="bottom"/>
          </w:tcPr>
          <w:p>
            <w:pPr>
              <w:jc w:val="center"/>
              <w:ind w:right="143"/>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15"/>
        </w:trPr>
        <w:tc>
          <w:tcPr>
            <w:tcW w:w="5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97"/>
        </w:trPr>
        <w:tc>
          <w:tcPr>
            <w:tcW w:w="5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40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53"/>
        </w:trPr>
        <w:tc>
          <w:tcPr>
            <w:tcW w:w="560" w:type="dxa"/>
            <w:vAlign w:val="bottom"/>
          </w:tcPr>
          <w:p>
            <w:pPr>
              <w:spacing w:after="0"/>
              <w:rPr>
                <w:sz w:val="13"/>
                <w:szCs w:val="13"/>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Index Adjusted EBITDA</w:t>
            </w:r>
          </w:p>
        </w:tc>
        <w:tc>
          <w:tcPr>
            <w:tcW w:w="172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766,493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670,188</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96,305</w:t>
            </w:r>
          </w:p>
        </w:tc>
        <w:tc>
          <w:tcPr>
            <w:tcW w:w="7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14.4%</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Analytics Adjusted EBITDA</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172,924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152,113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20,811</w:t>
            </w:r>
          </w:p>
        </w:tc>
        <w:tc>
          <w:tcPr>
            <w:tcW w:w="7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13.7%</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All Other Adjusted EBITDA</w:t>
            </w:r>
          </w:p>
        </w:tc>
        <w:tc>
          <w:tcPr>
            <w:tcW w:w="15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32,093</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28,198</w:t>
            </w:r>
          </w:p>
        </w:tc>
        <w:tc>
          <w:tcPr>
            <w:tcW w:w="2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3,895</w:t>
            </w:r>
          </w:p>
        </w:tc>
        <w:tc>
          <w:tcPr>
            <w:tcW w:w="7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13.8%</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Adjusted EBITDA</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971,510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850,499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121,011</w:t>
            </w:r>
          </w:p>
        </w:tc>
        <w:tc>
          <w:tcPr>
            <w:tcW w:w="72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14.2%</w:t>
            </w:r>
          </w:p>
        </w:tc>
        <w:tc>
          <w:tcPr>
            <w:tcW w:w="58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2016 Multi-Year PSUs grant payroll tax expense</w:t>
            </w:r>
          </w:p>
        </w:tc>
        <w:tc>
          <w:tcPr>
            <w:tcW w:w="1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15,389</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(15,389)</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56,941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49,410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7,531</w:t>
            </w:r>
          </w:p>
        </w:tc>
        <w:tc>
          <w:tcPr>
            <w:tcW w:w="7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15.2%</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Depreciation and amortization of property,</w:t>
            </w:r>
          </w:p>
        </w:tc>
        <w:tc>
          <w:tcPr>
            <w:tcW w:w="1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560" w:type="dxa"/>
            <w:vAlign w:val="bottom"/>
          </w:tcPr>
          <w:p>
            <w:pPr>
              <w:spacing w:after="0"/>
              <w:rPr>
                <w:sz w:val="13"/>
                <w:szCs w:val="13"/>
                <w:color w:val="auto"/>
              </w:rPr>
            </w:pPr>
          </w:p>
        </w:tc>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equipment and leasehold improvements</w:t>
            </w:r>
          </w:p>
        </w:tc>
        <w:tc>
          <w:tcPr>
            <w:tcW w:w="1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29,805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29,999</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(194)</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884,764</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755,701</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129,063</w:t>
            </w:r>
          </w:p>
        </w:tc>
        <w:tc>
          <w:tcPr>
            <w:tcW w:w="72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17.1%</w:t>
            </w:r>
          </w:p>
        </w:tc>
        <w:tc>
          <w:tcPr>
            <w:tcW w:w="58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1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198,539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152,383</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46,156</w:t>
            </w:r>
          </w:p>
        </w:tc>
        <w:tc>
          <w:tcPr>
            <w:tcW w:w="7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30.3%</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5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84,403</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39,670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44,733</w:t>
            </w:r>
          </w:p>
        </w:tc>
        <w:tc>
          <w:tcPr>
            <w:tcW w:w="72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112.8%</w:t>
            </w:r>
          </w:p>
        </w:tc>
        <w:tc>
          <w:tcPr>
            <w:tcW w:w="580" w:type="dxa"/>
            <w:vAlign w:val="bottom"/>
          </w:tcPr>
          <w:p>
            <w:pPr>
              <w:spacing w:after="0"/>
              <w:rPr>
                <w:sz w:val="13"/>
                <w:szCs w:val="13"/>
                <w:color w:val="auto"/>
              </w:rPr>
            </w:pPr>
          </w:p>
        </w:tc>
      </w:tr>
      <w:tr>
        <w:trPr>
          <w:trHeight w:val="149"/>
        </w:trPr>
        <w:tc>
          <w:tcPr>
            <w:tcW w:w="560" w:type="dxa"/>
            <w:vAlign w:val="bottom"/>
          </w:tcPr>
          <w:p>
            <w:pPr>
              <w:spacing w:after="0"/>
              <w:rPr>
                <w:sz w:val="12"/>
                <w:szCs w:val="12"/>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5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601,822</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563,648</w:t>
            </w:r>
          </w:p>
        </w:tc>
        <w:tc>
          <w:tcPr>
            <w:tcW w:w="22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38,174</w:t>
            </w:r>
          </w:p>
        </w:tc>
        <w:tc>
          <w:tcPr>
            <w:tcW w:w="7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6.8%</w:t>
            </w:r>
          </w:p>
        </w:tc>
        <w:tc>
          <w:tcPr>
            <w:tcW w:w="580" w:type="dxa"/>
            <w:vAlign w:val="bottom"/>
          </w:tcPr>
          <w:p>
            <w:pPr>
              <w:spacing w:after="0"/>
              <w:rPr>
                <w:sz w:val="12"/>
                <w:szCs w:val="12"/>
                <w:color w:val="auto"/>
              </w:rPr>
            </w:pPr>
          </w:p>
        </w:tc>
      </w:tr>
      <w:tr>
        <w:trPr>
          <w:trHeight w:val="315"/>
        </w:trPr>
        <w:tc>
          <w:tcPr>
            <w:tcW w:w="560" w:type="dxa"/>
            <w:vAlign w:val="bottom"/>
          </w:tcPr>
          <w:p>
            <w:pPr>
              <w:spacing w:after="0"/>
              <w:rPr>
                <w:sz w:val="24"/>
                <w:szCs w:val="24"/>
                <w:color w:val="auto"/>
              </w:rPr>
            </w:pPr>
          </w:p>
        </w:tc>
        <w:tc>
          <w:tcPr>
            <w:tcW w:w="650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The following table presents the reconciliation of Adjusted EBITDA expenses to operating expenses for the years indicated: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97"/>
        </w:trPr>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90"/>
        </w:trPr>
        <w:tc>
          <w:tcPr>
            <w:tcW w:w="56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tcPr>
          <w:p>
            <w:pPr>
              <w:jc w:val="center"/>
              <w:ind w:right="38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80" w:type="dxa"/>
            <w:vAlign w:val="bottom"/>
          </w:tcPr>
          <w:p>
            <w:pPr>
              <w:spacing w:after="0"/>
              <w:rPr>
                <w:sz w:val="7"/>
                <w:szCs w:val="7"/>
                <w:color w:val="auto"/>
              </w:rPr>
            </w:pPr>
          </w:p>
        </w:tc>
        <w:tc>
          <w:tcPr>
            <w:tcW w:w="840" w:type="dxa"/>
            <w:vAlign w:val="bottom"/>
          </w:tcPr>
          <w:p>
            <w:pPr>
              <w:jc w:val="center"/>
              <w:ind w:right="143"/>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15"/>
        </w:trPr>
        <w:tc>
          <w:tcPr>
            <w:tcW w:w="5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97"/>
        </w:trPr>
        <w:tc>
          <w:tcPr>
            <w:tcW w:w="5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40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53"/>
        </w:trPr>
        <w:tc>
          <w:tcPr>
            <w:tcW w:w="560" w:type="dxa"/>
            <w:vAlign w:val="bottom"/>
          </w:tcPr>
          <w:p>
            <w:pPr>
              <w:spacing w:after="0"/>
              <w:rPr>
                <w:sz w:val="13"/>
                <w:szCs w:val="13"/>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Index Adjusted EBITDA expenses</w:t>
            </w:r>
          </w:p>
        </w:tc>
        <w:tc>
          <w:tcPr>
            <w:tcW w:w="172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250,002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250,749</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(747)</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Analytics Adjusted EBITDA expenses</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340,884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344,812</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(3,928)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All Other Adjusted EBITDA expenses</w:t>
            </w:r>
          </w:p>
        </w:tc>
        <w:tc>
          <w:tcPr>
            <w:tcW w:w="15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132,994</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111,736</w:t>
            </w:r>
          </w:p>
        </w:tc>
        <w:tc>
          <w:tcPr>
            <w:tcW w:w="2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21,258</w:t>
            </w:r>
          </w:p>
        </w:tc>
        <w:tc>
          <w:tcPr>
            <w:tcW w:w="7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19.0%</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Adjusted EBITDA expenses</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723,880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707,297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16,583</w:t>
            </w:r>
          </w:p>
        </w:tc>
        <w:tc>
          <w:tcPr>
            <w:tcW w:w="72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w:t>
            </w:r>
          </w:p>
        </w:tc>
        <w:tc>
          <w:tcPr>
            <w:tcW w:w="58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2016 Multi-Year PSUs grant payroll tax expense</w:t>
            </w:r>
          </w:p>
        </w:tc>
        <w:tc>
          <w:tcPr>
            <w:tcW w:w="1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15,389</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(15,389)</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58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56,941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49,410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7,531</w:t>
            </w:r>
          </w:p>
        </w:tc>
        <w:tc>
          <w:tcPr>
            <w:tcW w:w="7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15.2%</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Depreciation and amortization of property,</w:t>
            </w:r>
          </w:p>
        </w:tc>
        <w:tc>
          <w:tcPr>
            <w:tcW w:w="1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560" w:type="dxa"/>
            <w:vAlign w:val="bottom"/>
          </w:tcPr>
          <w:p>
            <w:pPr>
              <w:spacing w:after="0"/>
              <w:rPr>
                <w:sz w:val="13"/>
                <w:szCs w:val="13"/>
                <w:color w:val="auto"/>
              </w:rPr>
            </w:pPr>
          </w:p>
        </w:tc>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equipment and leasehold improvements</w:t>
            </w:r>
          </w:p>
        </w:tc>
        <w:tc>
          <w:tcPr>
            <w:tcW w:w="1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29,805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29,999</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(194)</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580" w:type="dxa"/>
            <w:vAlign w:val="bottom"/>
          </w:tcPr>
          <w:p>
            <w:pPr>
              <w:spacing w:after="0"/>
              <w:rPr>
                <w:sz w:val="13"/>
                <w:szCs w:val="13"/>
                <w:color w:val="auto"/>
              </w:rPr>
            </w:pPr>
          </w:p>
        </w:tc>
      </w:tr>
      <w:tr>
        <w:trPr>
          <w:trHeight w:val="149"/>
        </w:trPr>
        <w:tc>
          <w:tcPr>
            <w:tcW w:w="56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5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810,626</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802,095</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8,531</w:t>
            </w:r>
          </w:p>
        </w:tc>
        <w:tc>
          <w:tcPr>
            <w:tcW w:w="72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w:t>
            </w:r>
          </w:p>
        </w:tc>
        <w:tc>
          <w:tcPr>
            <w:tcW w:w="580" w:type="dxa"/>
            <w:vAlign w:val="bottom"/>
          </w:tcPr>
          <w:p>
            <w:pPr>
              <w:spacing w:after="0"/>
              <w:rPr>
                <w:sz w:val="12"/>
                <w:szCs w:val="12"/>
                <w:color w:val="auto"/>
              </w:rPr>
            </w:pPr>
          </w:p>
        </w:tc>
      </w:tr>
      <w:tr>
        <w:trPr>
          <w:trHeight w:val="558"/>
        </w:trPr>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46</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368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color w:val="auto"/>
        </w:rPr>
        <w:t>Segment Results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results for each of our three reportable segments for the years ended December 31, 2020 and 2019 are presented below:</w:t>
      </w:r>
    </w:p>
    <w:p>
      <w:pPr>
        <w:spacing w:after="0" w:line="2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Index Segment</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the results for the Index segment for the years indicated:</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90"/>
        </w:trPr>
        <w:tc>
          <w:tcPr>
            <w:tcW w:w="5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tcPr>
          <w:p>
            <w:pPr>
              <w:jc w:val="right"/>
              <w:ind w:right="46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860" w:type="dxa"/>
            <w:vAlign w:val="bottom"/>
          </w:tcPr>
          <w:p>
            <w:pPr>
              <w:jc w:val="center"/>
              <w:ind w:right="124"/>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15"/>
        </w:trPr>
        <w:tc>
          <w:tcPr>
            <w:tcW w:w="5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97"/>
        </w:trPr>
        <w:tc>
          <w:tcPr>
            <w:tcW w:w="5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right="42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Recurring subscriptions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580,393</w:t>
            </w:r>
          </w:p>
        </w:tc>
        <w:tc>
          <w:tcPr>
            <w:tcW w:w="22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530,968</w:t>
            </w:r>
          </w:p>
        </w:tc>
        <w:tc>
          <w:tcPr>
            <w:tcW w:w="22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49,425</w:t>
            </w:r>
          </w:p>
        </w:tc>
        <w:tc>
          <w:tcPr>
            <w:tcW w:w="7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9.3%</w:t>
            </w: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Asset-based fees</w:t>
            </w: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399,771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361,927</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37,844</w:t>
            </w:r>
          </w:p>
        </w:tc>
        <w:tc>
          <w:tcPr>
            <w:tcW w:w="7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10.5%</w:t>
            </w:r>
          </w:p>
        </w:tc>
      </w:tr>
      <w:tr>
        <w:trPr>
          <w:trHeight w:val="153"/>
        </w:trPr>
        <w:tc>
          <w:tcPr>
            <w:tcW w:w="522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Non-recurring</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36,331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28,042</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8,289</w:t>
            </w:r>
          </w:p>
        </w:tc>
        <w:tc>
          <w:tcPr>
            <w:tcW w:w="76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29.6%</w:t>
            </w:r>
          </w:p>
        </w:tc>
      </w:tr>
      <w:tr>
        <w:trPr>
          <w:trHeight w:val="14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revenues total</w:t>
            </w: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1,016,495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920,937</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95,558</w:t>
            </w:r>
          </w:p>
        </w:tc>
        <w:tc>
          <w:tcPr>
            <w:tcW w:w="7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10.4%</w:t>
            </w:r>
          </w:p>
        </w:tc>
      </w:tr>
      <w:tr>
        <w:trPr>
          <w:trHeight w:val="153"/>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expenses</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250,749</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2"/>
                <w:szCs w:val="12"/>
                <w:color w:val="auto"/>
              </w:rPr>
              <w:t>(747)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62"/>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6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766,493</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670,188</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96,305</w:t>
            </w:r>
          </w:p>
        </w:tc>
        <w:tc>
          <w:tcPr>
            <w:tcW w:w="760" w:type="dxa"/>
            <w:vAlign w:val="bottom"/>
            <w:tcBorders>
              <w:top w:val="single" w:sz="8" w:color="CFF0FC"/>
              <w:bottom w:val="single" w:sz="8" w:color="CFF0FC"/>
            </w:tcBorders>
            <w:shd w:val="clear" w:color="auto" w:fill="CFF0FC"/>
          </w:tcPr>
          <w:p>
            <w:pPr>
              <w:spacing w:after="0"/>
              <w:rPr>
                <w:sz w:val="14"/>
                <w:szCs w:val="14"/>
                <w:color w:val="auto"/>
              </w:rPr>
            </w:pPr>
          </w:p>
        </w:tc>
        <w:tc>
          <w:tcPr>
            <w:tcW w:w="6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14.4%</w:t>
            </w: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margin %</w:t>
            </w: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75.4%</w:t>
            </w: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72.8%</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bl>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Revenues related to Index products increased 10.4% to $1,016.5 million for the year ended December 31, 2020 compared to $920.9 million for the year ended December 31, 2019.</w:t>
      </w:r>
    </w:p>
    <w:p>
      <w:pPr>
        <w:spacing w:after="0" w:line="150" w:lineRule="exact"/>
        <w:rPr>
          <w:sz w:val="20"/>
          <w:szCs w:val="20"/>
          <w:color w:val="auto"/>
        </w:rPr>
      </w:pPr>
    </w:p>
    <w:p>
      <w:pPr>
        <w:ind w:right="320" w:firstLine="592"/>
        <w:spacing w:after="0" w:line="265" w:lineRule="auto"/>
        <w:rPr>
          <w:sz w:val="20"/>
          <w:szCs w:val="20"/>
          <w:color w:val="auto"/>
        </w:rPr>
      </w:pPr>
      <w:r>
        <w:rPr>
          <w:rFonts w:ascii="Times New Roman" w:cs="Times New Roman" w:eastAsia="Times New Roman" w:hAnsi="Times New Roman"/>
          <w:sz w:val="12"/>
          <w:szCs w:val="12"/>
          <w:color w:val="auto"/>
        </w:rPr>
        <w:t>Revenues from recurring subscriptions were up 9.3% to $580.4 million for the year ended December 31, 2020 compared to $531.0 million for the year ended December 31, 2019. The increase was primarily driven by growth in market cap-weighted index products, strong growth in factor, ESG and climate and in custom index products. The impact of foreign currency exchange rate fluctuations on revenues from recurring subscriptions was negligible.</w:t>
      </w:r>
    </w:p>
    <w:p>
      <w:pPr>
        <w:spacing w:after="0" w:line="119" w:lineRule="exact"/>
        <w:rPr>
          <w:sz w:val="20"/>
          <w:szCs w:val="20"/>
          <w:color w:val="auto"/>
        </w:rPr>
      </w:pPr>
    </w:p>
    <w:p>
      <w:pPr>
        <w:ind w:firstLine="592"/>
        <w:spacing w:after="0" w:line="257" w:lineRule="auto"/>
        <w:rPr>
          <w:sz w:val="20"/>
          <w:szCs w:val="20"/>
          <w:color w:val="auto"/>
        </w:rPr>
      </w:pPr>
      <w:r>
        <w:rPr>
          <w:rFonts w:ascii="Times New Roman" w:cs="Times New Roman" w:eastAsia="Times New Roman" w:hAnsi="Times New Roman"/>
          <w:sz w:val="12"/>
          <w:szCs w:val="12"/>
          <w:color w:val="auto"/>
        </w:rPr>
        <w:t>Revenues from asset-based fees increased 10.5% to $399.8 million for the year ended December 31, 2020 compared to $361.9 million for the year ended December 31, 2019. The increase in asset-based fees was driven by growth in revenues from all of our indexed investment product categories, including an increase in revenues from exchange traded futures and options contracts linked to MSCI indexes that were primarily driven by price increases. The increase in revenues from asset-based fees was also driven by higher revenues from non-ETF indexed funds linked to MSCI indexes, which was driven by price increases and an increase in average AUM. Revenues from ETFs linked to MSCI indexes also increased, driven by an 8.9% increase in average AUM in equity ETFs linked to MSCI indexes, partially offset by a change in fee levels of certain products as well as change in product mix. The impact of foreign currency exchange rate fluctuations on revenues from asset-based fees was negligible.</w:t>
      </w:r>
    </w:p>
    <w:p>
      <w:pPr>
        <w:spacing w:after="0" w:line="125" w:lineRule="exact"/>
        <w:rPr>
          <w:sz w:val="20"/>
          <w:szCs w:val="20"/>
          <w:color w:val="auto"/>
        </w:rPr>
      </w:pPr>
    </w:p>
    <w:p>
      <w:pPr>
        <w:ind w:right="240" w:firstLine="592"/>
        <w:spacing w:after="0" w:line="265" w:lineRule="auto"/>
        <w:rPr>
          <w:sz w:val="20"/>
          <w:szCs w:val="20"/>
          <w:color w:val="auto"/>
        </w:rPr>
      </w:pPr>
      <w:r>
        <w:rPr>
          <w:rFonts w:ascii="Times New Roman" w:cs="Times New Roman" w:eastAsia="Times New Roman" w:hAnsi="Times New Roman"/>
          <w:sz w:val="12"/>
          <w:szCs w:val="12"/>
          <w:color w:val="auto"/>
        </w:rPr>
        <w:t>Index segment Adjusted EBITDA expenses decreased 0.3% to $250.0 million for the year ended December 31, 2020 compared to $250.7 million for the year ended December 31, 2019, reflecting lower expenses across selling and marketing expense activity category, partially offset by higher expenses across the G&amp;A, cost of revenues and R&amp;D expense activity categories. Adjusting for the impact of foreign currency exchange rate fluctuations, Adjusted EBITDA expenses would have increased 0.2% for the year ended December 31, 2020 compared to the year ended December 31, 2019.</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49" w:name="page50"/>
    <w:bookmarkEnd w:id="49"/>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Analytics Segment</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the results for the Analytics segment for the years indicated:</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90"/>
        </w:trPr>
        <w:tc>
          <w:tcPr>
            <w:tcW w:w="5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tcPr>
          <w:p>
            <w:pPr>
              <w:jc w:val="right"/>
              <w:ind w:right="46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860" w:type="dxa"/>
            <w:vAlign w:val="bottom"/>
          </w:tcPr>
          <w:p>
            <w:pPr>
              <w:jc w:val="center"/>
              <w:ind w:right="124"/>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15"/>
        </w:trPr>
        <w:tc>
          <w:tcPr>
            <w:tcW w:w="5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97"/>
        </w:trPr>
        <w:tc>
          <w:tcPr>
            <w:tcW w:w="5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right="42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Recurring subscriptions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506,301</w:t>
            </w:r>
          </w:p>
        </w:tc>
        <w:tc>
          <w:tcPr>
            <w:tcW w:w="22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486,282</w:t>
            </w:r>
          </w:p>
        </w:tc>
        <w:tc>
          <w:tcPr>
            <w:tcW w:w="22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20,019</w:t>
            </w:r>
          </w:p>
        </w:tc>
        <w:tc>
          <w:tcPr>
            <w:tcW w:w="7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w:t>
            </w: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Non-recurring</w:t>
            </w: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10,643</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2"/>
                <w:szCs w:val="12"/>
                <w:color w:val="auto"/>
              </w:rPr>
              <w:t>(3,136)</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w:t>
            </w: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Operating revenues total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513,808</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496,925</w:t>
            </w:r>
          </w:p>
        </w:tc>
        <w:tc>
          <w:tcPr>
            <w:tcW w:w="2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16,883</w:t>
            </w:r>
          </w:p>
        </w:tc>
        <w:tc>
          <w:tcPr>
            <w:tcW w:w="7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w:t>
            </w:r>
          </w:p>
        </w:tc>
      </w:tr>
      <w:tr>
        <w:trPr>
          <w:trHeight w:val="15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 expenses</w:t>
            </w: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340,884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344,812</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2"/>
                <w:szCs w:val="12"/>
                <w:color w:val="auto"/>
              </w:rPr>
              <w:t>(3,928)</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9"/>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172,924</w:t>
            </w:r>
          </w:p>
        </w:tc>
        <w:tc>
          <w:tcPr>
            <w:tcW w:w="22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152,113</w:t>
            </w:r>
          </w:p>
        </w:tc>
        <w:tc>
          <w:tcPr>
            <w:tcW w:w="220" w:type="dxa"/>
            <w:vAlign w:val="bottom"/>
            <w:tcBorders>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20,811</w:t>
            </w:r>
          </w:p>
        </w:tc>
        <w:tc>
          <w:tcPr>
            <w:tcW w:w="74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13.7%</w:t>
            </w:r>
          </w:p>
        </w:tc>
      </w:tr>
      <w:tr>
        <w:trPr>
          <w:trHeight w:val="15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 margin %</w:t>
            </w: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33.7%</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30.6%</w:t>
            </w:r>
          </w:p>
        </w:tc>
        <w:tc>
          <w:tcPr>
            <w:tcW w:w="3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bl>
    <w:p>
      <w:pPr>
        <w:spacing w:after="0" w:line="160" w:lineRule="exact"/>
        <w:rPr>
          <w:sz w:val="20"/>
          <w:szCs w:val="20"/>
          <w:color w:val="auto"/>
        </w:rPr>
      </w:pPr>
    </w:p>
    <w:p>
      <w:pPr>
        <w:jc w:val="both"/>
        <w:ind w:right="220" w:firstLine="592"/>
        <w:spacing w:after="0" w:line="265" w:lineRule="auto"/>
        <w:rPr>
          <w:sz w:val="20"/>
          <w:szCs w:val="20"/>
          <w:color w:val="auto"/>
        </w:rPr>
      </w:pPr>
      <w:r>
        <w:rPr>
          <w:rFonts w:ascii="Times New Roman" w:cs="Times New Roman" w:eastAsia="Times New Roman" w:hAnsi="Times New Roman"/>
          <w:sz w:val="12"/>
          <w:szCs w:val="12"/>
          <w:color w:val="auto"/>
        </w:rPr>
        <w:t>Analytics segment revenues increased 3.4% to $513.8 million for the year ended December 31, 2020 compared to $496.9 million for the year ended December 31, 2019, primarily driven by growth in Multi-Asset Class Analytics products. Adjusting for the impact of foreign currency exchange rate fluctuations, Analytics segment revenues would have increased 3.3% for the year ended December 31, 2020 compared to the year ended December 31, 2019.</w:t>
      </w:r>
    </w:p>
    <w:p>
      <w:pPr>
        <w:spacing w:after="0" w:line="119" w:lineRule="exact"/>
        <w:rPr>
          <w:sz w:val="20"/>
          <w:szCs w:val="20"/>
          <w:color w:val="auto"/>
        </w:rPr>
      </w:pPr>
    </w:p>
    <w:p>
      <w:pPr>
        <w:jc w:val="both"/>
        <w:ind w:right="360" w:firstLine="592"/>
        <w:spacing w:after="0" w:line="265" w:lineRule="auto"/>
        <w:rPr>
          <w:sz w:val="20"/>
          <w:szCs w:val="20"/>
          <w:color w:val="auto"/>
        </w:rPr>
      </w:pPr>
      <w:r>
        <w:rPr>
          <w:rFonts w:ascii="Times New Roman" w:cs="Times New Roman" w:eastAsia="Times New Roman" w:hAnsi="Times New Roman"/>
          <w:sz w:val="12"/>
          <w:szCs w:val="12"/>
          <w:color w:val="auto"/>
        </w:rPr>
        <w:t>Analytics segment Adjusted EBITDA expenses decreased 1.1% to $340.9 million for the year ended December 31, 2020 compared to $344.8 million for the year ended December 31, 2019, primarily driven by lower expenses across the cost of revenues and R&amp;D expense activity categories, partially offset by higher expenses across the selling and marketing and G&amp;A expense activity categories. Adjusting for the impact of foreign currency exchange rate fluctuations, Adjusted EBITDA expenses would have decreased 0.4% for the year ended December 31, 2020 compared to the year ended December 31, 2019.</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All Other Segment</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the results for the All Other segment, which consists of the ESG and Real Estate product lines, for the years indicated:</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8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0"/>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tcPr>
          <w:p>
            <w:pPr>
              <w:jc w:val="right"/>
              <w:ind w:right="48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840" w:type="dxa"/>
            <w:vAlign w:val="bottom"/>
          </w:tcPr>
          <w:p>
            <w:pPr>
              <w:jc w:val="center"/>
              <w:ind w:right="144"/>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5"/>
        </w:trPr>
        <w:tc>
          <w:tcPr>
            <w:tcW w:w="5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Increase/(Decrease)</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right="42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5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Recurring subscriptions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161,481</w:t>
            </w:r>
          </w:p>
        </w:tc>
        <w:tc>
          <w:tcPr>
            <w:tcW w:w="24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136,790</w:t>
            </w:r>
          </w:p>
        </w:tc>
        <w:tc>
          <w:tcPr>
            <w:tcW w:w="24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24,691</w:t>
            </w:r>
          </w:p>
        </w:tc>
        <w:tc>
          <w:tcPr>
            <w:tcW w:w="78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18.1%</w:t>
            </w:r>
          </w:p>
        </w:tc>
      </w:tr>
      <w:tr>
        <w:trPr>
          <w:trHeight w:val="153"/>
        </w:trPr>
        <w:tc>
          <w:tcPr>
            <w:tcW w:w="5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Non-recurring</w:t>
            </w: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3,606</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3,144</w:t>
            </w:r>
          </w:p>
        </w:tc>
        <w:tc>
          <w:tcPr>
            <w:tcW w:w="24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7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42"/>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Operating revenues total</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165,087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139,934</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25,153</w:t>
            </w:r>
          </w:p>
        </w:tc>
        <w:tc>
          <w:tcPr>
            <w:tcW w:w="7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18.0%</w:t>
            </w:r>
          </w:p>
        </w:tc>
      </w:tr>
      <w:tr>
        <w:trPr>
          <w:trHeight w:val="15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 expenses</w:t>
            </w: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132,994</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111,736</w:t>
            </w:r>
          </w:p>
        </w:tc>
        <w:tc>
          <w:tcPr>
            <w:tcW w:w="24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21,258</w:t>
            </w:r>
          </w:p>
        </w:tc>
        <w:tc>
          <w:tcPr>
            <w:tcW w:w="7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w:t>
            </w:r>
          </w:p>
        </w:tc>
      </w:tr>
      <w:tr>
        <w:trPr>
          <w:trHeight w:val="149"/>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32,093</w:t>
            </w: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28,198</w:t>
            </w:r>
          </w:p>
        </w:tc>
        <w:tc>
          <w:tcPr>
            <w:tcW w:w="2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3,895</w:t>
            </w:r>
          </w:p>
        </w:tc>
        <w:tc>
          <w:tcPr>
            <w:tcW w:w="78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13.8%</w:t>
            </w:r>
          </w:p>
        </w:tc>
      </w:tr>
      <w:tr>
        <w:trPr>
          <w:trHeight w:val="15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 margin %</w:t>
            </w: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19.4%</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20.2%</w:t>
            </w:r>
          </w:p>
        </w:tc>
        <w:tc>
          <w:tcPr>
            <w:tcW w:w="3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bl>
    <w:p>
      <w:pPr>
        <w:spacing w:after="0" w:line="151"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All Other segment revenues increased 18.0% to $165.1 million for the year ended December 31, 2020 compared to $139.9 million for the year ended December 31, 2019. The increase in All Other revenues was driven by a $20.7 million, or 22.8%, increase in ESG revenues to $111.4 million and by a $4.5 million, or 9.0%, increase in Real Estate revenues to $53.7 million. The increase in ESG revenues was driven by strong growth in the Ratings, Climate and Screening products. The increase in Real Estate revenues was driven by growth in Enterprise Analytics and Global Intel products. Adjusting for the impact of foreign currency exchange rate fluctuations, All Other operating revenues would have increased 17.7%, ESG revenues would have increased 22.3% and Real Estate revenues would have increased 9.2% for the year ended December 31, 2020 compared to the year ended December 31, 2019.</w:t>
      </w:r>
    </w:p>
    <w:p>
      <w:pPr>
        <w:spacing w:after="0" w:line="122" w:lineRule="exact"/>
        <w:rPr>
          <w:sz w:val="20"/>
          <w:szCs w:val="20"/>
          <w:color w:val="auto"/>
        </w:rPr>
      </w:pPr>
    </w:p>
    <w:p>
      <w:pPr>
        <w:ind w:right="320" w:firstLine="592"/>
        <w:spacing w:after="0" w:line="279" w:lineRule="auto"/>
        <w:rPr>
          <w:sz w:val="20"/>
          <w:szCs w:val="20"/>
          <w:color w:val="auto"/>
        </w:rPr>
      </w:pPr>
      <w:r>
        <w:rPr>
          <w:rFonts w:ascii="Times New Roman" w:cs="Times New Roman" w:eastAsia="Times New Roman" w:hAnsi="Times New Roman"/>
          <w:sz w:val="12"/>
          <w:szCs w:val="12"/>
          <w:color w:val="auto"/>
        </w:rPr>
        <w:t>All Other segment Adjusted EBITDA expenses increased 19.0% to $133.0 million for the year ended December 31, 2020 compared to $111.7 million for the year ended December 31, 2019, driven by higher expenses attributable mostly to ESG operations. Adjusting for the impact of foreign currency exchange rate fluctuations,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color w:val="auto"/>
        </w:rPr>
        <w:t>Adjusted EBITDA expenses would have increased 19.3% for the year ended December 31, 2020 compared to the year ended December 31, 2019.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Metrics</w:t>
      </w:r>
    </w:p>
    <w:p>
      <w:pPr>
        <w:spacing w:after="0" w:line="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Run Rate</w:t>
      </w:r>
    </w:p>
    <w:p>
      <w:pPr>
        <w:spacing w:after="0" w:line="80" w:lineRule="exact"/>
        <w:rPr>
          <w:sz w:val="20"/>
          <w:szCs w:val="20"/>
          <w:color w:val="auto"/>
        </w:rPr>
      </w:pPr>
    </w:p>
    <w:p>
      <w:pPr>
        <w:ind w:firstLine="592"/>
        <w:spacing w:after="0" w:line="255" w:lineRule="auto"/>
        <w:rPr>
          <w:sz w:val="20"/>
          <w:szCs w:val="20"/>
          <w:color w:val="auto"/>
        </w:rPr>
      </w:pPr>
      <w:r>
        <w:rPr>
          <w:rFonts w:ascii="Times New Roman" w:cs="Times New Roman" w:eastAsia="Times New Roman" w:hAnsi="Times New Roman"/>
          <w:sz w:val="12"/>
          <w:szCs w:val="12"/>
          <w:color w:val="auto"/>
        </w:rPr>
        <w:t>“Run Rate” estimates at a particular point in time the annualized value of the recurring revenues under our client license agreements (“Client Contracts”) for the next 12 months, assuming all Client Contracts that come up for renewal are renewed and assuming then-current currency exchange rates, subject to the adjustments and exclusions described below. For any Client Contract where fees are linked to an investment product’s assets or trading volume/fees, the Run Rate calculation reflects, for ETFs, the market value on the last trading day of the period, for futures and options, the most recent quarterly volumes and/or reported exchange fees, and for other non-ETF products, the most recent client-reported assets. Run Rate does not include fees associated with “one-time” and other non-recurring transactions. In addition, we add to Run Rate the annualized fee value of recurring new sales, whether to existing or new clients, when we execute Client Contracts, even though the license start date, and associated revenue recognition, may not be effective until a later date. We remove from Run Rate the annualized fee value associated with products or services under any Client Contract with respect to which we have received a notice of termination or non-renewal during the period and have determined that such notice evidences the client’s final decision to terminate or not renew the applicable products or services, even though such notice is not effective until a later date.</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Changes in our recurring revenues typically lag changes in Run Rate. The actual amount of recurring revenues we will realize over the following 12 months will differ from Run Rate for numerous reasons, including:</w:t>
      </w:r>
    </w:p>
    <w:p>
      <w:pPr>
        <w:spacing w:after="0" w:line="78" w:lineRule="exact"/>
        <w:rPr>
          <w:sz w:val="20"/>
          <w:szCs w:val="20"/>
          <w:color w:val="auto"/>
        </w:rPr>
      </w:pPr>
    </w:p>
    <w:p>
      <w:pPr>
        <w:ind w:left="1000" w:hanging="423"/>
        <w:spacing w:after="0"/>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revenues associated with new recurring sales;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modifications, cancellations and non-renewals of existing Client Contracts, subject to specified notice requirements;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differences between the recurring license start date and the date the Client Contract is executed due to, for example, contracts with onboarding periods or fee waiver periods;</w:t>
      </w:r>
    </w:p>
    <w:p>
      <w:pPr>
        <w:spacing w:after="0" w:line="78" w:lineRule="exact"/>
        <w:rPr>
          <w:rFonts w:ascii="Times New Roman" w:cs="Times New Roman" w:eastAsia="Times New Roman" w:hAnsi="Times New Roman"/>
          <w:sz w:val="12"/>
          <w:szCs w:val="12"/>
          <w:color w:val="auto"/>
        </w:rPr>
      </w:pPr>
    </w:p>
    <w:p>
      <w:pPr>
        <w:ind w:left="1000" w:right="100" w:hanging="423"/>
        <w:spacing w:after="0" w:line="279" w:lineRule="auto"/>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asset-based fees, which may result from changes in certain investment products’ total expense ratios, market movements, including foreign currency exchange rates, or from investment inflows into and outflows from investment products linked to our indexes;</w:t>
      </w:r>
    </w:p>
    <w:p>
      <w:pPr>
        <w:spacing w:after="0" w:line="39"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fees based on trading volumes of futures and options contracts linked to our indexes;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the number of hedge funds for which we provide investment information and risk analysis to hedge fund investors;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price changes or discounts;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recognition differences under U.S. GAAP, including those related to the timing of implementation and report deliveries for certain of our products and services;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foreign currency exchange rates; and</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acquisitions and divestitures.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2"/>
          <w:szCs w:val="12"/>
          <w:color w:val="auto"/>
        </w:rPr>
        <w:t>The following table presents Run Rates by reportable segment as of the dates indicated and the growth percentages over the years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w w:val="90"/>
              </w:rPr>
              <w:t>As of</w:t>
            </w:r>
          </w:p>
        </w:tc>
        <w:tc>
          <w:tcPr>
            <w:tcW w:w="98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0"/>
        </w:trPr>
        <w:tc>
          <w:tcPr>
            <w:tcW w:w="6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jc w:val="right"/>
              <w:ind w:right="343"/>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jc w:val="right"/>
              <w:ind w:right="322"/>
              <w:spacing w:after="0" w:line="90"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5"/>
        </w:trPr>
        <w:tc>
          <w:tcPr>
            <w:tcW w:w="6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46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Increase/(Decrease)</w:t>
            </w:r>
          </w:p>
        </w:tc>
      </w:tr>
      <w:tr>
        <w:trPr>
          <w:trHeight w:val="97"/>
        </w:trPr>
        <w:tc>
          <w:tcPr>
            <w:tcW w:w="66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720" w:type="dxa"/>
            <w:vAlign w:val="bottom"/>
            <w:tcBorders>
              <w:top w:val="single" w:sz="8" w:color="auto"/>
            </w:tcBorders>
            <w:gridSpan w:val="3"/>
          </w:tcPr>
          <w:p>
            <w:pPr>
              <w:jc w:val="right"/>
              <w:ind w:right="6"/>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980" w:type="dxa"/>
            <w:vAlign w:val="bottom"/>
            <w:tcBorders>
              <w:top w:val="single" w:sz="8" w:color="auto"/>
            </w:tcBorders>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Index:</w:t>
            </w: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6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Recurring subscriptions</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618,391</w:t>
            </w:r>
          </w:p>
        </w:tc>
        <w:tc>
          <w:tcPr>
            <w:tcW w:w="60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559,257</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10.6%</w:t>
            </w:r>
          </w:p>
        </w:tc>
      </w:tr>
      <w:tr>
        <w:trPr>
          <w:trHeight w:val="153"/>
        </w:trPr>
        <w:tc>
          <w:tcPr>
            <w:tcW w:w="6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Asset-based fees</w:t>
            </w:r>
          </w:p>
        </w:tc>
        <w:tc>
          <w:tcPr>
            <w:tcW w:w="2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464,108</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396,140</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17.2%</w:t>
            </w:r>
          </w:p>
        </w:tc>
      </w:tr>
      <w:tr>
        <w:trPr>
          <w:trHeight w:val="142"/>
        </w:trPr>
        <w:tc>
          <w:tcPr>
            <w:tcW w:w="6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Index total</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1,082,499</w:t>
            </w:r>
          </w:p>
        </w:tc>
        <w:tc>
          <w:tcPr>
            <w:tcW w:w="26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955,397</w:t>
            </w:r>
          </w:p>
        </w:tc>
        <w:tc>
          <w:tcPr>
            <w:tcW w:w="17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13.3%</w:t>
            </w:r>
          </w:p>
        </w:tc>
      </w:tr>
      <w:tr>
        <w:trPr>
          <w:trHeight w:val="14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Analytics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555,145</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526,845</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5.4%</w:t>
            </w:r>
          </w:p>
        </w:tc>
      </w:tr>
      <w:tr>
        <w:trPr>
          <w:trHeight w:val="153"/>
        </w:trPr>
        <w:tc>
          <w:tcPr>
            <w:tcW w:w="6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All Other</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194,816</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152,247</w:t>
            </w:r>
          </w:p>
        </w:tc>
        <w:tc>
          <w:tcPr>
            <w:tcW w:w="17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28.0%</w:t>
            </w:r>
          </w:p>
        </w:tc>
      </w:tr>
      <w:tr>
        <w:trPr>
          <w:trHeight w:val="149"/>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Run Rate</w:t>
            </w:r>
          </w:p>
        </w:tc>
        <w:tc>
          <w:tcPr>
            <w:tcW w:w="220" w:type="dxa"/>
            <w:vAlign w:val="bottom"/>
            <w:tcBorders>
              <w:bottom w:val="single" w:sz="8" w:color="auto"/>
            </w:tcBorders>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1,832,460</w:t>
            </w: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1,634,489</w:t>
            </w:r>
          </w:p>
        </w:tc>
        <w:tc>
          <w:tcPr>
            <w:tcW w:w="17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12.1%</w:t>
            </w:r>
          </w:p>
        </w:tc>
      </w:tr>
      <w:tr>
        <w:trPr>
          <w:trHeight w:val="153"/>
        </w:trPr>
        <w:tc>
          <w:tcPr>
            <w:tcW w:w="6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Recurring subscriptions total</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1,368,352</w:t>
            </w:r>
          </w:p>
        </w:tc>
        <w:tc>
          <w:tcPr>
            <w:tcW w:w="600" w:type="dxa"/>
            <w:vAlign w:val="bottom"/>
            <w:gridSpan w:val="2"/>
            <w:shd w:val="clear" w:color="auto" w:fill="CFF0FC"/>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1,238,349</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10.5%</w:t>
            </w:r>
          </w:p>
        </w:tc>
      </w:tr>
      <w:tr>
        <w:trPr>
          <w:trHeight w:val="153"/>
        </w:trPr>
        <w:tc>
          <w:tcPr>
            <w:tcW w:w="6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Asset-based fees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464,108</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396,140</w:t>
            </w:r>
          </w:p>
        </w:tc>
        <w:tc>
          <w:tcPr>
            <w:tcW w:w="17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17.2%</w:t>
            </w:r>
          </w:p>
        </w:tc>
      </w:tr>
      <w:tr>
        <w:trPr>
          <w:trHeight w:val="149"/>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Run Rate</w:t>
            </w:r>
          </w:p>
        </w:tc>
        <w:tc>
          <w:tcPr>
            <w:tcW w:w="220" w:type="dxa"/>
            <w:vAlign w:val="bottom"/>
            <w:tcBorders>
              <w:bottom w:val="single" w:sz="8" w:color="auto"/>
            </w:tcBorders>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1,832,460</w:t>
            </w: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1,634,489</w:t>
            </w:r>
          </w:p>
        </w:tc>
        <w:tc>
          <w:tcPr>
            <w:tcW w:w="17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12.1%</w:t>
            </w:r>
          </w:p>
        </w:tc>
      </w:tr>
    </w:tbl>
    <w:p>
      <w:pPr>
        <w:spacing w:after="0" w:line="151" w:lineRule="exact"/>
        <w:rPr>
          <w:sz w:val="20"/>
          <w:szCs w:val="20"/>
          <w:color w:val="auto"/>
        </w:rPr>
      </w:pPr>
    </w:p>
    <w:p>
      <w:pPr>
        <w:ind w:right="80" w:firstLine="592"/>
        <w:spacing w:after="0" w:line="265" w:lineRule="auto"/>
        <w:rPr>
          <w:sz w:val="20"/>
          <w:szCs w:val="20"/>
          <w:color w:val="auto"/>
        </w:rPr>
      </w:pPr>
      <w:r>
        <w:rPr>
          <w:rFonts w:ascii="Times New Roman" w:cs="Times New Roman" w:eastAsia="Times New Roman" w:hAnsi="Times New Roman"/>
          <w:sz w:val="12"/>
          <w:szCs w:val="12"/>
          <w:color w:val="auto"/>
        </w:rPr>
        <w:t>Total Run Rate grew 12.1% to $1,832.5 million as of December 31, 2020 compared to $1,634.5 million as of December 31, 2019. Recurring subscription Run Rate grew 10.5% to $1,368.4 million as of December 31, 2020 compared to $1,238.3 million as of December 31, 2019. Adjusting for the impact of foreign currency exchange rate fluctuations, recurring subscription Run Rate would have increased 9.4% as of December 31, 2020 compared to December 31, 2019.</w:t>
      </w:r>
    </w:p>
    <w:p>
      <w:pPr>
        <w:spacing w:after="0" w:line="119" w:lineRule="exact"/>
        <w:rPr>
          <w:sz w:val="20"/>
          <w:szCs w:val="20"/>
          <w:color w:val="auto"/>
        </w:rPr>
      </w:pPr>
    </w:p>
    <w:p>
      <w:pPr>
        <w:ind w:right="40" w:firstLine="592"/>
        <w:spacing w:after="0" w:line="260" w:lineRule="auto"/>
        <w:rPr>
          <w:sz w:val="20"/>
          <w:szCs w:val="20"/>
          <w:color w:val="auto"/>
        </w:rPr>
      </w:pPr>
      <w:r>
        <w:rPr>
          <w:rFonts w:ascii="Times New Roman" w:cs="Times New Roman" w:eastAsia="Times New Roman" w:hAnsi="Times New Roman"/>
          <w:sz w:val="12"/>
          <w:szCs w:val="12"/>
          <w:color w:val="auto"/>
        </w:rPr>
        <w:t>Run Rate from asset-based fees increased 17.2% to $464.1 million as of December 31, 2020, from $396.1 million as of December 31, 2019, driven by higher AUM in equity ETFs linked to MSCI indexes, higher prices in futures and options and higher prices in non-ETF indexed funds linked to MSCI indexes. Partially offsetting the impact of the increase in AUM in equity ETFs linked to MSCI indexes was a change in fee levels of certain products as well as change in product mix, which was the primary driver of a decline in average basis point fees to 2.67 at December 31, 2020 from 2.82 at December 31, 2019. As of December 31, 2020, the value of AUM in equity ETFs linked to MSCI indexes was $1,103.6 billion, up $169.2 billion, or 18.1%, from $934.4 billion as of December 31, 2019. The increase of $169.2 billion consisted of market appreciation of $93.6 billion and net inflows of $75.6 billion.</w:t>
      </w:r>
    </w:p>
    <w:p>
      <w:pPr>
        <w:spacing w:after="0" w:line="122" w:lineRule="exact"/>
        <w:rPr>
          <w:sz w:val="20"/>
          <w:szCs w:val="20"/>
          <w:color w:val="auto"/>
        </w:rPr>
      </w:pPr>
    </w:p>
    <w:p>
      <w:pPr>
        <w:ind w:right="420" w:firstLine="592"/>
        <w:spacing w:after="0" w:line="279" w:lineRule="auto"/>
        <w:rPr>
          <w:sz w:val="20"/>
          <w:szCs w:val="20"/>
          <w:color w:val="auto"/>
        </w:rPr>
      </w:pPr>
      <w:r>
        <w:rPr>
          <w:rFonts w:ascii="Times New Roman" w:cs="Times New Roman" w:eastAsia="Times New Roman" w:hAnsi="Times New Roman"/>
          <w:sz w:val="12"/>
          <w:szCs w:val="12"/>
          <w:color w:val="auto"/>
        </w:rPr>
        <w:t>Index recurring subscription Run Rate grew 10.6% to $618.4 million as of December 31, 2020 compared to $559.3 million as of December 31, 2019, primarily driven by strong growth in market cap-weighted index products, custom and specialized index products and factor and ESG and climate index products.</w:t>
      </w:r>
    </w:p>
    <w:p>
      <w:pPr>
        <w:spacing w:after="0" w:line="111" w:lineRule="exact"/>
        <w:rPr>
          <w:sz w:val="20"/>
          <w:szCs w:val="20"/>
          <w:color w:val="auto"/>
        </w:rPr>
      </w:pPr>
    </w:p>
    <w:p>
      <w:pPr>
        <w:ind w:right="440" w:firstLine="592"/>
        <w:spacing w:after="0" w:line="279" w:lineRule="auto"/>
        <w:rPr>
          <w:sz w:val="20"/>
          <w:szCs w:val="20"/>
          <w:color w:val="auto"/>
        </w:rPr>
      </w:pPr>
      <w:r>
        <w:rPr>
          <w:rFonts w:ascii="Times New Roman" w:cs="Times New Roman" w:eastAsia="Times New Roman" w:hAnsi="Times New Roman"/>
          <w:sz w:val="12"/>
          <w:szCs w:val="12"/>
          <w:color w:val="auto"/>
        </w:rPr>
        <w:t>Run Rate from Analytics products increased 5.4% to $555.1 million as of December 31, 2020 compared to $526.8 million as of December 31, 2019, driven by growth in both Multi-Asset Class and Equity Analytics products. Adjusting for the impact of foreign currency exchange rate fluctuations, Analytics Run Rate would have increased 4.0% as of December 31, 2020 compared to December 31, 2019.</w:t>
      </w:r>
    </w:p>
    <w:p>
      <w:pPr>
        <w:spacing w:after="0" w:line="111" w:lineRule="exact"/>
        <w:rPr>
          <w:sz w:val="20"/>
          <w:szCs w:val="20"/>
          <w:color w:val="auto"/>
        </w:rPr>
      </w:pPr>
    </w:p>
    <w:p>
      <w:pPr>
        <w:ind w:right="120" w:firstLine="592"/>
        <w:spacing w:after="0" w:line="260" w:lineRule="auto"/>
        <w:rPr>
          <w:sz w:val="20"/>
          <w:szCs w:val="20"/>
          <w:color w:val="auto"/>
        </w:rPr>
      </w:pPr>
      <w:r>
        <w:rPr>
          <w:rFonts w:ascii="Times New Roman" w:cs="Times New Roman" w:eastAsia="Times New Roman" w:hAnsi="Times New Roman"/>
          <w:sz w:val="12"/>
          <w:szCs w:val="12"/>
          <w:color w:val="auto"/>
        </w:rPr>
        <w:t>Run Rate from All Other products increased 28.0% to $194.8 million as of December 31, 2020 compared to $152.2 million as of December 31, 2019. The $42.6 million increase was primarily driven by a $36.9 million, or 36.4%, increase in ESG Run Rate to $138.3 million, and a $5.7 million, or 11.2%, increase in Real Estate Run Rate to $56.5 million. The increase in ESG Run Rate was primarily driven by strong growth in Ratings and Climate products. The increase in Real Estate Run Rate was driven by growth in both Enterprise Analytics and Global Intel products. Adjusting for the impact of foreign currency exchange rate fluctuations, All Other Run Rate would have increased 23.9%, ESG Run Rate would have increased 32.6% and Real Estate Run Rate would have increased 6.6% as of December 31, 2020 compared to December 31, 2019.</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Sales</w:t>
      </w:r>
    </w:p>
    <w:p>
      <w:pPr>
        <w:spacing w:after="0" w:line="80" w:lineRule="exact"/>
        <w:rPr>
          <w:sz w:val="20"/>
          <w:szCs w:val="20"/>
          <w:color w:val="auto"/>
        </w:rPr>
      </w:pPr>
    </w:p>
    <w:p>
      <w:pPr>
        <w:ind w:right="500" w:firstLine="592"/>
        <w:spacing w:after="0" w:line="279" w:lineRule="auto"/>
        <w:rPr>
          <w:sz w:val="20"/>
          <w:szCs w:val="20"/>
          <w:color w:val="auto"/>
        </w:rPr>
      </w:pPr>
      <w:r>
        <w:rPr>
          <w:rFonts w:ascii="Times New Roman" w:cs="Times New Roman" w:eastAsia="Times New Roman" w:hAnsi="Times New Roman"/>
          <w:sz w:val="12"/>
          <w:szCs w:val="12"/>
          <w:color w:val="auto"/>
        </w:rPr>
        <w:t>Sales represents the annualized value of products and services clients commit to purchase from MSCI and will result in additional operating revenues. Non-recurring sales represent the actual value of the customer agreements entered into during the period and are not a component of Run Rate. New recurring subscription sales represent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52" w:name="page53"/>
    <w:bookmarkEnd w:id="52"/>
    <w:p>
      <w:pPr>
        <w:ind w:right="340"/>
        <w:spacing w:after="0" w:line="265" w:lineRule="auto"/>
        <w:rPr>
          <w:sz w:val="20"/>
          <w:szCs w:val="20"/>
          <w:color w:val="auto"/>
        </w:rPr>
      </w:pPr>
      <w:r>
        <w:rPr>
          <w:rFonts w:ascii="Times New Roman" w:cs="Times New Roman" w:eastAsia="Times New Roman" w:hAnsi="Times New Roman"/>
          <w:sz w:val="12"/>
          <w:szCs w:val="12"/>
          <w:color w:val="auto"/>
        </w:rPr>
        <w:t>additional selling activities, such as new customer agreements, additions to existing agreements or increases in price that occurred during the period and are additions to Run Rate. Subscription cancellations reflect client activities during the period, such as discontinuing products and services and/or reductions in price, resulting in reductions to Run Rate. Net new recurring subscription sales represent the amount of new recurring subscription sales net of subscription cancellations during the period, which reflects the net impact to Run Rate during the period.</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Total gross sales represent the sum of new recurring subscription sales and non-recurring sales. Total net sales represent the total gross sales net of the impact from subscription cancellations.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our recurring subscription sales, cancellations and non-recurring sales by reportable segment for the years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10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90"/>
        </w:trPr>
        <w:tc>
          <w:tcPr>
            <w:tcW w:w="3780" w:type="dxa"/>
            <w:vAlign w:val="bottom"/>
          </w:tcPr>
          <w:p>
            <w:pPr>
              <w:spacing w:after="0"/>
              <w:rPr>
                <w:sz w:val="7"/>
                <w:szCs w:val="7"/>
                <w:color w:val="auto"/>
              </w:rPr>
            </w:pPr>
          </w:p>
        </w:tc>
        <w:tc>
          <w:tcPr>
            <w:tcW w:w="2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2"/>
          </w:tcPr>
          <w:p>
            <w:pPr>
              <w:jc w:val="right"/>
              <w:ind w:right="66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20" w:type="dxa"/>
            <w:vAlign w:val="bottom"/>
          </w:tcPr>
          <w:p>
            <w:pPr>
              <w:spacing w:after="0"/>
              <w:rPr>
                <w:sz w:val="7"/>
                <w:szCs w:val="7"/>
                <w:color w:val="auto"/>
              </w:rPr>
            </w:pPr>
          </w:p>
        </w:tc>
        <w:tc>
          <w:tcPr>
            <w:tcW w:w="1000" w:type="dxa"/>
            <w:vAlign w:val="bottom"/>
          </w:tcPr>
          <w:p>
            <w:pPr>
              <w:jc w:val="right"/>
              <w:ind w:right="321"/>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15"/>
        </w:trPr>
        <w:tc>
          <w:tcPr>
            <w:tcW w:w="37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2019</w:t>
            </w:r>
          </w:p>
        </w:tc>
        <w:tc>
          <w:tcPr>
            <w:tcW w:w="280" w:type="dxa"/>
            <w:vAlign w:val="bottom"/>
          </w:tcPr>
          <w:p>
            <w:pPr>
              <w:spacing w:after="0"/>
              <w:rPr>
                <w:sz w:val="10"/>
                <w:szCs w:val="10"/>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Increase/(Decrease)</w:t>
            </w:r>
          </w:p>
        </w:tc>
      </w:tr>
      <w:tr>
        <w:trPr>
          <w:trHeight w:val="97"/>
        </w:trPr>
        <w:tc>
          <w:tcPr>
            <w:tcW w:w="37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80" w:type="dxa"/>
            <w:vAlign w:val="bottom"/>
            <w:tcBorders>
              <w:top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10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5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New recurring subscription sales</w:t>
            </w:r>
          </w:p>
        </w:tc>
        <w:tc>
          <w:tcPr>
            <w:tcW w:w="2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r>
      <w:tr>
        <w:trPr>
          <w:trHeight w:val="153"/>
        </w:trPr>
        <w:tc>
          <w:tcPr>
            <w:tcW w:w="3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Index</w:t>
            </w:r>
          </w:p>
        </w:tc>
        <w:tc>
          <w:tcPr>
            <w:tcW w:w="310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85,411</w:t>
            </w:r>
          </w:p>
        </w:tc>
        <w:tc>
          <w:tcPr>
            <w:tcW w:w="26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78,325</w:t>
            </w:r>
          </w:p>
        </w:tc>
        <w:tc>
          <w:tcPr>
            <w:tcW w:w="280" w:type="dxa"/>
            <w:vAlign w:val="bottom"/>
          </w:tcPr>
          <w:p>
            <w:pPr>
              <w:spacing w:after="0"/>
              <w:rPr>
                <w:sz w:val="13"/>
                <w:szCs w:val="13"/>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9.0%</w:t>
            </w:r>
          </w:p>
        </w:tc>
      </w:tr>
      <w:tr>
        <w:trPr>
          <w:trHeight w:val="153"/>
        </w:trPr>
        <w:tc>
          <w:tcPr>
            <w:tcW w:w="3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Analytics</w:t>
            </w:r>
          </w:p>
        </w:tc>
        <w:tc>
          <w:tcPr>
            <w:tcW w:w="2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61,538</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66,992</w:t>
            </w:r>
          </w:p>
        </w:tc>
        <w:tc>
          <w:tcPr>
            <w:tcW w:w="2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(8.1%)</w:t>
            </w:r>
          </w:p>
        </w:tc>
      </w:tr>
      <w:tr>
        <w:trPr>
          <w:trHeight w:val="153"/>
        </w:trPr>
        <w:tc>
          <w:tcPr>
            <w:tcW w:w="378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All Other</w:t>
            </w:r>
          </w:p>
        </w:tc>
        <w:tc>
          <w:tcPr>
            <w:tcW w:w="28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46,907</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32,552</w:t>
            </w:r>
          </w:p>
        </w:tc>
        <w:tc>
          <w:tcPr>
            <w:tcW w:w="28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44.1%</w:t>
            </w:r>
          </w:p>
        </w:tc>
      </w:tr>
      <w:tr>
        <w:trPr>
          <w:trHeight w:val="142"/>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New recurring subscription sales total</w:t>
            </w:r>
          </w:p>
        </w:tc>
        <w:tc>
          <w:tcPr>
            <w:tcW w:w="288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193,856</w:t>
            </w:r>
          </w:p>
        </w:tc>
        <w:tc>
          <w:tcPr>
            <w:tcW w:w="26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177,869</w:t>
            </w:r>
          </w:p>
        </w:tc>
        <w:tc>
          <w:tcPr>
            <w:tcW w:w="2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9.0%</w:t>
            </w:r>
          </w:p>
        </w:tc>
      </w:tr>
      <w:tr>
        <w:trPr>
          <w:trHeight w:val="142"/>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Subscription cancellations</w:t>
            </w: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3"/>
        </w:trPr>
        <w:tc>
          <w:tcPr>
            <w:tcW w:w="3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Index</w:t>
            </w:r>
          </w:p>
        </w:tc>
        <w:tc>
          <w:tcPr>
            <w:tcW w:w="2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(27,398)</w:t>
            </w:r>
          </w:p>
        </w:tc>
        <w:tc>
          <w:tcPr>
            <w:tcW w:w="3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(21,767)</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25.9%</w:t>
            </w:r>
          </w:p>
        </w:tc>
      </w:tr>
      <w:tr>
        <w:trPr>
          <w:trHeight w:val="153"/>
        </w:trPr>
        <w:tc>
          <w:tcPr>
            <w:tcW w:w="3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Analytics</w:t>
            </w: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(40,003)</w:t>
            </w:r>
          </w:p>
        </w:tc>
        <w:tc>
          <w:tcPr>
            <w:tcW w:w="3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(31,623)</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26.5%</w:t>
            </w:r>
          </w:p>
        </w:tc>
      </w:tr>
      <w:tr>
        <w:trPr>
          <w:trHeight w:val="153"/>
        </w:trPr>
        <w:tc>
          <w:tcPr>
            <w:tcW w:w="3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All Other</w:t>
            </w:r>
          </w:p>
        </w:tc>
        <w:tc>
          <w:tcPr>
            <w:tcW w:w="2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(8,380)</w:t>
            </w:r>
          </w:p>
        </w:tc>
        <w:tc>
          <w:tcPr>
            <w:tcW w:w="3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(6,468)</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29.6%</w:t>
            </w:r>
          </w:p>
        </w:tc>
      </w:tr>
      <w:tr>
        <w:trPr>
          <w:trHeight w:val="142"/>
        </w:trPr>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Subscription cancellations total</w:t>
            </w:r>
          </w:p>
        </w:tc>
        <w:tc>
          <w:tcPr>
            <w:tcW w:w="288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(75,781)</w:t>
            </w:r>
          </w:p>
        </w:tc>
        <w:tc>
          <w:tcPr>
            <w:tcW w:w="26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(59,858)</w:t>
            </w:r>
          </w:p>
        </w:tc>
        <w:tc>
          <w:tcPr>
            <w:tcW w:w="280" w:type="dxa"/>
            <w:vAlign w:val="bottom"/>
            <w:tcBorders>
              <w:bottom w:val="single" w:sz="8" w:color="CFF0FC"/>
            </w:tcBorders>
          </w:tcPr>
          <w:p>
            <w:pPr>
              <w:spacing w:after="0"/>
              <w:rPr>
                <w:sz w:val="12"/>
                <w:szCs w:val="12"/>
                <w:color w:val="auto"/>
              </w:rPr>
            </w:pPr>
          </w:p>
        </w:tc>
        <w:tc>
          <w:tcPr>
            <w:tcW w:w="146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26.6%</w:t>
            </w:r>
          </w:p>
        </w:tc>
      </w:tr>
      <w:tr>
        <w:trPr>
          <w:trHeight w:val="142"/>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new recurring subscription sales</w:t>
            </w:r>
          </w:p>
        </w:tc>
        <w:tc>
          <w:tcPr>
            <w:tcW w:w="2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53"/>
        </w:trPr>
        <w:tc>
          <w:tcPr>
            <w:tcW w:w="3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Index</w:t>
            </w: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58,013</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56,558</w:t>
            </w:r>
          </w:p>
        </w:tc>
        <w:tc>
          <w:tcPr>
            <w:tcW w:w="280" w:type="dxa"/>
            <w:vAlign w:val="bottom"/>
          </w:tcPr>
          <w:p>
            <w:pPr>
              <w:spacing w:after="0"/>
              <w:rPr>
                <w:sz w:val="13"/>
                <w:szCs w:val="13"/>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r>
      <w:tr>
        <w:trPr>
          <w:trHeight w:val="153"/>
        </w:trPr>
        <w:tc>
          <w:tcPr>
            <w:tcW w:w="3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Analytics</w:t>
            </w:r>
          </w:p>
        </w:tc>
        <w:tc>
          <w:tcPr>
            <w:tcW w:w="2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21,535</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35,369</w:t>
            </w:r>
          </w:p>
        </w:tc>
        <w:tc>
          <w:tcPr>
            <w:tcW w:w="2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(39.1%)</w:t>
            </w:r>
          </w:p>
        </w:tc>
      </w:tr>
      <w:tr>
        <w:trPr>
          <w:trHeight w:val="153"/>
        </w:trPr>
        <w:tc>
          <w:tcPr>
            <w:tcW w:w="378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All Other</w:t>
            </w:r>
          </w:p>
        </w:tc>
        <w:tc>
          <w:tcPr>
            <w:tcW w:w="28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38,527</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26,084</w:t>
            </w:r>
          </w:p>
        </w:tc>
        <w:tc>
          <w:tcPr>
            <w:tcW w:w="28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47.7%</w:t>
            </w:r>
          </w:p>
        </w:tc>
      </w:tr>
      <w:tr>
        <w:trPr>
          <w:trHeight w:val="142"/>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new recurring subscription sales total</w:t>
            </w:r>
          </w:p>
        </w:tc>
        <w:tc>
          <w:tcPr>
            <w:tcW w:w="288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118,075</w:t>
            </w:r>
          </w:p>
        </w:tc>
        <w:tc>
          <w:tcPr>
            <w:tcW w:w="26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118,011</w:t>
            </w:r>
          </w:p>
        </w:tc>
        <w:tc>
          <w:tcPr>
            <w:tcW w:w="2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Non-recurring sales</w:t>
            </w: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3"/>
        </w:trPr>
        <w:tc>
          <w:tcPr>
            <w:tcW w:w="3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Index</w:t>
            </w:r>
          </w:p>
        </w:tc>
        <w:tc>
          <w:tcPr>
            <w:tcW w:w="2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41,463</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30,262</w:t>
            </w:r>
          </w:p>
        </w:tc>
        <w:tc>
          <w:tcPr>
            <w:tcW w:w="2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37.0%</w:t>
            </w:r>
          </w:p>
        </w:tc>
      </w:tr>
      <w:tr>
        <w:trPr>
          <w:trHeight w:val="153"/>
        </w:trPr>
        <w:tc>
          <w:tcPr>
            <w:tcW w:w="3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Analytics</w:t>
            </w: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10,996</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15,947</w:t>
            </w:r>
          </w:p>
        </w:tc>
        <w:tc>
          <w:tcPr>
            <w:tcW w:w="28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(31.0%)</w:t>
            </w:r>
          </w:p>
        </w:tc>
      </w:tr>
      <w:tr>
        <w:trPr>
          <w:trHeight w:val="153"/>
        </w:trPr>
        <w:tc>
          <w:tcPr>
            <w:tcW w:w="3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All Other</w:t>
            </w:r>
          </w:p>
        </w:tc>
        <w:tc>
          <w:tcPr>
            <w:tcW w:w="28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2,576</w:t>
            </w:r>
          </w:p>
        </w:tc>
        <w:tc>
          <w:tcPr>
            <w:tcW w:w="26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2,890</w:t>
            </w:r>
          </w:p>
        </w:tc>
        <w:tc>
          <w:tcPr>
            <w:tcW w:w="2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(10.9%)</w:t>
            </w:r>
          </w:p>
        </w:tc>
      </w:tr>
      <w:tr>
        <w:trPr>
          <w:trHeight w:val="142"/>
        </w:trPr>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Non-recurring sales total</w:t>
            </w:r>
          </w:p>
        </w:tc>
        <w:tc>
          <w:tcPr>
            <w:tcW w:w="28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55,035</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49,099</w:t>
            </w:r>
          </w:p>
        </w:tc>
        <w:tc>
          <w:tcPr>
            <w:tcW w:w="280" w:type="dxa"/>
            <w:vAlign w:val="bottom"/>
            <w:tcBorders>
              <w:bottom w:val="single" w:sz="8" w:color="CFF0FC"/>
            </w:tcBorders>
          </w:tcPr>
          <w:p>
            <w:pPr>
              <w:spacing w:after="0"/>
              <w:rPr>
                <w:sz w:val="12"/>
                <w:szCs w:val="12"/>
                <w:color w:val="auto"/>
              </w:rPr>
            </w:pPr>
          </w:p>
        </w:tc>
        <w:tc>
          <w:tcPr>
            <w:tcW w:w="146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12.1%</w:t>
            </w:r>
          </w:p>
        </w:tc>
      </w:tr>
      <w:tr>
        <w:trPr>
          <w:trHeight w:val="142"/>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Gross sales</w:t>
            </w:r>
          </w:p>
        </w:tc>
        <w:tc>
          <w:tcPr>
            <w:tcW w:w="2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53"/>
        </w:trPr>
        <w:tc>
          <w:tcPr>
            <w:tcW w:w="3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Index</w:t>
            </w:r>
          </w:p>
        </w:tc>
        <w:tc>
          <w:tcPr>
            <w:tcW w:w="310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126,874</w:t>
            </w:r>
          </w:p>
        </w:tc>
        <w:tc>
          <w:tcPr>
            <w:tcW w:w="26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108,587</w:t>
            </w:r>
          </w:p>
        </w:tc>
        <w:tc>
          <w:tcPr>
            <w:tcW w:w="280" w:type="dxa"/>
            <w:vAlign w:val="bottom"/>
          </w:tcPr>
          <w:p>
            <w:pPr>
              <w:spacing w:after="0"/>
              <w:rPr>
                <w:sz w:val="13"/>
                <w:szCs w:val="13"/>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16.8%</w:t>
            </w:r>
          </w:p>
        </w:tc>
      </w:tr>
      <w:tr>
        <w:trPr>
          <w:trHeight w:val="153"/>
        </w:trPr>
        <w:tc>
          <w:tcPr>
            <w:tcW w:w="3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Analytics</w:t>
            </w:r>
          </w:p>
        </w:tc>
        <w:tc>
          <w:tcPr>
            <w:tcW w:w="2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72,534</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82,939</w:t>
            </w:r>
          </w:p>
        </w:tc>
        <w:tc>
          <w:tcPr>
            <w:tcW w:w="2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(12.5%)</w:t>
            </w:r>
          </w:p>
        </w:tc>
      </w:tr>
      <w:tr>
        <w:trPr>
          <w:trHeight w:val="153"/>
        </w:trPr>
        <w:tc>
          <w:tcPr>
            <w:tcW w:w="378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All Other</w:t>
            </w:r>
          </w:p>
        </w:tc>
        <w:tc>
          <w:tcPr>
            <w:tcW w:w="28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49,483</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35,442</w:t>
            </w:r>
          </w:p>
        </w:tc>
        <w:tc>
          <w:tcPr>
            <w:tcW w:w="28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39.6%</w:t>
            </w:r>
          </w:p>
        </w:tc>
      </w:tr>
      <w:tr>
        <w:trPr>
          <w:trHeight w:val="162"/>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gross sales</w:t>
            </w:r>
          </w:p>
        </w:tc>
        <w:tc>
          <w:tcPr>
            <w:tcW w:w="28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248,891</w:t>
            </w: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226,968</w:t>
            </w:r>
          </w:p>
        </w:tc>
        <w:tc>
          <w:tcPr>
            <w:tcW w:w="28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9.7%</w:t>
            </w:r>
          </w:p>
        </w:tc>
      </w:tr>
      <w:tr>
        <w:trPr>
          <w:trHeight w:val="140"/>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Net sales</w:t>
            </w: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3"/>
        </w:trPr>
        <w:tc>
          <w:tcPr>
            <w:tcW w:w="3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Index</w:t>
            </w:r>
          </w:p>
        </w:tc>
        <w:tc>
          <w:tcPr>
            <w:tcW w:w="31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99,476</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86,820</w:t>
            </w:r>
          </w:p>
        </w:tc>
        <w:tc>
          <w:tcPr>
            <w:tcW w:w="2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14.6%</w:t>
            </w:r>
          </w:p>
        </w:tc>
      </w:tr>
      <w:tr>
        <w:trPr>
          <w:trHeight w:val="153"/>
        </w:trPr>
        <w:tc>
          <w:tcPr>
            <w:tcW w:w="3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Analytics</w:t>
            </w: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32,531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51,316</w:t>
            </w:r>
          </w:p>
        </w:tc>
        <w:tc>
          <w:tcPr>
            <w:tcW w:w="28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(36.6%)</w:t>
            </w:r>
          </w:p>
        </w:tc>
      </w:tr>
      <w:tr>
        <w:trPr>
          <w:trHeight w:val="153"/>
        </w:trPr>
        <w:tc>
          <w:tcPr>
            <w:tcW w:w="3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All Other</w:t>
            </w:r>
          </w:p>
        </w:tc>
        <w:tc>
          <w:tcPr>
            <w:tcW w:w="28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41,103</w:t>
            </w:r>
          </w:p>
        </w:tc>
        <w:tc>
          <w:tcPr>
            <w:tcW w:w="26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28,974</w:t>
            </w:r>
          </w:p>
        </w:tc>
        <w:tc>
          <w:tcPr>
            <w:tcW w:w="2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41.9%</w:t>
            </w:r>
          </w:p>
        </w:tc>
      </w:tr>
      <w:tr>
        <w:trPr>
          <w:trHeight w:val="149"/>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Total net sales</w:t>
            </w:r>
          </w:p>
        </w:tc>
        <w:tc>
          <w:tcPr>
            <w:tcW w:w="288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173,110</w:t>
            </w:r>
          </w:p>
        </w:tc>
        <w:tc>
          <w:tcPr>
            <w:tcW w:w="26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167,110</w:t>
            </w:r>
          </w:p>
        </w:tc>
        <w:tc>
          <w:tcPr>
            <w:tcW w:w="280" w:type="dxa"/>
            <w:vAlign w:val="bottom"/>
          </w:tcPr>
          <w:p>
            <w:pPr>
              <w:spacing w:after="0"/>
              <w:rPr>
                <w:sz w:val="12"/>
                <w:szCs w:val="12"/>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w:t>
            </w:r>
          </w:p>
        </w:tc>
      </w:tr>
      <w:tr>
        <w:trPr>
          <w:trHeight w:val="288"/>
        </w:trPr>
        <w:tc>
          <w:tcPr>
            <w:tcW w:w="3780" w:type="dxa"/>
            <w:vAlign w:val="bottom"/>
          </w:tcPr>
          <w:p>
            <w:pPr>
              <w:spacing w:after="0"/>
              <w:rPr>
                <w:sz w:val="24"/>
                <w:szCs w:val="24"/>
                <w:color w:val="auto"/>
              </w:rPr>
            </w:pPr>
          </w:p>
        </w:tc>
        <w:tc>
          <w:tcPr>
            <w:tcW w:w="2880" w:type="dxa"/>
            <w:vAlign w:val="bottom"/>
          </w:tcPr>
          <w:p>
            <w:pPr>
              <w:jc w:val="right"/>
              <w:ind w:right="900"/>
              <w:spacing w:after="0"/>
              <w:rPr>
                <w:sz w:val="20"/>
                <w:szCs w:val="20"/>
                <w:color w:val="auto"/>
              </w:rPr>
            </w:pPr>
            <w:r>
              <w:rPr>
                <w:rFonts w:ascii="Times New Roman" w:cs="Times New Roman" w:eastAsia="Times New Roman" w:hAnsi="Times New Roman"/>
                <w:sz w:val="12"/>
                <w:szCs w:val="12"/>
                <w:color w:val="auto"/>
              </w:rPr>
              <w:t>51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2"/>
        </w:trPr>
        <w:tc>
          <w:tcPr>
            <w:tcW w:w="378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345" w:right="299" w:bottom="1440" w:gutter="0" w:footer="0" w:header="0"/>
        </w:sectPr>
      </w:pPr>
    </w:p>
    <w:bookmarkStart w:id="53" w:name="page54"/>
    <w:bookmarkEnd w:id="53"/>
    <w:p>
      <w:pPr>
        <w:ind w:left="280"/>
        <w:spacing w:after="0"/>
        <w:rPr>
          <w:sz w:val="20"/>
          <w:szCs w:val="20"/>
          <w:color w:val="auto"/>
        </w:rPr>
      </w:pPr>
      <w:r>
        <w:rPr>
          <w:rFonts w:ascii="Times New Roman" w:cs="Times New Roman" w:eastAsia="Times New Roman" w:hAnsi="Times New Roman"/>
          <w:sz w:val="12"/>
          <w:szCs w:val="12"/>
          <w:i w:val="1"/>
          <w:iCs w:val="1"/>
          <w:color w:val="auto"/>
        </w:rPr>
        <w:t>Retention Rate</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Another key metric is our “Retention Rate.” The following table presents our Retention Rate by reportable segment and product category for the periods indicated for the years ended December 31, 2020 and 2019:</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Index</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Analytics</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2"/>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2020</w:t>
            </w:r>
          </w:p>
        </w:tc>
        <w:tc>
          <w:tcPr>
            <w:tcW w:w="7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96.3%</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93.7%</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95.0%</w:t>
            </w:r>
          </w:p>
        </w:tc>
      </w:tr>
      <w:tr>
        <w:trPr>
          <w:trHeight w:val="153"/>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June 30,</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94.7%</w:t>
            </w:r>
          </w:p>
        </w:tc>
        <w:tc>
          <w:tcPr>
            <w:tcW w:w="7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92.0%</w:t>
            </w:r>
          </w:p>
        </w:tc>
        <w:tc>
          <w:tcPr>
            <w:tcW w:w="7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94.1%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93.5%</w:t>
            </w:r>
          </w:p>
        </w:tc>
      </w:tr>
      <w:tr>
        <w:trPr>
          <w:trHeight w:val="153"/>
        </w:trPr>
        <w:tc>
          <w:tcPr>
            <w:tcW w:w="5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 September 30,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95.0%</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93.8%</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94.5%</w:t>
            </w:r>
          </w:p>
        </w:tc>
      </w:tr>
      <w:tr>
        <w:trPr>
          <w:trHeight w:val="153"/>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December 31,</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94.4%</w:t>
            </w:r>
          </w:p>
        </w:tc>
        <w:tc>
          <w:tcPr>
            <w:tcW w:w="7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90.1%</w:t>
            </w:r>
          </w:p>
        </w:tc>
        <w:tc>
          <w:tcPr>
            <w:tcW w:w="7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94.2%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92.6%</w:t>
            </w:r>
          </w:p>
        </w:tc>
      </w:tr>
      <w:tr>
        <w:trPr>
          <w:trHeight w:val="153"/>
        </w:trPr>
        <w:tc>
          <w:tcPr>
            <w:tcW w:w="5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Year Ended December 31,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95.1%</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92.4%</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93.9%</w:t>
            </w:r>
          </w:p>
        </w:tc>
      </w:tr>
      <w:tr>
        <w:trPr>
          <w:trHeight w:val="15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2019</w:t>
            </w:r>
          </w:p>
        </w:tc>
        <w:tc>
          <w:tcPr>
            <w:tcW w:w="7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5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96.5%</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93.7%</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95.2%</w:t>
            </w:r>
          </w:p>
        </w:tc>
      </w:tr>
      <w:tr>
        <w:trPr>
          <w:trHeight w:val="153"/>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June 30,</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97.1%</w:t>
            </w:r>
          </w:p>
        </w:tc>
        <w:tc>
          <w:tcPr>
            <w:tcW w:w="7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94.2%</w:t>
            </w:r>
          </w:p>
        </w:tc>
        <w:tc>
          <w:tcPr>
            <w:tcW w:w="7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93.9%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95.5%</w:t>
            </w:r>
          </w:p>
        </w:tc>
      </w:tr>
      <w:tr>
        <w:trPr>
          <w:trHeight w:val="153"/>
        </w:trPr>
        <w:tc>
          <w:tcPr>
            <w:tcW w:w="5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 September 30,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96.0%</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93.6%</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95.0%</w:t>
            </w:r>
          </w:p>
        </w:tc>
      </w:tr>
      <w:tr>
        <w:trPr>
          <w:trHeight w:val="153"/>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December 31,</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93.0%</w:t>
            </w:r>
          </w:p>
        </w:tc>
        <w:tc>
          <w:tcPr>
            <w:tcW w:w="7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92.8%</w:t>
            </w:r>
          </w:p>
        </w:tc>
        <w:tc>
          <w:tcPr>
            <w:tcW w:w="7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92.7%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92.9%</w:t>
            </w:r>
          </w:p>
        </w:tc>
      </w:tr>
      <w:tr>
        <w:trPr>
          <w:trHeight w:val="155"/>
        </w:trPr>
        <w:tc>
          <w:tcPr>
            <w:tcW w:w="5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Year Ended December 31,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95.7%</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93.6%</w:t>
            </w:r>
          </w:p>
        </w:tc>
        <w:tc>
          <w:tcPr>
            <w:tcW w:w="7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94.7%</w:t>
            </w:r>
          </w:p>
        </w:tc>
      </w:tr>
    </w:tbl>
    <w:p>
      <w:pPr>
        <w:spacing w:after="0" w:line="149" w:lineRule="exact"/>
        <w:rPr>
          <w:sz w:val="20"/>
          <w:szCs w:val="20"/>
          <w:color w:val="auto"/>
        </w:rPr>
      </w:pPr>
    </w:p>
    <w:p>
      <w:pPr>
        <w:ind w:right="240" w:firstLine="592"/>
        <w:spacing w:after="0" w:line="279" w:lineRule="auto"/>
        <w:rPr>
          <w:sz w:val="20"/>
          <w:szCs w:val="20"/>
          <w:color w:val="auto"/>
        </w:rPr>
      </w:pPr>
      <w:r>
        <w:rPr>
          <w:rFonts w:ascii="Times New Roman" w:cs="Times New Roman" w:eastAsia="Times New Roman" w:hAnsi="Times New Roman"/>
          <w:sz w:val="12"/>
          <w:szCs w:val="12"/>
          <w:color w:val="auto"/>
        </w:rPr>
        <w:t>Retention Rate is an important metric because subscription cancellations decrease our Run Rate and ultimately our operating revenues over time. The annual Retention Rate represents the retained subscription Run Rate (subscription Run Rate at the beginning of the fiscal year less actual cancels during the year) as a percentage of the subscription Run Rate at the beginning of the fiscal year.</w:t>
      </w:r>
    </w:p>
    <w:p>
      <w:pPr>
        <w:spacing w:after="0" w:line="111" w:lineRule="exact"/>
        <w:rPr>
          <w:sz w:val="20"/>
          <w:szCs w:val="20"/>
          <w:color w:val="auto"/>
        </w:rPr>
      </w:pPr>
    </w:p>
    <w:p>
      <w:pPr>
        <w:ind w:right="20" w:firstLine="592"/>
        <w:spacing w:after="0" w:line="265" w:lineRule="auto"/>
        <w:rPr>
          <w:sz w:val="20"/>
          <w:szCs w:val="20"/>
          <w:color w:val="auto"/>
        </w:rPr>
      </w:pPr>
      <w:r>
        <w:rPr>
          <w:rFonts w:ascii="Times New Roman" w:cs="Times New Roman" w:eastAsia="Times New Roman" w:hAnsi="Times New Roman"/>
          <w:sz w:val="12"/>
          <w:szCs w:val="12"/>
          <w:color w:val="auto"/>
        </w:rPr>
        <w:t>The Retention Rate for a non-annual period is calculated by annualizing the cancellations for which we have received a notice of termination or for which we believe there is an intention not to renew during the non-annual period, and we believe that such notice or intention evidences the client’s final decision to terminate or not renew the applicable agreement, even though such notice is not effective until a later date. This annualized cancellation figure is then divided by the subscription Run Rate at the beginning of the fiscal year to calculate a cancellation rate. This cancellation rate is then subtracted from 100% to derive the annualized Retention Rate for the period.</w:t>
      </w:r>
    </w:p>
    <w:p>
      <w:pPr>
        <w:spacing w:after="0" w:line="119" w:lineRule="exact"/>
        <w:rPr>
          <w:sz w:val="20"/>
          <w:szCs w:val="20"/>
          <w:color w:val="auto"/>
        </w:rPr>
      </w:pPr>
    </w:p>
    <w:p>
      <w:pPr>
        <w:jc w:val="both"/>
        <w:ind w:firstLine="592"/>
        <w:spacing w:after="0" w:line="265" w:lineRule="auto"/>
        <w:rPr>
          <w:sz w:val="20"/>
          <w:szCs w:val="20"/>
          <w:color w:val="auto"/>
        </w:rPr>
      </w:pPr>
      <w:r>
        <w:rPr>
          <w:rFonts w:ascii="Times New Roman" w:cs="Times New Roman" w:eastAsia="Times New Roman" w:hAnsi="Times New Roman"/>
          <w:sz w:val="12"/>
          <w:szCs w:val="12"/>
          <w:color w:val="auto"/>
        </w:rPr>
        <w:t>For example, in the fourth quarter of 2020, we recorded cancellations of $23.0 million. To derive the Retention Rate for the fourth quarter, we annualized the actual cancellations during the quarter of $23.0 million to derive $92.1 million of annualized cancellations. This $92.1 million was then divided by the $1,238.3 million subscription Run Rate at the beginning of the year to derive a cancellation rate of 7.4%. The 7.4% was then subtracted from 100.0% to derive a Retention Rate of 92.6% for the fourth quarter.</w:t>
      </w:r>
    </w:p>
    <w:p>
      <w:pPr>
        <w:spacing w:after="0" w:line="119" w:lineRule="exact"/>
        <w:rPr>
          <w:sz w:val="20"/>
          <w:szCs w:val="20"/>
          <w:color w:val="auto"/>
        </w:rPr>
      </w:pPr>
    </w:p>
    <w:p>
      <w:pPr>
        <w:ind w:right="20" w:firstLine="592"/>
        <w:spacing w:after="0" w:line="256" w:lineRule="auto"/>
        <w:rPr>
          <w:sz w:val="20"/>
          <w:szCs w:val="20"/>
          <w:color w:val="auto"/>
        </w:rPr>
      </w:pPr>
      <w:r>
        <w:rPr>
          <w:rFonts w:ascii="Times New Roman" w:cs="Times New Roman" w:eastAsia="Times New Roman" w:hAnsi="Times New Roman"/>
          <w:sz w:val="12"/>
          <w:szCs w:val="12"/>
          <w:color w:val="auto"/>
        </w:rPr>
        <w:t>Retention Rate is computed by operating segment on a product/service-by-product/service basis. In general, if a client reduces the number of products or services to which it subscribes within a segment, or switches between products or services within a segment, we treat it as a cancellation for purposes of calculating our Retention Rate except in the case of a product or service switch that management considers to be a replacement product or service. In those replacement cases, only the net change to the client subscription, if a decrease, is reported as a cancel. In the Analytics and the ESG operating segments, substantially all product or service switches are treated as replacement products or services and netted in this manner, while in our Index and Real Estate operating segments, product or service switches that are treated as replacement products or services and receive netting treatment occur only in certain limited instances. In addition, we treat any reduction in fees resulting from a down-sale of the same product or service as a cancellation to the extent of the reduction. We do not calculate Retention Rate for that portion of our Run Rate attributable to assets in indexed investment products or futures and options contracts, in each case, linked to our indexes.</w:t>
      </w:r>
    </w:p>
    <w:p>
      <w:pPr>
        <w:spacing w:after="0" w:line="125" w:lineRule="exact"/>
        <w:rPr>
          <w:sz w:val="20"/>
          <w:szCs w:val="20"/>
          <w:color w:val="auto"/>
        </w:rPr>
      </w:pPr>
    </w:p>
    <w:p>
      <w:pPr>
        <w:ind w:right="100" w:firstLine="592"/>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2020, 30.4% of our cancellations occurred in the fourth quarter. In our product lines, Retention Rate is generally higher during the first three quarters and lower in the fourth quarter, as the fourth quarter is traditionally the largest renewal period in the year.</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31"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ind w:right="280" w:firstLine="592"/>
        <w:spacing w:after="0" w:line="260" w:lineRule="auto"/>
        <w:rPr>
          <w:sz w:val="20"/>
          <w:szCs w:val="20"/>
          <w:color w:val="auto"/>
        </w:rPr>
      </w:pPr>
      <w:r>
        <w:rPr>
          <w:rFonts w:ascii="Times New Roman" w:cs="Times New Roman" w:eastAsia="Times New Roman" w:hAnsi="Times New Roman"/>
          <w:sz w:val="12"/>
          <w:szCs w:val="12"/>
          <w:color w:val="auto"/>
        </w:rPr>
        <w:t>We require capital to fund ongoing operations, internal growth initiatives and acquisitions. Our primary sources of liquidity are cash flows generated from our operations, existing cash and cash equivalents and credit capacity under our existing credit facilities. In addition, we believe we have access to additional funding in the public and private markets. We intend to use these sources of liquidity to, among other things, service our existing and future debt obligations, fund our working capital requirements for capital expenditures, investments, acquisitions, dividend payments and repurchases of our common stock. In connection with our business strategy, we regularly evaluate acquisition and strategic partnership opportunities. We believe our liquidity, along with other financing alternatives, will provide the necessary capital to fund these transactions and achieve our planned growth.</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Senior Notes and Credit Agreement</w:t>
      </w:r>
    </w:p>
    <w:p>
      <w:pPr>
        <w:spacing w:after="0" w:line="80" w:lineRule="exact"/>
        <w:rPr>
          <w:sz w:val="20"/>
          <w:szCs w:val="20"/>
          <w:color w:val="auto"/>
        </w:rPr>
      </w:pPr>
    </w:p>
    <w:p>
      <w:pPr>
        <w:ind w:right="120" w:firstLine="592"/>
        <w:spacing w:after="0" w:line="279" w:lineRule="auto"/>
        <w:rPr>
          <w:sz w:val="20"/>
          <w:szCs w:val="20"/>
          <w:color w:val="auto"/>
        </w:rPr>
      </w:pPr>
      <w:r>
        <w:rPr>
          <w:rFonts w:ascii="Times New Roman" w:cs="Times New Roman" w:eastAsia="Times New Roman" w:hAnsi="Times New Roman"/>
          <w:sz w:val="12"/>
          <w:szCs w:val="12"/>
          <w:color w:val="auto"/>
        </w:rPr>
        <w:t>We have an aggregate of $3,400.0 million in senior unsecured notes (collectively, the “Senior Notes”) outstanding and a $400.0 million undrawn Revolving Credit Agreement with a syndicate of banks as of December 31, 2020. See Note 5, “Commitments and Contingencies,” of the Notes to Consolidated Financial Statements included herein for additional information on our Senior Notes and Revolving Credit Agreement.</w:t>
      </w:r>
    </w:p>
    <w:p>
      <w:pPr>
        <w:spacing w:after="0" w:line="111" w:lineRule="exact"/>
        <w:rPr>
          <w:sz w:val="20"/>
          <w:szCs w:val="20"/>
          <w:color w:val="auto"/>
        </w:rPr>
      </w:pPr>
    </w:p>
    <w:p>
      <w:pPr>
        <w:jc w:val="both"/>
        <w:ind w:right="60" w:firstLine="592"/>
        <w:spacing w:after="0" w:line="300" w:lineRule="auto"/>
        <w:rPr>
          <w:sz w:val="20"/>
          <w:szCs w:val="20"/>
          <w:color w:val="auto"/>
        </w:rPr>
      </w:pPr>
      <w:r>
        <w:rPr>
          <w:rFonts w:ascii="Times New Roman" w:cs="Times New Roman" w:eastAsia="Times New Roman" w:hAnsi="Times New Roman"/>
          <w:sz w:val="11"/>
          <w:szCs w:val="11"/>
          <w:color w:val="auto"/>
        </w:rPr>
        <w:t>The Senior Notes and the Revolving Credit Agreement are fully and unconditionally, and jointly and severally, guaranteed by our direct or indirect wholly-owned domestic subsidiaries that account for more than 5% of our and our subsidiaries’ consolidated assets, other than certain excluded subsidiaries (the “subsidiary guarantors”). Amounts due under the Revolving Credit Agreement are our and the subsidiary guarantors’ senior unsecured obligations and rank equally with the Senior Notes and any of our other unsecured, unsubordinated debt, senior to any of our subordinated debt and effectively subordinated to our secured debt to the extent of the assets securing such debt.</w:t>
      </w:r>
    </w:p>
    <w:p>
      <w:pPr>
        <w:spacing w:after="0" w:line="102" w:lineRule="exact"/>
        <w:rPr>
          <w:sz w:val="20"/>
          <w:szCs w:val="20"/>
          <w:color w:val="auto"/>
        </w:rPr>
      </w:pPr>
    </w:p>
    <w:p>
      <w:pPr>
        <w:ind w:firstLine="592"/>
        <w:spacing w:after="0" w:line="265" w:lineRule="auto"/>
        <w:rPr>
          <w:sz w:val="20"/>
          <w:szCs w:val="20"/>
          <w:color w:val="auto"/>
        </w:rPr>
      </w:pPr>
      <w:r>
        <w:rPr>
          <w:rFonts w:ascii="Times New Roman" w:cs="Times New Roman" w:eastAsia="Times New Roman" w:hAnsi="Times New Roman"/>
          <w:sz w:val="12"/>
          <w:szCs w:val="12"/>
          <w:color w:val="auto"/>
        </w:rPr>
        <w:t xml:space="preserve">The indentures governing our Senior Notes (the “Indentures”) among us, each of the subsidiary guarantors, and Wells Fargo Bank, National Association, as trustee, contain covenants that limit our and certain of our subsidiaries’ ability to, among other things, incur liens, enter into sale/leaseback transactions and consolidate, merge or sell all or substantially all of our assets. In addition, the Indentures restrict our non-guarantor subsidiaries’ ability to create, assume, incur or guarantee additional indebtedness without such non-guarantor subsidiaries guaranteeing the Senior Notes on a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basis.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Revolving Credit Agreement contains affirmative and restrictive covenants that, among other things, limit our ability and the ability of our existing or future subsidiaries to:</w:t>
      </w:r>
    </w:p>
    <w:p>
      <w:pPr>
        <w:spacing w:after="0" w:line="78" w:lineRule="exact"/>
        <w:rPr>
          <w:sz w:val="20"/>
          <w:szCs w:val="20"/>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liens and further negative pledges;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additional indebtedness or prepay, redeem or repurchase indebtedness;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loans or hold investments;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 dissolve, liquidate, consolidate with or into another person;</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acquisition transactions;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sale/leaseback transactions;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disqualified capital stock;</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dispose of assets;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dividends or make other distributions in respect of our capital stock or engage in stock repurchases, redemptions and other restricted payments;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new subsidiaries;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 certain restrictions affecting our subsidiaries;</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nature of our business, accounting policies or fiscal periods;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55" w:name="page56"/>
    <w:bookmarkEnd w:id="55"/>
    <w:p>
      <w:pPr>
        <w:ind w:left="1000" w:hanging="423"/>
        <w:spacing w:after="0"/>
        <w:tabs>
          <w:tab w:leader="none" w:pos="10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transactions with affiliates other than on an arm’s-length basis; and</w:t>
      </w:r>
    </w:p>
    <w:p>
      <w:pPr>
        <w:spacing w:after="0" w:line="78"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our organizational documents or amend, modify or change the terms of certain agreements relating to our indebtedness.</w:t>
      </w:r>
    </w:p>
    <w:p>
      <w:pPr>
        <w:spacing w:after="0" w:line="150" w:lineRule="exact"/>
        <w:rPr>
          <w:sz w:val="20"/>
          <w:szCs w:val="20"/>
          <w:color w:val="auto"/>
        </w:rPr>
      </w:pPr>
    </w:p>
    <w:p>
      <w:pPr>
        <w:ind w:right="360" w:firstLine="592"/>
        <w:spacing w:after="0" w:line="265" w:lineRule="auto"/>
        <w:rPr>
          <w:sz w:val="20"/>
          <w:szCs w:val="20"/>
          <w:color w:val="auto"/>
        </w:rPr>
      </w:pPr>
      <w:r>
        <w:rPr>
          <w:rFonts w:ascii="Times New Roman" w:cs="Times New Roman" w:eastAsia="Times New Roman" w:hAnsi="Times New Roman"/>
          <w:sz w:val="12"/>
          <w:szCs w:val="12"/>
          <w:color w:val="auto"/>
        </w:rPr>
        <w:t>The Revolving Credit Agreement and the Indentures also contain customary events of default, including those relating to non-payment, breach of representations, warranties or covenants, cross-default and cross-acceleration, bankruptcy and insolvency events, invalidity or impairment of loan documentation or collateral, change of control and customary ERISA defaults. None of the restrictions above are expected to impact our ability to effectively operate the business.</w:t>
      </w:r>
    </w:p>
    <w:p>
      <w:pPr>
        <w:spacing w:after="0" w:line="119" w:lineRule="exact"/>
        <w:rPr>
          <w:sz w:val="20"/>
          <w:szCs w:val="20"/>
          <w:color w:val="auto"/>
        </w:rPr>
      </w:pPr>
    </w:p>
    <w:p>
      <w:pPr>
        <w:ind w:right="40" w:firstLine="592"/>
        <w:spacing w:after="0" w:line="260" w:lineRule="auto"/>
        <w:rPr>
          <w:sz w:val="20"/>
          <w:szCs w:val="20"/>
          <w:color w:val="auto"/>
        </w:rPr>
      </w:pPr>
      <w:r>
        <w:rPr>
          <w:rFonts w:ascii="Times New Roman" w:cs="Times New Roman" w:eastAsia="Times New Roman" w:hAnsi="Times New Roman"/>
          <w:sz w:val="12"/>
          <w:szCs w:val="12"/>
          <w:color w:val="auto"/>
        </w:rPr>
        <w:t>The Revolving Credit Agreement also requires us and our subsidiaries to achieve financial and operating results sufficient to maintain compliance with the following financial ratios on a consolidated basis through the termination of the Revolving Credit Agreement: (1) the maximum Consolidated Leverage Ratio (as defined in the Revolving Credit Agreement) measured quarterly on a rolling four-quarter basis shall not exceed 4.25:1.00 and (2) the minimum Consolidated Interest Coverage Ratio (as defined in the Revolving Credit Agreement) measured quarterly on a rolling four-quarter basis shall be at least 4.00:1.00. As of December 31, 2020, our Consolidated Leverage Ratio was 3.21:1.00 and our Consolidated Interest Coverage Ratio was 6.29:1.00. As of December 31, 2020, there were no amounts drawn and outstanding under the Revolving Credit Agreement.</w:t>
      </w:r>
    </w:p>
    <w:p>
      <w:pPr>
        <w:spacing w:after="0" w:line="122" w:lineRule="exact"/>
        <w:rPr>
          <w:sz w:val="20"/>
          <w:szCs w:val="20"/>
          <w:color w:val="auto"/>
        </w:rPr>
      </w:pPr>
    </w:p>
    <w:p>
      <w:pPr>
        <w:ind w:right="120" w:firstLine="592"/>
        <w:spacing w:after="0" w:line="260" w:lineRule="auto"/>
        <w:rPr>
          <w:sz w:val="20"/>
          <w:szCs w:val="20"/>
          <w:color w:val="auto"/>
        </w:rPr>
      </w:pPr>
      <w:r>
        <w:rPr>
          <w:rFonts w:ascii="Times New Roman" w:cs="Times New Roman" w:eastAsia="Times New Roman" w:hAnsi="Times New Roman"/>
          <w:sz w:val="12"/>
          <w:szCs w:val="12"/>
          <w:color w:val="auto"/>
        </w:rPr>
        <w:t>Our non-guarantor subsidiaries under the Senior Notes consist of: (i) domestic subsidiaries of the Company that account for 5% or less of consolidated assets of the Company and its subsidiaries and (ii) any foreign or domestic subsidiary of the Company that is deemed to be a controlled foreign corporation within the meaning of Section 957 of the Internal Revenue Code of 1986, as amended. Our non-guarantor subsidiaries accounted for approximately $989.3 million, or 58.4%, of our total revenue for the 12 months ended December 31, 2020, approximately $351.7 million, or 39.8%, of our consolidated operating income for the 12 months ended December 31, 2020, and approximately $1,065.4 million, or 25.3%, of our consolidated total assets (excluding intercompany assets) and $756.9 million, or 16.3%, of our consolidated total liabilities, in each case as of December 31, 2020.</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Share Repurchases</w:t>
      </w:r>
    </w:p>
    <w:p>
      <w:pPr>
        <w:spacing w:after="0" w:line="80" w:lineRule="exact"/>
        <w:rPr>
          <w:sz w:val="20"/>
          <w:szCs w:val="20"/>
          <w:color w:val="auto"/>
        </w:rPr>
      </w:pPr>
    </w:p>
    <w:p>
      <w:pPr>
        <w:ind w:right="20" w:firstLine="592"/>
        <w:spacing w:after="0" w:line="279" w:lineRule="auto"/>
        <w:rPr>
          <w:sz w:val="20"/>
          <w:szCs w:val="20"/>
          <w:color w:val="auto"/>
        </w:rPr>
      </w:pPr>
      <w:r>
        <w:rPr>
          <w:rFonts w:ascii="Times New Roman" w:cs="Times New Roman" w:eastAsia="Times New Roman" w:hAnsi="Times New Roman"/>
          <w:sz w:val="12"/>
          <w:szCs w:val="12"/>
          <w:color w:val="auto"/>
        </w:rPr>
        <w:t>The Board of Directors has approved a stock repurchase program for the purchase of the Company’s common stock in the open market. See Note 10, “Shareholders’ Equity (Deficit),” of the Notes to Consolidated Financial Statements included herein for additional information on our stock repurchase program.</w:t>
      </w:r>
    </w:p>
    <w:p>
      <w:pPr>
        <w:spacing w:after="0" w:line="1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1"/>
          <w:szCs w:val="11"/>
          <w:color w:val="auto"/>
        </w:rPr>
        <w:t>As of February 5, 2021, a total of $1,728.8 million remained available on the share repurchase authorization. This authorization may be modified, suspended or terminated by the Board of Directors at any time without prior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notice.</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Cash Dividends</w:t>
      </w:r>
    </w:p>
    <w:p>
      <w:pPr>
        <w:spacing w:after="0" w:line="80" w:lineRule="exact"/>
        <w:rPr>
          <w:sz w:val="20"/>
          <w:szCs w:val="20"/>
          <w:color w:val="auto"/>
        </w:rPr>
      </w:pPr>
    </w:p>
    <w:p>
      <w:pPr>
        <w:ind w:right="80" w:firstLine="592"/>
        <w:spacing w:after="0" w:line="279" w:lineRule="auto"/>
        <w:rPr>
          <w:sz w:val="20"/>
          <w:szCs w:val="20"/>
          <w:color w:val="auto"/>
        </w:rPr>
      </w:pPr>
      <w:r>
        <w:rPr>
          <w:rFonts w:ascii="Times New Roman" w:cs="Times New Roman" w:eastAsia="Times New Roman" w:hAnsi="Times New Roman"/>
          <w:sz w:val="12"/>
          <w:szCs w:val="12"/>
          <w:color w:val="auto"/>
        </w:rPr>
        <w:t>On September 17, 2014, our Board of Directors approved a plan to initiate a regular quarterly cash dividend to our shareholders. On October 30, 2014, we began paying regular quarterly cash dividends and have paid such dividends each quarter thereafter.</w:t>
      </w:r>
    </w:p>
    <w:p>
      <w:pPr>
        <w:spacing w:after="0" w:line="1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On January 25, 2021, the Board of Directors declared a quarterly dividend of $0.78 per share of common stock to be paid on February 26, 2021 to shareholders of record as of the close of trading on February 19, 2021.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the Company’s cash and cash equivalents as of the dates indicated:</w:t>
      </w:r>
    </w:p>
    <w:p>
      <w:pPr>
        <w:spacing w:after="0" w:line="19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0"/>
                <w:szCs w:val="10"/>
                <w:b w:val="1"/>
                <w:bCs w:val="1"/>
                <w:color w:val="auto"/>
                <w:w w:val="90"/>
              </w:rPr>
              <w:t>As of</w:t>
            </w: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0"/>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jc w:val="right"/>
              <w:ind w:right="35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7"/>
                <w:szCs w:val="7"/>
                <w:color w:val="auto"/>
              </w:rPr>
            </w:pPr>
          </w:p>
        </w:tc>
        <w:tc>
          <w:tcPr>
            <w:tcW w:w="940" w:type="dxa"/>
            <w:vAlign w:val="bottom"/>
          </w:tcPr>
          <w:p>
            <w:pPr>
              <w:jc w:val="right"/>
              <w:ind w:right="268"/>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gridSpan w:val="2"/>
          </w:tcPr>
          <w:p>
            <w:pPr>
              <w:jc w:val="center"/>
              <w:ind w:left="690"/>
              <w:spacing w:after="0" w:line="97" w:lineRule="exact"/>
              <w:rPr>
                <w:sz w:val="20"/>
                <w:szCs w:val="20"/>
                <w:color w:val="auto"/>
              </w:rPr>
            </w:pPr>
            <w:r>
              <w:rPr>
                <w:rFonts w:ascii="Times New Roman" w:cs="Times New Roman" w:eastAsia="Times New Roman" w:hAnsi="Times New Roman"/>
                <w:sz w:val="10"/>
                <w:szCs w:val="10"/>
                <w:b w:val="1"/>
                <w:bCs w:val="1"/>
                <w:color w:val="auto"/>
                <w:w w:val="98"/>
              </w:rPr>
              <w:t>(in thousands)</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2"/>
                <w:szCs w:val="12"/>
                <w:color w:val="auto"/>
              </w:rPr>
              <w:t>1,300,521</w:t>
            </w:r>
          </w:p>
        </w:tc>
        <w:tc>
          <w:tcPr>
            <w:tcW w:w="3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1,506,567</w:t>
            </w:r>
          </w:p>
        </w:tc>
        <w:tc>
          <w:tcPr>
            <w:tcW w:w="80" w:type="dxa"/>
            <w:vAlign w:val="bottom"/>
            <w:shd w:val="clear" w:color="auto" w:fill="CFF0FC"/>
          </w:tcPr>
          <w:p>
            <w:pPr>
              <w:spacing w:after="0"/>
              <w:rPr>
                <w:sz w:val="13"/>
                <w:szCs w:val="13"/>
                <w:color w:val="auto"/>
              </w:rPr>
            </w:pPr>
          </w:p>
        </w:tc>
      </w:tr>
    </w:tbl>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89" w:right="339"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2"/>
          <w:szCs w:val="12"/>
          <w:color w:val="auto"/>
        </w:rPr>
        <w:t>The following table presents the breakdown of the Company’s cash flows for the periods indicated:</w:t>
      </w:r>
    </w:p>
    <w:p>
      <w:pPr>
        <w:spacing w:after="0" w:line="19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0"/>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gridSpan w:val="2"/>
          </w:tcPr>
          <w:p>
            <w:pPr>
              <w:jc w:val="right"/>
              <w:ind w:right="44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jc w:val="right"/>
              <w:ind w:right="263"/>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r>
      <w:tr>
        <w:trPr>
          <w:trHeight w:val="115"/>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gridSpan w:val="4"/>
          </w:tcPr>
          <w:p>
            <w:pPr>
              <w:jc w:val="right"/>
              <w:ind w:right="6"/>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8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811,109</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709,523</w:t>
            </w:r>
          </w:p>
        </w:tc>
        <w:tc>
          <w:tcPr>
            <w:tcW w:w="8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(241,791)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(71,937)</w:t>
            </w:r>
          </w:p>
        </w:tc>
      </w:tr>
      <w:tr>
        <w:trPr>
          <w:trHeight w:val="153"/>
        </w:trPr>
        <w:tc>
          <w:tcPr>
            <w:tcW w:w="20" w:type="dxa"/>
            <w:vAlign w:val="bottom"/>
          </w:tcPr>
          <w:p>
            <w:pPr>
              <w:spacing w:after="0"/>
              <w:rPr>
                <w:sz w:val="13"/>
                <w:szCs w:val="13"/>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1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(779,038)</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(36,667)</w:t>
            </w:r>
          </w:p>
        </w:tc>
      </w:tr>
      <w:tr>
        <w:trPr>
          <w:trHeight w:val="153"/>
        </w:trPr>
        <w:tc>
          <w:tcPr>
            <w:tcW w:w="20" w:type="dxa"/>
            <w:vAlign w:val="bottom"/>
          </w:tcPr>
          <w:p>
            <w:pPr>
              <w:spacing w:after="0"/>
              <w:rPr>
                <w:sz w:val="13"/>
                <w:szCs w:val="13"/>
                <w:color w:val="auto"/>
              </w:rPr>
            </w:pPr>
          </w:p>
        </w:tc>
        <w:tc>
          <w:tcPr>
            <w:tcW w:w="3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Effect of exchange rate changes</w:t>
            </w:r>
          </w:p>
        </w:tc>
        <w:tc>
          <w:tcPr>
            <w:tcW w:w="16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3,674</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1,472</w:t>
            </w:r>
          </w:p>
        </w:tc>
        <w:tc>
          <w:tcPr>
            <w:tcW w:w="80" w:type="dxa"/>
            <w:vAlign w:val="bottom"/>
            <w:tcBorders>
              <w:bottom w:val="single" w:sz="8" w:color="CFF0FC"/>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(decrease) increase in cash</w:t>
            </w:r>
          </w:p>
        </w:tc>
        <w:tc>
          <w:tcPr>
            <w:tcW w:w="16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(206,046)</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602,391</w:t>
            </w:r>
          </w:p>
        </w:tc>
        <w:tc>
          <w:tcPr>
            <w:tcW w:w="80" w:type="dxa"/>
            <w:vAlign w:val="bottom"/>
            <w:tcBorders>
              <w:bottom w:val="single" w:sz="8" w:color="CFF0FC"/>
            </w:tcBorders>
            <w:shd w:val="clear" w:color="auto" w:fill="CFF0FC"/>
          </w:tcPr>
          <w:p>
            <w:pPr>
              <w:spacing w:after="0"/>
              <w:rPr>
                <w:sz w:val="12"/>
                <w:szCs w:val="12"/>
                <w:color w:val="auto"/>
              </w:rPr>
            </w:pPr>
          </w:p>
        </w:tc>
      </w:tr>
    </w:tbl>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Cash and Cash Equivalents</w:t>
      </w:r>
    </w:p>
    <w:p>
      <w:pPr>
        <w:spacing w:after="0" w:line="80" w:lineRule="exact"/>
        <w:rPr>
          <w:sz w:val="20"/>
          <w:szCs w:val="20"/>
          <w:color w:val="auto"/>
        </w:rPr>
      </w:pPr>
    </w:p>
    <w:p>
      <w:pPr>
        <w:ind w:right="100" w:firstLine="592"/>
        <w:spacing w:after="0" w:line="257" w:lineRule="auto"/>
        <w:rPr>
          <w:sz w:val="20"/>
          <w:szCs w:val="20"/>
          <w:color w:val="auto"/>
        </w:rPr>
      </w:pPr>
      <w:r>
        <w:rPr>
          <w:rFonts w:ascii="Times New Roman" w:cs="Times New Roman" w:eastAsia="Times New Roman" w:hAnsi="Times New Roman"/>
          <w:sz w:val="12"/>
          <w:szCs w:val="12"/>
          <w:color w:val="auto"/>
        </w:rPr>
        <w:t>Cash and cash equivalents were $1,300.5 million and $1,506.6 million as of December 31, 2020 and 2019, respectively. We typically seek to maintain minimum cash balances globally of approximately $200.0 million to $250.0 million for general operating purposes but may maintain higher minimum cash balances while the COVID-19 pandemic continues to impact global economic markets. As of December 31, 2020 and 2019, $423.4 million and $321.2 million, respectively, of the cash and cash equivalents were held by foreign subsidiaries. As a result of Tax Reform, we can now more efficiently access a significant portion of our cash held outside of the U.S. in the short-term without being subject to U.S. income taxes. Repatriation of some foreign cash may be subject to certain withholding taxes in local jurisdictions and other distribution restrictions. The global cash and cash equivalent balances that are maintained will be available to meet our global needs whether for general corporate purpose or other needs, including acquisitions or expansion of our products.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Cash Flows From Operating Activities</w:t>
      </w:r>
    </w:p>
    <w:p>
      <w:pPr>
        <w:spacing w:after="0" w:line="80" w:lineRule="exact"/>
        <w:rPr>
          <w:sz w:val="20"/>
          <w:szCs w:val="20"/>
          <w:color w:val="auto"/>
        </w:rPr>
      </w:pPr>
    </w:p>
    <w:p>
      <w:pPr>
        <w:ind w:right="80" w:firstLine="592"/>
        <w:spacing w:after="0" w:line="279" w:lineRule="auto"/>
        <w:rPr>
          <w:sz w:val="20"/>
          <w:szCs w:val="20"/>
          <w:color w:val="auto"/>
        </w:rPr>
      </w:pPr>
      <w:r>
        <w:rPr>
          <w:rFonts w:ascii="Times New Roman" w:cs="Times New Roman" w:eastAsia="Times New Roman" w:hAnsi="Times New Roman"/>
          <w:sz w:val="12"/>
          <w:szCs w:val="12"/>
          <w:color w:val="auto"/>
        </w:rPr>
        <w:t>Cash flows from operating activities consist of net income adjusted for certain non-cash items and changes in assets and liabilities. Cash provided by operating activities was $811.1 million and $709.5 million for the years ended December 31, 2020 and 2019, respectively. The year-over-year increase was primarily driven by higher cash collections from customers, partially offset by higher payments for income taxes, interest and cash expenses.</w:t>
      </w:r>
    </w:p>
    <w:p>
      <w:pPr>
        <w:spacing w:after="0" w:line="111" w:lineRule="exact"/>
        <w:rPr>
          <w:sz w:val="20"/>
          <w:szCs w:val="20"/>
          <w:color w:val="auto"/>
        </w:rPr>
      </w:pPr>
    </w:p>
    <w:p>
      <w:pPr>
        <w:ind w:right="100" w:firstLine="592"/>
        <w:spacing w:after="0" w:line="279" w:lineRule="auto"/>
        <w:rPr>
          <w:sz w:val="20"/>
          <w:szCs w:val="20"/>
          <w:color w:val="auto"/>
        </w:rPr>
      </w:pPr>
      <w:r>
        <w:rPr>
          <w:rFonts w:ascii="Times New Roman" w:cs="Times New Roman" w:eastAsia="Times New Roman" w:hAnsi="Times New Roman"/>
          <w:sz w:val="12"/>
          <w:szCs w:val="12"/>
          <w:color w:val="auto"/>
        </w:rPr>
        <w:t>Our primary uses of cash from operating activities are for the payment of cash compensation expenses, office rent, technology costs, market data costs, interest expenses and income taxes. Historically, the payment of cash for compensation and benefits is at its highest level in the first quarter when we pay discretionary employee compensation related to the previous fiscal year.</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i w:val="1"/>
          <w:iCs w:val="1"/>
          <w:color w:val="auto"/>
        </w:rPr>
        <w:t>Cash Flows From Investing Activities</w:t>
      </w:r>
    </w:p>
    <w:p>
      <w:pPr>
        <w:spacing w:after="0" w:line="80" w:lineRule="exact"/>
        <w:rPr>
          <w:sz w:val="20"/>
          <w:szCs w:val="20"/>
          <w:color w:val="auto"/>
        </w:rPr>
      </w:pPr>
    </w:p>
    <w:p>
      <w:pPr>
        <w:ind w:right="80" w:firstLine="592"/>
        <w:spacing w:after="0" w:line="279" w:lineRule="auto"/>
        <w:rPr>
          <w:sz w:val="20"/>
          <w:szCs w:val="20"/>
          <w:color w:val="auto"/>
        </w:rPr>
      </w:pPr>
      <w:r>
        <w:rPr>
          <w:rFonts w:ascii="Times New Roman" w:cs="Times New Roman" w:eastAsia="Times New Roman" w:hAnsi="Times New Roman"/>
          <w:sz w:val="12"/>
          <w:szCs w:val="12"/>
          <w:color w:val="auto"/>
        </w:rPr>
        <w:t>Cash used in investing activities was $241.8 million for the year ended December 31, 2020 compared to $71.9 million for the year ended December 31, 2019. The year-over-year change was primarily driven by the $190.8 million investment in Burgiss.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Cash Flows From Financing Activities</w:t>
      </w:r>
    </w:p>
    <w:p>
      <w:pPr>
        <w:spacing w:after="0" w:line="80" w:lineRule="exact"/>
        <w:rPr>
          <w:sz w:val="20"/>
          <w:szCs w:val="20"/>
          <w:color w:val="auto"/>
        </w:rPr>
      </w:pPr>
    </w:p>
    <w:p>
      <w:pPr>
        <w:ind w:firstLine="592"/>
        <w:spacing w:after="0" w:line="279" w:lineRule="auto"/>
        <w:rPr>
          <w:sz w:val="20"/>
          <w:szCs w:val="20"/>
          <w:color w:val="auto"/>
        </w:rPr>
      </w:pPr>
      <w:r>
        <w:rPr>
          <w:rFonts w:ascii="Times New Roman" w:cs="Times New Roman" w:eastAsia="Times New Roman" w:hAnsi="Times New Roman"/>
          <w:sz w:val="12"/>
          <w:szCs w:val="12"/>
          <w:color w:val="auto"/>
        </w:rPr>
        <w:t>Cash used in financing activities was $779.0 million for the year ended December 31, 2020 compared to $36.7 million for the year ended December 31, 2019. The year-over-year change was primarily driven by higher share repurchases, the impact of the 2024 Senior Notes Redemption and the 2025 Senior Notes Redemption, partially offset by the impact of new senior notes offerings made during the periods.</w:t>
      </w:r>
    </w:p>
    <w:p>
      <w:pPr>
        <w:spacing w:after="0" w:line="111" w:lineRule="exact"/>
        <w:rPr>
          <w:sz w:val="20"/>
          <w:szCs w:val="20"/>
          <w:color w:val="auto"/>
        </w:rPr>
      </w:pPr>
    </w:p>
    <w:p>
      <w:pPr>
        <w:ind w:right="140" w:firstLine="592"/>
        <w:spacing w:after="0" w:line="260" w:lineRule="auto"/>
        <w:rPr>
          <w:sz w:val="20"/>
          <w:szCs w:val="20"/>
          <w:color w:val="auto"/>
        </w:rPr>
      </w:pPr>
      <w:r>
        <w:rPr>
          <w:rFonts w:ascii="Times New Roman" w:cs="Times New Roman" w:eastAsia="Times New Roman" w:hAnsi="Times New Roman"/>
          <w:sz w:val="12"/>
          <w:szCs w:val="12"/>
          <w:color w:val="auto"/>
        </w:rPr>
        <w:t>We believe that global cash flows from operations, together with existing cash and cash equivalents and funds available under our existing credit facility and our ability to access the debt and capital markets for additional funds, will continue to be sufficient to fund our global operating activities and cash commitments for investing and financing activities, such as material capital expenditures and share repurchases, for at least the 12 months following issuance of this Form 10-K and for the foreseeable future thereafter. In addition, we expect that foreign cash flows from operations, together with existing cash and cash equivalents, will continue to be sufficient to fund our foreign operating activities and cash commitments for investing activities, such as material capital expenditures, for at least the 12 months following issuance of this Form 10-K and for the foreseeable future thereafter.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sectPr>
      </w:pPr>
    </w:p>
    <w:bookmarkStart w:id="57" w:name="page58"/>
    <w:bookmarkEnd w:id="57"/>
    <w:p>
      <w:pPr>
        <w:ind w:left="8"/>
        <w:spacing w:after="0"/>
        <w:rPr>
          <w:sz w:val="20"/>
          <w:szCs w:val="20"/>
          <w:color w:val="auto"/>
        </w:rPr>
      </w:pPr>
      <w:r>
        <w:rPr>
          <w:rFonts w:ascii="Times New Roman" w:cs="Times New Roman" w:eastAsia="Times New Roman" w:hAnsi="Times New Roman"/>
          <w:sz w:val="12"/>
          <w:szCs w:val="12"/>
          <w:b w:val="1"/>
          <w:bCs w:val="1"/>
          <w:color w:val="auto"/>
        </w:rPr>
        <w:t>Contractual Obligations</w:t>
      </w:r>
    </w:p>
    <w:p>
      <w:pPr>
        <w:spacing w:after="0" w:line="82" w:lineRule="exact"/>
        <w:rPr>
          <w:sz w:val="20"/>
          <w:szCs w:val="20"/>
          <w:color w:val="auto"/>
        </w:rPr>
      </w:pPr>
    </w:p>
    <w:p>
      <w:pPr>
        <w:ind w:left="8" w:right="140" w:firstLine="592"/>
        <w:spacing w:after="0" w:line="279" w:lineRule="auto"/>
        <w:rPr>
          <w:sz w:val="20"/>
          <w:szCs w:val="20"/>
          <w:color w:val="auto"/>
        </w:rPr>
      </w:pPr>
      <w:r>
        <w:rPr>
          <w:rFonts w:ascii="Times New Roman" w:cs="Times New Roman" w:eastAsia="Times New Roman" w:hAnsi="Times New Roman"/>
          <w:sz w:val="12"/>
          <w:szCs w:val="12"/>
          <w:color w:val="auto"/>
        </w:rPr>
        <w:t>Our contractual obligations consist primarily of our debt obligations arising from the issuance of the Senior Notes, leases for office space, leases for equipment and other operating leases and obligations to vendors arising out of market data contracts. The following table summarizes our contractual obligations for the periods indicated as of December 31, 2020:</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15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7"/>
              </w:rPr>
              <w:t>Years Ending December 31,</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80" w:type="dxa"/>
            <w:vAlign w:val="bottom"/>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0" w:type="dxa"/>
            <w:vAlign w:val="bottom"/>
          </w:tcPr>
          <w:p>
            <w:pPr>
              <w:spacing w:after="0"/>
              <w:rPr>
                <w:sz w:val="1"/>
                <w:szCs w:val="1"/>
                <w:color w:val="auto"/>
              </w:rPr>
            </w:pPr>
          </w:p>
        </w:tc>
      </w:tr>
      <w:tr>
        <w:trPr>
          <w:trHeight w:val="97"/>
        </w:trPr>
        <w:tc>
          <w:tcPr>
            <w:tcW w:w="42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63"/>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ind w:right="263"/>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43"/>
              <w:spacing w:after="0" w:line="97"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43"/>
              <w:spacing w:after="0" w:line="97" w:lineRule="exact"/>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42"/>
              <w:spacing w:after="0" w:line="97" w:lineRule="exact"/>
              <w:rPr>
                <w:sz w:val="20"/>
                <w:szCs w:val="20"/>
                <w:color w:val="auto"/>
              </w:rPr>
            </w:pPr>
            <w:r>
              <w:rPr>
                <w:rFonts w:ascii="Times New Roman" w:cs="Times New Roman" w:eastAsia="Times New Roman" w:hAnsi="Times New Roman"/>
                <w:sz w:val="10"/>
                <w:szCs w:val="10"/>
                <w:b w:val="1"/>
                <w:bCs w:val="1"/>
                <w:color w:val="auto"/>
              </w:rPr>
              <w:t>2025</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 xml:space="preserve">Senior Notes </w:t>
            </w:r>
            <w:r>
              <w:rPr>
                <w:rFonts w:ascii="Times New Roman" w:cs="Times New Roman" w:eastAsia="Times New Roman" w:hAnsi="Times New Roman"/>
                <w:sz w:val="10"/>
                <w:szCs w:val="10"/>
                <w:color w:val="auto"/>
              </w:rPr>
              <w:t>(1)</w:t>
            </w: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4,617,760</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143,875</w:t>
            </w: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143,875</w:t>
            </w: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143,875</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143,875</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143,875</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3,898,385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Operating leases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204,602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28,201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26,188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19,170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Vendor obligations</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158,800</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54,457</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28,650</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25,998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23,982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12,797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12,916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xml:space="preserve">Other obligations </w:t>
            </w:r>
            <w:r>
              <w:rPr>
                <w:rFonts w:ascii="Times New Roman" w:cs="Times New Roman" w:eastAsia="Times New Roman" w:hAnsi="Times New Roman"/>
                <w:sz w:val="10"/>
                <w:szCs w:val="10"/>
                <w:color w:val="auto"/>
              </w:rPr>
              <w:t>(2)</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19,391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contractual obligations</w:t>
            </w: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5,000,553</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226,533</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198,713</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194,895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188,981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183,809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4,007,622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6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88" w:right="200" w:hanging="588"/>
        <w:spacing w:after="0" w:line="259" w:lineRule="auto"/>
        <w:tabs>
          <w:tab w:leader="none" w:pos="588"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Includes the impact of payments for the principal amount on the $500.0 million aggregate principal amount of 4.750% senior unsecured notes due 2026 (the “2026 Senior Notes”), the 2027 Senior Notes, the 2029 Senior Notes, the 2030 Senior Notes and the 2031 Senior Notes plus interest based on the 4.75%, 5.375%, 4.00%, 3.625% and 3.875% coupon interest rates, respectively.</w:t>
      </w:r>
    </w:p>
    <w:p>
      <w:pPr>
        <w:spacing w:after="0" w:line="1" w:lineRule="exact"/>
        <w:rPr>
          <w:rFonts w:ascii="Times New Roman" w:cs="Times New Roman" w:eastAsia="Times New Roman" w:hAnsi="Times New Roman"/>
          <w:sz w:val="10"/>
          <w:szCs w:val="10"/>
          <w:color w:val="auto"/>
        </w:rPr>
      </w:pPr>
    </w:p>
    <w:p>
      <w:pPr>
        <w:ind w:left="588" w:hanging="588"/>
        <w:spacing w:after="0"/>
        <w:tabs>
          <w:tab w:leader="none" w:pos="588"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Primarily includes amounts payable related to the estimated Toll Charge. The Toll Charge is included within “Other non-current liabilities” in our Consolidated Statements of Financial Condition.</w:t>
      </w:r>
    </w:p>
    <w:p>
      <w:pPr>
        <w:spacing w:after="0" w:line="139" w:lineRule="exact"/>
        <w:rPr>
          <w:rFonts w:ascii="Times New Roman" w:cs="Times New Roman" w:eastAsia="Times New Roman" w:hAnsi="Times New Roman"/>
          <w:sz w:val="10"/>
          <w:szCs w:val="10"/>
          <w:color w:val="auto"/>
        </w:rPr>
      </w:pPr>
    </w:p>
    <w:p>
      <w:pPr>
        <w:ind w:left="588"/>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The obligations related to our uncertain tax positions, which are not considered material, have been excluded from the table above because of the uncertainty surrounding the timing and final amounts of any settlement.</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82" w:lineRule="exact"/>
        <w:rPr>
          <w:sz w:val="20"/>
          <w:szCs w:val="20"/>
          <w:color w:val="auto"/>
        </w:rPr>
      </w:pPr>
    </w:p>
    <w:p>
      <w:pPr>
        <w:ind w:left="8" w:right="80" w:firstLine="592"/>
        <w:spacing w:after="0" w:line="279" w:lineRule="auto"/>
        <w:rPr>
          <w:sz w:val="20"/>
          <w:szCs w:val="20"/>
          <w:color w:val="auto"/>
        </w:rPr>
      </w:pPr>
      <w:r>
        <w:rPr>
          <w:rFonts w:ascii="Times New Roman" w:cs="Times New Roman" w:eastAsia="Times New Roman" w:hAnsi="Times New Roman"/>
          <w:sz w:val="12"/>
          <w:szCs w:val="12"/>
          <w:color w:val="auto"/>
        </w:rPr>
        <w:t>At December 31, 2020 and 2019,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Recent Accounting Standards Updates</w:t>
      </w:r>
    </w:p>
    <w:p>
      <w:pPr>
        <w:spacing w:after="0" w:line="82"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See Note 2, “Recent Accounting Standards Updates,” of the Notes to the Consolidated Financial Statements included herein for further information.</w:t>
      </w:r>
    </w:p>
    <w:p>
      <w:pPr>
        <w:spacing w:after="0" w:line="245" w:lineRule="exact"/>
        <w:rPr>
          <w:sz w:val="20"/>
          <w:szCs w:val="20"/>
          <w:color w:val="auto"/>
        </w:rPr>
      </w:pPr>
    </w:p>
    <w:p>
      <w:pPr>
        <w:ind w:left="8"/>
        <w:spacing w:after="0"/>
        <w:tabs>
          <w:tab w:leader="none" w:pos="1168"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7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Risk</w:t>
      </w:r>
    </w:p>
    <w:p>
      <w:pPr>
        <w:spacing w:after="0" w:line="82" w:lineRule="exact"/>
        <w:rPr>
          <w:sz w:val="20"/>
          <w:szCs w:val="20"/>
          <w:color w:val="auto"/>
        </w:rPr>
      </w:pPr>
    </w:p>
    <w:p>
      <w:pPr>
        <w:ind w:left="8" w:right="120" w:firstLine="592"/>
        <w:spacing w:after="0" w:line="279" w:lineRule="auto"/>
        <w:rPr>
          <w:sz w:val="20"/>
          <w:szCs w:val="20"/>
          <w:color w:val="auto"/>
        </w:rPr>
      </w:pPr>
      <w:r>
        <w:rPr>
          <w:rFonts w:ascii="Times New Roman" w:cs="Times New Roman" w:eastAsia="Times New Roman" w:hAnsi="Times New Roman"/>
          <w:sz w:val="12"/>
          <w:szCs w:val="12"/>
          <w:color w:val="auto"/>
        </w:rPr>
        <w:t>We are subject to foreign currency exchange fluctuation risk. Exchange rate movements can impact the U.S. dollar-reported value of our revenues, expenses, assets and liabilities denominated in non-U.S. dollar currencies or where the currency of such items is different than the functional currency of the entity where these items were recorded.</w:t>
      </w:r>
    </w:p>
    <w:p>
      <w:pPr>
        <w:spacing w:after="0" w:line="111" w:lineRule="exact"/>
        <w:rPr>
          <w:sz w:val="20"/>
          <w:szCs w:val="20"/>
          <w:color w:val="auto"/>
        </w:rPr>
      </w:pPr>
    </w:p>
    <w:p>
      <w:pPr>
        <w:ind w:left="8" w:right="160" w:firstLine="592"/>
        <w:spacing w:after="0" w:line="260" w:lineRule="auto"/>
        <w:rPr>
          <w:sz w:val="20"/>
          <w:szCs w:val="20"/>
          <w:color w:val="auto"/>
        </w:rPr>
      </w:pPr>
      <w:r>
        <w:rPr>
          <w:rFonts w:ascii="Times New Roman" w:cs="Times New Roman" w:eastAsia="Times New Roman" w:hAnsi="Times New Roman"/>
          <w:sz w:val="12"/>
          <w:szCs w:val="12"/>
          <w:color w:val="auto"/>
        </w:rPr>
        <w:t>We generally invoice our clients in U.S. dollars; however, we invoice a portion of our clients in Euros, British pounds sterling, Japanese yen and a limited number of other non-U.S. dollar currencies. For the years ended December 31, 2020 and 2019, 14.1% and 13.5%, respectively, of our revenues were subject to foreign currency exchange rate risk and primarily included clients billed in foreign currency as well as U.S. dollar exposures on non-U.S. dollar foreign operating entities. Of the 14.1% of non-U.S dollar exposure for the year ended December 31, 2020, 40.2% was in Euros, 27.2% was in Japanese yen and 24.6% was in British pounds sterling. Of the 13.5% of non-U.S dollar exposure for the year ended December 31, 2019, 40.8% was in Euros, 26.9% was in Japanese yen and 23.1% was in British pounds sterling.</w:t>
      </w:r>
    </w:p>
    <w:p>
      <w:pPr>
        <w:spacing w:after="0" w:line="122" w:lineRule="exact"/>
        <w:rPr>
          <w:sz w:val="20"/>
          <w:szCs w:val="20"/>
          <w:color w:val="auto"/>
        </w:rPr>
      </w:pPr>
    </w:p>
    <w:p>
      <w:pPr>
        <w:ind w:left="8" w:firstLine="592"/>
        <w:spacing w:after="0" w:line="327" w:lineRule="auto"/>
        <w:rPr>
          <w:sz w:val="20"/>
          <w:szCs w:val="20"/>
          <w:color w:val="auto"/>
        </w:rPr>
      </w:pPr>
      <w:r>
        <w:rPr>
          <w:rFonts w:ascii="Times New Roman" w:cs="Times New Roman" w:eastAsia="Times New Roman" w:hAnsi="Times New Roman"/>
          <w:sz w:val="11"/>
          <w:szCs w:val="11"/>
          <w:color w:val="auto"/>
        </w:rPr>
        <w:t>Revenues from asset-based fee (“ABF”) products represented 23.6% and 23.2% of operating revenues for the years ended December 31, 2020 and 2019, respectively. While a substantial portion of our fees for ABF products are invoiced in U.S. dollars, the fees are based on the investment product’s assets, of which more than three-fifths are invested in securities denominated in currencies other than the U.S. dollar. Accordingly, declines in such other</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77" w:right="299" w:bottom="1440" w:gutter="0" w:footer="0" w:header="0"/>
        </w:sectPr>
      </w:pPr>
    </w:p>
    <w:bookmarkStart w:id="58" w:name="page59"/>
    <w:bookmarkEnd w:id="58"/>
    <w:p>
      <w:pPr>
        <w:ind w:right="100"/>
        <w:spacing w:after="0" w:line="279" w:lineRule="auto"/>
        <w:rPr>
          <w:sz w:val="20"/>
          <w:szCs w:val="20"/>
          <w:color w:val="auto"/>
        </w:rPr>
      </w:pPr>
      <w:r>
        <w:rPr>
          <w:rFonts w:ascii="Times New Roman" w:cs="Times New Roman" w:eastAsia="Times New Roman" w:hAnsi="Times New Roman"/>
          <w:sz w:val="12"/>
          <w:szCs w:val="12"/>
          <w:color w:val="auto"/>
        </w:rPr>
        <w:t>currencies against the U.S. dollar will decrease the fees payable to us under such licenses. In addition, declines in such currencies against the U.S. dollar could impact the attractiveness of such investment products resulting in net fund outflows, which would further reduce the fees payable under such licenses.</w:t>
      </w:r>
    </w:p>
    <w:p>
      <w:pPr>
        <w:spacing w:after="0" w:line="111" w:lineRule="exact"/>
        <w:rPr>
          <w:sz w:val="20"/>
          <w:szCs w:val="20"/>
          <w:color w:val="auto"/>
        </w:rPr>
      </w:pPr>
    </w:p>
    <w:p>
      <w:pPr>
        <w:ind w:right="260" w:firstLine="592"/>
        <w:spacing w:after="0" w:line="265" w:lineRule="auto"/>
        <w:rPr>
          <w:sz w:val="20"/>
          <w:szCs w:val="20"/>
          <w:color w:val="auto"/>
        </w:rPr>
      </w:pPr>
      <w:r>
        <w:rPr>
          <w:rFonts w:ascii="Times New Roman" w:cs="Times New Roman" w:eastAsia="Times New Roman" w:hAnsi="Times New Roman"/>
          <w:sz w:val="12"/>
          <w:szCs w:val="12"/>
          <w:color w:val="auto"/>
        </w:rPr>
        <w:t>We are exposed to additional foreign currency risk in certain of our operating costs. Approximately 40.8% and 41.2% of our operating expenses for the years ended December 31, 2020 and 2019, respectively, were denominated in foreign currencies, the significant majority of which were denominated in British pounds sterling, Indian rupees, Hungarian forints, Euros, Hong Kong dollars, Swiss francs and Mexican pesos. Expenses incurred in foreign currency may increase as we expand our business outside the U.S.</w:t>
      </w:r>
    </w:p>
    <w:p>
      <w:pPr>
        <w:spacing w:after="0" w:line="119" w:lineRule="exact"/>
        <w:rPr>
          <w:sz w:val="20"/>
          <w:szCs w:val="20"/>
          <w:color w:val="auto"/>
        </w:rPr>
      </w:pPr>
    </w:p>
    <w:p>
      <w:pPr>
        <w:ind w:right="60" w:firstLine="592"/>
        <w:spacing w:after="0" w:line="257" w:lineRule="auto"/>
        <w:rPr>
          <w:sz w:val="20"/>
          <w:szCs w:val="20"/>
          <w:color w:val="auto"/>
        </w:rPr>
      </w:pPr>
      <w:r>
        <w:rPr>
          <w:rFonts w:ascii="Times New Roman" w:cs="Times New Roman" w:eastAsia="Times New Roman" w:hAnsi="Times New Roman"/>
          <w:sz w:val="12"/>
          <w:szCs w:val="12"/>
          <w:color w:val="auto"/>
        </w:rPr>
        <w:t>We have certain monetary assets and liabilities denominated in currencies other than local functional amounts and when these balances are remeasured into their local functional currency, either a gain or a loss results from the change of the value of the functional currency as compared to the originating currencies. We manage foreign currency exchange rate risk, in part, through the use of derivative financial instruments comprised principally of forward contracts on foreign currency which are not designated as hedging instruments for accounting purposes. The objective of the derivative instruments is to minimize the impact on the income statement of the volatility of amounts denominated in certain foreign currencies. We recognized total foreign currency exchange losses of $2.8 million for the year ended December 31, 2020 and foreign currency exchange losses of $4.0 million for the year ended December 31,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8.</w:t>
            </w:r>
          </w:p>
        </w:tc>
        <w:tc>
          <w:tcPr>
            <w:tcW w:w="9860" w:type="dxa"/>
            <w:vAlign w:val="bottom"/>
            <w:gridSpan w:val="2"/>
          </w:tcPr>
          <w:p>
            <w:pPr>
              <w:jc w:val="right"/>
              <w:ind w:right="7060"/>
              <w:spacing w:after="0"/>
              <w:rPr>
                <w:sz w:val="20"/>
                <w:szCs w:val="20"/>
                <w:color w:val="auto"/>
              </w:rPr>
            </w:pPr>
            <w:r>
              <w:rPr>
                <w:rFonts w:ascii="Times New Roman" w:cs="Times New Roman" w:eastAsia="Times New Roman" w:hAnsi="Times New Roman"/>
                <w:sz w:val="12"/>
                <w:szCs w:val="12"/>
                <w:b w:val="1"/>
                <w:bCs w:val="1"/>
                <w:i w:val="1"/>
                <w:iCs w:val="1"/>
                <w:color w:val="auto"/>
              </w:rPr>
              <w:t>Financial Statements and Supplementary Data</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0" w:type="dxa"/>
            <w:vAlign w:val="bottom"/>
          </w:tcPr>
          <w:p>
            <w:pPr>
              <w:jc w:val="right"/>
              <w:ind w:right="330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w w:val="94"/>
              </w:rPr>
              <w:t>Consolidated Financial Statements</w:t>
            </w:r>
          </w:p>
        </w:tc>
        <w:tc>
          <w:tcPr>
            <w:tcW w:w="9200" w:type="dxa"/>
            <w:vAlign w:val="bottom"/>
          </w:tcPr>
          <w:p>
            <w:pPr>
              <w:spacing w:after="0"/>
              <w:rPr>
                <w:sz w:val="22"/>
                <w:szCs w:val="22"/>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11"/>
        </w:trPr>
        <w:tc>
          <w:tcPr>
            <w:tcW w:w="10620" w:type="dxa"/>
            <w:vAlign w:val="bottom"/>
            <w:gridSpan w:val="3"/>
          </w:tcPr>
          <w:p>
            <w:pPr>
              <w:spacing w:after="0" w:line="111" w:lineRule="exact"/>
              <w:rPr>
                <w:rFonts w:ascii="Times New Roman" w:cs="Times New Roman" w:eastAsia="Times New Roman" w:hAnsi="Times New Roman"/>
                <w:sz w:val="12"/>
                <w:szCs w:val="12"/>
                <w:u w:val="single" w:color="auto"/>
                <w:color w:val="0000EE"/>
              </w:rPr>
            </w:pPr>
            <w:hyperlink w:anchor="page60">
              <w:r>
                <w:rPr>
                  <w:rFonts w:ascii="Times New Roman" w:cs="Times New Roman" w:eastAsia="Times New Roman" w:hAnsi="Times New Roman"/>
                  <w:sz w:val="12"/>
                  <w:szCs w:val="12"/>
                  <w:u w:val="single" w:color="auto"/>
                  <w:color w:val="0000EE"/>
                </w:rPr>
                <w:t>Report of Independent Registered Public Accounting Firm</w:t>
              </w:r>
            </w:hyperlink>
          </w:p>
        </w:tc>
        <w:tc>
          <w:tcPr>
            <w:tcW w:w="68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58</w:t>
            </w:r>
          </w:p>
        </w:tc>
        <w:tc>
          <w:tcPr>
            <w:tcW w:w="20" w:type="dxa"/>
            <w:vAlign w:val="bottom"/>
          </w:tcPr>
          <w:p>
            <w:pPr>
              <w:spacing w:after="0"/>
              <w:rPr>
                <w:sz w:val="9"/>
                <w:szCs w:val="9"/>
                <w:color w:val="auto"/>
              </w:rPr>
            </w:pPr>
          </w:p>
        </w:tc>
      </w:tr>
      <w:tr>
        <w:trPr>
          <w:trHeight w:val="144"/>
        </w:trPr>
        <w:tc>
          <w:tcPr>
            <w:tcW w:w="10620" w:type="dxa"/>
            <w:vAlign w:val="bottom"/>
            <w:gridSpan w:val="3"/>
          </w:tcPr>
          <w:p>
            <w:pPr>
              <w:spacing w:after="0"/>
              <w:rPr>
                <w:rFonts w:ascii="Times New Roman" w:cs="Times New Roman" w:eastAsia="Times New Roman" w:hAnsi="Times New Roman"/>
                <w:sz w:val="12"/>
                <w:szCs w:val="12"/>
                <w:u w:val="single" w:color="auto"/>
                <w:color w:val="0000EE"/>
              </w:rPr>
            </w:pPr>
            <w:hyperlink w:anchor="page62">
              <w:r>
                <w:rPr>
                  <w:rFonts w:ascii="Times New Roman" w:cs="Times New Roman" w:eastAsia="Times New Roman" w:hAnsi="Times New Roman"/>
                  <w:sz w:val="12"/>
                  <w:szCs w:val="12"/>
                  <w:u w:val="single" w:color="auto"/>
                  <w:color w:val="0000EE"/>
                </w:rPr>
                <w:t>Consolidated Statements of Financial Condition as of December 31, 2020 and December 31, 2019</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10620" w:type="dxa"/>
            <w:vAlign w:val="bottom"/>
            <w:gridSpan w:val="3"/>
          </w:tcPr>
          <w:p>
            <w:pPr>
              <w:spacing w:after="0"/>
              <w:rPr>
                <w:rFonts w:ascii="Times New Roman" w:cs="Times New Roman" w:eastAsia="Times New Roman" w:hAnsi="Times New Roman"/>
                <w:sz w:val="12"/>
                <w:szCs w:val="12"/>
                <w:u w:val="single" w:color="auto"/>
                <w:color w:val="0000EE"/>
              </w:rPr>
            </w:pPr>
            <w:hyperlink w:anchor="page63">
              <w:r>
                <w:rPr>
                  <w:rFonts w:ascii="Times New Roman" w:cs="Times New Roman" w:eastAsia="Times New Roman" w:hAnsi="Times New Roman"/>
                  <w:sz w:val="12"/>
                  <w:szCs w:val="12"/>
                  <w:u w:val="single" w:color="auto"/>
                  <w:color w:val="0000EE"/>
                </w:rPr>
                <w:t>Consolidated Statements of Income for the Years Ended December 31, 2020, December 31, 2019, and December 31, 2018</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0620" w:type="dxa"/>
            <w:vAlign w:val="bottom"/>
            <w:gridSpan w:val="3"/>
          </w:tcPr>
          <w:p>
            <w:pPr>
              <w:spacing w:after="0"/>
              <w:rPr>
                <w:rFonts w:ascii="Times New Roman" w:cs="Times New Roman" w:eastAsia="Times New Roman" w:hAnsi="Times New Roman"/>
                <w:sz w:val="12"/>
                <w:szCs w:val="12"/>
                <w:u w:val="single" w:color="auto"/>
                <w:color w:val="0000EE"/>
              </w:rPr>
            </w:pPr>
            <w:hyperlink w:anchor="page64">
              <w:r>
                <w:rPr>
                  <w:rFonts w:ascii="Times New Roman" w:cs="Times New Roman" w:eastAsia="Times New Roman" w:hAnsi="Times New Roman"/>
                  <w:sz w:val="12"/>
                  <w:szCs w:val="12"/>
                  <w:u w:val="single" w:color="auto"/>
                  <w:color w:val="0000EE"/>
                </w:rPr>
                <w:t>Consolidated Statements of Comprehensive Income for the Years Ended December 31, 2020, December 31, 2019, and December 31, 2018</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0620" w:type="dxa"/>
            <w:vAlign w:val="bottom"/>
            <w:gridSpan w:val="3"/>
          </w:tcPr>
          <w:p>
            <w:pPr>
              <w:spacing w:after="0"/>
              <w:rPr>
                <w:rFonts w:ascii="Times New Roman" w:cs="Times New Roman" w:eastAsia="Times New Roman" w:hAnsi="Times New Roman"/>
                <w:sz w:val="12"/>
                <w:szCs w:val="12"/>
                <w:u w:val="single" w:color="auto"/>
                <w:color w:val="0000EE"/>
              </w:rPr>
            </w:pPr>
            <w:hyperlink w:anchor="page65">
              <w:r>
                <w:rPr>
                  <w:rFonts w:ascii="Times New Roman" w:cs="Times New Roman" w:eastAsia="Times New Roman" w:hAnsi="Times New Roman"/>
                  <w:sz w:val="12"/>
                  <w:szCs w:val="12"/>
                  <w:u w:val="single" w:color="auto"/>
                  <w:color w:val="0000EE"/>
                </w:rPr>
                <w:t>Consolidated Statements of Shareholders’ Equity (Deficit) for the Years Ended December 31, 2020, December 31, 2019, and December 31, 2018</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0620" w:type="dxa"/>
            <w:vAlign w:val="bottom"/>
            <w:gridSpan w:val="3"/>
          </w:tcPr>
          <w:p>
            <w:pPr>
              <w:spacing w:after="0"/>
              <w:rPr>
                <w:rFonts w:ascii="Times New Roman" w:cs="Times New Roman" w:eastAsia="Times New Roman" w:hAnsi="Times New Roman"/>
                <w:sz w:val="12"/>
                <w:szCs w:val="12"/>
                <w:u w:val="single" w:color="auto"/>
                <w:color w:val="0000EE"/>
              </w:rPr>
            </w:pPr>
            <w:hyperlink w:anchor="page66">
              <w:r>
                <w:rPr>
                  <w:rFonts w:ascii="Times New Roman" w:cs="Times New Roman" w:eastAsia="Times New Roman" w:hAnsi="Times New Roman"/>
                  <w:sz w:val="12"/>
                  <w:szCs w:val="12"/>
                  <w:u w:val="single" w:color="auto"/>
                  <w:color w:val="0000EE"/>
                </w:rPr>
                <w:t>Consolidated Statements of Cash Flows for the Years Ended December 31, 2020, December 31, 2019, and December 31, 2018</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64</w:t>
            </w:r>
          </w:p>
        </w:tc>
      </w:tr>
      <w:tr>
        <w:trPr>
          <w:trHeight w:val="155"/>
        </w:trPr>
        <w:tc>
          <w:tcPr>
            <w:tcW w:w="10620" w:type="dxa"/>
            <w:vAlign w:val="bottom"/>
            <w:gridSpan w:val="3"/>
          </w:tcPr>
          <w:p>
            <w:pPr>
              <w:spacing w:after="0"/>
              <w:rPr>
                <w:rFonts w:ascii="Times New Roman" w:cs="Times New Roman" w:eastAsia="Times New Roman" w:hAnsi="Times New Roman"/>
                <w:sz w:val="12"/>
                <w:szCs w:val="12"/>
                <w:u w:val="single" w:color="auto"/>
                <w:color w:val="0000EE"/>
              </w:rPr>
            </w:pPr>
            <w:hyperlink w:anchor="page67">
              <w:r>
                <w:rPr>
                  <w:rFonts w:ascii="Times New Roman" w:cs="Times New Roman" w:eastAsia="Times New Roman" w:hAnsi="Times New Roman"/>
                  <w:sz w:val="12"/>
                  <w:szCs w:val="12"/>
                  <w:u w:val="single" w:color="auto"/>
                  <w:color w:val="0000EE"/>
                </w:rPr>
                <w:t>Notes to Consolidated Financial Statements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w:t>
            </w:r>
          </w:p>
        </w:tc>
      </w:tr>
      <w:tr>
        <w:trPr>
          <w:trHeight w:val="558"/>
        </w:trPr>
        <w:tc>
          <w:tcPr>
            <w:tcW w:w="760" w:type="dxa"/>
            <w:vAlign w:val="bottom"/>
          </w:tcPr>
          <w:p>
            <w:pPr>
              <w:spacing w:after="0"/>
              <w:rPr>
                <w:sz w:val="24"/>
                <w:szCs w:val="24"/>
                <w:color w:val="auto"/>
              </w:rPr>
            </w:pPr>
          </w:p>
        </w:tc>
        <w:tc>
          <w:tcPr>
            <w:tcW w:w="9860" w:type="dxa"/>
            <w:vAlign w:val="bottom"/>
            <w:gridSpan w:val="2"/>
          </w:tcPr>
          <w:p>
            <w:pPr>
              <w:jc w:val="right"/>
              <w:ind w:right="4860"/>
              <w:spacing w:after="0"/>
              <w:rPr>
                <w:sz w:val="20"/>
                <w:szCs w:val="20"/>
                <w:color w:val="auto"/>
              </w:rPr>
            </w:pPr>
            <w:r>
              <w:rPr>
                <w:rFonts w:ascii="Times New Roman" w:cs="Times New Roman" w:eastAsia="Times New Roman" w:hAnsi="Times New Roman"/>
                <w:sz w:val="12"/>
                <w:szCs w:val="12"/>
                <w:color w:val="auto"/>
              </w:rPr>
              <w:t>57</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7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9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Shareholders of MSCI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Opinions on the Financial Statements and Internal Control over Financial Reporting</w:t>
      </w:r>
    </w:p>
    <w:p>
      <w:pPr>
        <w:spacing w:after="0" w:line="118"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2"/>
          <w:szCs w:val="12"/>
          <w:color w:val="auto"/>
        </w:rPr>
        <w:t xml:space="preserve">We have audited the accompanying consolidated statements of financial condition of MSCI Inc. and its subsidiaries (the “Company”) as of December 31, 2020 and 2019, and the related consolidated statements of income, of comprehensive income, of shareholders' equity (deficit)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2"/>
          <w:szCs w:val="12"/>
          <w:i w:val="1"/>
          <w:iCs w:val="1"/>
          <w:color w:val="auto"/>
          <w:strike w:val="1"/>
        </w:rPr>
        <w:t>Internal Control - Integrated Framework</w:t>
      </w:r>
      <w:r>
        <w:rPr>
          <w:rFonts w:ascii="Times New Roman" w:cs="Times New Roman" w:eastAsia="Times New Roman" w:hAnsi="Times New Roman"/>
          <w:sz w:val="12"/>
          <w:szCs w:val="12"/>
          <w:color w:val="auto"/>
        </w:rPr>
        <w:t xml:space="preserve"> (2013) issued by the Committee of Sponsoring Organizations of the Treadway Commission (COSO)</w:t>
      </w:r>
      <w:r>
        <w:rPr>
          <w:rFonts w:ascii="Georgia" w:cs="Georgia" w:eastAsia="Georgia" w:hAnsi="Georgia"/>
          <w:sz w:val="12"/>
          <w:szCs w:val="12"/>
          <w:color w:val="auto"/>
        </w:rPr>
        <w:t>.</w:t>
      </w:r>
    </w:p>
    <w:p>
      <w:pPr>
        <w:spacing w:after="0" w:line="8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2"/>
          <w:szCs w:val="12"/>
          <w:i w:val="1"/>
          <w:iCs w:val="1"/>
          <w:color w:val="auto"/>
          <w:strike w:val="1"/>
        </w:rPr>
        <w:t>Internal Control - Integrated Framework</w:t>
      </w:r>
      <w:r>
        <w:rPr>
          <w:rFonts w:ascii="Times New Roman" w:cs="Times New Roman" w:eastAsia="Times New Roman" w:hAnsi="Times New Roman"/>
          <w:sz w:val="12"/>
          <w:szCs w:val="12"/>
          <w:color w:val="auto"/>
        </w:rPr>
        <w:t xml:space="preserve"> (2013) issued by the COSO.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 in Accounting Principle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discussed in Note 1 to the consolidated financial statements, the Company changed the manner in which it accounts for leases in 2019.</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Opinions</w:t>
      </w:r>
    </w:p>
    <w:p>
      <w:pPr>
        <w:spacing w:after="0" w:line="11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Georgia" w:cs="Georgia" w:eastAsia="Georgia" w:hAnsi="Georgia"/>
          <w:sz w:val="12"/>
          <w:szCs w:val="12"/>
          <w:color w:val="auto"/>
        </w:rPr>
        <w:t>.</w:t>
      </w:r>
    </w:p>
    <w:p>
      <w:pPr>
        <w:spacing w:after="0" w:line="86"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r>
        <w:rPr>
          <w:rFonts w:ascii="Georgia" w:cs="Georgia" w:eastAsia="Georgia" w:hAnsi="Georgia"/>
          <w:sz w:val="12"/>
          <w:szCs w:val="12"/>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Definition and Limitations of Internal Control over Financial Reporting</w:t>
      </w:r>
    </w:p>
    <w:p>
      <w:pPr>
        <w:spacing w:after="0" w:line="11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color w:val="auto"/>
        </w:rPr>
        <w:t>assurance regarding prevention or timely detection of unauthorized acquisition, use, or disposition of the company’s assets that could have a material effect on the financial statements</w:t>
      </w:r>
      <w:r>
        <w:rPr>
          <w:rFonts w:ascii="Georgia" w:cs="Georgia" w:eastAsia="Georgia" w:hAnsi="Georgia"/>
          <w:sz w:val="12"/>
          <w:szCs w:val="12"/>
          <w:color w:val="auto"/>
        </w:rPr>
        <w:t>.</w:t>
      </w:r>
    </w:p>
    <w:p>
      <w:pPr>
        <w:spacing w:after="0" w:line="11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r>
        <w:rPr>
          <w:rFonts w:ascii="Georgia" w:cs="Georgia" w:eastAsia="Georgia" w:hAnsi="Georgia"/>
          <w:sz w:val="12"/>
          <w:szCs w:val="12"/>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Critical Audit Matters</w:t>
      </w:r>
    </w:p>
    <w:p>
      <w:pPr>
        <w:spacing w:after="0" w:line="14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Unrecognized tax benefits</w:t>
      </w:r>
    </w:p>
    <w:p>
      <w:pPr>
        <w:spacing w:after="0" w:line="14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As described in Note 11 to the consolidated financial statements, the Company has $16.6 million of gross unrecognized tax benefits as of December 31, 2020. Management regularly assesses the likelihood of additional assessments in each of the taxing jurisdictions in which it files income tax returns. Once unrecognized tax benefits are established, management adjusts unrecognized tax benefits only when more information is available or when an event occurs necessitating a change. As part of management’s periodic review of unrecognized tax benefits and based on new information regarding the status of federal and state examinations, the Company’s unrecognized tax benefits are remeasured. The Company is under examination by the Internal Revenue Service (“IRS”) and other tax authorities in certain jurisdictions, including foreign jurisdictions, such as the United Kingdom, Switzerland and India, and states in which the Company has significant operations, such as New York. The tax years currently under examination vary by jurisdiction but include years ranging from 2007 through 2019.</w:t>
      </w:r>
    </w:p>
    <w:p>
      <w:pPr>
        <w:spacing w:after="0" w:line="11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The principal considerations for our determination that performing procedures relating to unrecognized tax benefits is a critical audit matter are (i) the significant judgment by management when determining unrecognized tax benefits including a high degree of estimation uncertainty relative to the numerous and complex tax laws, frequency of tax examinations, and the nature of intercompany transactions and tax positions; (ii) a high degree of auditor judgment, effort, and subjectivity in performing procedures to evaluate the timely identification and accurate measurement of unrecognized tax benefits; (iii) the evaluation of audit evidence available to support the unrecognized tax benefits is complex and required significant auditor judgment as the nature of the evidence is often highly subjective; and (iv) the audit effort involved the use of professionals with specialized skill and knowledge.</w:t>
      </w:r>
    </w:p>
    <w:p>
      <w:pPr>
        <w:spacing w:after="0" w:line="11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the unrecognized tax benefits, including controls relating to the completeness of balances and measurement of the unrecognized tax benefits. These procedures also included, among others (i) testing the information used in the calculation of the unrecognized tax benefits, including intercompany agreements, international, federal and state filing positions, and reviewing the final tax returns; (ii) testing the calculation of the unrecognized tax benefits, including management’s assessment of the technical merits of tax positions and estimates of the amount of tax benefit expected to be sustained; (iii) testing the completeness of management’s assessment of both the identification of uncertain tax positions and possible outcomes of each uncertain tax position; and (iv) evaluating the status and results of income tax audits with the relevant tax authorities. Professionals with specialized skill and knowledge were used to assist in the evaluation of the completeness and measurement of the Company’s unrecognized tax benefits, including evaluating the reasonableness of management’s assessment of whether tax positions are more-likely-than-not of being sustained and the amount of potential benefit to be realized, the application of relevant tax laws, and estimated interest and penalties.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12,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2014.</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1" w:right="29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MSCI INC.</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FINANCIAL CONDITION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75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2"/>
          </w:tcPr>
          <w:p>
            <w:pPr>
              <w:jc w:val="right"/>
              <w:ind w:right="1149"/>
              <w:spacing w:after="0"/>
              <w:rPr>
                <w:sz w:val="20"/>
                <w:szCs w:val="20"/>
                <w:color w:val="auto"/>
              </w:rPr>
            </w:pPr>
            <w:r>
              <w:rPr>
                <w:rFonts w:ascii="Times New Roman" w:cs="Times New Roman" w:eastAsia="Times New Roman" w:hAnsi="Times New Roman"/>
                <w:sz w:val="9"/>
                <w:szCs w:val="9"/>
                <w:b w:val="1"/>
                <w:bCs w:val="1"/>
                <w:color w:val="auto"/>
                <w:w w:val="90"/>
              </w:rPr>
              <w:t>As of</w:t>
            </w: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5"/>
        </w:trPr>
        <w:tc>
          <w:tcPr>
            <w:tcW w:w="7520" w:type="dxa"/>
            <w:vAlign w:val="bottom"/>
          </w:tcPr>
          <w:p>
            <w:pPr>
              <w:spacing w:after="0"/>
              <w:rPr>
                <w:sz w:val="8"/>
                <w:szCs w:val="8"/>
                <w:color w:val="auto"/>
              </w:rPr>
            </w:pPr>
          </w:p>
        </w:tc>
        <w:tc>
          <w:tcPr>
            <w:tcW w:w="1160" w:type="dxa"/>
            <w:vAlign w:val="bottom"/>
          </w:tcPr>
          <w:p>
            <w:pPr>
              <w:jc w:val="right"/>
              <w:ind w:right="10"/>
              <w:spacing w:after="0" w:line="9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0"/>
        </w:trPr>
        <w:tc>
          <w:tcPr>
            <w:tcW w:w="7520" w:type="dxa"/>
            <w:vAlign w:val="bottom"/>
          </w:tcPr>
          <w:p>
            <w:pPr>
              <w:spacing w:after="0"/>
              <w:rPr>
                <w:sz w:val="9"/>
                <w:szCs w:val="9"/>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9"/>
                <w:szCs w:val="9"/>
                <w:b w:val="1"/>
                <w:bCs w:val="1"/>
                <w:color w:val="auto"/>
              </w:rPr>
              <w:t>2020</w:t>
            </w: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9"/>
                <w:szCs w:val="9"/>
                <w:b w:val="1"/>
                <w:bCs w:val="1"/>
                <w:color w:val="auto"/>
              </w:rPr>
              <w:t>2019</w:t>
            </w: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7"/>
        </w:trPr>
        <w:tc>
          <w:tcPr>
            <w:tcW w:w="7520" w:type="dxa"/>
            <w:vAlign w:val="bottom"/>
          </w:tcPr>
          <w:p>
            <w:pPr>
              <w:spacing w:after="0"/>
              <w:rPr>
                <w:sz w:val="8"/>
                <w:szCs w:val="8"/>
                <w:color w:val="auto"/>
              </w:rPr>
            </w:pPr>
          </w:p>
        </w:tc>
        <w:tc>
          <w:tcPr>
            <w:tcW w:w="3120" w:type="dxa"/>
            <w:vAlign w:val="bottom"/>
            <w:gridSpan w:val="5"/>
          </w:tcPr>
          <w:p>
            <w:pPr>
              <w:jc w:val="right"/>
              <w:ind w:right="329"/>
              <w:spacing w:after="0" w:line="97" w:lineRule="exact"/>
              <w:rPr>
                <w:sz w:val="20"/>
                <w:szCs w:val="20"/>
                <w:color w:val="auto"/>
              </w:rPr>
            </w:pPr>
            <w:r>
              <w:rPr>
                <w:rFonts w:ascii="Times New Roman" w:cs="Times New Roman" w:eastAsia="Times New Roman" w:hAnsi="Times New Roman"/>
                <w:sz w:val="9"/>
                <w:szCs w:val="9"/>
                <w:b w:val="1"/>
                <w:bCs w:val="1"/>
                <w:color w:val="auto"/>
              </w:rPr>
              <w:t>(In thousands, except per share and share data)</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4"/>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3"/>
        </w:trPr>
        <w:tc>
          <w:tcPr>
            <w:tcW w:w="7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6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1,300,521</w:t>
            </w:r>
          </w:p>
        </w:tc>
        <w:tc>
          <w:tcPr>
            <w:tcW w:w="4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49"/>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1,506,567</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Accounts receivable, net of allowances</w:t>
            </w:r>
          </w:p>
        </w:tc>
        <w:tc>
          <w:tcPr>
            <w:tcW w:w="1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558,569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499,268</w:t>
            </w:r>
          </w:p>
        </w:tc>
        <w:tc>
          <w:tcPr>
            <w:tcW w:w="120" w:type="dxa"/>
            <w:vAlign w:val="bottom"/>
          </w:tcPr>
          <w:p>
            <w:pPr>
              <w:spacing w:after="0"/>
              <w:rPr>
                <w:sz w:val="12"/>
                <w:szCs w:val="12"/>
                <w:color w:val="auto"/>
              </w:rPr>
            </w:pP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Prepaid income taxes</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20,097</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31,590</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Prepaid and other assets</w:t>
            </w: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46,411</w:t>
            </w:r>
          </w:p>
        </w:tc>
        <w:tc>
          <w:tcPr>
            <w:tcW w:w="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44,352</w:t>
            </w:r>
          </w:p>
        </w:tc>
        <w:tc>
          <w:tcPr>
            <w:tcW w:w="120" w:type="dxa"/>
            <w:vAlign w:val="bottom"/>
            <w:tcBorders>
              <w:bottom w:val="single" w:sz="8" w:color="CFF0FC"/>
            </w:tcBorders>
          </w:tcPr>
          <w:p>
            <w:pPr>
              <w:spacing w:after="0"/>
              <w:rPr>
                <w:sz w:val="12"/>
                <w:szCs w:val="12"/>
                <w:color w:val="auto"/>
              </w:rPr>
            </w:pPr>
          </w:p>
        </w:tc>
      </w:tr>
      <w:tr>
        <w:trPr>
          <w:trHeight w:val="135"/>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current assets</w:t>
            </w:r>
          </w:p>
        </w:tc>
        <w:tc>
          <w:tcPr>
            <w:tcW w:w="1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1,925,598</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2,081,777</w:t>
            </w:r>
          </w:p>
        </w:tc>
        <w:tc>
          <w:tcPr>
            <w:tcW w:w="120" w:type="dxa"/>
            <w:vAlign w:val="bottom"/>
            <w:shd w:val="clear" w:color="auto" w:fill="CFF0FC"/>
          </w:tcPr>
          <w:p>
            <w:pPr>
              <w:spacing w:after="0"/>
              <w:rPr>
                <w:sz w:val="11"/>
                <w:szCs w:val="11"/>
                <w:color w:val="auto"/>
              </w:rPr>
            </w:pPr>
          </w:p>
        </w:tc>
      </w:tr>
      <w:tr>
        <w:trPr>
          <w:trHeight w:val="14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Property, equipment and leasehold improvements, net</w:t>
            </w:r>
          </w:p>
        </w:tc>
        <w:tc>
          <w:tcPr>
            <w:tcW w:w="1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80,446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90,708</w:t>
            </w:r>
          </w:p>
        </w:tc>
        <w:tc>
          <w:tcPr>
            <w:tcW w:w="120" w:type="dxa"/>
            <w:vAlign w:val="bottom"/>
          </w:tcPr>
          <w:p>
            <w:pPr>
              <w:spacing w:after="0"/>
              <w:rPr>
                <w:sz w:val="12"/>
                <w:szCs w:val="12"/>
                <w:color w:val="auto"/>
              </w:rPr>
            </w:pP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Right of use assets</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153,330</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166,406</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Goodwill</w:t>
            </w:r>
          </w:p>
        </w:tc>
        <w:tc>
          <w:tcPr>
            <w:tcW w:w="1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1,566,022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1,562,868</w:t>
            </w:r>
          </w:p>
        </w:tc>
        <w:tc>
          <w:tcPr>
            <w:tcW w:w="120" w:type="dxa"/>
            <w:vAlign w:val="bottom"/>
          </w:tcPr>
          <w:p>
            <w:pPr>
              <w:spacing w:after="0"/>
              <w:rPr>
                <w:sz w:val="12"/>
                <w:szCs w:val="12"/>
                <w:color w:val="auto"/>
              </w:rPr>
            </w:pP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Intangible assets, net</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234,748</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261,487</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Equity method investment</w:t>
            </w:r>
          </w:p>
        </w:tc>
        <w:tc>
          <w:tcPr>
            <w:tcW w:w="1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190,898</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Deferred tax assets</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23,627</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20,911</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Other non-current assets</w:t>
            </w: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23,978</w:t>
            </w:r>
          </w:p>
        </w:tc>
        <w:tc>
          <w:tcPr>
            <w:tcW w:w="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20,282</w:t>
            </w:r>
          </w:p>
        </w:tc>
        <w:tc>
          <w:tcPr>
            <w:tcW w:w="120" w:type="dxa"/>
            <w:vAlign w:val="bottom"/>
            <w:tcBorders>
              <w:bottom w:val="single" w:sz="8" w:color="CFF0FC"/>
            </w:tcBorders>
          </w:tcPr>
          <w:p>
            <w:pPr>
              <w:spacing w:after="0"/>
              <w:rPr>
                <w:sz w:val="12"/>
                <w:szCs w:val="12"/>
                <w:color w:val="auto"/>
              </w:rPr>
            </w:pPr>
          </w:p>
        </w:tc>
      </w:tr>
      <w:tr>
        <w:trPr>
          <w:trHeight w:val="142"/>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16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4,198,647</w:t>
            </w:r>
          </w:p>
        </w:tc>
        <w:tc>
          <w:tcPr>
            <w:tcW w:w="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104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4,204,439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4"/>
        </w:trPr>
        <w:tc>
          <w:tcPr>
            <w:tcW w:w="7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3"/>
        </w:trPr>
        <w:tc>
          <w:tcPr>
            <w:tcW w:w="7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Accounts payable</w:t>
            </w:r>
          </w:p>
        </w:tc>
        <w:tc>
          <w:tcPr>
            <w:tcW w:w="116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14,253</w:t>
            </w:r>
          </w:p>
        </w:tc>
        <w:tc>
          <w:tcPr>
            <w:tcW w:w="4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49"/>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6,498</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Income taxes payable</w:t>
            </w:r>
          </w:p>
        </w:tc>
        <w:tc>
          <w:tcPr>
            <w:tcW w:w="1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26,195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14,210</w:t>
            </w:r>
          </w:p>
        </w:tc>
        <w:tc>
          <w:tcPr>
            <w:tcW w:w="120" w:type="dxa"/>
            <w:vAlign w:val="bottom"/>
          </w:tcPr>
          <w:p>
            <w:pPr>
              <w:spacing w:after="0"/>
              <w:rPr>
                <w:sz w:val="12"/>
                <w:szCs w:val="12"/>
                <w:color w:val="auto"/>
              </w:rPr>
            </w:pP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Accrued compensation and related benefits</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161,557</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166,273</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Other accrued liabilities</w:t>
            </w:r>
          </w:p>
        </w:tc>
        <w:tc>
          <w:tcPr>
            <w:tcW w:w="1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143,894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139,149</w:t>
            </w:r>
          </w:p>
        </w:tc>
        <w:tc>
          <w:tcPr>
            <w:tcW w:w="120" w:type="dxa"/>
            <w:vAlign w:val="bottom"/>
          </w:tcPr>
          <w:p>
            <w:pPr>
              <w:spacing w:after="0"/>
              <w:rPr>
                <w:sz w:val="12"/>
                <w:szCs w:val="12"/>
                <w:color w:val="auto"/>
              </w:rPr>
            </w:pP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Deferred revenue</w:t>
            </w:r>
          </w:p>
        </w:tc>
        <w:tc>
          <w:tcPr>
            <w:tcW w:w="116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675,870</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574,656</w:t>
            </w:r>
          </w:p>
        </w:tc>
        <w:tc>
          <w:tcPr>
            <w:tcW w:w="120" w:type="dxa"/>
            <w:vAlign w:val="bottom"/>
            <w:shd w:val="clear" w:color="auto" w:fill="CFF0FC"/>
          </w:tcPr>
          <w:p>
            <w:pPr>
              <w:spacing w:after="0"/>
              <w:rPr>
                <w:sz w:val="12"/>
                <w:szCs w:val="12"/>
                <w:color w:val="auto"/>
              </w:rPr>
            </w:pPr>
          </w:p>
        </w:tc>
      </w:tr>
      <w:tr>
        <w:trPr>
          <w:trHeight w:val="131"/>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1,021,769</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900,786</w:t>
            </w:r>
          </w:p>
        </w:tc>
        <w:tc>
          <w:tcPr>
            <w:tcW w:w="120" w:type="dxa"/>
            <w:vAlign w:val="bottom"/>
          </w:tcPr>
          <w:p>
            <w:pPr>
              <w:spacing w:after="0"/>
              <w:rPr>
                <w:sz w:val="11"/>
                <w:szCs w:val="11"/>
                <w:color w:val="auto"/>
              </w:rPr>
            </w:pP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3,366,777</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3,071,926</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1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152,342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164,144</w:t>
            </w:r>
          </w:p>
        </w:tc>
        <w:tc>
          <w:tcPr>
            <w:tcW w:w="120" w:type="dxa"/>
            <w:vAlign w:val="bottom"/>
          </w:tcPr>
          <w:p>
            <w:pPr>
              <w:spacing w:after="0"/>
              <w:rPr>
                <w:sz w:val="12"/>
                <w:szCs w:val="12"/>
                <w:color w:val="auto"/>
              </w:rPr>
            </w:pP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Deferred tax liabilities</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12,774</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66,639</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88,219</w:t>
            </w:r>
          </w:p>
        </w:tc>
        <w:tc>
          <w:tcPr>
            <w:tcW w:w="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77,658</w:t>
            </w:r>
          </w:p>
        </w:tc>
        <w:tc>
          <w:tcPr>
            <w:tcW w:w="120" w:type="dxa"/>
            <w:vAlign w:val="bottom"/>
            <w:tcBorders>
              <w:bottom w:val="single" w:sz="8" w:color="CFF0FC"/>
            </w:tcBorders>
          </w:tcPr>
          <w:p>
            <w:pPr>
              <w:spacing w:after="0"/>
              <w:rPr>
                <w:sz w:val="12"/>
                <w:szCs w:val="12"/>
                <w:color w:val="auto"/>
              </w:rPr>
            </w:pPr>
          </w:p>
        </w:tc>
      </w:tr>
      <w:tr>
        <w:trPr>
          <w:trHeight w:val="13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1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4,641,881</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4,281,153</w:t>
            </w:r>
          </w:p>
        </w:tc>
        <w:tc>
          <w:tcPr>
            <w:tcW w:w="120" w:type="dxa"/>
            <w:vAlign w:val="bottom"/>
            <w:shd w:val="clear" w:color="auto" w:fill="CFF0FC"/>
          </w:tcPr>
          <w:p>
            <w:pPr>
              <w:spacing w:after="0"/>
              <w:rPr>
                <w:sz w:val="11"/>
                <w:szCs w:val="11"/>
                <w:color w:val="auto"/>
              </w:rPr>
            </w:pPr>
          </w:p>
        </w:tc>
      </w:tr>
      <w:tr>
        <w:trPr>
          <w:trHeight w:val="135"/>
        </w:trPr>
        <w:tc>
          <w:tcPr>
            <w:tcW w:w="7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Commitments and Contingencies (see Note 5 and Note 9)</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Shareholders' equity (deficit):</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5"/>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Preferred Stock (par value $0.01, 100,000,000 shares authorized,</w:t>
            </w: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 shares issued)</w:t>
            </w:r>
          </w:p>
        </w:tc>
        <w:tc>
          <w:tcPr>
            <w:tcW w:w="11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7"/>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 (par value $0.01; 750,000,000 common shares authorized;</w:t>
            </w:r>
          </w:p>
        </w:tc>
        <w:tc>
          <w:tcPr>
            <w:tcW w:w="1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132,829,175 and 132,419,412 common shares issued and 82,573,407</w:t>
            </w:r>
          </w:p>
        </w:tc>
        <w:tc>
          <w:tcPr>
            <w:tcW w:w="1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and 84,794,930 common shares outstanding at December 31, 2020</w:t>
            </w:r>
          </w:p>
        </w:tc>
        <w:tc>
          <w:tcPr>
            <w:tcW w:w="1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7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and December 31, 2019, respectively)</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1,324</w:t>
            </w:r>
          </w:p>
        </w:tc>
        <w:tc>
          <w:tcPr>
            <w:tcW w:w="120" w:type="dxa"/>
            <w:vAlign w:val="bottom"/>
            <w:shd w:val="clear" w:color="auto" w:fill="CFF0FC"/>
          </w:tcPr>
          <w:p>
            <w:pPr>
              <w:spacing w:after="0"/>
              <w:rPr>
                <w:sz w:val="12"/>
                <w:szCs w:val="12"/>
                <w:color w:val="auto"/>
              </w:rPr>
            </w:pPr>
          </w:p>
        </w:tc>
      </w:tr>
      <w:tr>
        <w:trPr>
          <w:trHeight w:val="135"/>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Treasury shares, at cost (50,255,768 and 47,624,482 common shares held</w:t>
            </w: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at December 31, 2020 and December 31, 2019, respectively)</w:t>
            </w:r>
          </w:p>
        </w:tc>
        <w:tc>
          <w:tcPr>
            <w:tcW w:w="11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(4,342,535)</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(3,565,784)</w:t>
            </w: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1,402,537</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1,351,031</w:t>
            </w:r>
          </w:p>
        </w:tc>
        <w:tc>
          <w:tcPr>
            <w:tcW w:w="120" w:type="dxa"/>
            <w:vAlign w:val="bottom"/>
            <w:shd w:val="clear" w:color="auto" w:fill="CFF0FC"/>
          </w:tcPr>
          <w:p>
            <w:pPr>
              <w:spacing w:after="0"/>
              <w:rPr>
                <w:sz w:val="12"/>
                <w:szCs w:val="12"/>
                <w:color w:val="auto"/>
              </w:rPr>
            </w:pPr>
          </w:p>
        </w:tc>
      </w:tr>
      <w:tr>
        <w:trPr>
          <w:trHeight w:val="14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Retained earnings</w:t>
            </w:r>
          </w:p>
        </w:tc>
        <w:tc>
          <w:tcPr>
            <w:tcW w:w="1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2,554,295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2,199,294</w:t>
            </w:r>
          </w:p>
        </w:tc>
        <w:tc>
          <w:tcPr>
            <w:tcW w:w="120" w:type="dxa"/>
            <w:vAlign w:val="bottom"/>
          </w:tcPr>
          <w:p>
            <w:pPr>
              <w:spacing w:after="0"/>
              <w:rPr>
                <w:sz w:val="12"/>
                <w:szCs w:val="12"/>
                <w:color w:val="auto"/>
              </w:rPr>
            </w:pPr>
          </w:p>
        </w:tc>
      </w:tr>
      <w:tr>
        <w:trPr>
          <w:trHeight w:val="14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1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(58,859)</w:t>
            </w: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(62,579)</w:t>
            </w:r>
          </w:p>
        </w:tc>
      </w:tr>
      <w:tr>
        <w:trPr>
          <w:trHeight w:val="131"/>
        </w:trPr>
        <w:tc>
          <w:tcPr>
            <w:tcW w:w="7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b w:val="1"/>
                <w:bCs w:val="1"/>
                <w:color w:val="auto"/>
              </w:rPr>
              <w:t>Total shareholders' equity (deficit)</w:t>
            </w:r>
          </w:p>
        </w:tc>
        <w:tc>
          <w:tcPr>
            <w:tcW w:w="1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(443,234)</w:t>
            </w:r>
          </w:p>
        </w:tc>
        <w:tc>
          <w:tcPr>
            <w:tcW w:w="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(76,714)</w:t>
            </w:r>
          </w:p>
        </w:tc>
        <w:tc>
          <w:tcPr>
            <w:tcW w:w="120" w:type="dxa"/>
            <w:vAlign w:val="bottom"/>
            <w:tcBorders>
              <w:bottom w:val="single" w:sz="8" w:color="CFF0FC"/>
            </w:tcBorders>
          </w:tcPr>
          <w:p>
            <w:pPr>
              <w:spacing w:after="0"/>
              <w:rPr>
                <w:sz w:val="11"/>
                <w:szCs w:val="11"/>
                <w:color w:val="auto"/>
              </w:rPr>
            </w:pPr>
          </w:p>
        </w:tc>
      </w:tr>
      <w:tr>
        <w:trPr>
          <w:trHeight w:val="142"/>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liabilities and shareholders' equity (deficit)</w:t>
            </w:r>
          </w:p>
        </w:tc>
        <w:tc>
          <w:tcPr>
            <w:tcW w:w="116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4,198,647</w:t>
            </w:r>
          </w:p>
        </w:tc>
        <w:tc>
          <w:tcPr>
            <w:tcW w:w="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104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4,204,439</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MSCI INC.</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0"/>
        </w:trPr>
        <w:tc>
          <w:tcPr>
            <w:tcW w:w="6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tcPr>
          <w:p>
            <w:pPr>
              <w:jc w:val="right"/>
              <w:ind w:right="44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tcPr>
          <w:p>
            <w:pPr>
              <w:jc w:val="center"/>
              <w:ind w:right="50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20" w:type="dxa"/>
            <w:vAlign w:val="bottom"/>
          </w:tcPr>
          <w:p>
            <w:pPr>
              <w:spacing w:after="0"/>
              <w:rPr>
                <w:sz w:val="7"/>
                <w:szCs w:val="7"/>
                <w:color w:val="auto"/>
              </w:rPr>
            </w:pPr>
          </w:p>
        </w:tc>
        <w:tc>
          <w:tcPr>
            <w:tcW w:w="1100" w:type="dxa"/>
            <w:vAlign w:val="bottom"/>
          </w:tcPr>
          <w:p>
            <w:pPr>
              <w:jc w:val="right"/>
              <w:ind w:right="321"/>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7"/>
                <w:szCs w:val="7"/>
                <w:color w:val="auto"/>
              </w:rPr>
            </w:pPr>
          </w:p>
        </w:tc>
      </w:tr>
      <w:tr>
        <w:trPr>
          <w:trHeight w:val="115"/>
        </w:trPr>
        <w:tc>
          <w:tcPr>
            <w:tcW w:w="66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Pr>
          <w:p>
            <w:pPr>
              <w:spacing w:after="0"/>
              <w:rPr>
                <w:sz w:val="10"/>
                <w:szCs w:val="10"/>
                <w:color w:val="auto"/>
              </w:rPr>
            </w:pPr>
          </w:p>
        </w:tc>
      </w:tr>
      <w:tr>
        <w:trPr>
          <w:trHeight w:val="132"/>
        </w:trPr>
        <w:tc>
          <w:tcPr>
            <w:tcW w:w="6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(In thousands, except per share data)</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4"/>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Operating revenues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1,695,390</w:t>
            </w:r>
          </w:p>
        </w:tc>
        <w:tc>
          <w:tcPr>
            <w:tcW w:w="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1,557,796</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1,433,984</w:t>
            </w: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291,704</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294,961</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287,335</w:t>
            </w: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216,496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219,298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192,923</w:t>
            </w:r>
          </w:p>
        </w:tc>
        <w:tc>
          <w:tcPr>
            <w:tcW w:w="120" w:type="dxa"/>
            <w:vAlign w:val="bottom"/>
          </w:tcPr>
          <w:p>
            <w:pPr>
              <w:spacing w:after="0"/>
              <w:rPr>
                <w:sz w:val="13"/>
                <w:szCs w:val="13"/>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101,053</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98,334</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81,411</w:t>
            </w: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114,627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110,093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99,882</w:t>
            </w:r>
          </w:p>
        </w:tc>
        <w:tc>
          <w:tcPr>
            <w:tcW w:w="120" w:type="dxa"/>
            <w:vAlign w:val="bottom"/>
          </w:tcPr>
          <w:p>
            <w:pPr>
              <w:spacing w:after="0"/>
              <w:rPr>
                <w:sz w:val="13"/>
                <w:szCs w:val="13"/>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56,941</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49,410</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54,189</w:t>
            </w:r>
          </w:p>
        </w:tc>
        <w:tc>
          <w:tcPr>
            <w:tcW w:w="120" w:type="dxa"/>
            <w:vAlign w:val="bottom"/>
            <w:shd w:val="clear" w:color="auto" w:fill="CFF0FC"/>
          </w:tcPr>
          <w:p>
            <w:pPr>
              <w:spacing w:after="0"/>
              <w:rPr>
                <w:sz w:val="13"/>
                <w:szCs w:val="13"/>
                <w:color w:val="auto"/>
              </w:rPr>
            </w:pPr>
          </w:p>
        </w:tc>
      </w:tr>
      <w:tr>
        <w:trPr>
          <w:trHeight w:val="142"/>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of property, equipment and</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668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2"/>
                <w:szCs w:val="12"/>
                <w:color w:val="auto"/>
              </w:rPr>
              <w:t>leasehold improvements</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29,805</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29,999</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31,346</w:t>
            </w:r>
          </w:p>
        </w:tc>
        <w:tc>
          <w:tcPr>
            <w:tcW w:w="120" w:type="dxa"/>
            <w:vAlign w:val="bottom"/>
            <w:tcBorders>
              <w:bottom w:val="single" w:sz="8" w:color="CFF0FC"/>
            </w:tcBorders>
          </w:tcPr>
          <w:p>
            <w:pPr>
              <w:spacing w:after="0"/>
              <w:rPr>
                <w:sz w:val="13"/>
                <w:szCs w:val="13"/>
                <w:color w:val="auto"/>
              </w:rPr>
            </w:pPr>
          </w:p>
        </w:tc>
      </w:tr>
      <w:tr>
        <w:trPr>
          <w:trHeight w:val="142"/>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2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810,626</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802,095</w:t>
            </w:r>
          </w:p>
        </w:tc>
        <w:tc>
          <w:tcPr>
            <w:tcW w:w="2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747,086</w:t>
            </w:r>
          </w:p>
        </w:tc>
        <w:tc>
          <w:tcPr>
            <w:tcW w:w="120" w:type="dxa"/>
            <w:vAlign w:val="bottom"/>
            <w:shd w:val="clear" w:color="auto" w:fill="CFF0FC"/>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2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884,764</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755,701</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686,898</w:t>
            </w:r>
          </w:p>
        </w:tc>
        <w:tc>
          <w:tcPr>
            <w:tcW w:w="120" w:type="dxa"/>
            <w:vAlign w:val="bottom"/>
            <w:shd w:val="clear" w:color="auto" w:fill="CFF0FC"/>
          </w:tcPr>
          <w:p>
            <w:pPr>
              <w:spacing w:after="0"/>
              <w:rPr>
                <w:sz w:val="13"/>
                <w:szCs w:val="13"/>
                <w:color w:val="auto"/>
              </w:rPr>
            </w:pPr>
          </w:p>
        </w:tc>
      </w:tr>
      <w:tr>
        <w:trPr>
          <w:trHeight w:val="142"/>
        </w:trPr>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(5,030)</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(16,403)</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(19,669)</w:t>
            </w:r>
          </w:p>
        </w:tc>
      </w:tr>
      <w:tr>
        <w:trPr>
          <w:trHeight w:val="153"/>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156,324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148,041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133,114</w:t>
            </w:r>
          </w:p>
        </w:tc>
        <w:tc>
          <w:tcPr>
            <w:tcW w:w="120" w:type="dxa"/>
            <w:vAlign w:val="bottom"/>
          </w:tcPr>
          <w:p>
            <w:pPr>
              <w:spacing w:after="0"/>
              <w:rPr>
                <w:sz w:val="13"/>
                <w:szCs w:val="13"/>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expense (income)</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47,245</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20,745</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(56,443)</w:t>
            </w:r>
          </w:p>
        </w:tc>
      </w:tr>
      <w:tr>
        <w:trPr>
          <w:trHeight w:val="142"/>
        </w:trPr>
        <w:tc>
          <w:tcPr>
            <w:tcW w:w="6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Other expense (income), net</w:t>
            </w:r>
          </w:p>
        </w:tc>
        <w:tc>
          <w:tcPr>
            <w:tcW w:w="2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198,539</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152,383</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57,002</w:t>
            </w:r>
          </w:p>
        </w:tc>
        <w:tc>
          <w:tcPr>
            <w:tcW w:w="120" w:type="dxa"/>
            <w:vAlign w:val="bottom"/>
            <w:shd w:val="clear" w:color="auto" w:fill="CFF0FC"/>
          </w:tcPr>
          <w:p>
            <w:pPr>
              <w:spacing w:after="0"/>
              <w:rPr>
                <w:sz w:val="13"/>
                <w:szCs w:val="13"/>
                <w:color w:val="auto"/>
              </w:rPr>
            </w:pPr>
          </w:p>
        </w:tc>
      </w:tr>
      <w:tr>
        <w:trPr>
          <w:trHeight w:val="142"/>
        </w:trPr>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Income before provision for income taxes</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686,225</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603,318</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629,896</w:t>
            </w: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84,403</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39,670</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122,011</w:t>
            </w:r>
          </w:p>
        </w:tc>
        <w:tc>
          <w:tcPr>
            <w:tcW w:w="120" w:type="dxa"/>
            <w:vAlign w:val="bottom"/>
            <w:tcBorders>
              <w:bottom w:val="single" w:sz="8" w:color="CFF0FC"/>
            </w:tcBorders>
          </w:tcPr>
          <w:p>
            <w:pPr>
              <w:spacing w:after="0"/>
              <w:rPr>
                <w:sz w:val="13"/>
                <w:szCs w:val="13"/>
                <w:color w:val="auto"/>
              </w:rPr>
            </w:pPr>
          </w:p>
        </w:tc>
      </w:tr>
      <w:tr>
        <w:trPr>
          <w:trHeight w:val="149"/>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601,822</w:t>
            </w: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563,648</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507,885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4"/>
        </w:trPr>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Earnings per basic common share</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6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Earnings per diluted common share</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120" w:type="dxa"/>
            <w:vAlign w:val="bottom"/>
            <w:shd w:val="clear" w:color="auto" w:fill="CFF0FC"/>
          </w:tcPr>
          <w:p>
            <w:pPr>
              <w:spacing w:after="0"/>
              <w:rPr>
                <w:sz w:val="13"/>
                <w:szCs w:val="13"/>
                <w:color w:val="auto"/>
              </w:rPr>
            </w:pPr>
          </w:p>
        </w:tc>
      </w:tr>
      <w:tr>
        <w:trPr>
          <w:trHeight w:val="144"/>
        </w:trPr>
        <w:tc>
          <w:tcPr>
            <w:tcW w:w="66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38"/>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Weighted average shares outstanding used in computing</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9"/>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b w:val="1"/>
                <w:bCs w:val="1"/>
                <w:color w:val="auto"/>
              </w:rPr>
              <w:t>earnings per share:</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0"/>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b w:val="1"/>
                <w:bCs w:val="1"/>
                <w:color w:val="auto"/>
              </w:rPr>
              <w:t>Basic</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83,716</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84,644</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87,179</w:t>
            </w:r>
          </w:p>
        </w:tc>
        <w:tc>
          <w:tcPr>
            <w:tcW w:w="120" w:type="dxa"/>
            <w:vAlign w:val="bottom"/>
            <w:tcBorders>
              <w:bottom w:val="single" w:sz="8" w:color="CFF0FC"/>
            </w:tcBorders>
          </w:tcPr>
          <w:p>
            <w:pPr>
              <w:spacing w:after="0"/>
              <w:rPr>
                <w:sz w:val="13"/>
                <w:szCs w:val="13"/>
                <w:color w:val="auto"/>
              </w:rPr>
            </w:pPr>
          </w:p>
        </w:tc>
      </w:tr>
      <w:tr>
        <w:trPr>
          <w:trHeight w:val="160"/>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Diluted</w:t>
            </w:r>
          </w:p>
        </w:tc>
        <w:tc>
          <w:tcPr>
            <w:tcW w:w="2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84,517</w:t>
            </w:r>
          </w:p>
        </w:tc>
        <w:tc>
          <w:tcPr>
            <w:tcW w:w="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85,536</w:t>
            </w:r>
          </w:p>
        </w:tc>
        <w:tc>
          <w:tcPr>
            <w:tcW w:w="2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89,701</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MSCI INC.</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0"/>
        </w:trPr>
        <w:tc>
          <w:tcPr>
            <w:tcW w:w="6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2"/>
          </w:tcPr>
          <w:p>
            <w:pPr>
              <w:jc w:val="right"/>
              <w:ind w:right="64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7"/>
                <w:szCs w:val="7"/>
                <w:color w:val="auto"/>
              </w:rPr>
            </w:pPr>
          </w:p>
        </w:tc>
        <w:tc>
          <w:tcPr>
            <w:tcW w:w="1380" w:type="dxa"/>
            <w:vAlign w:val="bottom"/>
            <w:gridSpan w:val="2"/>
          </w:tcPr>
          <w:p>
            <w:pPr>
              <w:jc w:val="center"/>
              <w:ind w:right="50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20" w:type="dxa"/>
            <w:vAlign w:val="bottom"/>
          </w:tcPr>
          <w:p>
            <w:pPr>
              <w:spacing w:after="0"/>
              <w:rPr>
                <w:sz w:val="7"/>
                <w:szCs w:val="7"/>
                <w:color w:val="auto"/>
              </w:rPr>
            </w:pPr>
          </w:p>
        </w:tc>
        <w:tc>
          <w:tcPr>
            <w:tcW w:w="1100" w:type="dxa"/>
            <w:vAlign w:val="bottom"/>
          </w:tcPr>
          <w:p>
            <w:pPr>
              <w:jc w:val="right"/>
              <w:ind w:right="322"/>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7"/>
                <w:szCs w:val="7"/>
                <w:color w:val="auto"/>
              </w:rPr>
            </w:pPr>
          </w:p>
        </w:tc>
      </w:tr>
      <w:tr>
        <w:trPr>
          <w:trHeight w:val="115"/>
        </w:trPr>
        <w:tc>
          <w:tcPr>
            <w:tcW w:w="66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Pr>
          <w:p>
            <w:pPr>
              <w:spacing w:after="0"/>
              <w:rPr>
                <w:sz w:val="10"/>
                <w:szCs w:val="10"/>
                <w:color w:val="auto"/>
              </w:rPr>
            </w:pPr>
          </w:p>
        </w:tc>
      </w:tr>
      <w:tr>
        <w:trPr>
          <w:trHeight w:val="97"/>
        </w:trPr>
        <w:tc>
          <w:tcPr>
            <w:tcW w:w="6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gridSpan w:val="2"/>
          </w:tcPr>
          <w:p>
            <w:pPr>
              <w:jc w:val="center"/>
              <w:ind w:right="48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601,822</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563,648</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507,885</w:t>
            </w:r>
          </w:p>
        </w:tc>
        <w:tc>
          <w:tcPr>
            <w:tcW w:w="120" w:type="dxa"/>
            <w:vAlign w:val="bottom"/>
            <w:shd w:val="clear" w:color="auto" w:fill="CFF0FC"/>
          </w:tcPr>
          <w:p>
            <w:pPr>
              <w:spacing w:after="0"/>
              <w:rPr>
                <w:sz w:val="13"/>
                <w:szCs w:val="13"/>
                <w:color w:val="auto"/>
              </w:rPr>
            </w:pPr>
          </w:p>
        </w:tc>
      </w:tr>
      <w:tr>
        <w:trPr>
          <w:trHeight w:val="142"/>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(14,113)</w:t>
            </w:r>
          </w:p>
        </w:tc>
      </w:tr>
      <w:tr>
        <w:trPr>
          <w:trHeight w:val="153"/>
        </w:trPr>
        <w:tc>
          <w:tcPr>
            <w:tcW w:w="6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Income tax effect</w:t>
            </w:r>
          </w:p>
        </w:tc>
        <w:tc>
          <w:tcPr>
            <w:tcW w:w="2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(62)</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(776)</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Foreign currency translation adjustments, net</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4,709</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(14,113)</w:t>
            </w:r>
          </w:p>
        </w:tc>
      </w:tr>
      <w:tr>
        <w:trPr>
          <w:trHeight w:val="142"/>
        </w:trPr>
        <w:tc>
          <w:tcPr>
            <w:tcW w:w="6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and other post-retirement adjustments</w:t>
            </w:r>
          </w:p>
        </w:tc>
        <w:tc>
          <w:tcPr>
            <w:tcW w:w="2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(1,675)</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(6,477)</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2,351</w:t>
            </w: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Income tax effect</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(227)</w:t>
            </w:r>
          </w:p>
        </w:tc>
      </w:tr>
      <w:tr>
        <w:trPr>
          <w:trHeight w:val="142"/>
        </w:trPr>
        <w:tc>
          <w:tcPr>
            <w:tcW w:w="66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Pension and other post-retirement adjustments, net</w:t>
            </w:r>
          </w:p>
        </w:tc>
        <w:tc>
          <w:tcPr>
            <w:tcW w:w="22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(989)</w:t>
            </w:r>
          </w:p>
        </w:tc>
        <w:tc>
          <w:tcPr>
            <w:tcW w:w="22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(5,441)</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2,124</w:t>
            </w:r>
          </w:p>
        </w:tc>
        <w:tc>
          <w:tcPr>
            <w:tcW w:w="120" w:type="dxa"/>
            <w:vAlign w:val="bottom"/>
          </w:tcPr>
          <w:p>
            <w:pPr>
              <w:spacing w:after="0"/>
              <w:rPr>
                <w:sz w:val="13"/>
                <w:szCs w:val="13"/>
                <w:color w:val="auto"/>
              </w:rPr>
            </w:pPr>
          </w:p>
        </w:tc>
      </w:tr>
      <w:tr>
        <w:trPr>
          <w:trHeight w:val="142"/>
        </w:trPr>
        <w:tc>
          <w:tcPr>
            <w:tcW w:w="66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investment hedge adjustments</w:t>
            </w:r>
          </w:p>
        </w:tc>
        <w:tc>
          <w:tcPr>
            <w:tcW w:w="22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1,937</w:t>
            </w:r>
          </w:p>
        </w:tc>
        <w:tc>
          <w:tcPr>
            <w:tcW w:w="120" w:type="dxa"/>
            <w:vAlign w:val="bottom"/>
          </w:tcPr>
          <w:p>
            <w:pPr>
              <w:spacing w:after="0"/>
              <w:rPr>
                <w:sz w:val="13"/>
                <w:szCs w:val="13"/>
                <w:color w:val="auto"/>
              </w:rPr>
            </w:pPr>
          </w:p>
        </w:tc>
      </w:tr>
      <w:tr>
        <w:trPr>
          <w:trHeight w:val="153"/>
        </w:trPr>
        <w:tc>
          <w:tcPr>
            <w:tcW w:w="6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Income tax effect</w:t>
            </w:r>
          </w:p>
        </w:tc>
        <w:tc>
          <w:tcPr>
            <w:tcW w:w="2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investment hedge adjustments, net</w:t>
            </w:r>
          </w:p>
        </w:tc>
        <w:tc>
          <w:tcPr>
            <w:tcW w:w="2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1,937</w:t>
            </w:r>
          </w:p>
        </w:tc>
        <w:tc>
          <w:tcPr>
            <w:tcW w:w="120" w:type="dxa"/>
            <w:vAlign w:val="bottom"/>
            <w:shd w:val="clear" w:color="auto" w:fill="CFF0FC"/>
          </w:tcPr>
          <w:p>
            <w:pPr>
              <w:spacing w:after="0"/>
              <w:rPr>
                <w:sz w:val="13"/>
                <w:szCs w:val="13"/>
                <w:color w:val="auto"/>
              </w:rPr>
            </w:pPr>
          </w:p>
        </w:tc>
      </w:tr>
      <w:tr>
        <w:trPr>
          <w:trHeight w:val="142"/>
        </w:trPr>
        <w:tc>
          <w:tcPr>
            <w:tcW w:w="6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comprehensive income (loss), net of tax</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3,720</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(4,180)</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(10,052)</w:t>
            </w:r>
          </w:p>
        </w:tc>
      </w:tr>
      <w:tr>
        <w:trPr>
          <w:trHeight w:val="153"/>
        </w:trPr>
        <w:tc>
          <w:tcPr>
            <w:tcW w:w="66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49"/>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Comprehensive income</w:t>
            </w: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605,542</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559,468</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497,833</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MSCI INC.</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SHAREHOLDERS’ EQUITY (DEFICIT)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8"/>
        </w:trPr>
        <w:tc>
          <w:tcPr>
            <w:tcW w:w="4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5"/>
              </w:rPr>
              <w:t>Other</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8"/>
        </w:trPr>
        <w:tc>
          <w:tcPr>
            <w:tcW w:w="49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Common</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140" w:type="dxa"/>
            <w:vAlign w:val="bottom"/>
          </w:tcPr>
          <w:p>
            <w:pPr>
              <w:spacing w:after="0"/>
              <w:rPr>
                <w:sz w:val="9"/>
                <w:szCs w:val="9"/>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9"/>
              </w:rPr>
              <w:t>Paid-in</w:t>
            </w:r>
          </w:p>
        </w:tc>
        <w:tc>
          <w:tcPr>
            <w:tcW w:w="220" w:type="dxa"/>
            <w:vAlign w:val="bottom"/>
          </w:tcPr>
          <w:p>
            <w:pPr>
              <w:spacing w:after="0"/>
              <w:rPr>
                <w:sz w:val="9"/>
                <w:szCs w:val="9"/>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9"/>
                <w:szCs w:val="9"/>
                <w:b w:val="1"/>
                <w:bCs w:val="1"/>
                <w:color w:val="auto"/>
              </w:rPr>
              <w:t>Retained</w:t>
            </w: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0"/>
        </w:trPr>
        <w:tc>
          <w:tcPr>
            <w:tcW w:w="4900" w:type="dxa"/>
            <w:vAlign w:val="bottom"/>
          </w:tcPr>
          <w:p>
            <w:pPr>
              <w:spacing w:after="0"/>
              <w:rPr>
                <w:sz w:val="9"/>
                <w:szCs w:val="9"/>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9"/>
                <w:szCs w:val="9"/>
                <w:b w:val="1"/>
                <w:bCs w:val="1"/>
                <w:color w:val="auto"/>
              </w:rPr>
              <w:t>Stock</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40" w:type="dxa"/>
            <w:vAlign w:val="bottom"/>
          </w:tcPr>
          <w:p>
            <w:pPr>
              <w:spacing w:after="0"/>
              <w:rPr>
                <w:sz w:val="9"/>
                <w:szCs w:val="9"/>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220" w:type="dxa"/>
            <w:vAlign w:val="bottom"/>
          </w:tcPr>
          <w:p>
            <w:pPr>
              <w:spacing w:after="0"/>
              <w:rPr>
                <w:sz w:val="9"/>
                <w:szCs w:val="9"/>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9"/>
                <w:szCs w:val="9"/>
                <w:b w:val="1"/>
                <w:bCs w:val="1"/>
                <w:color w:val="auto"/>
              </w:rPr>
              <w:t>Earnings</w:t>
            </w:r>
          </w:p>
        </w:tc>
        <w:tc>
          <w:tcPr>
            <w:tcW w:w="100" w:type="dxa"/>
            <w:vAlign w:val="bottom"/>
          </w:tcPr>
          <w:p>
            <w:pPr>
              <w:spacing w:after="0"/>
              <w:rPr>
                <w:sz w:val="9"/>
                <w:szCs w:val="9"/>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9"/>
              </w:rPr>
              <w:t>Income (Loss)</w:t>
            </w:r>
          </w:p>
        </w:tc>
        <w:tc>
          <w:tcPr>
            <w:tcW w:w="200" w:type="dxa"/>
            <w:vAlign w:val="bottom"/>
          </w:tcPr>
          <w:p>
            <w:pPr>
              <w:spacing w:after="0"/>
              <w:rPr>
                <w:sz w:val="9"/>
                <w:szCs w:val="9"/>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97"/>
        </w:trPr>
        <w:tc>
          <w:tcPr>
            <w:tcW w:w="49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6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44"/>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Balance at December 31, 2017</w:t>
            </w:r>
          </w:p>
        </w:tc>
        <w:tc>
          <w:tcPr>
            <w:tcW w:w="620" w:type="dxa"/>
            <w:vAlign w:val="bottom"/>
            <w:shd w:val="clear" w:color="auto" w:fill="CFF0FC"/>
          </w:tcPr>
          <w:p>
            <w:pPr>
              <w:jc w:val="right"/>
              <w:ind w:right="50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8"/>
              </w:rPr>
              <w:t>1,295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(2,321,989)</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1,264,849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1,505,204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(48,347)</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401,012</w:t>
            </w:r>
          </w:p>
        </w:tc>
        <w:tc>
          <w:tcPr>
            <w:tcW w:w="120" w:type="dxa"/>
            <w:vAlign w:val="bottom"/>
            <w:shd w:val="clear" w:color="auto" w:fill="CFF0FC"/>
          </w:tcPr>
          <w:p>
            <w:pPr>
              <w:spacing w:after="0"/>
              <w:rPr>
                <w:sz w:val="12"/>
                <w:szCs w:val="12"/>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507,885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507,885</w:t>
            </w:r>
          </w:p>
        </w:tc>
        <w:tc>
          <w:tcPr>
            <w:tcW w:w="120" w:type="dxa"/>
            <w:vAlign w:val="bottom"/>
          </w:tcPr>
          <w:p>
            <w:pPr>
              <w:spacing w:after="0"/>
              <w:rPr>
                <w:sz w:val="12"/>
                <w:szCs w:val="12"/>
                <w:color w:val="auto"/>
              </w:rPr>
            </w:pPr>
          </w:p>
        </w:tc>
      </w:tr>
      <w:tr>
        <w:trPr>
          <w:trHeight w:val="14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ASC Topic 606 Retained Earnings Adjustment</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16,135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16,135</w:t>
            </w:r>
          </w:p>
        </w:tc>
        <w:tc>
          <w:tcPr>
            <w:tcW w:w="120" w:type="dxa"/>
            <w:vAlign w:val="bottom"/>
            <w:shd w:val="clear" w:color="auto" w:fill="CFF0FC"/>
          </w:tcPr>
          <w:p>
            <w:pPr>
              <w:spacing w:after="0"/>
              <w:rPr>
                <w:sz w:val="12"/>
                <w:szCs w:val="12"/>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Dividends declared ($1.92 per common share)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(172,273)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(172,231)</w:t>
            </w:r>
          </w:p>
        </w:tc>
      </w:tr>
      <w:tr>
        <w:trPr>
          <w:trHeight w:val="14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(10,052)</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(10,052)</w:t>
            </w: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issued</w:t>
            </w:r>
          </w:p>
        </w:tc>
        <w:tc>
          <w:tcPr>
            <w:tcW w:w="6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2"/>
                <w:szCs w:val="12"/>
                <w:color w:val="auto"/>
              </w:rPr>
            </w:pPr>
          </w:p>
        </w:tc>
      </w:tr>
      <w:tr>
        <w:trPr>
          <w:trHeight w:val="1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Compensation payable in common stock</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and options</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40,838</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40,838</w:t>
            </w:r>
          </w:p>
        </w:tc>
        <w:tc>
          <w:tcPr>
            <w:tcW w:w="120" w:type="dxa"/>
            <w:vAlign w:val="bottom"/>
            <w:shd w:val="clear" w:color="auto" w:fill="CFF0FC"/>
          </w:tcPr>
          <w:p>
            <w:pPr>
              <w:spacing w:after="0"/>
              <w:rPr>
                <w:sz w:val="12"/>
                <w:szCs w:val="12"/>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repurchased and held in treasury</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(949,888)</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(949,888)</w:t>
            </w:r>
          </w:p>
        </w:tc>
      </w:tr>
      <w:tr>
        <w:trPr>
          <w:trHeight w:val="1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 issued to Directors and</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(held in)/released from treasury</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(820)</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(803)</w:t>
            </w:r>
          </w:p>
        </w:tc>
      </w:tr>
      <w:tr>
        <w:trPr>
          <w:trHeight w:val="142"/>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20" w:type="dxa"/>
            <w:vAlign w:val="bottom"/>
            <w:tcBorders>
              <w:bottom w:val="single" w:sz="8" w:color="CFF0FC"/>
            </w:tcBorders>
          </w:tcPr>
          <w:p>
            <w:pPr>
              <w:spacing w:after="0"/>
              <w:rPr>
                <w:sz w:val="12"/>
                <w:szCs w:val="12"/>
                <w:color w:val="auto"/>
              </w:rPr>
            </w:pPr>
          </w:p>
        </w:tc>
      </w:tr>
      <w:tr>
        <w:trPr>
          <w:trHeight w:val="135"/>
        </w:trPr>
        <w:tc>
          <w:tcPr>
            <w:tcW w:w="49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Balance at December 31, 2018</w:t>
            </w:r>
          </w:p>
        </w:tc>
        <w:tc>
          <w:tcPr>
            <w:tcW w:w="620" w:type="dxa"/>
            <w:vAlign w:val="bottom"/>
          </w:tcPr>
          <w:p>
            <w:pPr>
              <w:jc w:val="right"/>
              <w:ind w:right="50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8"/>
              </w:rPr>
              <w:t>1,300</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(3,272,774)</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1,306,428</w:t>
            </w:r>
          </w:p>
        </w:tc>
        <w:tc>
          <w:tcPr>
            <w:tcW w:w="22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1,856,951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(58,399)</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(166,494)</w:t>
            </w:r>
          </w:p>
        </w:tc>
      </w:tr>
      <w:tr>
        <w:trPr>
          <w:trHeight w:val="14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563,648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563,648</w:t>
            </w:r>
          </w:p>
        </w:tc>
        <w:tc>
          <w:tcPr>
            <w:tcW w:w="120" w:type="dxa"/>
            <w:vAlign w:val="bottom"/>
            <w:shd w:val="clear" w:color="auto" w:fill="CFF0FC"/>
          </w:tcPr>
          <w:p>
            <w:pPr>
              <w:spacing w:after="0"/>
              <w:rPr>
                <w:sz w:val="12"/>
                <w:szCs w:val="12"/>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Dividends declared ($2.52 per common share)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(221,305)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(221,075)</w:t>
            </w:r>
          </w:p>
        </w:tc>
      </w:tr>
      <w:tr>
        <w:trPr>
          <w:trHeight w:val="14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(4,180)</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(4,180)</w:t>
            </w: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issued</w:t>
            </w:r>
          </w:p>
        </w:tc>
        <w:tc>
          <w:tcPr>
            <w:tcW w:w="6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12"/>
                <w:szCs w:val="12"/>
                <w:color w:val="auto"/>
              </w:rPr>
            </w:pPr>
          </w:p>
        </w:tc>
      </w:tr>
      <w:tr>
        <w:trPr>
          <w:trHeight w:val="1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Compensation payable in common stock</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and options</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41,138</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41,138</w:t>
            </w:r>
          </w:p>
        </w:tc>
        <w:tc>
          <w:tcPr>
            <w:tcW w:w="120" w:type="dxa"/>
            <w:vAlign w:val="bottom"/>
            <w:shd w:val="clear" w:color="auto" w:fill="CFF0FC"/>
          </w:tcPr>
          <w:p>
            <w:pPr>
              <w:spacing w:after="0"/>
              <w:rPr>
                <w:sz w:val="12"/>
                <w:szCs w:val="12"/>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repurchased and held in treasury</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(292,075)</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(292,075)</w:t>
            </w:r>
          </w:p>
        </w:tc>
      </w:tr>
      <w:tr>
        <w:trPr>
          <w:trHeight w:val="1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 issued to Directors and</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(held in)/released from treasury</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(935)</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(935)</w:t>
            </w:r>
          </w:p>
        </w:tc>
      </w:tr>
      <w:tr>
        <w:trPr>
          <w:trHeight w:val="142"/>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3,235</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3,236</w:t>
            </w:r>
          </w:p>
        </w:tc>
        <w:tc>
          <w:tcPr>
            <w:tcW w:w="120" w:type="dxa"/>
            <w:vAlign w:val="bottom"/>
            <w:tcBorders>
              <w:bottom w:val="single" w:sz="8" w:color="CFF0FC"/>
            </w:tcBorders>
          </w:tcPr>
          <w:p>
            <w:pPr>
              <w:spacing w:after="0"/>
              <w:rPr>
                <w:sz w:val="12"/>
                <w:szCs w:val="12"/>
                <w:color w:val="auto"/>
              </w:rPr>
            </w:pPr>
          </w:p>
        </w:tc>
      </w:tr>
      <w:tr>
        <w:trPr>
          <w:trHeight w:val="135"/>
        </w:trPr>
        <w:tc>
          <w:tcPr>
            <w:tcW w:w="49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Balance at December 31, 2019</w:t>
            </w:r>
          </w:p>
        </w:tc>
        <w:tc>
          <w:tcPr>
            <w:tcW w:w="620" w:type="dxa"/>
            <w:vAlign w:val="bottom"/>
          </w:tcPr>
          <w:p>
            <w:pPr>
              <w:jc w:val="right"/>
              <w:ind w:right="50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8"/>
              </w:rPr>
              <w:t>1,324</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(3,565,784)</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1,351,031</w:t>
            </w:r>
          </w:p>
        </w:tc>
        <w:tc>
          <w:tcPr>
            <w:tcW w:w="22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2,199,294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(62,579)</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(76,714)</w:t>
            </w:r>
          </w:p>
        </w:tc>
      </w:tr>
      <w:tr>
        <w:trPr>
          <w:trHeight w:val="14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601,822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601,822</w:t>
            </w:r>
          </w:p>
        </w:tc>
        <w:tc>
          <w:tcPr>
            <w:tcW w:w="120" w:type="dxa"/>
            <w:vAlign w:val="bottom"/>
            <w:shd w:val="clear" w:color="auto" w:fill="CFF0FC"/>
          </w:tcPr>
          <w:p>
            <w:pPr>
              <w:spacing w:after="0"/>
              <w:rPr>
                <w:sz w:val="12"/>
                <w:szCs w:val="12"/>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Cumulative-effect adjustment</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20" w:type="dxa"/>
            <w:vAlign w:val="bottom"/>
          </w:tcPr>
          <w:p>
            <w:pPr>
              <w:spacing w:after="0"/>
              <w:rPr>
                <w:sz w:val="12"/>
                <w:szCs w:val="12"/>
                <w:color w:val="auto"/>
              </w:rPr>
            </w:pPr>
          </w:p>
        </w:tc>
      </w:tr>
      <w:tr>
        <w:trPr>
          <w:trHeight w:val="14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Dividends declared ($2.92 per common share)</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(247,452)</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(247,452)</w:t>
            </w: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Dividends paid in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20" w:type="dxa"/>
            <w:vAlign w:val="bottom"/>
          </w:tcPr>
          <w:p>
            <w:pPr>
              <w:spacing w:after="0"/>
              <w:rPr>
                <w:sz w:val="12"/>
                <w:szCs w:val="12"/>
                <w:color w:val="auto"/>
              </w:rPr>
            </w:pPr>
          </w:p>
        </w:tc>
      </w:tr>
      <w:tr>
        <w:trPr>
          <w:trHeight w:val="14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3,720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3,720</w:t>
            </w:r>
          </w:p>
        </w:tc>
        <w:tc>
          <w:tcPr>
            <w:tcW w:w="120" w:type="dxa"/>
            <w:vAlign w:val="bottom"/>
            <w:shd w:val="clear" w:color="auto" w:fill="CFF0FC"/>
          </w:tcPr>
          <w:p>
            <w:pPr>
              <w:spacing w:after="0"/>
              <w:rPr>
                <w:sz w:val="12"/>
                <w:szCs w:val="12"/>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issued</w:t>
            </w:r>
          </w:p>
        </w:tc>
        <w:tc>
          <w:tcPr>
            <w:tcW w:w="6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2"/>
                <w:szCs w:val="12"/>
                <w:color w:val="auto"/>
              </w:rPr>
            </w:pPr>
          </w:p>
        </w:tc>
      </w:tr>
      <w:tr>
        <w:trPr>
          <w:trHeight w:val="14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Compensation payable in common stock</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51,320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51,320</w:t>
            </w:r>
          </w:p>
        </w:tc>
        <w:tc>
          <w:tcPr>
            <w:tcW w:w="120" w:type="dxa"/>
            <w:vAlign w:val="bottom"/>
            <w:shd w:val="clear" w:color="auto" w:fill="CFF0FC"/>
          </w:tcPr>
          <w:p>
            <w:pPr>
              <w:spacing w:after="0"/>
              <w:rPr>
                <w:sz w:val="12"/>
                <w:szCs w:val="12"/>
                <w:color w:val="auto"/>
              </w:rPr>
            </w:pPr>
          </w:p>
        </w:tc>
      </w:tr>
      <w:tr>
        <w:trPr>
          <w:trHeight w:val="142"/>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repurchased and held in treasury</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(778,519)</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(778,519)</w:t>
            </w:r>
          </w:p>
        </w:tc>
      </w:tr>
      <w:tr>
        <w:trPr>
          <w:trHeight w:val="1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 issued to Directors and</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(held in)/released from treasury</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1,768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1,768</w:t>
            </w:r>
          </w:p>
        </w:tc>
        <w:tc>
          <w:tcPr>
            <w:tcW w:w="120" w:type="dxa"/>
            <w:vAlign w:val="bottom"/>
            <w:shd w:val="clear" w:color="auto" w:fill="CFF0FC"/>
          </w:tcPr>
          <w:p>
            <w:pPr>
              <w:spacing w:after="0"/>
              <w:rPr>
                <w:sz w:val="12"/>
                <w:szCs w:val="12"/>
                <w:color w:val="auto"/>
              </w:rPr>
            </w:pPr>
          </w:p>
        </w:tc>
      </w:tr>
      <w:tr>
        <w:trPr>
          <w:trHeight w:val="144"/>
        </w:trPr>
        <w:tc>
          <w:tcPr>
            <w:tcW w:w="490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r>
      <w:tr>
        <w:trPr>
          <w:trHeight w:val="14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Balance at December 31, 2020</w:t>
            </w:r>
          </w:p>
        </w:tc>
        <w:tc>
          <w:tcPr>
            <w:tcW w:w="620" w:type="dxa"/>
            <w:vAlign w:val="bottom"/>
            <w:tcBorders>
              <w:bottom w:val="single" w:sz="8" w:color="auto"/>
            </w:tcBorders>
            <w:shd w:val="clear" w:color="auto" w:fill="CFF0FC"/>
          </w:tcPr>
          <w:p>
            <w:pPr>
              <w:jc w:val="right"/>
              <w:ind w:right="50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8"/>
              </w:rPr>
              <w:t>1,328</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(4,342,535)</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1,402,537</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2,554,295</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(58,859)</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(443,234)</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5" w:name="page66"/>
    <w:bookmarkEnd w:id="65"/>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MSCI INC.</w:t>
      </w:r>
    </w:p>
    <w:p>
      <w:pPr>
        <w:spacing w:after="0" w:line="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4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5"/>
        </w:trPr>
        <w:tc>
          <w:tcPr>
            <w:tcW w:w="6400" w:type="dxa"/>
            <w:vAlign w:val="bottom"/>
          </w:tcPr>
          <w:p>
            <w:pPr>
              <w:spacing w:after="0"/>
              <w:rPr>
                <w:sz w:val="8"/>
                <w:szCs w:val="8"/>
                <w:color w:val="auto"/>
              </w:rPr>
            </w:pPr>
          </w:p>
        </w:tc>
        <w:tc>
          <w:tcPr>
            <w:tcW w:w="1000" w:type="dxa"/>
            <w:vAlign w:val="bottom"/>
          </w:tcPr>
          <w:p>
            <w:pPr>
              <w:jc w:val="right"/>
              <w:ind w:right="12"/>
              <w:spacing w:after="0" w:line="9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jc w:val="right"/>
              <w:ind w:right="9"/>
              <w:spacing w:after="0" w:line="9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jc w:val="right"/>
              <w:ind w:right="335"/>
              <w:spacing w:after="0" w:line="9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100" w:type="dxa"/>
            <w:vAlign w:val="bottom"/>
          </w:tcPr>
          <w:p>
            <w:pPr>
              <w:spacing w:after="0"/>
              <w:rPr>
                <w:sz w:val="8"/>
                <w:szCs w:val="8"/>
                <w:color w:val="auto"/>
              </w:rPr>
            </w:pPr>
          </w:p>
        </w:tc>
      </w:tr>
      <w:tr>
        <w:trPr>
          <w:trHeight w:val="110"/>
        </w:trPr>
        <w:tc>
          <w:tcPr>
            <w:tcW w:w="6400" w:type="dxa"/>
            <w:vAlign w:val="bottom"/>
          </w:tcPr>
          <w:p>
            <w:pPr>
              <w:spacing w:after="0"/>
              <w:rPr>
                <w:sz w:val="9"/>
                <w:szCs w:val="9"/>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9"/>
                <w:szCs w:val="9"/>
                <w:b w:val="1"/>
                <w:bCs w:val="1"/>
                <w:color w:val="auto"/>
              </w:rPr>
              <w:t>2020</w:t>
            </w:r>
          </w:p>
        </w:tc>
        <w:tc>
          <w:tcPr>
            <w:tcW w:w="4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9"/>
                <w:szCs w:val="9"/>
                <w:b w:val="1"/>
                <w:bCs w:val="1"/>
                <w:color w:val="auto"/>
              </w:rPr>
              <w:t>2019</w:t>
            </w: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9"/>
                <w:szCs w:val="9"/>
                <w:b w:val="1"/>
                <w:bCs w:val="1"/>
                <w:color w:val="auto"/>
              </w:rPr>
              <w:t>2018</w:t>
            </w:r>
          </w:p>
        </w:tc>
        <w:tc>
          <w:tcPr>
            <w:tcW w:w="100" w:type="dxa"/>
            <w:vAlign w:val="bottom"/>
          </w:tcPr>
          <w:p>
            <w:pPr>
              <w:spacing w:after="0"/>
              <w:rPr>
                <w:sz w:val="9"/>
                <w:szCs w:val="9"/>
                <w:color w:val="auto"/>
              </w:rPr>
            </w:pPr>
          </w:p>
        </w:tc>
      </w:tr>
      <w:tr>
        <w:trPr>
          <w:trHeight w:val="97"/>
        </w:trPr>
        <w:tc>
          <w:tcPr>
            <w:tcW w:w="6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jc w:val="right"/>
              <w:ind w:right="89"/>
              <w:spacing w:after="0" w:line="9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8"/>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Cash flows from operating activities</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6400" w:type="dxa"/>
            <w:vAlign w:val="bottom"/>
          </w:tcPr>
          <w:p>
            <w:pPr>
              <w:spacing w:after="0"/>
              <w:rPr>
                <w:sz w:val="20"/>
                <w:szCs w:val="20"/>
                <w:color w:val="auto"/>
              </w:rPr>
            </w:pPr>
            <w:r>
              <w:rPr>
                <w:rFonts w:ascii="Times New Roman" w:cs="Times New Roman" w:eastAsia="Times New Roman" w:hAnsi="Times New Roman"/>
                <w:sz w:val="9"/>
                <w:szCs w:val="9"/>
                <w:color w:val="auto"/>
              </w:rPr>
              <w:t>Net income</w:t>
            </w:r>
          </w:p>
        </w:tc>
        <w:tc>
          <w:tcPr>
            <w:tcW w:w="1000" w:type="dxa"/>
            <w:vAlign w:val="bottom"/>
          </w:tcPr>
          <w:p>
            <w:pPr>
              <w:jc w:val="right"/>
              <w:ind w:right="932"/>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601,822</w:t>
            </w:r>
          </w:p>
        </w:tc>
        <w:tc>
          <w:tcPr>
            <w:tcW w:w="280" w:type="dxa"/>
            <w:vAlign w:val="bottom"/>
          </w:tcPr>
          <w:p>
            <w:pPr>
              <w:spacing w:after="0"/>
              <w:rPr>
                <w:sz w:val="9"/>
                <w:szCs w:val="9"/>
                <w:color w:val="auto"/>
              </w:rPr>
            </w:pPr>
          </w:p>
        </w:tc>
        <w:tc>
          <w:tcPr>
            <w:tcW w:w="1000" w:type="dxa"/>
            <w:vAlign w:val="bottom"/>
          </w:tcPr>
          <w:p>
            <w:pPr>
              <w:jc w:val="right"/>
              <w:ind w:right="929"/>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563,648</w:t>
            </w:r>
          </w:p>
        </w:tc>
        <w:tc>
          <w:tcPr>
            <w:tcW w:w="240" w:type="dxa"/>
            <w:vAlign w:val="bottom"/>
          </w:tcPr>
          <w:p>
            <w:pPr>
              <w:spacing w:after="0"/>
              <w:rPr>
                <w:sz w:val="9"/>
                <w:szCs w:val="9"/>
                <w:color w:val="auto"/>
              </w:rPr>
            </w:pP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507,885</w:t>
            </w: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Adjustments to reconcile net income to net cash provided by operating activities:</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Amortization of intangible assets</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56,941</w:t>
            </w: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49,410</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54,189</w:t>
            </w: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Stock-based compensation expense</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51,094</w:t>
            </w: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41,199</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38,897</w:t>
            </w:r>
          </w:p>
        </w:tc>
        <w:tc>
          <w:tcPr>
            <w:tcW w:w="100" w:type="dxa"/>
            <w:vAlign w:val="bottom"/>
            <w:shd w:val="clear" w:color="auto" w:fill="CFF0FC"/>
          </w:tcPr>
          <w:p>
            <w:pPr>
              <w:spacing w:after="0"/>
              <w:rPr>
                <w:sz w:val="9"/>
                <w:szCs w:val="9"/>
                <w:color w:val="auto"/>
              </w:rPr>
            </w:pP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Depreciation and amortization of property, equipment and leasehold improvements</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29,805</w:t>
            </w: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29,999</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31,346</w:t>
            </w: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Amortization of right of use assets</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24,049</w:t>
            </w: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22,489</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Amortization of debt origination fees</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4,445</w:t>
            </w: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4,073</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3,715</w:t>
            </w: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Loss on extinguishment of debt</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44,930</w:t>
            </w: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16,794</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Deferred taxes</w:t>
            </w:r>
          </w:p>
        </w:tc>
        <w:tc>
          <w:tcPr>
            <w:tcW w:w="10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(55,645)</w:t>
            </w:r>
          </w:p>
        </w:tc>
        <w:tc>
          <w:tcPr>
            <w:tcW w:w="100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(20,767)</w:t>
            </w:r>
          </w:p>
        </w:tc>
        <w:tc>
          <w:tcPr>
            <w:tcW w:w="220" w:type="dxa"/>
            <w:vAlign w:val="bottom"/>
          </w:tcPr>
          <w:p>
            <w:pPr>
              <w:spacing w:after="0"/>
              <w:rPr>
                <w:sz w:val="9"/>
                <w:szCs w:val="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(780)</w:t>
            </w: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Gain on divestitures, net of costs</w:t>
            </w:r>
          </w:p>
        </w:tc>
        <w:tc>
          <w:tcPr>
            <w:tcW w:w="10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(61,402)</w:t>
            </w: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Other adjustments</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1,744</w:t>
            </w: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1,093</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(188)</w:t>
            </w:r>
          </w:p>
        </w:tc>
      </w:tr>
      <w:tr>
        <w:trPr>
          <w:trHeight w:val="108"/>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Changes in assets and liabilities, net of the effect of acquisitions and dispositions:</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Accounts receivable</w:t>
            </w:r>
          </w:p>
        </w:tc>
        <w:tc>
          <w:tcPr>
            <w:tcW w:w="10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(57,606)</w:t>
            </w:r>
          </w:p>
        </w:tc>
        <w:tc>
          <w:tcPr>
            <w:tcW w:w="100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(25,923)</w:t>
            </w:r>
          </w:p>
        </w:tc>
        <w:tc>
          <w:tcPr>
            <w:tcW w:w="220" w:type="dxa"/>
            <w:vAlign w:val="bottom"/>
          </w:tcPr>
          <w:p>
            <w:pPr>
              <w:spacing w:after="0"/>
              <w:rPr>
                <w:sz w:val="9"/>
                <w:szCs w:val="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(153,942)</w:t>
            </w: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Prepaid income taxes</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11,608</w:t>
            </w: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(13,200)</w:t>
            </w: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(4,069)</w:t>
            </w: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Prepaid and other assets</w:t>
            </w:r>
          </w:p>
        </w:tc>
        <w:tc>
          <w:tcPr>
            <w:tcW w:w="10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(410)</w:t>
            </w:r>
          </w:p>
        </w:tc>
        <w:tc>
          <w:tcPr>
            <w:tcW w:w="100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(7,698)</w:t>
            </w:r>
          </w:p>
        </w:tc>
        <w:tc>
          <w:tcPr>
            <w:tcW w:w="220" w:type="dxa"/>
            <w:vAlign w:val="bottom"/>
          </w:tcPr>
          <w:p>
            <w:pPr>
              <w:spacing w:after="0"/>
              <w:rPr>
                <w:sz w:val="9"/>
                <w:szCs w:val="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(2,015)</w:t>
            </w: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Accounts payable</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7,482</w:t>
            </w: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2,584</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2,300</w:t>
            </w:r>
          </w:p>
        </w:tc>
        <w:tc>
          <w:tcPr>
            <w:tcW w:w="100" w:type="dxa"/>
            <w:vAlign w:val="bottom"/>
            <w:shd w:val="clear" w:color="auto" w:fill="CFF0FC"/>
          </w:tcPr>
          <w:p>
            <w:pPr>
              <w:spacing w:after="0"/>
              <w:rPr>
                <w:sz w:val="9"/>
                <w:szCs w:val="9"/>
                <w:color w:val="auto"/>
              </w:rPr>
            </w:pP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Accrued compensation and related benefits</w:t>
            </w:r>
          </w:p>
        </w:tc>
        <w:tc>
          <w:tcPr>
            <w:tcW w:w="10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(2,641)</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25,217</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8,532</w:t>
            </w: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Income taxes payable</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9,576</w:t>
            </w: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(2,240)</w:t>
            </w: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(2,890)</w:t>
            </w: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Other accrued liabilities</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1,674</w:t>
            </w: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3,664</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29,096</w:t>
            </w: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Deferred revenue</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98,330</w:t>
            </w: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35,366</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185,077</w:t>
            </w:r>
          </w:p>
        </w:tc>
        <w:tc>
          <w:tcPr>
            <w:tcW w:w="100" w:type="dxa"/>
            <w:vAlign w:val="bottom"/>
            <w:shd w:val="clear" w:color="auto" w:fill="CFF0FC"/>
          </w:tcPr>
          <w:p>
            <w:pPr>
              <w:spacing w:after="0"/>
              <w:rPr>
                <w:sz w:val="9"/>
                <w:szCs w:val="9"/>
                <w:color w:val="auto"/>
              </w:rPr>
            </w:pP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Long-term operating lease liabilities</w:t>
            </w:r>
          </w:p>
        </w:tc>
        <w:tc>
          <w:tcPr>
            <w:tcW w:w="10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(22,497)</w:t>
            </w:r>
          </w:p>
        </w:tc>
        <w:tc>
          <w:tcPr>
            <w:tcW w:w="100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(20,244)</w:t>
            </w:r>
          </w:p>
        </w:tc>
        <w:tc>
          <w:tcPr>
            <w:tcW w:w="220" w:type="dxa"/>
            <w:vAlign w:val="bottom"/>
          </w:tcPr>
          <w:p>
            <w:pPr>
              <w:spacing w:after="0"/>
              <w:rPr>
                <w:sz w:val="9"/>
                <w:szCs w:val="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Other</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6,408</w:t>
            </w: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4,059</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(22,989)</w:t>
            </w:r>
          </w:p>
        </w:tc>
      </w:tr>
      <w:tr>
        <w:trPr>
          <w:trHeight w:val="97"/>
        </w:trPr>
        <w:tc>
          <w:tcPr>
            <w:tcW w:w="6400" w:type="dxa"/>
            <w:vAlign w:val="bottom"/>
            <w:tcBorders>
              <w:bottom w:val="single" w:sz="8" w:color="CFF0FC"/>
            </w:tcBorders>
          </w:tcPr>
          <w:p>
            <w:pPr>
              <w:spacing w:after="0" w:line="97" w:lineRule="exact"/>
              <w:rPr>
                <w:sz w:val="20"/>
                <w:szCs w:val="20"/>
                <w:color w:val="auto"/>
              </w:rPr>
            </w:pPr>
            <w:r>
              <w:rPr>
                <w:rFonts w:ascii="Times New Roman" w:cs="Times New Roman" w:eastAsia="Times New Roman" w:hAnsi="Times New Roman"/>
                <w:sz w:val="9"/>
                <w:szCs w:val="9"/>
                <w:b w:val="1"/>
                <w:bCs w:val="1"/>
                <w:color w:val="auto"/>
              </w:rPr>
              <w:t>Net cash provided by operating activities</w:t>
            </w:r>
          </w:p>
        </w:tc>
        <w:tc>
          <w:tcPr>
            <w:tcW w:w="10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811,109</w:t>
            </w:r>
          </w:p>
        </w:tc>
        <w:tc>
          <w:tcPr>
            <w:tcW w:w="280" w:type="dxa"/>
            <w:vAlign w:val="bottom"/>
            <w:tcBorders>
              <w:bottom w:val="single" w:sz="8" w:color="CFF0FC"/>
            </w:tcBorders>
          </w:tcPr>
          <w:p>
            <w:pPr>
              <w:spacing w:after="0"/>
              <w:rPr>
                <w:sz w:val="8"/>
                <w:szCs w:val="8"/>
                <w:color w:val="auto"/>
              </w:rPr>
            </w:pPr>
          </w:p>
        </w:tc>
        <w:tc>
          <w:tcPr>
            <w:tcW w:w="10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709,523</w:t>
            </w:r>
          </w:p>
        </w:tc>
        <w:tc>
          <w:tcPr>
            <w:tcW w:w="240" w:type="dxa"/>
            <w:vAlign w:val="bottom"/>
            <w:tcBorders>
              <w:bottom w:val="single" w:sz="8" w:color="CFF0FC"/>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10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612,762</w:t>
            </w:r>
          </w:p>
        </w:tc>
        <w:tc>
          <w:tcPr>
            <w:tcW w:w="100" w:type="dxa"/>
            <w:vAlign w:val="bottom"/>
            <w:tcBorders>
              <w:bottom w:val="single" w:sz="8" w:color="CFF0FC"/>
            </w:tcBorders>
          </w:tcPr>
          <w:p>
            <w:pPr>
              <w:spacing w:after="0"/>
              <w:rPr>
                <w:sz w:val="8"/>
                <w:szCs w:val="8"/>
                <w:color w:val="auto"/>
              </w:rPr>
            </w:pPr>
          </w:p>
        </w:tc>
      </w:tr>
      <w:tr>
        <w:trPr>
          <w:trHeight w:val="97"/>
        </w:trPr>
        <w:tc>
          <w:tcPr>
            <w:tcW w:w="640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8"/>
        </w:trPr>
        <w:tc>
          <w:tcPr>
            <w:tcW w:w="640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Cash flows from investing activities</w:t>
            </w: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Acquisition of equity method investment</w:t>
            </w:r>
          </w:p>
        </w:tc>
        <w:tc>
          <w:tcPr>
            <w:tcW w:w="10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(190,816)</w:t>
            </w:r>
          </w:p>
        </w:tc>
        <w:tc>
          <w:tcPr>
            <w:tcW w:w="100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Capital expenditures</w:t>
            </w:r>
          </w:p>
        </w:tc>
        <w:tc>
          <w:tcPr>
            <w:tcW w:w="10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(21,826)</w:t>
            </w:r>
          </w:p>
        </w:tc>
        <w:tc>
          <w:tcPr>
            <w:tcW w:w="100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(29,116)</w:t>
            </w:r>
          </w:p>
        </w:tc>
        <w:tc>
          <w:tcPr>
            <w:tcW w:w="220" w:type="dxa"/>
            <w:vAlign w:val="bottom"/>
          </w:tcPr>
          <w:p>
            <w:pPr>
              <w:spacing w:after="0"/>
              <w:rPr>
                <w:sz w:val="9"/>
                <w:szCs w:val="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(30,257)</w:t>
            </w: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Capitalized software development costs</w:t>
            </w:r>
          </w:p>
        </w:tc>
        <w:tc>
          <w:tcPr>
            <w:tcW w:w="10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(29,149)</w:t>
            </w:r>
          </w:p>
        </w:tc>
        <w:tc>
          <w:tcPr>
            <w:tcW w:w="100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(24,654)</w:t>
            </w: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(18,704)</w:t>
            </w: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Acquisitions, net of cash acquired</w:t>
            </w:r>
          </w:p>
        </w:tc>
        <w:tc>
          <w:tcPr>
            <w:tcW w:w="1000" w:type="dxa"/>
            <w:vAlign w:val="bottom"/>
          </w:tcPr>
          <w:p>
            <w:pPr>
              <w:spacing w:after="0"/>
              <w:rPr>
                <w:sz w:val="9"/>
                <w:szCs w:val="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(18,177)</w:t>
            </w:r>
          </w:p>
        </w:tc>
        <w:tc>
          <w:tcPr>
            <w:tcW w:w="220" w:type="dxa"/>
            <w:vAlign w:val="bottom"/>
          </w:tcPr>
          <w:p>
            <w:pPr>
              <w:spacing w:after="0"/>
              <w:rPr>
                <w:sz w:val="9"/>
                <w:szCs w:val="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Proceeds from the sale of capital equipment</w:t>
            </w:r>
          </w:p>
        </w:tc>
        <w:tc>
          <w:tcPr>
            <w:tcW w:w="10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shd w:val="clear" w:color="auto" w:fill="CFF0FC"/>
          </w:tcPr>
          <w:p>
            <w:pPr>
              <w:spacing w:after="0"/>
              <w:rPr>
                <w:sz w:val="9"/>
                <w:szCs w:val="9"/>
                <w:color w:val="auto"/>
              </w:rPr>
            </w:pP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Proceeds from divestitures</w:t>
            </w:r>
          </w:p>
        </w:tc>
        <w:tc>
          <w:tcPr>
            <w:tcW w:w="1000" w:type="dxa"/>
            <w:vAlign w:val="bottom"/>
          </w:tcPr>
          <w:p>
            <w:pPr>
              <w:spacing w:after="0"/>
              <w:rPr>
                <w:sz w:val="9"/>
                <w:szCs w:val="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spacing w:after="0"/>
              <w:rPr>
                <w:sz w:val="9"/>
                <w:szCs w:val="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83,825</w:t>
            </w:r>
          </w:p>
        </w:tc>
        <w:tc>
          <w:tcPr>
            <w:tcW w:w="100" w:type="dxa"/>
            <w:vAlign w:val="bottom"/>
          </w:tcPr>
          <w:p>
            <w:pPr>
              <w:spacing w:after="0"/>
              <w:rPr>
                <w:sz w:val="9"/>
                <w:szCs w:val="9"/>
                <w:color w:val="auto"/>
              </w:rPr>
            </w:pPr>
          </w:p>
        </w:tc>
      </w:tr>
      <w:tr>
        <w:trPr>
          <w:trHeight w:val="97"/>
        </w:trPr>
        <w:tc>
          <w:tcPr>
            <w:tcW w:w="6400" w:type="dxa"/>
            <w:vAlign w:val="bottom"/>
            <w:tcBorders>
              <w:top w:val="single" w:sz="8" w:color="CFF0FC"/>
            </w:tcBorders>
            <w:shd w:val="clear" w:color="auto" w:fill="CFF0FC"/>
          </w:tcPr>
          <w:p>
            <w:pPr>
              <w:spacing w:after="0" w:line="97" w:lineRule="exact"/>
              <w:rPr>
                <w:sz w:val="20"/>
                <w:szCs w:val="20"/>
                <w:color w:val="auto"/>
              </w:rPr>
            </w:pPr>
            <w:r>
              <w:rPr>
                <w:rFonts w:ascii="Times New Roman" w:cs="Times New Roman" w:eastAsia="Times New Roman" w:hAnsi="Times New Roman"/>
                <w:sz w:val="9"/>
                <w:szCs w:val="9"/>
                <w:b w:val="1"/>
                <w:bCs w:val="1"/>
                <w:color w:val="auto"/>
              </w:rPr>
              <w:t>Net cash (used in) provided by investing activities</w:t>
            </w:r>
          </w:p>
        </w:tc>
        <w:tc>
          <w:tcPr>
            <w:tcW w:w="1000" w:type="dxa"/>
            <w:vAlign w:val="bottom"/>
            <w:tcBorders>
              <w:top w:val="single" w:sz="8" w:color="auto"/>
              <w:bottom w:val="single" w:sz="8" w:color="auto"/>
            </w:tcBorders>
            <w:shd w:val="clear" w:color="auto" w:fill="CFF0FC"/>
          </w:tcPr>
          <w:p>
            <w:pPr>
              <w:spacing w:after="0"/>
              <w:rPr>
                <w:sz w:val="8"/>
                <w:szCs w:val="8"/>
                <w:color w:val="auto"/>
              </w:rPr>
            </w:pPr>
          </w:p>
        </w:tc>
        <w:tc>
          <w:tcPr>
            <w:tcW w:w="42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(241,791)</w:t>
            </w:r>
          </w:p>
        </w:tc>
        <w:tc>
          <w:tcPr>
            <w:tcW w:w="280" w:type="dxa"/>
            <w:vAlign w:val="bottom"/>
            <w:tcBorders>
              <w:top w:val="single" w:sz="8" w:color="CFF0FC"/>
            </w:tcBorders>
            <w:shd w:val="clear" w:color="auto" w:fill="CFF0FC"/>
          </w:tcPr>
          <w:p>
            <w:pPr>
              <w:spacing w:after="0"/>
              <w:rPr>
                <w:sz w:val="8"/>
                <w:szCs w:val="8"/>
                <w:color w:val="auto"/>
              </w:rPr>
            </w:pPr>
          </w:p>
        </w:tc>
        <w:tc>
          <w:tcPr>
            <w:tcW w:w="1000" w:type="dxa"/>
            <w:vAlign w:val="bottom"/>
            <w:tcBorders>
              <w:top w:val="single" w:sz="8" w:color="auto"/>
              <w:bottom w:val="single" w:sz="8" w:color="auto"/>
            </w:tcBorders>
            <w:shd w:val="clear" w:color="auto" w:fill="CFF0FC"/>
          </w:tcPr>
          <w:p>
            <w:pPr>
              <w:spacing w:after="0"/>
              <w:rPr>
                <w:sz w:val="8"/>
                <w:szCs w:val="8"/>
                <w:color w:val="auto"/>
              </w:rPr>
            </w:pPr>
          </w:p>
        </w:tc>
        <w:tc>
          <w:tcPr>
            <w:tcW w:w="42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(71,937)</w:t>
            </w:r>
          </w:p>
        </w:tc>
        <w:tc>
          <w:tcPr>
            <w:tcW w:w="24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auto"/>
              <w:bottom w:val="single" w:sz="8" w:color="auto"/>
            </w:tcBorders>
            <w:shd w:val="clear" w:color="auto" w:fill="CFF0FC"/>
          </w:tcPr>
          <w:p>
            <w:pPr>
              <w:spacing w:after="0"/>
              <w:rPr>
                <w:sz w:val="8"/>
                <w:szCs w:val="8"/>
                <w:color w:val="auto"/>
              </w:rPr>
            </w:pPr>
          </w:p>
        </w:tc>
        <w:tc>
          <w:tcPr>
            <w:tcW w:w="106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34,874</w:t>
            </w:r>
          </w:p>
        </w:tc>
        <w:tc>
          <w:tcPr>
            <w:tcW w:w="100" w:type="dxa"/>
            <w:vAlign w:val="bottom"/>
            <w:tcBorders>
              <w:top w:val="single" w:sz="8" w:color="CFF0FC"/>
            </w:tcBorders>
            <w:shd w:val="clear" w:color="auto" w:fill="CFF0FC"/>
          </w:tcPr>
          <w:p>
            <w:pPr>
              <w:spacing w:after="0"/>
              <w:rPr>
                <w:sz w:val="8"/>
                <w:szCs w:val="8"/>
                <w:color w:val="auto"/>
              </w:rPr>
            </w:pPr>
          </w:p>
        </w:tc>
      </w:tr>
      <w:tr>
        <w:trPr>
          <w:trHeight w:val="97"/>
        </w:trPr>
        <w:tc>
          <w:tcPr>
            <w:tcW w:w="6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8"/>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Cash flows from financing activities</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Proceeds from borrowings</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1,405,000</w:t>
            </w: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1,000,000</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500,000</w:t>
            </w: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Repayment of borrowings</w:t>
            </w:r>
          </w:p>
        </w:tc>
        <w:tc>
          <w:tcPr>
            <w:tcW w:w="10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(1,142,382)</w:t>
            </w:r>
          </w:p>
        </w:tc>
        <w:tc>
          <w:tcPr>
            <w:tcW w:w="100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(513,125)</w:t>
            </w: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Proceeds from exercise of stock options</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3,236</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605</w:t>
            </w: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Repurchase of common stock held in treasury</w:t>
            </w:r>
          </w:p>
        </w:tc>
        <w:tc>
          <w:tcPr>
            <w:tcW w:w="10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(778,519)</w:t>
            </w:r>
          </w:p>
        </w:tc>
        <w:tc>
          <w:tcPr>
            <w:tcW w:w="100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(292,075)</w:t>
            </w: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(949,888)</w:t>
            </w:r>
          </w:p>
        </w:tc>
      </w:tr>
      <w:tr>
        <w:trPr>
          <w:trHeight w:val="108"/>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Payment of dividends</w:t>
            </w:r>
          </w:p>
        </w:tc>
        <w:tc>
          <w:tcPr>
            <w:tcW w:w="10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(246,444)</w:t>
            </w:r>
          </w:p>
        </w:tc>
        <w:tc>
          <w:tcPr>
            <w:tcW w:w="100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(222,922)</w:t>
            </w:r>
          </w:p>
        </w:tc>
        <w:tc>
          <w:tcPr>
            <w:tcW w:w="220" w:type="dxa"/>
            <w:vAlign w:val="bottom"/>
          </w:tcPr>
          <w:p>
            <w:pPr>
              <w:spacing w:after="0"/>
              <w:rPr>
                <w:sz w:val="9"/>
                <w:szCs w:val="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(170,938)</w:t>
            </w:r>
          </w:p>
        </w:tc>
      </w:tr>
      <w:tr>
        <w:trPr>
          <w:trHeight w:val="108"/>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Payment of debt issuance costs in connection with debt</w:t>
            </w:r>
          </w:p>
        </w:tc>
        <w:tc>
          <w:tcPr>
            <w:tcW w:w="10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(16,693)</w:t>
            </w:r>
          </w:p>
        </w:tc>
        <w:tc>
          <w:tcPr>
            <w:tcW w:w="100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(11,781)</w:t>
            </w:r>
          </w:p>
        </w:tc>
        <w:tc>
          <w:tcPr>
            <w:tcW w:w="22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(6,262)</w:t>
            </w:r>
          </w:p>
        </w:tc>
      </w:tr>
      <w:tr>
        <w:trPr>
          <w:trHeight w:val="97"/>
        </w:trPr>
        <w:tc>
          <w:tcPr>
            <w:tcW w:w="6400" w:type="dxa"/>
            <w:vAlign w:val="bottom"/>
            <w:tcBorders>
              <w:bottom w:val="single" w:sz="8" w:color="CFF0FC"/>
            </w:tcBorders>
          </w:tcPr>
          <w:p>
            <w:pPr>
              <w:spacing w:after="0" w:line="97" w:lineRule="exact"/>
              <w:rPr>
                <w:sz w:val="20"/>
                <w:szCs w:val="20"/>
                <w:color w:val="auto"/>
              </w:rPr>
            </w:pPr>
            <w:r>
              <w:rPr>
                <w:rFonts w:ascii="Times New Roman" w:cs="Times New Roman" w:eastAsia="Times New Roman" w:hAnsi="Times New Roman"/>
                <w:sz w:val="9"/>
                <w:szCs w:val="9"/>
                <w:b w:val="1"/>
                <w:bCs w:val="1"/>
                <w:color w:val="auto"/>
              </w:rPr>
              <w:t>Net cash used in financing activities</w:t>
            </w:r>
          </w:p>
        </w:tc>
        <w:tc>
          <w:tcPr>
            <w:tcW w:w="10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(779,038)</w:t>
            </w:r>
          </w:p>
        </w:tc>
        <w:tc>
          <w:tcPr>
            <w:tcW w:w="280" w:type="dxa"/>
            <w:vAlign w:val="bottom"/>
            <w:tcBorders>
              <w:bottom w:val="single" w:sz="8" w:color="CFF0FC"/>
            </w:tcBorders>
          </w:tcPr>
          <w:p>
            <w:pPr>
              <w:spacing w:after="0"/>
              <w:rPr>
                <w:sz w:val="8"/>
                <w:szCs w:val="8"/>
                <w:color w:val="auto"/>
              </w:rPr>
            </w:pPr>
          </w:p>
        </w:tc>
        <w:tc>
          <w:tcPr>
            <w:tcW w:w="10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(36,667)</w:t>
            </w:r>
          </w:p>
        </w:tc>
        <w:tc>
          <w:tcPr>
            <w:tcW w:w="240" w:type="dxa"/>
            <w:vAlign w:val="bottom"/>
            <w:tcBorders>
              <w:bottom w:val="single" w:sz="8" w:color="CFF0FC"/>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10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(626,483)</w:t>
            </w:r>
          </w:p>
        </w:tc>
        <w:tc>
          <w:tcPr>
            <w:tcW w:w="100" w:type="dxa"/>
            <w:vAlign w:val="bottom"/>
            <w:tcBorders>
              <w:bottom w:val="single" w:sz="8" w:color="CFF0FC"/>
            </w:tcBorders>
          </w:tcPr>
          <w:p>
            <w:pPr>
              <w:spacing w:after="0"/>
              <w:rPr>
                <w:sz w:val="8"/>
                <w:szCs w:val="8"/>
                <w:color w:val="auto"/>
              </w:rPr>
            </w:pPr>
          </w:p>
        </w:tc>
      </w:tr>
      <w:tr>
        <w:trPr>
          <w:trHeight w:val="97"/>
        </w:trPr>
        <w:tc>
          <w:tcPr>
            <w:tcW w:w="640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8"/>
        </w:trPr>
        <w:tc>
          <w:tcPr>
            <w:tcW w:w="640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Effect of exchange rate changes</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3,674</w:t>
            </w: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1,472</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(6,479)</w:t>
            </w:r>
          </w:p>
        </w:tc>
      </w:tr>
      <w:tr>
        <w:trPr>
          <w:trHeight w:val="97"/>
        </w:trPr>
        <w:tc>
          <w:tcPr>
            <w:tcW w:w="6400" w:type="dxa"/>
            <w:vAlign w:val="bottom"/>
            <w:tcBorders>
              <w:top w:val="single" w:sz="8" w:color="CFF0FC"/>
            </w:tcBorders>
            <w:shd w:val="clear" w:color="auto" w:fill="CFF0FC"/>
          </w:tcPr>
          <w:p>
            <w:pPr>
              <w:spacing w:after="0"/>
              <w:rPr>
                <w:sz w:val="8"/>
                <w:szCs w:val="8"/>
                <w:color w:val="auto"/>
              </w:rPr>
            </w:pPr>
          </w:p>
        </w:tc>
        <w:tc>
          <w:tcPr>
            <w:tcW w:w="10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CFF0FC"/>
            </w:tcBorders>
            <w:shd w:val="clear" w:color="auto" w:fill="CFF0FC"/>
          </w:tcPr>
          <w:p>
            <w:pPr>
              <w:spacing w:after="0"/>
              <w:rPr>
                <w:sz w:val="8"/>
                <w:szCs w:val="8"/>
                <w:color w:val="auto"/>
              </w:rPr>
            </w:pPr>
          </w:p>
        </w:tc>
        <w:tc>
          <w:tcPr>
            <w:tcW w:w="10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6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r>
      <w:tr>
        <w:trPr>
          <w:trHeight w:val="108"/>
        </w:trPr>
        <w:tc>
          <w:tcPr>
            <w:tcW w:w="640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Net (decrease) increase in cash</w:t>
            </w:r>
          </w:p>
        </w:tc>
        <w:tc>
          <w:tcPr>
            <w:tcW w:w="10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(206,046)</w:t>
            </w:r>
          </w:p>
        </w:tc>
        <w:tc>
          <w:tcPr>
            <w:tcW w:w="10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602,391</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14,674</w:t>
            </w:r>
          </w:p>
        </w:tc>
        <w:tc>
          <w:tcPr>
            <w:tcW w:w="100" w:type="dxa"/>
            <w:vAlign w:val="bottom"/>
          </w:tcPr>
          <w:p>
            <w:pPr>
              <w:spacing w:after="0"/>
              <w:rPr>
                <w:sz w:val="9"/>
                <w:szCs w:val="9"/>
                <w:color w:val="auto"/>
              </w:rPr>
            </w:pPr>
          </w:p>
        </w:tc>
      </w:tr>
      <w:tr>
        <w:trPr>
          <w:trHeight w:val="108"/>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Cash and cash equivalent, beginning of period</w:t>
            </w:r>
          </w:p>
        </w:tc>
        <w:tc>
          <w:tcPr>
            <w:tcW w:w="1000" w:type="dxa"/>
            <w:vAlign w:val="bottom"/>
            <w:tcBorders>
              <w:bottom w:val="single" w:sz="8" w:color="auto"/>
            </w:tcBorders>
            <w:shd w:val="clear" w:color="auto" w:fill="CFF0FC"/>
          </w:tcPr>
          <w:p>
            <w:pPr>
              <w:spacing w:after="0"/>
              <w:rPr>
                <w:sz w:val="9"/>
                <w:szCs w:val="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1,506,567</w:t>
            </w:r>
          </w:p>
        </w:tc>
        <w:tc>
          <w:tcPr>
            <w:tcW w:w="280" w:type="dxa"/>
            <w:vAlign w:val="bottom"/>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904,176</w:t>
            </w:r>
          </w:p>
        </w:tc>
        <w:tc>
          <w:tcPr>
            <w:tcW w:w="24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889,502</w:t>
            </w:r>
          </w:p>
        </w:tc>
        <w:tc>
          <w:tcPr>
            <w:tcW w:w="100" w:type="dxa"/>
            <w:vAlign w:val="bottom"/>
            <w:shd w:val="clear" w:color="auto" w:fill="CFF0FC"/>
          </w:tcPr>
          <w:p>
            <w:pPr>
              <w:spacing w:after="0"/>
              <w:rPr>
                <w:sz w:val="9"/>
                <w:szCs w:val="9"/>
                <w:color w:val="auto"/>
              </w:rPr>
            </w:pPr>
          </w:p>
        </w:tc>
      </w:tr>
      <w:tr>
        <w:trPr>
          <w:trHeight w:val="104"/>
        </w:trPr>
        <w:tc>
          <w:tcPr>
            <w:tcW w:w="6400" w:type="dxa"/>
            <w:vAlign w:val="bottom"/>
            <w:tcBorders>
              <w:bottom w:val="single" w:sz="8" w:color="CFF0FC"/>
            </w:tcBorders>
          </w:tcPr>
          <w:p>
            <w:pPr>
              <w:spacing w:after="0" w:line="97" w:lineRule="exact"/>
              <w:rPr>
                <w:sz w:val="20"/>
                <w:szCs w:val="20"/>
                <w:color w:val="auto"/>
              </w:rPr>
            </w:pPr>
            <w:r>
              <w:rPr>
                <w:rFonts w:ascii="Times New Roman" w:cs="Times New Roman" w:eastAsia="Times New Roman" w:hAnsi="Times New Roman"/>
                <w:sz w:val="9"/>
                <w:szCs w:val="9"/>
                <w:b w:val="1"/>
                <w:bCs w:val="1"/>
                <w:color w:val="auto"/>
              </w:rPr>
              <w:t>Cash and cash equivalent, end of period</w:t>
            </w:r>
          </w:p>
        </w:tc>
        <w:tc>
          <w:tcPr>
            <w:tcW w:w="10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1,300,521</w:t>
            </w:r>
          </w:p>
        </w:tc>
        <w:tc>
          <w:tcPr>
            <w:tcW w:w="280" w:type="dxa"/>
            <w:vAlign w:val="bottom"/>
            <w:tcBorders>
              <w:bottom w:val="single" w:sz="8" w:color="CFF0FC"/>
            </w:tcBorders>
          </w:tcPr>
          <w:p>
            <w:pPr>
              <w:spacing w:after="0"/>
              <w:rPr>
                <w:sz w:val="9"/>
                <w:szCs w:val="9"/>
                <w:color w:val="auto"/>
              </w:rPr>
            </w:pPr>
          </w:p>
        </w:tc>
        <w:tc>
          <w:tcPr>
            <w:tcW w:w="100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1,506,567</w:t>
            </w:r>
          </w:p>
        </w:tc>
        <w:tc>
          <w:tcPr>
            <w:tcW w:w="24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jc w:val="right"/>
              <w:ind w:right="115"/>
              <w:spacing w:after="0" w:line="97"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904,176</w:t>
            </w:r>
          </w:p>
        </w:tc>
        <w:tc>
          <w:tcPr>
            <w:tcW w:w="100" w:type="dxa"/>
            <w:vAlign w:val="bottom"/>
            <w:tcBorders>
              <w:bottom w:val="single" w:sz="8" w:color="CFF0FC"/>
            </w:tcBorders>
          </w:tcPr>
          <w:p>
            <w:pPr>
              <w:spacing w:after="0"/>
              <w:rPr>
                <w:sz w:val="9"/>
                <w:szCs w:val="9"/>
                <w:color w:val="auto"/>
              </w:rPr>
            </w:pPr>
          </w:p>
        </w:tc>
      </w:tr>
      <w:tr>
        <w:trPr>
          <w:trHeight w:val="108"/>
        </w:trPr>
        <w:tc>
          <w:tcPr>
            <w:tcW w:w="64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6400" w:type="dxa"/>
            <w:vAlign w:val="bottom"/>
          </w:tcPr>
          <w:p>
            <w:pPr>
              <w:spacing w:after="0"/>
              <w:rPr>
                <w:sz w:val="20"/>
                <w:szCs w:val="20"/>
                <w:color w:val="auto"/>
              </w:rPr>
            </w:pPr>
            <w:r>
              <w:rPr>
                <w:rFonts w:ascii="Times New Roman" w:cs="Times New Roman" w:eastAsia="Times New Roman" w:hAnsi="Times New Roman"/>
                <w:sz w:val="9"/>
                <w:szCs w:val="9"/>
                <w:color w:val="auto"/>
              </w:rPr>
              <w:t>Supplemental disclosure of cash flow information:</w:t>
            </w: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8"/>
        </w:trPr>
        <w:tc>
          <w:tcPr>
            <w:tcW w:w="6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Cash paid for interest</w:t>
            </w:r>
          </w:p>
        </w:tc>
        <w:tc>
          <w:tcPr>
            <w:tcW w:w="1000" w:type="dxa"/>
            <w:vAlign w:val="bottom"/>
            <w:tcBorders>
              <w:bottom w:val="single" w:sz="8" w:color="auto"/>
            </w:tcBorders>
            <w:shd w:val="clear" w:color="auto" w:fill="CFF0FC"/>
          </w:tcPr>
          <w:p>
            <w:pPr>
              <w:jc w:val="right"/>
              <w:ind w:right="932"/>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163,391</w:t>
            </w:r>
          </w:p>
        </w:tc>
        <w:tc>
          <w:tcPr>
            <w:tcW w:w="28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929"/>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141,484</w:t>
            </w: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125,986</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02"/>
        </w:trPr>
        <w:tc>
          <w:tcPr>
            <w:tcW w:w="6400" w:type="dxa"/>
            <w:vAlign w:val="bottom"/>
            <w:tcBorders>
              <w:bottom w:val="single" w:sz="8" w:color="CFF0FC"/>
            </w:tcBorders>
          </w:tcPr>
          <w:p>
            <w:pPr>
              <w:ind w:left="80"/>
              <w:spacing w:after="0" w:line="95" w:lineRule="exact"/>
              <w:rPr>
                <w:sz w:val="20"/>
                <w:szCs w:val="20"/>
                <w:color w:val="auto"/>
              </w:rPr>
            </w:pPr>
            <w:r>
              <w:rPr>
                <w:rFonts w:ascii="Times New Roman" w:cs="Times New Roman" w:eastAsia="Times New Roman" w:hAnsi="Times New Roman"/>
                <w:sz w:val="9"/>
                <w:szCs w:val="9"/>
                <w:color w:val="auto"/>
              </w:rPr>
              <w:t>Cash paid for income taxes, net of refunds received</w:t>
            </w:r>
          </w:p>
        </w:tc>
        <w:tc>
          <w:tcPr>
            <w:tcW w:w="10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113,646</w:t>
            </w:r>
          </w:p>
        </w:tc>
        <w:tc>
          <w:tcPr>
            <w:tcW w:w="280" w:type="dxa"/>
            <w:vAlign w:val="bottom"/>
            <w:tcBorders>
              <w:bottom w:val="single" w:sz="8" w:color="CFF0FC"/>
            </w:tcBorders>
          </w:tcPr>
          <w:p>
            <w:pPr>
              <w:spacing w:after="0"/>
              <w:rPr>
                <w:sz w:val="8"/>
                <w:szCs w:val="8"/>
                <w:color w:val="auto"/>
              </w:rPr>
            </w:pPr>
          </w:p>
        </w:tc>
        <w:tc>
          <w:tcPr>
            <w:tcW w:w="100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72,935</w:t>
            </w:r>
          </w:p>
        </w:tc>
        <w:tc>
          <w:tcPr>
            <w:tcW w:w="24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jc w:val="right"/>
              <w:ind w:right="115"/>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143,215</w:t>
            </w:r>
          </w:p>
        </w:tc>
        <w:tc>
          <w:tcPr>
            <w:tcW w:w="100" w:type="dxa"/>
            <w:vAlign w:val="bottom"/>
            <w:tcBorders>
              <w:bottom w:val="single" w:sz="8" w:color="CFF0FC"/>
            </w:tcBorders>
          </w:tcPr>
          <w:p>
            <w:pPr>
              <w:spacing w:after="0"/>
              <w:rPr>
                <w:sz w:val="8"/>
                <w:szCs w:val="8"/>
                <w:color w:val="auto"/>
              </w:rPr>
            </w:pPr>
          </w:p>
        </w:tc>
      </w:tr>
      <w:tr>
        <w:trPr>
          <w:trHeight w:val="108"/>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Supplemental disclosure of non-cash investing activities</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5"/>
        </w:trPr>
        <w:tc>
          <w:tcPr>
            <w:tcW w:w="640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9"/>
                <w:szCs w:val="9"/>
                <w:color w:val="auto"/>
              </w:rPr>
              <w:t>Property, equipment and leasehold improvements in other accrued liabilities</w:t>
            </w:r>
          </w:p>
        </w:tc>
        <w:tc>
          <w:tcPr>
            <w:tcW w:w="10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3,061</w:t>
            </w:r>
          </w:p>
        </w:tc>
        <w:tc>
          <w:tcPr>
            <w:tcW w:w="280" w:type="dxa"/>
            <w:vAlign w:val="bottom"/>
            <w:tcBorders>
              <w:bottom w:val="single" w:sz="8" w:color="CFF0FC"/>
            </w:tcBorders>
          </w:tcPr>
          <w:p>
            <w:pPr>
              <w:spacing w:after="0"/>
              <w:rPr>
                <w:sz w:val="10"/>
                <w:szCs w:val="10"/>
                <w:color w:val="auto"/>
              </w:rPr>
            </w:pPr>
          </w:p>
        </w:tc>
        <w:tc>
          <w:tcPr>
            <w:tcW w:w="100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3,690</w:t>
            </w:r>
          </w:p>
        </w:tc>
        <w:tc>
          <w:tcPr>
            <w:tcW w:w="24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2,999</w:t>
            </w:r>
          </w:p>
        </w:tc>
        <w:tc>
          <w:tcPr>
            <w:tcW w:w="100" w:type="dxa"/>
            <w:vAlign w:val="bottom"/>
            <w:tcBorders>
              <w:bottom w:val="single" w:sz="8" w:color="CFF0FC"/>
            </w:tcBorders>
          </w:tcPr>
          <w:p>
            <w:pPr>
              <w:spacing w:after="0"/>
              <w:rPr>
                <w:sz w:val="10"/>
                <w:szCs w:val="10"/>
                <w:color w:val="auto"/>
              </w:rPr>
            </w:pPr>
          </w:p>
        </w:tc>
      </w:tr>
      <w:tr>
        <w:trPr>
          <w:trHeight w:val="108"/>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Supplemental disclosure of non-cash financing activities</w:t>
            </w: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5"/>
        </w:trPr>
        <w:tc>
          <w:tcPr>
            <w:tcW w:w="6400" w:type="dxa"/>
            <w:vAlign w:val="bottom"/>
          </w:tcPr>
          <w:p>
            <w:pPr>
              <w:ind w:left="80"/>
              <w:spacing w:after="0"/>
              <w:rPr>
                <w:sz w:val="20"/>
                <w:szCs w:val="20"/>
                <w:color w:val="auto"/>
              </w:rPr>
            </w:pPr>
            <w:r>
              <w:rPr>
                <w:rFonts w:ascii="Times New Roman" w:cs="Times New Roman" w:eastAsia="Times New Roman" w:hAnsi="Times New Roman"/>
                <w:sz w:val="9"/>
                <w:szCs w:val="9"/>
                <w:color w:val="auto"/>
              </w:rPr>
              <w:t>Cash dividends declared, but not yet paid</w:t>
            </w:r>
          </w:p>
        </w:tc>
        <w:tc>
          <w:tcPr>
            <w:tcW w:w="10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1,438</w:t>
            </w:r>
          </w:p>
        </w:tc>
        <w:tc>
          <w:tcPr>
            <w:tcW w:w="280" w:type="dxa"/>
            <w:vAlign w:val="bottom"/>
          </w:tcPr>
          <w:p>
            <w:pPr>
              <w:spacing w:after="0"/>
              <w:rPr>
                <w:sz w:val="10"/>
                <w:szCs w:val="10"/>
                <w:color w:val="auto"/>
              </w:rPr>
            </w:pPr>
          </w:p>
        </w:tc>
        <w:tc>
          <w:tcPr>
            <w:tcW w:w="100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1,039</w:t>
            </w:r>
          </w:p>
        </w:tc>
        <w:tc>
          <w:tcPr>
            <w:tcW w:w="240" w:type="dxa"/>
            <w:vAlign w:val="bottom"/>
          </w:tcPr>
          <w:p>
            <w:pPr>
              <w:spacing w:after="0"/>
              <w:rPr>
                <w:sz w:val="10"/>
                <w:szCs w:val="10"/>
                <w:color w:val="auto"/>
              </w:rPr>
            </w:pPr>
          </w:p>
        </w:tc>
        <w:tc>
          <w:tcPr>
            <w:tcW w:w="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862</w:t>
            </w:r>
          </w:p>
        </w:tc>
        <w:tc>
          <w:tcPr>
            <w:tcW w:w="100" w:type="dxa"/>
            <w:vAlign w:val="bottom"/>
          </w:tcPr>
          <w:p>
            <w:pPr>
              <w:spacing w:after="0"/>
              <w:rPr>
                <w:sz w:val="10"/>
                <w:szCs w:val="10"/>
                <w:color w:val="auto"/>
              </w:rPr>
            </w:pPr>
          </w:p>
        </w:tc>
      </w:tr>
    </w:tbl>
    <w:p>
      <w:pPr>
        <w:spacing w:after="0" w:line="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40"/>
          </w:cols>
          <w:pgMar w:left="300" w:top="269" w:right="459" w:bottom="1440" w:gutter="0" w:footer="0" w:header="0"/>
        </w:sectPr>
      </w:pPr>
    </w:p>
    <w:bookmarkStart w:id="66" w:name="page67"/>
    <w:bookmarkEnd w:id="66"/>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MSCI INC.</w:t>
      </w:r>
    </w:p>
    <w:p>
      <w:pPr>
        <w:spacing w:after="0" w:line="7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312" w:lineRule="exact"/>
        <w:rPr>
          <w:sz w:val="20"/>
          <w:szCs w:val="20"/>
          <w:color w:val="auto"/>
        </w:rPr>
      </w:pPr>
    </w:p>
    <w:p>
      <w:pPr>
        <w:ind w:left="8" w:right="8380" w:hanging="8"/>
        <w:spacing w:after="0" w:line="379" w:lineRule="auto"/>
        <w:tabs>
          <w:tab w:leader="none" w:pos="128" w:val="left"/>
        </w:tabs>
        <w:numPr>
          <w:ilvl w:val="0"/>
          <w:numId w:val="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INTRODUCTION AND BASIS OF PRESENTATION Organization</w:t>
      </w:r>
    </w:p>
    <w:p>
      <w:pPr>
        <w:jc w:val="both"/>
        <w:ind w:left="8" w:right="220" w:firstLine="592"/>
        <w:spacing w:after="0" w:line="265" w:lineRule="auto"/>
        <w:rPr>
          <w:sz w:val="20"/>
          <w:szCs w:val="20"/>
          <w:color w:val="auto"/>
        </w:rPr>
      </w:pPr>
      <w:r>
        <w:rPr>
          <w:rFonts w:ascii="Times New Roman" w:cs="Times New Roman" w:eastAsia="Times New Roman" w:hAnsi="Times New Roman"/>
          <w:sz w:val="12"/>
          <w:szCs w:val="12"/>
          <w:color w:val="auto"/>
        </w:rPr>
        <w:t>MSCI Inc., together with its wholly-owned subsidiaries (the “Company” or “MSCI”) provides critical decision support tools and services that bring greater transparency to the global financial markets. MSCI’s tools and services include indexes; portfolio construction tools and risk-management analytics; environmental, social and governance (“ESG”) and climate solutions; and real estate benchmarks, return analytics and market insights; much of which can be accessed by clients through multiple channels and platforms.</w:t>
      </w:r>
    </w:p>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82" w:lineRule="exact"/>
        <w:rPr>
          <w:sz w:val="20"/>
          <w:szCs w:val="20"/>
          <w:color w:val="auto"/>
        </w:rPr>
      </w:pPr>
    </w:p>
    <w:p>
      <w:pPr>
        <w:jc w:val="both"/>
        <w:ind w:left="8" w:right="220" w:firstLine="592"/>
        <w:spacing w:after="0" w:line="279" w:lineRule="auto"/>
        <w:rPr>
          <w:sz w:val="20"/>
          <w:szCs w:val="20"/>
          <w:color w:val="auto"/>
        </w:rPr>
      </w:pPr>
      <w:r>
        <w:rPr>
          <w:rFonts w:ascii="Times New Roman" w:cs="Times New Roman" w:eastAsia="Times New Roman" w:hAnsi="Times New Roman"/>
          <w:sz w:val="12"/>
          <w:szCs w:val="12"/>
          <w:color w:val="auto"/>
        </w:rPr>
        <w:t>The consolidated financial statements and accompanying notes to financial statements, which include the accounts of MSCI Inc. and its wholly-owned subsidiaries, are prepared in accordance with accounting principles generally accepted in the United States of America (“GAAP”).</w:t>
      </w:r>
    </w:p>
    <w:p>
      <w:pPr>
        <w:spacing w:after="0" w:line="39"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Certain prior period amounts have been reclassified to conform to the current period presentation.</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Significant Accounting Policies</w:t>
      </w:r>
    </w:p>
    <w:p>
      <w:pPr>
        <w:spacing w:after="0" w:line="7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b w:val="1"/>
          <w:bCs w:val="1"/>
          <w:i w:val="1"/>
          <w:iCs w:val="1"/>
          <w:color w:val="auto"/>
        </w:rPr>
        <w:t>Basis of Financial Statements and Use of Estimates</w:t>
      </w:r>
    </w:p>
    <w:p>
      <w:pPr>
        <w:spacing w:after="0" w:line="82" w:lineRule="exact"/>
        <w:rPr>
          <w:sz w:val="20"/>
          <w:szCs w:val="20"/>
          <w:color w:val="auto"/>
        </w:rPr>
      </w:pPr>
    </w:p>
    <w:p>
      <w:pPr>
        <w:ind w:left="8" w:right="20" w:firstLine="592"/>
        <w:spacing w:after="0" w:line="260" w:lineRule="auto"/>
        <w:rPr>
          <w:sz w:val="20"/>
          <w:szCs w:val="20"/>
          <w:color w:val="auto"/>
        </w:rPr>
      </w:pPr>
      <w:r>
        <w:rPr>
          <w:rFonts w:ascii="Times New Roman" w:cs="Times New Roman" w:eastAsia="Times New Roman" w:hAnsi="Times New Roman"/>
          <w:sz w:val="12"/>
          <w:szCs w:val="12"/>
          <w:color w:val="auto"/>
        </w:rPr>
        <w:t>GAAP requires the Company to make certain estimates and judgments that can affect the reported amounts of assets and liabilities as of the date of the consolidated financial statements, as well as the reported amounts of revenue and expenses during the periods presented. Significant estimates and assumptions made by management include the deferral and recognition of revenue, research and development and software capitalization, assessment of impairment of long-lived assets, accrued compensation, income taxes, incremental borrowing rates and other matters that affect the consolidated financial statements and related disclosures. The Company believes that estimates used in the preparation of these consolidated financial statements are reasonable; however, actual results could differ materially from these estimates.</w:t>
      </w:r>
    </w:p>
    <w:p>
      <w:pPr>
        <w:spacing w:after="0" w:line="122"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Inter-company balances and transactions are eliminated in consolidation.</w:t>
      </w:r>
    </w:p>
    <w:p>
      <w:pPr>
        <w:spacing w:after="0" w:line="21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ind w:left="8" w:firstLine="592"/>
        <w:spacing w:after="0" w:line="254" w:lineRule="auto"/>
        <w:rPr>
          <w:sz w:val="20"/>
          <w:szCs w:val="20"/>
          <w:color w:val="auto"/>
        </w:rPr>
      </w:pPr>
      <w:r>
        <w:rPr>
          <w:rFonts w:ascii="Times New Roman" w:cs="Times New Roman" w:eastAsia="Times New Roman" w:hAnsi="Times New Roman"/>
          <w:sz w:val="12"/>
          <w:szCs w:val="12"/>
          <w:color w:val="auto"/>
        </w:rPr>
        <w:t>MSCI adopted the revenue standard set forth under Accounting Standards Codification Topic 606 “Revenue from Contracts with Customers,” or ASC Topic 606, as of January 1, 2018 using the Modified Retrospective Approach and as such, applied ASC Topic 606 only to contracts that were not completed at the January 1, 2018 adoption date and did not adjust prior reporting periods. An adjustment was recorded within the Consolidated Statement of Financial Condition as of January 1, 2018. The adoption resulted in more revenue being recognized upfront or earlier in the life of new client contracts for certain of the Company’s products and services, including fees related to the licensing of certain desktop applications as they relate to the energy and commodity analytics products, implementation services as they relate to Analytics products and services and the Company’s hosted applications and set-up fees as they relate to the Company’s custom index products. ASC Topic 606 also has the impact of ratably allocating revenue recognition as it relates to multi-year subscriptions. The adoption of ASC Topic 606 also resulted in higher accounts receivable and deferred revenue balances. Under the previous accounting guidance, MSCI generally recorded the value of an invoice to accounts receivable and deferred revenue at the beginning of the service period began. Under ASC Topic 606, MSCI records accounts receivable and a corresponding offset to deferred revenue when an invoice is issued prior to satisfaction of the performance obligation. When performance obligations are satisfied prior to issuance of an invoice, MSCI records accounts receivable and a corresponding offset to operating revenues. See Note 3, “Revenue Recognition,” for further discussion of the impact of the change upon adoption of ASC Topic 606.</w:t>
      </w:r>
    </w:p>
    <w:p>
      <w:pPr>
        <w:spacing w:after="0" w:line="12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26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b w:val="1"/>
          <w:bCs w:val="1"/>
          <w:color w:val="auto"/>
        </w:rPr>
        <w:t>Performance Obligations and Transaction Price</w:t>
      </w:r>
    </w:p>
    <w:p>
      <w:pPr>
        <w:spacing w:after="0" w:line="82" w:lineRule="exact"/>
        <w:rPr>
          <w:sz w:val="20"/>
          <w:szCs w:val="20"/>
          <w:color w:val="auto"/>
        </w:rPr>
      </w:pPr>
    </w:p>
    <w:p>
      <w:pPr>
        <w:ind w:firstLine="592"/>
        <w:spacing w:after="0" w:line="265" w:lineRule="auto"/>
        <w:rPr>
          <w:sz w:val="20"/>
          <w:szCs w:val="20"/>
          <w:color w:val="auto"/>
        </w:rPr>
      </w:pPr>
      <w:r>
        <w:rPr>
          <w:rFonts w:ascii="Times New Roman" w:cs="Times New Roman" w:eastAsia="Times New Roman" w:hAnsi="Times New Roman"/>
          <w:sz w:val="12"/>
          <w:szCs w:val="12"/>
          <w:color w:val="auto"/>
        </w:rPr>
        <w:t>For revenue arrangements containing multiple products or services, the Company accounts for the individual products or services as a separate performance obligation if they are distinct. A product or service is distinct if a client can benefit from it either on its own or together with other resources that are readily available to the client, and the Company’s promise to transfer the product or service to the client is separately identifiable from other promises in the contract. If both criteria are not met, the promised products or services are accounted for as a combined performance obligation.</w:t>
      </w:r>
    </w:p>
    <w:p>
      <w:pPr>
        <w:spacing w:after="0" w:line="119" w:lineRule="exact"/>
        <w:rPr>
          <w:sz w:val="20"/>
          <w:szCs w:val="20"/>
          <w:color w:val="auto"/>
        </w:rPr>
      </w:pPr>
    </w:p>
    <w:p>
      <w:pPr>
        <w:ind w:right="180" w:firstLine="592"/>
        <w:spacing w:after="0" w:line="256" w:lineRule="auto"/>
        <w:rPr>
          <w:sz w:val="20"/>
          <w:szCs w:val="20"/>
          <w:color w:val="auto"/>
        </w:rPr>
      </w:pPr>
      <w:r>
        <w:rPr>
          <w:rFonts w:ascii="Times New Roman" w:cs="Times New Roman" w:eastAsia="Times New Roman" w:hAnsi="Times New Roman"/>
          <w:sz w:val="12"/>
          <w:szCs w:val="12"/>
          <w:color w:val="auto"/>
        </w:rPr>
        <w:t>A transaction price is the amount of consideration to which an entity expects to be entitled in exchange for transferring products or services to the customer in general. The Company allocates the transaction price to each performance obligation identified in the contract based on the best estimate of a relative standalone selling price of each distinct product or service in the contract. To allocate the transaction price to each performance obligation on a relative standalone selling price basis, the Company determines the standalone selling price at contract inception of the distinct product or service underlying each performance obligation in proportion to the standalone selling prices. This standalone selling price may be the contract price but is more often than not the best estimate of the price the Company would receive for selling the product or service separately in similar circumstances and to other similar customers. A client can receive a discount for purchasing a bundle of products or services if the sum of the standalone selling price of those promised products or services in the contract exceeds the promised consideration in the contract. In general, the discounts apply proportionally to all performance obligations in the contract.</w:t>
      </w:r>
    </w:p>
    <w:p>
      <w:pPr>
        <w:spacing w:after="0" w:line="125" w:lineRule="exact"/>
        <w:rPr>
          <w:sz w:val="20"/>
          <w:szCs w:val="20"/>
          <w:color w:val="auto"/>
        </w:rPr>
      </w:pPr>
    </w:p>
    <w:p>
      <w:pPr>
        <w:jc w:val="both"/>
        <w:ind w:right="320" w:firstLine="592"/>
        <w:spacing w:after="0" w:line="265" w:lineRule="auto"/>
        <w:rPr>
          <w:sz w:val="20"/>
          <w:szCs w:val="20"/>
          <w:color w:val="auto"/>
        </w:rPr>
      </w:pPr>
      <w:r>
        <w:rPr>
          <w:rFonts w:ascii="Times New Roman" w:cs="Times New Roman" w:eastAsia="Times New Roman" w:hAnsi="Times New Roman"/>
          <w:sz w:val="12"/>
          <w:szCs w:val="12"/>
          <w:color w:val="auto"/>
        </w:rPr>
        <w:t>For services where the transaction price is variable based upon assets under management (“AUM”), volume of trades, fee levels or number of investments linked to MSCI’s indexes, the transaction price is based upon pricing models and is not allocated at the inception of the contract but rather falls within the sales and usage-based royalty exception under which the price and associated revenue are based upon actual known performance or best estimates of actual performance during the performance period.</w:t>
      </w:r>
    </w:p>
    <w:p>
      <w:pPr>
        <w:spacing w:after="0" w:line="119" w:lineRule="exact"/>
        <w:rPr>
          <w:sz w:val="20"/>
          <w:szCs w:val="20"/>
          <w:color w:val="auto"/>
        </w:rPr>
      </w:pPr>
    </w:p>
    <w:p>
      <w:pPr>
        <w:jc w:val="both"/>
        <w:ind w:right="260" w:firstLine="592"/>
        <w:spacing w:after="0" w:line="265" w:lineRule="auto"/>
        <w:rPr>
          <w:sz w:val="20"/>
          <w:szCs w:val="20"/>
          <w:color w:val="auto"/>
        </w:rPr>
      </w:pPr>
      <w:r>
        <w:rPr>
          <w:rFonts w:ascii="Times New Roman" w:cs="Times New Roman" w:eastAsia="Times New Roman" w:hAnsi="Times New Roman"/>
          <w:sz w:val="12"/>
          <w:szCs w:val="12"/>
          <w:color w:val="auto"/>
        </w:rPr>
        <w:t>Revenue is recognized when a customer obtains control of promised products or services in an amount that reflects the consideration the entity expects to receive in exchange for those products or services. Determining when control has transferred can sometimes require management’s judgement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implementation services), which could affect the timing of revenue recognition. Revenue is recognized exclusive of any applicable sales or other indirect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Disaggregation of Revenue</w:t>
      </w:r>
    </w:p>
    <w:p>
      <w:pPr>
        <w:spacing w:after="0" w:line="82" w:lineRule="exact"/>
        <w:rPr>
          <w:sz w:val="20"/>
          <w:szCs w:val="20"/>
          <w:color w:val="auto"/>
        </w:rPr>
      </w:pPr>
    </w:p>
    <w:p>
      <w:pPr>
        <w:ind w:right="200" w:firstLine="592"/>
        <w:spacing w:after="0" w:line="279" w:lineRule="auto"/>
        <w:rPr>
          <w:sz w:val="20"/>
          <w:szCs w:val="20"/>
          <w:color w:val="auto"/>
        </w:rPr>
      </w:pPr>
      <w:r>
        <w:rPr>
          <w:rFonts w:ascii="Times New Roman" w:cs="Times New Roman" w:eastAsia="Times New Roman" w:hAnsi="Times New Roman"/>
          <w:sz w:val="12"/>
          <w:szCs w:val="12"/>
          <w:color w:val="auto"/>
        </w:rPr>
        <w:t>Revenues are characterized by type, which broadly reflects the nature of how they are recognized or earned. Our revenue types are recurring subscriptions, asset-based fees and non-recurring revenues. We also group our revenues by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Revenues By Type</w:t>
      </w:r>
    </w:p>
    <w:p>
      <w:pPr>
        <w:spacing w:after="0" w:line="82" w:lineRule="exact"/>
        <w:rPr>
          <w:sz w:val="20"/>
          <w:szCs w:val="20"/>
          <w:color w:val="auto"/>
        </w:rPr>
      </w:pPr>
    </w:p>
    <w:p>
      <w:pPr>
        <w:ind w:right="160" w:firstLine="592"/>
        <w:spacing w:after="0" w:line="265" w:lineRule="auto"/>
        <w:rPr>
          <w:sz w:val="20"/>
          <w:szCs w:val="20"/>
          <w:color w:val="auto"/>
        </w:rPr>
      </w:pPr>
      <w:r>
        <w:rPr>
          <w:rFonts w:ascii="Times New Roman" w:cs="Times New Roman" w:eastAsia="Times New Roman" w:hAnsi="Times New Roman"/>
          <w:sz w:val="12"/>
          <w:szCs w:val="12"/>
          <w:color w:val="auto"/>
        </w:rPr>
        <w:t>Recurring subscription revenues represent fees earned from clients primarily under renewable contracts or agreements and are generally paid annually or quarterly in advance and recognized in most cases ratably over the term of the license or service pursuant to the contract terms. Revenues from subscription agreements for the receipt of periodic benchmark reports, digests and other publications, which are most often associated with our real estate offerings, are generally billed and recognized upon delivery of such reports or data updates.</w:t>
      </w:r>
    </w:p>
    <w:p>
      <w:pPr>
        <w:spacing w:after="0" w:line="119" w:lineRule="exact"/>
        <w:rPr>
          <w:sz w:val="20"/>
          <w:szCs w:val="20"/>
          <w:color w:val="auto"/>
        </w:rPr>
      </w:pPr>
    </w:p>
    <w:p>
      <w:pPr>
        <w:ind w:right="40" w:firstLine="592"/>
        <w:spacing w:after="0" w:line="265" w:lineRule="auto"/>
        <w:rPr>
          <w:sz w:val="20"/>
          <w:szCs w:val="20"/>
          <w:color w:val="auto"/>
        </w:rPr>
      </w:pPr>
      <w:r>
        <w:rPr>
          <w:rFonts w:ascii="Times New Roman" w:cs="Times New Roman" w:eastAsia="Times New Roman" w:hAnsi="Times New Roman"/>
          <w:sz w:val="12"/>
          <w:szCs w:val="12"/>
          <w:color w:val="auto"/>
        </w:rPr>
        <w:t>Asset-based fees are principally recognized based on the estimated AUM linked to our indexes from independent third-party sources or the most recently reported information provided by the client. Asset-based fees also include revenues related to futures and options contracts linked to our indexes, which are primarily based on trading volumes and fee levels. Asset-based fees are generally variable based upon AUM or the volume of trades or fee levels and are generally billed quarterly in arrears.</w:t>
      </w:r>
    </w:p>
    <w:p>
      <w:pPr>
        <w:spacing w:after="0" w:line="119" w:lineRule="exact"/>
        <w:rPr>
          <w:sz w:val="20"/>
          <w:szCs w:val="20"/>
          <w:color w:val="auto"/>
        </w:rPr>
      </w:pPr>
    </w:p>
    <w:p>
      <w:pPr>
        <w:ind w:right="140" w:firstLine="592"/>
        <w:spacing w:after="0" w:line="265" w:lineRule="auto"/>
        <w:rPr>
          <w:sz w:val="20"/>
          <w:szCs w:val="20"/>
          <w:color w:val="auto"/>
        </w:rPr>
      </w:pPr>
      <w:r>
        <w:rPr>
          <w:rFonts w:ascii="Times New Roman" w:cs="Times New Roman" w:eastAsia="Times New Roman" w:hAnsi="Times New Roman"/>
          <w:sz w:val="12"/>
          <w:szCs w:val="12"/>
          <w:color w:val="auto"/>
        </w:rPr>
        <w:t>Non-recurring revenues primarily represent fees earned on products and services where we do not have renewal contracts and primarily include revenues for providing customized reports, historical data sets, certain derivative financial products and certain implementation and consulting services, as well as revenues from particular products and services that are purchased on a non-renewal basis. Based on the nature of the services provided, non-recurring revenues are generally billed upon delivery and recognized upon delivery or over the service period.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u w:val="single" w:color="auto"/>
          <w:color w:val="auto"/>
        </w:rPr>
        <w:t>Revenues By Segment</w:t>
      </w:r>
    </w:p>
    <w:p>
      <w:pPr>
        <w:spacing w:after="0" w:line="82" w:lineRule="exact"/>
        <w:rPr>
          <w:sz w:val="20"/>
          <w:szCs w:val="20"/>
          <w:color w:val="auto"/>
        </w:rPr>
      </w:pPr>
    </w:p>
    <w:p>
      <w:pPr>
        <w:ind w:right="20" w:firstLine="592"/>
        <w:spacing w:after="0" w:line="257" w:lineRule="auto"/>
        <w:rPr>
          <w:sz w:val="20"/>
          <w:szCs w:val="20"/>
          <w:color w:val="auto"/>
        </w:rPr>
      </w:pPr>
      <w:r>
        <w:rPr>
          <w:rFonts w:ascii="Times New Roman" w:cs="Times New Roman" w:eastAsia="Times New Roman" w:hAnsi="Times New Roman"/>
          <w:sz w:val="12"/>
          <w:szCs w:val="12"/>
          <w:color w:val="auto"/>
        </w:rPr>
        <w:t>For products within the Index segment, with respect to index data subscriptions, MSCI’s performance obligation to deliver the data is satisfied over time and, accordingly, revenue is recognized ratably over the term of the agreement pursuant to the contract terms. With respect to licenses to create indexed investment products, such as ETFs, passively managed funds, or licenses which allow certain exchanges to use MSCI’s indexes as the basis for futures and options contracts, MSCI’s performance obligation allows customers to use the Company’s intellectual property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the indexes) as the basis of the funds or other investment products the customers create over the term of the agreement. The fees earned for these rights are typically variable, in which case they are accrued under the sales and usage-based royalty exception pursuant to the level of performance achieved, which is measured based on AUM, volume of trades or other factors. The level of performance achieved is based on information obtained from independent third-party sources or best estimates taking into account the most recently reported information from the client.</w:t>
      </w:r>
    </w:p>
    <w:p>
      <w:pPr>
        <w:spacing w:after="0" w:line="125" w:lineRule="exact"/>
        <w:rPr>
          <w:sz w:val="20"/>
          <w:szCs w:val="20"/>
          <w:color w:val="auto"/>
        </w:rPr>
      </w:pPr>
    </w:p>
    <w:p>
      <w:pPr>
        <w:jc w:val="both"/>
        <w:ind w:right="140" w:firstLine="592"/>
        <w:spacing w:after="0" w:line="265" w:lineRule="auto"/>
        <w:rPr>
          <w:sz w:val="20"/>
          <w:szCs w:val="20"/>
          <w:color w:val="auto"/>
        </w:rPr>
      </w:pPr>
      <w:r>
        <w:rPr>
          <w:rFonts w:ascii="Times New Roman" w:cs="Times New Roman" w:eastAsia="Times New Roman" w:hAnsi="Times New Roman"/>
          <w:sz w:val="12"/>
          <w:szCs w:val="12"/>
          <w:color w:val="auto"/>
        </w:rPr>
        <w:t>For products within the Analytics segment, MSCI’s performance obligations include providing access to its proprietary models or hosted applications and, in some cases, delivery of managed services, which are typically satisfied over time, and accordingly, revenue is recognized ratably over the term of the service period. For implementation services, MSCI meets its performance obligation once the implementation service is complete and the related service is available for the client to use and revenue is recognized at the point in time when the implementation service is completed.</w:t>
      </w:r>
    </w:p>
    <w:p>
      <w:pPr>
        <w:spacing w:after="0" w:line="119" w:lineRule="exact"/>
        <w:rPr>
          <w:sz w:val="20"/>
          <w:szCs w:val="20"/>
          <w:color w:val="auto"/>
        </w:rPr>
      </w:pPr>
    </w:p>
    <w:p>
      <w:pPr>
        <w:ind w:right="60" w:firstLine="592"/>
        <w:spacing w:after="0" w:line="260" w:lineRule="auto"/>
        <w:rPr>
          <w:sz w:val="20"/>
          <w:szCs w:val="20"/>
          <w:color w:val="auto"/>
        </w:rPr>
      </w:pPr>
      <w:r>
        <w:rPr>
          <w:rFonts w:ascii="Times New Roman" w:cs="Times New Roman" w:eastAsia="Times New Roman" w:hAnsi="Times New Roman"/>
          <w:sz w:val="12"/>
          <w:szCs w:val="12"/>
          <w:color w:val="auto"/>
        </w:rPr>
        <w:t>For products within the All Other segment, MSCI’s performance obligations with respect to its ESG products are satisfied over time for the majority of the data subscriptions as MSCI provides and updates the data to the customer throughout the term of the agreement and revenue is recognized ratably over the term of the agreement. For custom ESG research data, the performance obligation is typically complete, and revenue is recognized, at the point in time when the data is updated and available to the customer. MSCI’s Real Estate products primarily include periodic benchmark reports, Market Information and other publications. MSCI primarily satisfies its performance obligations, and revenue is recognized, at the point in time when the Company delivers reports or publications. For Market Information products, publications are delivered throughout the year, and the revenue is recognized over time.</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82" w:lineRule="exact"/>
        <w:rPr>
          <w:sz w:val="20"/>
          <w:szCs w:val="20"/>
          <w:color w:val="auto"/>
        </w:rPr>
      </w:pPr>
    </w:p>
    <w:p>
      <w:pPr>
        <w:jc w:val="both"/>
        <w:ind w:right="200" w:firstLine="592"/>
        <w:spacing w:after="0" w:line="265" w:lineRule="auto"/>
        <w:rPr>
          <w:sz w:val="20"/>
          <w:szCs w:val="20"/>
          <w:color w:val="auto"/>
        </w:rPr>
      </w:pPr>
      <w:r>
        <w:rPr>
          <w:rFonts w:ascii="Times New Roman" w:cs="Times New Roman" w:eastAsia="Times New Roman" w:hAnsi="Times New Roman"/>
          <w:sz w:val="12"/>
          <w:szCs w:val="12"/>
          <w:color w:val="auto"/>
        </w:rPr>
        <w:t>Certain of the Company’s employees have received share-based compensation under various compensation programs. The Company’s compensation expense reflects the fair value method of accounting for share-based payments under ASC Subtopic 718-10, “</w:t>
      </w:r>
      <w:r>
        <w:rPr>
          <w:rFonts w:ascii="Times New Roman" w:cs="Times New Roman" w:eastAsia="Times New Roman" w:hAnsi="Times New Roman"/>
          <w:sz w:val="12"/>
          <w:szCs w:val="12"/>
          <w:i w:val="1"/>
          <w:iCs w:val="1"/>
          <w:color w:val="auto"/>
        </w:rPr>
        <w:t>Compensation—Stock Compensation.</w:t>
      </w:r>
      <w:r>
        <w:rPr>
          <w:rFonts w:ascii="Times New Roman" w:cs="Times New Roman" w:eastAsia="Times New Roman" w:hAnsi="Times New Roman"/>
          <w:sz w:val="12"/>
          <w:szCs w:val="12"/>
          <w:color w:val="auto"/>
        </w:rPr>
        <w:t>” ASC Subtopic 718-10 requires measurement of compensation cost for equity-based awards at fair value and recognition of compensation cost over the service period, net of estimated forfeitures.</w:t>
      </w:r>
    </w:p>
    <w:p>
      <w:pPr>
        <w:spacing w:after="0" w:line="119" w:lineRule="exact"/>
        <w:rPr>
          <w:sz w:val="20"/>
          <w:szCs w:val="20"/>
          <w:color w:val="auto"/>
        </w:rPr>
      </w:pPr>
    </w:p>
    <w:p>
      <w:pPr>
        <w:ind w:right="20" w:firstLine="592"/>
        <w:spacing w:after="0" w:line="260" w:lineRule="auto"/>
        <w:rPr>
          <w:sz w:val="20"/>
          <w:szCs w:val="20"/>
          <w:color w:val="auto"/>
        </w:rPr>
      </w:pPr>
      <w:r>
        <w:rPr>
          <w:rFonts w:ascii="Times New Roman" w:cs="Times New Roman" w:eastAsia="Times New Roman" w:hAnsi="Times New Roman"/>
          <w:sz w:val="12"/>
          <w:szCs w:val="12"/>
          <w:color w:val="auto"/>
        </w:rPr>
        <w:t>The fair value of MSCI restricted stock units (“RSUs”) is measured using the price of MSCI’s common stock. Restricted stock units that are subject to the achievement of multi-year total shareholder return targets (“PSUs”) are performance awards with a market condition. The fair value of PSUs is determined using a Monte Carlo simulation model that creates a normal distribution of future stock prices, which is then used to value the awards based on their individual terms. From time to time, the Company awards restricted stock units subject to performance conditions that are not linked to a market condition but are based on performance measures that impact the amount of shares that each recipient will receive upon vesting. The fair value of such awards is measured using the price of MSCI’s common stock.</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80" w:lineRule="exact"/>
        <w:rPr>
          <w:sz w:val="20"/>
          <w:szCs w:val="20"/>
          <w:color w:val="auto"/>
        </w:rPr>
      </w:pPr>
    </w:p>
    <w:p>
      <w:pPr>
        <w:ind w:firstLine="592"/>
        <w:spacing w:after="0" w:line="261" w:lineRule="auto"/>
        <w:rPr>
          <w:sz w:val="20"/>
          <w:szCs w:val="20"/>
          <w:color w:val="auto"/>
        </w:rPr>
      </w:pPr>
      <w:r>
        <w:rPr>
          <w:rFonts w:ascii="Times New Roman" w:cs="Times New Roman" w:eastAsia="Times New Roman" w:hAnsi="Times New Roman"/>
          <w:sz w:val="12"/>
          <w:szCs w:val="12"/>
          <w:color w:val="auto"/>
        </w:rPr>
        <w:t>The Company accounts for research and development costs in accordance with several accounting pronouncements, including ASC Subtopic 730-10, “</w:t>
      </w:r>
      <w:r>
        <w:rPr>
          <w:rFonts w:ascii="Times New Roman" w:cs="Times New Roman" w:eastAsia="Times New Roman" w:hAnsi="Times New Roman"/>
          <w:sz w:val="12"/>
          <w:szCs w:val="12"/>
          <w:i w:val="1"/>
          <w:iCs w:val="1"/>
          <w:color w:val="auto"/>
        </w:rPr>
        <w:t>Research and Development</w:t>
      </w:r>
      <w:r>
        <w:rPr>
          <w:rFonts w:ascii="Times New Roman" w:cs="Times New Roman" w:eastAsia="Times New Roman" w:hAnsi="Times New Roman"/>
          <w:sz w:val="12"/>
          <w:szCs w:val="12"/>
          <w:color w:val="auto"/>
        </w:rPr>
        <w:t>.” ASC Subtopic 730-10 requires that research and development costs generally be expensed as incurred. The majority of the Company’s research and development costs are incurred in developing, reviewing and enhancing the methodologies and data models offered within its product portfolio by monitoring investment trends and drivers globally, as well as analyzing product-specific needs in areas such as capitalization-weighted, factor and specialized indexes, and instrument valuation, risk modeling, portfolio construction, asset allocation and value-at-risk simulation.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69" w:name="page70"/>
    <w:bookmarkEnd w:id="69"/>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Internal Use Software</w:t>
      </w:r>
    </w:p>
    <w:p>
      <w:pPr>
        <w:spacing w:after="0" w:line="80" w:lineRule="exact"/>
        <w:rPr>
          <w:sz w:val="20"/>
          <w:szCs w:val="20"/>
          <w:color w:val="auto"/>
        </w:rPr>
      </w:pPr>
    </w:p>
    <w:p>
      <w:pPr>
        <w:ind w:right="220" w:firstLine="592"/>
        <w:spacing w:after="0" w:line="261" w:lineRule="auto"/>
        <w:rPr>
          <w:sz w:val="20"/>
          <w:szCs w:val="20"/>
          <w:color w:val="auto"/>
        </w:rPr>
      </w:pPr>
      <w:r>
        <w:rPr>
          <w:rFonts w:ascii="Times New Roman" w:cs="Times New Roman" w:eastAsia="Times New Roman" w:hAnsi="Times New Roman"/>
          <w:sz w:val="12"/>
          <w:szCs w:val="12"/>
          <w:color w:val="auto"/>
        </w:rPr>
        <w:t>The Company applies the provisions of ASC Subtopic 350-40, “</w:t>
      </w:r>
      <w:r>
        <w:rPr>
          <w:rFonts w:ascii="Times New Roman" w:cs="Times New Roman" w:eastAsia="Times New Roman" w:hAnsi="Times New Roman"/>
          <w:sz w:val="12"/>
          <w:szCs w:val="12"/>
          <w:i w:val="1"/>
          <w:iCs w:val="1"/>
          <w:color w:val="auto"/>
        </w:rPr>
        <w:t>Internal Use Software</w:t>
      </w:r>
      <w:r>
        <w:rPr>
          <w:rFonts w:ascii="Times New Roman" w:cs="Times New Roman" w:eastAsia="Times New Roman" w:hAnsi="Times New Roman"/>
          <w:sz w:val="12"/>
          <w:szCs w:val="12"/>
          <w:color w:val="auto"/>
        </w:rPr>
        <w:t>,” and accounts for the cost of computer software developed for internal use by capitalizing qualifying costs, which are substantially incurred during the application development stage. The amounts capitalized are included in Intangible Assets on the Consolidated Statement of Financial Condition and include external direct costs of services used in developing internal-use software and payroll and payroll-related costs of employees directly associated with the development activities. Additionally, costs incurred relating to upgrades and enhancements to the software are capitalized if it is determined that these upgrades or enhancements provide additional functionality to the software.</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1"/>
          <w:szCs w:val="11"/>
          <w:color w:val="auto"/>
        </w:rPr>
        <w:t>During the years ended December 31, 2020 and 2019, the Company capitalized $29.1 million and $24.7 million, respectively, of costs related to software developed for internal use in the Consolidated Statement of Financial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Condition.</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Capitalized software development costs are typically amortized on a straight-line basis over the estimated useful life of the related product, which is typically three to five years, beginning with the date the software is placed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into service.</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Costs incurred in the preliminary and post-implementation stages of MSCI’s products are expensed as incurred.</w:t>
      </w:r>
    </w:p>
    <w:p>
      <w:pPr>
        <w:spacing w:after="0" w:line="2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ind w:right="100" w:firstLine="592"/>
        <w:spacing w:after="0" w:line="265" w:lineRule="auto"/>
        <w:rPr>
          <w:sz w:val="20"/>
          <w:szCs w:val="20"/>
          <w:color w:val="auto"/>
        </w:rPr>
      </w:pPr>
      <w:r>
        <w:rPr>
          <w:rFonts w:ascii="Times New Roman" w:cs="Times New Roman" w:eastAsia="Times New Roman" w:hAnsi="Times New Roman"/>
          <w:sz w:val="12"/>
          <w:szCs w:val="12"/>
          <w:color w:val="auto"/>
        </w:rPr>
        <w:t>Provision for income taxes is provided for using the asset and liability method, under which deferred tax assets and deferred tax liabilities are determined based on the temporary differences between the financial statement and income tax bases of assets and liabilities using currently enacted tax rates. The Company elects to account for Global Intangible Low-Taxed Income (“GILTI”) in the year the tax is incurred. The Company recognizes interest and penalties related to income tax matters within “Provision for income taxes” in the Consolidated Statement of Income.</w:t>
      </w:r>
    </w:p>
    <w:p>
      <w:pPr>
        <w:spacing w:after="0" w:line="119" w:lineRule="exact"/>
        <w:rPr>
          <w:sz w:val="20"/>
          <w:szCs w:val="20"/>
          <w:color w:val="auto"/>
        </w:rPr>
      </w:pPr>
    </w:p>
    <w:p>
      <w:pPr>
        <w:ind w:right="40" w:firstLine="592"/>
        <w:spacing w:after="0" w:line="257" w:lineRule="auto"/>
        <w:rPr>
          <w:sz w:val="20"/>
          <w:szCs w:val="20"/>
          <w:color w:val="auto"/>
        </w:rPr>
      </w:pPr>
      <w:r>
        <w:rPr>
          <w:rFonts w:ascii="Times New Roman" w:cs="Times New Roman" w:eastAsia="Times New Roman" w:hAnsi="Times New Roman"/>
          <w:sz w:val="12"/>
          <w:szCs w:val="12"/>
          <w:color w:val="auto"/>
        </w:rPr>
        <w:t>The Company regularly evaluates the likelihood of additional assessments in each of the taxing jurisdictions in which it is required to file income tax returns. The Company has recorded additional tax expense related to open tax years, which the Company’s management believes is adequate in relation to the potential for assessments. These amounts have been recorded in “Other non-current liabilities” on the Consolidated Statement of Financial Condition. The Company’s management believes the resolution of tax matters will not have a material effect on the Company’s consolidated financial condition. However, to the extent the Company is required to pay amounts in excess of its reserves, a resolution could have a material impact on its Consolidated Statement of Income for a particular future period. In addition, an unfavorable tax settlement could require use of cash and result in an increase in the effective tax rate in the period in which such resolution occurs.</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Deferred Revenue</w:t>
      </w:r>
    </w:p>
    <w:p>
      <w:pPr>
        <w:spacing w:after="0" w:line="82" w:lineRule="exact"/>
        <w:rPr>
          <w:sz w:val="20"/>
          <w:szCs w:val="20"/>
          <w:color w:val="auto"/>
        </w:rPr>
      </w:pPr>
    </w:p>
    <w:p>
      <w:pPr>
        <w:ind w:right="160" w:firstLine="592"/>
        <w:spacing w:after="0" w:line="279" w:lineRule="auto"/>
        <w:rPr>
          <w:sz w:val="20"/>
          <w:szCs w:val="20"/>
          <w:color w:val="auto"/>
        </w:rPr>
      </w:pPr>
      <w:r>
        <w:rPr>
          <w:rFonts w:ascii="Times New Roman" w:cs="Times New Roman" w:eastAsia="Times New Roman" w:hAnsi="Times New Roman"/>
          <w:sz w:val="12"/>
          <w:szCs w:val="12"/>
          <w:color w:val="auto"/>
        </w:rPr>
        <w:t>Deferred revenues represent both cash received and the amounts billed to customers for products and services in advance of being provided or before the service period has begun. Deferred revenue is generally amortized ratably over the service period as the performance obligations are satisfied.</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Accounts Receivable</w:t>
      </w:r>
    </w:p>
    <w:p>
      <w:pPr>
        <w:spacing w:after="0" w:line="82" w:lineRule="exact"/>
        <w:rPr>
          <w:sz w:val="20"/>
          <w:szCs w:val="20"/>
          <w:color w:val="auto"/>
        </w:rPr>
      </w:pPr>
    </w:p>
    <w:p>
      <w:pPr>
        <w:ind w:right="360" w:firstLine="592"/>
        <w:spacing w:after="0" w:line="279" w:lineRule="auto"/>
        <w:rPr>
          <w:sz w:val="20"/>
          <w:szCs w:val="20"/>
          <w:color w:val="auto"/>
        </w:rPr>
      </w:pPr>
      <w:r>
        <w:rPr>
          <w:rFonts w:ascii="Times New Roman" w:cs="Times New Roman" w:eastAsia="Times New Roman" w:hAnsi="Times New Roman"/>
          <w:sz w:val="12"/>
          <w:szCs w:val="12"/>
          <w:color w:val="auto"/>
        </w:rPr>
        <w:t>The Company’s clients generally pay subscription fees annually or quarterly in advance. MSCI’s policy is to record to a receivable when a customer is billed. For products and services that are provided in advance of billing, such as for our asset-based fee products, unbilled revenue (or a “contract asset”) is included in Accounts Receivable on the Company’s Consolidated Statement of Financial Condition.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2" w:right="299" w:bottom="1440" w:gutter="0" w:footer="0" w:header="0"/>
        </w:sectPr>
      </w:pPr>
    </w:p>
    <w:bookmarkStart w:id="70" w:name="page71"/>
    <w:bookmarkEnd w:id="70"/>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Goodwill</w:t>
      </w:r>
    </w:p>
    <w:p>
      <w:pPr>
        <w:spacing w:after="0" w:line="82" w:lineRule="exact"/>
        <w:rPr>
          <w:sz w:val="20"/>
          <w:szCs w:val="20"/>
          <w:color w:val="auto"/>
        </w:rPr>
      </w:pPr>
    </w:p>
    <w:p>
      <w:pPr>
        <w:ind w:right="80" w:firstLine="592"/>
        <w:spacing w:after="0" w:line="279" w:lineRule="auto"/>
        <w:rPr>
          <w:sz w:val="20"/>
          <w:szCs w:val="20"/>
          <w:color w:val="auto"/>
        </w:rPr>
      </w:pPr>
      <w:r>
        <w:rPr>
          <w:rFonts w:ascii="Times New Roman" w:cs="Times New Roman" w:eastAsia="Times New Roman" w:hAnsi="Times New Roman"/>
          <w:sz w:val="12"/>
          <w:szCs w:val="12"/>
          <w:color w:val="auto"/>
        </w:rPr>
        <w:t>Goodwill is recorded as part of the Company’s acquisitions of businesses when the purchase price exceeds the fair value of the net tangible and separately identifiable intangible assets acquired. The Company’s goodwill is not amortized, but rather is subject to an impairment test each year, or more often if conditions indicate impairment may have occurred, pursuant to ASC Subtopic 350-10, “</w:t>
      </w:r>
      <w:r>
        <w:rPr>
          <w:rFonts w:ascii="Times New Roman" w:cs="Times New Roman" w:eastAsia="Times New Roman" w:hAnsi="Times New Roman"/>
          <w:sz w:val="12"/>
          <w:szCs w:val="12"/>
          <w:i w:val="1"/>
          <w:iCs w:val="1"/>
          <w:color w:val="auto"/>
        </w:rPr>
        <w:t>Intangibles—Goodwill and Other</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right="140" w:firstLine="592"/>
        <w:spacing w:after="0" w:line="265" w:lineRule="auto"/>
        <w:rPr>
          <w:sz w:val="20"/>
          <w:szCs w:val="20"/>
          <w:color w:val="auto"/>
        </w:rPr>
      </w:pPr>
      <w:r>
        <w:rPr>
          <w:rFonts w:ascii="Times New Roman" w:cs="Times New Roman" w:eastAsia="Times New Roman" w:hAnsi="Times New Roman"/>
          <w:sz w:val="12"/>
          <w:szCs w:val="12"/>
          <w:color w:val="auto"/>
        </w:rPr>
        <w:t>The Company tests goodwill for impairment on an annual basis on July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2"/>
          <w:szCs w:val="12"/>
          <w:color w:val="auto"/>
        </w:rPr>
        <w:t xml:space="preserve"> and on an interim basis when certain events and circumstances exist. The test for impairment is performed at the reporting unit level. Goodwill impairment is determined by comparing the fair value of a reporting unit with its carrying value. If the estimated fair value exceeds the carrying value, goodwill at the reporting unit level is not deemed to be impaired. If the estimated fair value is below carrying value, an impairment charge will be recorded up to, but not more than, the total amount of goodwill allocated to the reporting unit.</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Company completed its annual goodwill impairment test as of July 1, 2020 on its Index, Analytics, ESG and Real Estate operating segments, which are the same as its reporting units, and no impairments were noted.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performed a step zero, qualitative impairment test on these four operating segments and determined that it was more likely than not that the fair value for each was not less than the carrying value.</w:t>
      </w:r>
    </w:p>
    <w:p>
      <w:pPr>
        <w:spacing w:after="0" w:line="139" w:lineRule="exact"/>
        <w:rPr>
          <w:sz w:val="20"/>
          <w:szCs w:val="20"/>
          <w:color w:val="auto"/>
        </w:rPr>
      </w:pPr>
    </w:p>
    <w:p>
      <w:pPr>
        <w:ind w:right="200" w:firstLine="592"/>
        <w:spacing w:after="0" w:line="279" w:lineRule="auto"/>
        <w:rPr>
          <w:sz w:val="20"/>
          <w:szCs w:val="20"/>
          <w:color w:val="auto"/>
        </w:rPr>
      </w:pPr>
      <w:r>
        <w:rPr>
          <w:rFonts w:ascii="Times New Roman" w:cs="Times New Roman" w:eastAsia="Times New Roman" w:hAnsi="Times New Roman"/>
          <w:sz w:val="12"/>
          <w:szCs w:val="12"/>
          <w:color w:val="auto"/>
        </w:rPr>
        <w:t>As the estimated fair value of the Company’s reporting units exceeded their carrying value on the testing dates, and there were no impairment triggers identified as part of interim assessments, no impairment of goodwill was recorded during the years ended December 31, 2020, 2019 and 2018.</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Intangible Assets</w:t>
      </w:r>
    </w:p>
    <w:p>
      <w:pPr>
        <w:spacing w:after="0" w:line="82" w:lineRule="exact"/>
        <w:rPr>
          <w:sz w:val="20"/>
          <w:szCs w:val="20"/>
          <w:color w:val="auto"/>
        </w:rPr>
      </w:pPr>
    </w:p>
    <w:p>
      <w:pPr>
        <w:jc w:val="both"/>
        <w:ind w:firstLine="592"/>
        <w:spacing w:after="0" w:line="260" w:lineRule="auto"/>
        <w:rPr>
          <w:sz w:val="20"/>
          <w:szCs w:val="20"/>
          <w:color w:val="auto"/>
        </w:rPr>
      </w:pPr>
      <w:r>
        <w:rPr>
          <w:rFonts w:ascii="Times New Roman" w:cs="Times New Roman" w:eastAsia="Times New Roman" w:hAnsi="Times New Roman"/>
          <w:sz w:val="12"/>
          <w:szCs w:val="12"/>
          <w:color w:val="auto"/>
        </w:rPr>
        <w:t>The Company amortizes definite-lived intangible assets over their estimated useful lives. Definite-lived intangible assets are reviewed for impairment whenever events or changes in circumstances indicate that the carrying value of the asset may not be recoverable. The Company also reviews the useful lives on a quarterly basis to determine if the period of economic benefit has changed. If the carrying value of an intangible asset exceeds its fair value, an impairment charge would be recognized in an amount equal to the amount by which the carrying value of the intangible asset exceeds its fair value. There were no events or changes in circumstances that would indicate that the carrying value of the definite-lived intangible assets may not be recoverable during the years ended December 31, 2020, 2019 and 2018.</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During the year ended December 31, 2018 management decided to discontinue the use of the IPD trade name utilized by the Real Estate segment. As a result, the remaining unamortized value of $7.9 million was written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Company had no indefinite-lived intangible assets.</w:t>
      </w:r>
    </w:p>
    <w:p>
      <w:pPr>
        <w:spacing w:after="0" w:line="2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Translation</w:t>
      </w:r>
    </w:p>
    <w:p>
      <w:pPr>
        <w:spacing w:after="0" w:line="82" w:lineRule="exact"/>
        <w:rPr>
          <w:sz w:val="20"/>
          <w:szCs w:val="20"/>
          <w:color w:val="auto"/>
        </w:rPr>
      </w:pPr>
    </w:p>
    <w:p>
      <w:pPr>
        <w:ind w:right="20" w:firstLine="592"/>
        <w:spacing w:after="0" w:line="265" w:lineRule="auto"/>
        <w:rPr>
          <w:sz w:val="20"/>
          <w:szCs w:val="20"/>
          <w:color w:val="auto"/>
        </w:rPr>
      </w:pPr>
      <w:r>
        <w:rPr>
          <w:rFonts w:ascii="Times New Roman" w:cs="Times New Roman" w:eastAsia="Times New Roman" w:hAnsi="Times New Roman"/>
          <w:sz w:val="12"/>
          <w:szCs w:val="12"/>
          <w:color w:val="auto"/>
        </w:rPr>
        <w:t>Assets and liabilities of operations having non-U.S. dollar functional currencies are translated at year-end exchange rates, and income statement accounts are translated at weighted average exchange rates for the year. Gains or losses resulting from translating foreign currency financial statements, net of any related tax effects, are reflected in accumulated other comprehensive loss, a separate component of shareholders’ equity (deficit). Gains or losses resulting from foreign currency transactions incurred in currencies other than the local functional currency are included in non-operating “Other expense (income)” on the Consolidated Statement of Income.</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154" w:lineRule="exact"/>
        <w:rPr>
          <w:sz w:val="20"/>
          <w:szCs w:val="20"/>
          <w:color w:val="auto"/>
        </w:rPr>
      </w:pPr>
    </w:p>
    <w:p>
      <w:pPr>
        <w:ind w:right="40" w:firstLine="592"/>
        <w:spacing w:after="0" w:line="256" w:lineRule="auto"/>
        <w:rPr>
          <w:sz w:val="20"/>
          <w:szCs w:val="20"/>
          <w:color w:val="auto"/>
        </w:rPr>
      </w:pPr>
      <w:r>
        <w:rPr>
          <w:rFonts w:ascii="Times New Roman" w:cs="Times New Roman" w:eastAsia="Times New Roman" w:hAnsi="Times New Roman"/>
          <w:sz w:val="12"/>
          <w:szCs w:val="12"/>
          <w:color w:val="auto"/>
        </w:rPr>
        <w:t>MSCI adopted the leases standard set forth under Accounting Standards Codification Topic 842, “Leases,” or ASC Topic 842, as of January 1, 2019 using the optional transition method. The Company elected to apply the transition package of practical expedients permitted which, among other things, allowed the Company to carry forward the historical lease classification. In addition, MSCI elected the hindsight practical expedient to determine the reasonably certain lease term for existing leases. The Company made an election to apply the exemption allowed for leases with an initial term of 12 months or less to not be recorded in the Consolidated Statement of Financial Condition and to only recognize the related amounts in the Consolidated Statement of Income on a straight-line basis over the lease term. As of the adoption of ASC Topic 842 on January 1, 2019, the Company recorded $197.5 million of total operating lease liabilities and right-of-use (“ROU”) assets on the Company’s Consolidated Statement of Financial Condition. The $197.5 million of ROU assets were offset by $22.1 million of lease related assets and liabilities previously carried on the Company’s Consolidated Statement of Financial Condition which resulted in the presentation of an initial $175.4 million ROU assets.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71" w:name="page72"/>
    <w:bookmarkEnd w:id="71"/>
    <w:p>
      <w:pPr>
        <w:ind w:firstLine="660"/>
        <w:spacing w:after="0" w:line="279" w:lineRule="auto"/>
        <w:rPr>
          <w:sz w:val="20"/>
          <w:szCs w:val="20"/>
          <w:color w:val="auto"/>
        </w:rPr>
      </w:pPr>
      <w:r>
        <w:rPr>
          <w:rFonts w:ascii="Times New Roman" w:cs="Times New Roman" w:eastAsia="Times New Roman" w:hAnsi="Times New Roman"/>
          <w:sz w:val="12"/>
          <w:szCs w:val="12"/>
          <w:color w:val="auto"/>
        </w:rPr>
        <w:t>MSCI leases office space, data centers and certain equipment under non-cancellable operating lease agreements and determines if an arrangement is a lease at inception. The Company does not currently have any financing lease arrangements.</w:t>
      </w:r>
    </w:p>
    <w:p>
      <w:pPr>
        <w:spacing w:after="0" w:line="111" w:lineRule="exact"/>
        <w:rPr>
          <w:sz w:val="20"/>
          <w:szCs w:val="20"/>
          <w:color w:val="auto"/>
        </w:rPr>
      </w:pPr>
    </w:p>
    <w:p>
      <w:pPr>
        <w:ind w:right="40" w:firstLine="592"/>
        <w:spacing w:after="0" w:line="255" w:lineRule="auto"/>
        <w:rPr>
          <w:sz w:val="20"/>
          <w:szCs w:val="20"/>
          <w:color w:val="auto"/>
        </w:rPr>
      </w:pPr>
      <w:r>
        <w:rPr>
          <w:rFonts w:ascii="Times New Roman" w:cs="Times New Roman" w:eastAsia="Times New Roman" w:hAnsi="Times New Roman"/>
          <w:sz w:val="12"/>
          <w:szCs w:val="12"/>
          <w:color w:val="auto"/>
        </w:rPr>
        <w:t>Operating lease assets, net of initial direct costs and accumulated amortization are reflected in “Right of use assets,” with the corresponding present value of operating lease liabilities included in “Other accrued liabilities” and “Long-term operating lease liabilities” in the Consolidated Statement of Financial Condition. ROU assets represent the Company’s right to use an underlying asset for the lease term and lease liabilities represent the Company’s obligation to make lease payments arising from the lease. Operating lease ROU assets and liabilities are recognized on the commencement date based on the present value of lease payments over the lease term. MSCI uses its incremental borrowing rate based on the information available on the commencement date in determining the present value of lease payments. The incremental borrowing rate reflects the rate of interest that MSCI would have to pay to borrow on a collateralized basis over a similar term an amount equal to the lease payments in a similar economic environment. The Company determined its incremental borrowing rates by starting with the rates on its currently outstanding Senior Notes and making adjustments for collateralization and the relevant duration of the associated leases. The lease terms include options to extend or terminate the lease when it is reasonably certain that the Company will exercise that option.</w:t>
      </w:r>
    </w:p>
    <w:p>
      <w:pPr>
        <w:spacing w:after="0" w:line="126" w:lineRule="exact"/>
        <w:rPr>
          <w:sz w:val="20"/>
          <w:szCs w:val="20"/>
          <w:color w:val="auto"/>
        </w:rPr>
      </w:pPr>
    </w:p>
    <w:p>
      <w:pPr>
        <w:ind w:right="20" w:firstLine="592"/>
        <w:spacing w:after="0" w:line="257" w:lineRule="auto"/>
        <w:rPr>
          <w:sz w:val="20"/>
          <w:szCs w:val="20"/>
          <w:color w:val="auto"/>
        </w:rPr>
      </w:pPr>
      <w:r>
        <w:rPr>
          <w:rFonts w:ascii="Times New Roman" w:cs="Times New Roman" w:eastAsia="Times New Roman" w:hAnsi="Times New Roman"/>
          <w:sz w:val="12"/>
          <w:szCs w:val="12"/>
          <w:color w:val="auto"/>
        </w:rPr>
        <w:t>Lease expense is recognized on a straight-line basis over the lease term and is included in “Operating expenses” in the Consolidated Statement of Income. Some of the Company’s lease agreements include rental payments adjusted periodically for inflation which are accounted for under ASC Subtopic 842-10, “Leases,” as variable lease amounts but are not reflected as a component of the Company’s lease liability. Certain leases also require the Company to pay real estate taxes, insurance, maintenance and other “Operating expenses” associated with the leased premises or equipment which are also not reflected as a component of the Company’s lease liability. While these expenses are also classified in “Operating expenses,” consistent with similar costs for office locations or equipment, they are not included as a component of the Company’s lease liability. The Company also subleases a small portion of its leased office space to third parties.</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Property, Equipment and Leasehold Improvements</w:t>
      </w:r>
    </w:p>
    <w:p>
      <w:pPr>
        <w:spacing w:after="0" w:line="82" w:lineRule="exact"/>
        <w:rPr>
          <w:sz w:val="20"/>
          <w:szCs w:val="20"/>
          <w:color w:val="auto"/>
        </w:rPr>
      </w:pPr>
    </w:p>
    <w:p>
      <w:pPr>
        <w:ind w:right="220" w:firstLine="592"/>
        <w:spacing w:after="0" w:line="279" w:lineRule="auto"/>
        <w:rPr>
          <w:sz w:val="20"/>
          <w:szCs w:val="20"/>
          <w:color w:val="auto"/>
        </w:rPr>
      </w:pPr>
      <w:r>
        <w:rPr>
          <w:rFonts w:ascii="Times New Roman" w:cs="Times New Roman" w:eastAsia="Times New Roman" w:hAnsi="Times New Roman"/>
          <w:sz w:val="12"/>
          <w:szCs w:val="12"/>
          <w:color w:val="auto"/>
        </w:rPr>
        <w:t>Property, equipment and leasehold improvements are stated at cost less accumulated depreciation and amortization. Depreciation and amortization of furniture and fixtures, computer and communications equipment and leasehold improvements are accounted for using the straight-line method over the estimated useful life of the asset.</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Treasury Stock</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Company holds repurchased shares of common stock as treasury stock. The Company accounts for treasury stock under the cost method and includes treasury stock as a component of shareholders’ equity (deficit).</w:t>
      </w:r>
    </w:p>
    <w:p>
      <w:pPr>
        <w:spacing w:after="0" w:line="2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Allowance for Doubtful Accounts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Company periodically reviews receivable balances and records an allowance on customer accounts when it is probable and estimable that a receivable will not be collected. The Company does not require collateral.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2"/>
          <w:szCs w:val="12"/>
          <w:color w:val="auto"/>
        </w:rPr>
        <w:t>Changes in the allowance for doubtful accounts from December 31, 2017 to December 31, 2020 were as follows:</w:t>
      </w:r>
    </w:p>
    <w:p>
      <w:pPr>
        <w:sectPr>
          <w:pgSz w:w="11900" w:h="16838" w:orient="portrait"/>
          <w:cols w:equalWidth="0" w:num="1">
            <w:col w:w="11280"/>
          </w:cols>
          <w:pgMar w:left="300" w:top="417" w:right="3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Balance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-85725</wp:posOffset>
            </wp:positionV>
            <wp:extent cx="4303395" cy="97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03395" cy="9715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2"/>
          <w:szCs w:val="12"/>
          <w:color w:val="auto"/>
        </w:rPr>
        <w:t>Addition (reduction) to credit loss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9525</wp:posOffset>
            </wp:positionV>
            <wp:extent cx="4303395" cy="97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03395" cy="9715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2"/>
          <w:szCs w:val="12"/>
          <w:color w:val="auto"/>
        </w:rPr>
        <w:t>Write-offs, net of recoveries</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Balance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10795</wp:posOffset>
            </wp:positionV>
            <wp:extent cx="4303395" cy="971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03395" cy="9715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2"/>
          <w:szCs w:val="12"/>
          <w:color w:val="auto"/>
        </w:rPr>
        <w:t>Addition (reduction) to credit loss expense</w:t>
      </w:r>
    </w:p>
    <w:p>
      <w:pPr>
        <w:spacing w:after="0" w:line="1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9525</wp:posOffset>
            </wp:positionV>
            <wp:extent cx="4303395"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03395" cy="102870"/>
                    </a:xfrm>
                    <a:prstGeom prst="rect">
                      <a:avLst/>
                    </a:prstGeom>
                    <a:noFill/>
                  </pic:spPr>
                </pic:pic>
              </a:graphicData>
            </a:graphic>
          </wp:anchor>
        </w:drawing>
      </w:r>
    </w:p>
    <w:p>
      <w:pPr>
        <w:spacing w:after="0" w:line="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Balance as of December 31, 2019</w:t>
      </w:r>
    </w:p>
    <w:p>
      <w:pPr>
        <w:spacing w:after="0" w:line="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Addition (reduction) to credit loss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9525</wp:posOffset>
            </wp:positionV>
            <wp:extent cx="4303395" cy="971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03395" cy="9715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1"/>
          <w:szCs w:val="11"/>
          <w:color w:val="auto"/>
        </w:rPr>
        <w:t>Adjustments and write-offs, net of recoveries</w:t>
      </w:r>
    </w:p>
    <w:p>
      <w:pPr>
        <w:spacing w:after="0" w:line="3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Balance as of December 31, 2020</w:t>
      </w:r>
    </w:p>
    <w:p>
      <w:pPr>
        <w:spacing w:after="0" w:line="2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Accrued Compensation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0"/>
          <w:szCs w:val="10"/>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2580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805" cy="5715"/>
                    </a:xfrm>
                    <a:prstGeom prst="rect">
                      <a:avLst/>
                    </a:prstGeom>
                    <a:noFill/>
                  </pic:spPr>
                </pic:pic>
              </a:graphicData>
            </a:graphic>
          </wp:anchor>
        </w:drawing>
      </w:r>
    </w:p>
    <w:p>
      <w:pPr>
        <w:spacing w:after="0" w:line="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10" w:lineRule="exact"/>
        <w:rPr>
          <w:sz w:val="20"/>
          <w:szCs w:val="20"/>
          <w:color w:val="auto"/>
        </w:rPr>
      </w:pPr>
    </w:p>
    <w:p>
      <w:pPr>
        <w:ind w:left="880" w:hanging="874"/>
        <w:spacing w:after="0"/>
        <w:tabs>
          <w:tab w:leader="none" w:pos="8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1,700</w:t>
      </w:r>
    </w:p>
    <w:p>
      <w:pPr>
        <w:spacing w:after="0" w:line="5" w:lineRule="exact"/>
        <w:rPr>
          <w:rFonts w:ascii="Times New Roman" w:cs="Times New Roman" w:eastAsia="Times New Roman" w:hAnsi="Times New Roman"/>
          <w:sz w:val="12"/>
          <w:szCs w:val="12"/>
          <w:color w:val="auto"/>
        </w:rPr>
      </w:pPr>
    </w:p>
    <w:p>
      <w:pPr>
        <w:ind w:left="9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(224)</w:t>
      </w:r>
    </w:p>
    <w:p>
      <w:pPr>
        <w:spacing w:after="0" w:line="15" w:lineRule="exact"/>
        <w:rPr>
          <w:rFonts w:ascii="Times New Roman" w:cs="Times New Roman" w:eastAsia="Times New Roman" w:hAnsi="Times New Roman"/>
          <w:sz w:val="12"/>
          <w:szCs w:val="12"/>
          <w:color w:val="auto"/>
        </w:rPr>
      </w:pPr>
    </w:p>
    <w:p>
      <w:pPr>
        <w:ind w:left="9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72580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05" cy="5715"/>
                    </a:xfrm>
                    <a:prstGeom prst="rect">
                      <a:avLst/>
                    </a:prstGeom>
                    <a:noFill/>
                  </pic:spPr>
                </pic:pic>
              </a:graphicData>
            </a:graphic>
          </wp:anchor>
        </w:drawing>
      </w:r>
    </w:p>
    <w:p>
      <w:pPr>
        <w:spacing w:after="0" w:line="2" w:lineRule="exact"/>
        <w:rPr>
          <w:sz w:val="20"/>
          <w:szCs w:val="20"/>
          <w:color w:val="auto"/>
        </w:rPr>
      </w:pPr>
    </w:p>
    <w:p>
      <w:pPr>
        <w:ind w:left="880" w:hanging="874"/>
        <w:spacing w:after="0"/>
        <w:tabs>
          <w:tab w:leader="none" w:pos="8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1,027</w:t>
      </w:r>
    </w:p>
    <w:p>
      <w:pPr>
        <w:spacing w:after="0" w:line="16" w:lineRule="exact"/>
        <w:rPr>
          <w:rFonts w:ascii="Times New Roman" w:cs="Times New Roman" w:eastAsia="Times New Roman" w:hAnsi="Times New Roman"/>
          <w:sz w:val="12"/>
          <w:szCs w:val="12"/>
          <w:color w:val="auto"/>
        </w:rPr>
      </w:pPr>
    </w:p>
    <w:p>
      <w:pPr>
        <w:ind w:left="8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1,024</w:t>
      </w:r>
    </w:p>
    <w:p>
      <w:pPr>
        <w:spacing w:after="0" w:line="15" w:lineRule="exact"/>
        <w:rPr>
          <w:rFonts w:ascii="Times New Roman" w:cs="Times New Roman" w:eastAsia="Times New Roman" w:hAnsi="Times New Roman"/>
          <w:sz w:val="12"/>
          <w:szCs w:val="12"/>
          <w:color w:val="auto"/>
        </w:rPr>
      </w:pPr>
    </w:p>
    <w:p>
      <w:pPr>
        <w:ind w:left="9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(336)</w:t>
      </w:r>
    </w:p>
    <w:p>
      <w:pPr>
        <w:spacing w:after="0" w:line="22" w:lineRule="exact"/>
        <w:rPr>
          <w:sz w:val="20"/>
          <w:szCs w:val="20"/>
          <w:color w:val="auto"/>
        </w:rPr>
      </w:pPr>
    </w:p>
    <w:p>
      <w:pPr>
        <w:ind w:left="880" w:hanging="874"/>
        <w:spacing w:after="0"/>
        <w:tabs>
          <w:tab w:leader="none" w:pos="8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1,715</w:t>
      </w:r>
    </w:p>
    <w:p>
      <w:pPr>
        <w:spacing w:after="0" w:line="16" w:lineRule="exact"/>
        <w:rPr>
          <w:rFonts w:ascii="Times New Roman" w:cs="Times New Roman" w:eastAsia="Times New Roman" w:hAnsi="Times New Roman"/>
          <w:sz w:val="12"/>
          <w:szCs w:val="12"/>
          <w:color w:val="auto"/>
        </w:rPr>
      </w:pPr>
    </w:p>
    <w:p>
      <w:pPr>
        <w:ind w:left="8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1,712</w:t>
      </w:r>
    </w:p>
    <w:p>
      <w:pPr>
        <w:spacing w:after="0" w:line="15"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2"/>
          <w:szCs w:val="12"/>
          <w:color w:val="auto"/>
        </w:rPr>
        <w:t>(1,844)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7258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05" cy="5715"/>
                    </a:xfrm>
                    <a:prstGeom prst="rect">
                      <a:avLst/>
                    </a:prstGeom>
                    <a:noFill/>
                  </pic:spPr>
                </pic:pic>
              </a:graphicData>
            </a:graphic>
          </wp:anchor>
        </w:drawing>
      </w:r>
    </w:p>
    <w:p>
      <w:pPr>
        <w:spacing w:after="0" w:line="2" w:lineRule="exact"/>
        <w:rPr>
          <w:sz w:val="20"/>
          <w:szCs w:val="20"/>
          <w:color w:val="auto"/>
        </w:rPr>
      </w:pPr>
    </w:p>
    <w:p>
      <w:pPr>
        <w:ind w:left="880" w:hanging="874"/>
        <w:spacing w:after="0"/>
        <w:tabs>
          <w:tab w:leader="none" w:pos="8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580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05"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wp:posOffset>
            </wp:positionV>
            <wp:extent cx="72580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05" cy="5715"/>
                    </a:xfrm>
                    <a:prstGeom prst="rect">
                      <a:avLst/>
                    </a:prstGeom>
                    <a:noFill/>
                  </pic:spPr>
                </pic:pic>
              </a:graphicData>
            </a:graphic>
          </wp:anchor>
        </w:drawing>
      </w:r>
    </w:p>
    <w:p>
      <w:pPr>
        <w:spacing w:after="0" w:line="492" w:lineRule="exact"/>
        <w:rPr>
          <w:sz w:val="20"/>
          <w:szCs w:val="20"/>
          <w:color w:val="auto"/>
        </w:rPr>
      </w:pPr>
    </w:p>
    <w:p>
      <w:pPr>
        <w:sectPr>
          <w:pgSz w:w="11900" w:h="16838" w:orient="portrait"/>
          <w:cols w:equalWidth="0" w:num="2">
            <w:col w:w="7100" w:space="720"/>
            <w:col w:w="3460"/>
          </w:cols>
          <w:pgMar w:left="300" w:top="417" w:right="319" w:bottom="1440" w:gutter="0" w:footer="0" w:header="0"/>
          <w:type w:val="continuous"/>
        </w:sect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A significant portion of the Company’s employee incentive compensation programs are discretionary. The Company makes significant estimates in determining its accrued compensation and benefits expenses. Accrued cash incentive estimates reflect an assessment of performance versus targets and other key performance indicators at the Company, operating segment and employee level. The Company also reviews compensation and benefits expenses throughout the year to determine how overall performance compares to management’s expectations. These and other factors, including historical performance, are taken into account in accruing discretionary cash compensation estimates quarterly.</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Concentrations</w:t>
      </w:r>
    </w:p>
    <w:p>
      <w:pPr>
        <w:spacing w:after="0" w:line="82" w:lineRule="exact"/>
        <w:rPr>
          <w:sz w:val="20"/>
          <w:szCs w:val="20"/>
          <w:color w:val="auto"/>
        </w:rPr>
      </w:pPr>
    </w:p>
    <w:p>
      <w:pPr>
        <w:ind w:right="120" w:firstLine="592"/>
        <w:spacing w:after="0" w:line="265" w:lineRule="auto"/>
        <w:rPr>
          <w:sz w:val="20"/>
          <w:szCs w:val="20"/>
          <w:color w:val="auto"/>
        </w:rPr>
      </w:pPr>
      <w:r>
        <w:rPr>
          <w:rFonts w:ascii="Times New Roman" w:cs="Times New Roman" w:eastAsia="Times New Roman" w:hAnsi="Times New Roman"/>
          <w:sz w:val="12"/>
          <w:szCs w:val="12"/>
          <w:color w:val="auto"/>
        </w:rPr>
        <w:t>For the years ended December 31, 2020, 2019 and 2018, BlackRock, Inc. accounted for 11.0%, 11.5%, and 11.9% of the Company’s consolidated operating revenues, respectively. For the years ended December 31, 2020, 2019 and 2018, BlackRock, Inc. accounted for 18.0%, 18.9% and 20.1%, respectively, of the Index segment’s operating revenues. No single customer accounted for 10.0% or more of operating revenues within the Analytics and All Other segments for the years ended December 31, 2020, 2019 and 2018.</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RECENT ACCOUNTING STANDARDS UPDATES</w:t>
      </w:r>
    </w:p>
    <w:p>
      <w:pPr>
        <w:spacing w:after="0" w:line="91" w:lineRule="exact"/>
        <w:rPr>
          <w:sz w:val="20"/>
          <w:szCs w:val="20"/>
          <w:color w:val="auto"/>
        </w:rPr>
      </w:pPr>
    </w:p>
    <w:p>
      <w:pPr>
        <w:ind w:firstLine="592"/>
        <w:spacing w:after="0" w:line="265" w:lineRule="auto"/>
        <w:rPr>
          <w:sz w:val="20"/>
          <w:szCs w:val="20"/>
          <w:color w:val="auto"/>
        </w:rPr>
      </w:pPr>
      <w:r>
        <w:rPr>
          <w:rFonts w:ascii="Times New Roman" w:cs="Times New Roman" w:eastAsia="Times New Roman" w:hAnsi="Times New Roman"/>
          <w:sz w:val="12"/>
          <w:szCs w:val="12"/>
          <w:color w:val="auto"/>
        </w:rPr>
        <w:t>In June 2016, the FASB issued Accounting Standards Update No. 2016-13, “Financial Instruments-Credit Losses (Topic 326): Measurement of Credit Losses on Financial Instruments,” or ASU 2016-13. The amendments in ASU 2016-13 introduce an approach based on expected losses to estimated credit losses on certain types of financial instruments, modify the impairment model for available-for-sale debt securities and provide for a simplified accounting model for purchased financial assets with credit deterioration since their origination.</w:t>
      </w:r>
    </w:p>
    <w:p>
      <w:pPr>
        <w:spacing w:after="0" w:line="119" w:lineRule="exact"/>
        <w:rPr>
          <w:sz w:val="20"/>
          <w:szCs w:val="20"/>
          <w:color w:val="auto"/>
        </w:rPr>
      </w:pPr>
    </w:p>
    <w:p>
      <w:pPr>
        <w:ind w:right="40" w:firstLine="592"/>
        <w:spacing w:after="0" w:line="260" w:lineRule="auto"/>
        <w:rPr>
          <w:sz w:val="20"/>
          <w:szCs w:val="20"/>
          <w:color w:val="auto"/>
        </w:rPr>
      </w:pPr>
      <w:r>
        <w:rPr>
          <w:rFonts w:ascii="Times New Roman" w:cs="Times New Roman" w:eastAsia="Times New Roman" w:hAnsi="Times New Roman"/>
          <w:sz w:val="12"/>
          <w:szCs w:val="12"/>
          <w:color w:val="auto"/>
        </w:rPr>
        <w:t>The FASB issued Accounting Standards Update No. 2018-19, “Codification Improvements to Topic 326, Financial Instruments—Credit Losses,” or ASU 2018-19, Accounting Standards Update No. 2019-04, “Codification Improvements to Topic 326, Financial Instruments—Credit Losses,” or ASU 2019-04, Accounting Standards Update No. 2019-05, “Financial Instruments-Credit Losses (Topic 326): Targeted Transition Relief,” or ASU 2019-05, Accounting Standards Update No. 2019-10, “Financial Instruments-Credit Losses (Topic 326): Effective Dates,” or ASU 2019-10 and Accounting Standards Update No. 2019-11, “Codification Improvements to Topic 326, Financial Instruments—Credit Losses,” or ASU 2019-11. The amendments in these ASUs provide clarifications to ASU 2016-13.</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Company adopted ASU 2016-13 and the related clarifications effective January 1, 2020. The adoption did not have a material effect on the Company’s consolidated financial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7" w:right="319" w:bottom="1440" w:gutter="0" w:footer="0" w:header="0"/>
          <w:type w:val="continuous"/>
        </w:sectPr>
      </w:pPr>
    </w:p>
    <w:bookmarkStart w:id="73" w:name="page74"/>
    <w:bookmarkEnd w:id="73"/>
    <w:p>
      <w:pPr>
        <w:ind w:right="20" w:firstLine="592"/>
        <w:spacing w:after="0" w:line="257" w:lineRule="auto"/>
        <w:rPr>
          <w:sz w:val="20"/>
          <w:szCs w:val="20"/>
          <w:color w:val="auto"/>
        </w:rPr>
      </w:pPr>
      <w:r>
        <w:rPr>
          <w:rFonts w:ascii="Times New Roman" w:cs="Times New Roman" w:eastAsia="Times New Roman" w:hAnsi="Times New Roman"/>
          <w:sz w:val="12"/>
          <w:szCs w:val="12"/>
          <w:color w:val="auto"/>
        </w:rPr>
        <w:t>In January 2017, the FASB issued Accounting Standards Update No. 2017-04, “Intangibles-Goodwill and Other (Topic 350): Simplifying the Test for Goodwill Impairment,” or ASU 2017-04. The amendments in ASU 2017-04 simplify the subsequent measurement of goodwill by eliminating Step 2 from the goodwill impairment test. In computing the implied fair value of goodwill under Step 2, an entity performed procedures to determine the fair value at the impairment testing date of its assets and liabilities. When applying the amendments in ASU 2017-04, an entity performs its annual, or interim, goodwill impairment test by comparing the fair value of a reporting unit with its carrying amount and recognizes an impairment charge for the amount by which the carrying amount exceeds the reporting unit’s fair value, but not more than the total amount of goodwill allocated to the reporting unit. The Company adopted ASU 2017-04 effective January 1, 2020.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REVENUE RECOGNITION</w:t>
      </w:r>
    </w:p>
    <w:p>
      <w:pPr>
        <w:spacing w:after="0" w:line="82" w:lineRule="exact"/>
        <w:rPr>
          <w:sz w:val="20"/>
          <w:szCs w:val="20"/>
          <w:color w:val="auto"/>
        </w:rPr>
      </w:pPr>
    </w:p>
    <w:p>
      <w:pPr>
        <w:ind w:right="40" w:firstLine="592"/>
        <w:spacing w:after="0" w:line="279" w:lineRule="auto"/>
        <w:rPr>
          <w:sz w:val="20"/>
          <w:szCs w:val="20"/>
          <w:color w:val="auto"/>
        </w:rPr>
      </w:pPr>
      <w:r>
        <w:rPr>
          <w:rFonts w:ascii="Times New Roman" w:cs="Times New Roman" w:eastAsia="Times New Roman" w:hAnsi="Times New Roman"/>
          <w:sz w:val="12"/>
          <w:szCs w:val="12"/>
          <w:color w:val="auto"/>
        </w:rPr>
        <w:t>MSCI’s revenues are characterized by product type, which broadly reflects the nature of how they are recognized. The Company’s revenue types are recurring subscriptions, asset-based fees and non-recurring revenues. The Company also groups its revenues by segment.</w:t>
      </w:r>
    </w:p>
    <w:p>
      <w:pPr>
        <w:spacing w:after="0" w:line="1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tables that follow present the disaggregated revenues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For the Year Ended December 31, 2020</w:t>
            </w: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42"/>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Segments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2"/>
                <w:szCs w:val="12"/>
                <w:color w:val="auto"/>
              </w:rPr>
            </w:pPr>
          </w:p>
        </w:tc>
        <w:tc>
          <w:tcPr>
            <w:tcW w:w="1280" w:type="dxa"/>
            <w:vAlign w:val="bottom"/>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Index</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Analytics</w:t>
            </w:r>
          </w:p>
        </w:tc>
        <w:tc>
          <w:tcPr>
            <w:tcW w:w="100" w:type="dxa"/>
            <w:vAlign w:val="bottom"/>
          </w:tcPr>
          <w:p>
            <w:pPr>
              <w:spacing w:after="0"/>
              <w:rPr>
                <w:sz w:val="12"/>
                <w:szCs w:val="12"/>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Product Types</w:t>
            </w:r>
          </w:p>
        </w:tc>
        <w:tc>
          <w:tcPr>
            <w:tcW w:w="20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45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Recurring subscriptions</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580,393</w:t>
            </w:r>
          </w:p>
        </w:tc>
        <w:tc>
          <w:tcPr>
            <w:tcW w:w="52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506,301</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161,481</w:t>
            </w:r>
          </w:p>
        </w:tc>
        <w:tc>
          <w:tcPr>
            <w:tcW w:w="1080" w:type="dxa"/>
            <w:vAlign w:val="bottom"/>
            <w:gridSpan w:val="2"/>
          </w:tcPr>
          <w:p>
            <w:pPr>
              <w:jc w:val="right"/>
              <w:ind w:right="689"/>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1,248,175</w:t>
            </w:r>
          </w:p>
        </w:tc>
        <w:tc>
          <w:tcPr>
            <w:tcW w:w="120" w:type="dxa"/>
            <w:vAlign w:val="bottom"/>
          </w:tcPr>
          <w:p>
            <w:pPr>
              <w:spacing w:after="0"/>
              <w:rPr>
                <w:sz w:val="13"/>
                <w:szCs w:val="13"/>
                <w:color w:val="auto"/>
              </w:rPr>
            </w:pPr>
          </w:p>
        </w:tc>
      </w:tr>
      <w:tr>
        <w:trPr>
          <w:trHeight w:val="153"/>
        </w:trPr>
        <w:tc>
          <w:tcPr>
            <w:tcW w:w="45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Asset-based fees</w:t>
            </w:r>
          </w:p>
        </w:tc>
        <w:tc>
          <w:tcPr>
            <w:tcW w:w="3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399,771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399,771</w:t>
            </w:r>
          </w:p>
        </w:tc>
        <w:tc>
          <w:tcPr>
            <w:tcW w:w="120" w:type="dxa"/>
            <w:vAlign w:val="bottom"/>
            <w:shd w:val="clear" w:color="auto" w:fill="CFF0FC"/>
          </w:tcPr>
          <w:p>
            <w:pPr>
              <w:spacing w:after="0"/>
              <w:rPr>
                <w:sz w:val="13"/>
                <w:szCs w:val="13"/>
                <w:color w:val="auto"/>
              </w:rPr>
            </w:pPr>
          </w:p>
        </w:tc>
      </w:tr>
      <w:tr>
        <w:trPr>
          <w:trHeight w:val="153"/>
        </w:trPr>
        <w:tc>
          <w:tcPr>
            <w:tcW w:w="454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2"/>
                <w:szCs w:val="12"/>
                <w:color w:val="auto"/>
              </w:rPr>
              <w:t>Non-recurring</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36,331</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7,507</w:t>
            </w:r>
          </w:p>
        </w:tc>
        <w:tc>
          <w:tcPr>
            <w:tcW w:w="3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3,606</w:t>
            </w:r>
          </w:p>
        </w:tc>
        <w:tc>
          <w:tcPr>
            <w:tcW w:w="2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47,444</w:t>
            </w:r>
          </w:p>
        </w:tc>
        <w:tc>
          <w:tcPr>
            <w:tcW w:w="120" w:type="dxa"/>
            <w:vAlign w:val="bottom"/>
            <w:tcBorders>
              <w:bottom w:val="single" w:sz="8" w:color="CFF0FC"/>
            </w:tcBorders>
          </w:tcPr>
          <w:p>
            <w:pPr>
              <w:spacing w:after="0"/>
              <w:rPr>
                <w:sz w:val="13"/>
                <w:szCs w:val="13"/>
                <w:color w:val="auto"/>
              </w:rPr>
            </w:pPr>
          </w:p>
        </w:tc>
      </w:tr>
      <w:tr>
        <w:trPr>
          <w:trHeight w:val="149"/>
        </w:trPr>
        <w:tc>
          <w:tcPr>
            <w:tcW w:w="4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80" w:type="dxa"/>
            <w:vAlign w:val="bottom"/>
            <w:tcBorders>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1,016,495</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513,808</w:t>
            </w:r>
          </w:p>
        </w:tc>
        <w:tc>
          <w:tcPr>
            <w:tcW w:w="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165,087</w:t>
            </w:r>
          </w:p>
        </w:tc>
        <w:tc>
          <w:tcPr>
            <w:tcW w:w="2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ind w:right="68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1,695,390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97"/>
        </w:trPr>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For the Year Ended December 31, 2019</w:t>
            </w: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Segments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2"/>
                <w:szCs w:val="12"/>
                <w:color w:val="auto"/>
              </w:rPr>
            </w:pPr>
          </w:p>
        </w:tc>
        <w:tc>
          <w:tcPr>
            <w:tcW w:w="1280" w:type="dxa"/>
            <w:vAlign w:val="bottom"/>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Index</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Analytics</w:t>
            </w:r>
          </w:p>
        </w:tc>
        <w:tc>
          <w:tcPr>
            <w:tcW w:w="100" w:type="dxa"/>
            <w:vAlign w:val="bottom"/>
          </w:tcPr>
          <w:p>
            <w:pPr>
              <w:spacing w:after="0"/>
              <w:rPr>
                <w:sz w:val="12"/>
                <w:szCs w:val="12"/>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Product Types</w:t>
            </w:r>
          </w:p>
        </w:tc>
        <w:tc>
          <w:tcPr>
            <w:tcW w:w="20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45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Recurring subscriptions</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530,968</w:t>
            </w:r>
          </w:p>
        </w:tc>
        <w:tc>
          <w:tcPr>
            <w:tcW w:w="52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486,282</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136,790</w:t>
            </w:r>
          </w:p>
        </w:tc>
        <w:tc>
          <w:tcPr>
            <w:tcW w:w="1080" w:type="dxa"/>
            <w:vAlign w:val="bottom"/>
            <w:gridSpan w:val="2"/>
          </w:tcPr>
          <w:p>
            <w:pPr>
              <w:jc w:val="right"/>
              <w:ind w:right="689"/>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1,154,040</w:t>
            </w:r>
          </w:p>
        </w:tc>
        <w:tc>
          <w:tcPr>
            <w:tcW w:w="120" w:type="dxa"/>
            <w:vAlign w:val="bottom"/>
          </w:tcPr>
          <w:p>
            <w:pPr>
              <w:spacing w:after="0"/>
              <w:rPr>
                <w:sz w:val="13"/>
                <w:szCs w:val="13"/>
                <w:color w:val="auto"/>
              </w:rPr>
            </w:pPr>
          </w:p>
        </w:tc>
      </w:tr>
      <w:tr>
        <w:trPr>
          <w:trHeight w:val="153"/>
        </w:trPr>
        <w:tc>
          <w:tcPr>
            <w:tcW w:w="45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Asset-based fees</w:t>
            </w:r>
          </w:p>
        </w:tc>
        <w:tc>
          <w:tcPr>
            <w:tcW w:w="3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361,927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361,927</w:t>
            </w:r>
          </w:p>
        </w:tc>
        <w:tc>
          <w:tcPr>
            <w:tcW w:w="120" w:type="dxa"/>
            <w:vAlign w:val="bottom"/>
            <w:shd w:val="clear" w:color="auto" w:fill="CFF0FC"/>
          </w:tcPr>
          <w:p>
            <w:pPr>
              <w:spacing w:after="0"/>
              <w:rPr>
                <w:sz w:val="13"/>
                <w:szCs w:val="13"/>
                <w:color w:val="auto"/>
              </w:rPr>
            </w:pPr>
          </w:p>
        </w:tc>
      </w:tr>
      <w:tr>
        <w:trPr>
          <w:trHeight w:val="153"/>
        </w:trPr>
        <w:tc>
          <w:tcPr>
            <w:tcW w:w="454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2"/>
                <w:szCs w:val="12"/>
                <w:color w:val="auto"/>
              </w:rPr>
              <w:t>Non-recurring</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28,042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10,643</w:t>
            </w:r>
          </w:p>
        </w:tc>
        <w:tc>
          <w:tcPr>
            <w:tcW w:w="3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3,144</w:t>
            </w:r>
          </w:p>
        </w:tc>
        <w:tc>
          <w:tcPr>
            <w:tcW w:w="2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41,829</w:t>
            </w:r>
          </w:p>
        </w:tc>
        <w:tc>
          <w:tcPr>
            <w:tcW w:w="120" w:type="dxa"/>
            <w:vAlign w:val="bottom"/>
            <w:tcBorders>
              <w:bottom w:val="single" w:sz="8" w:color="CFF0FC"/>
            </w:tcBorders>
          </w:tcPr>
          <w:p>
            <w:pPr>
              <w:spacing w:after="0"/>
              <w:rPr>
                <w:sz w:val="13"/>
                <w:szCs w:val="13"/>
                <w:color w:val="auto"/>
              </w:rPr>
            </w:pPr>
          </w:p>
        </w:tc>
      </w:tr>
      <w:tr>
        <w:trPr>
          <w:trHeight w:val="149"/>
        </w:trPr>
        <w:tc>
          <w:tcPr>
            <w:tcW w:w="4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80" w:type="dxa"/>
            <w:vAlign w:val="bottom"/>
            <w:tcBorders>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920,937</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496,925</w:t>
            </w:r>
          </w:p>
        </w:tc>
        <w:tc>
          <w:tcPr>
            <w:tcW w:w="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139,934</w:t>
            </w:r>
          </w:p>
        </w:tc>
        <w:tc>
          <w:tcPr>
            <w:tcW w:w="2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ind w:right="68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1,557,796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34"/>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For the Year Ended December 31, 2018</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42"/>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Segments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2"/>
                <w:szCs w:val="12"/>
                <w:color w:val="auto"/>
              </w:rPr>
            </w:pPr>
          </w:p>
        </w:tc>
        <w:tc>
          <w:tcPr>
            <w:tcW w:w="1280" w:type="dxa"/>
            <w:vAlign w:val="bottom"/>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Index</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Analytics</w:t>
            </w:r>
          </w:p>
        </w:tc>
        <w:tc>
          <w:tcPr>
            <w:tcW w:w="100" w:type="dxa"/>
            <w:vAlign w:val="bottom"/>
          </w:tcPr>
          <w:p>
            <w:pPr>
              <w:spacing w:after="0"/>
              <w:rPr>
                <w:sz w:val="12"/>
                <w:szCs w:val="12"/>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Product Types</w:t>
            </w:r>
          </w:p>
        </w:tc>
        <w:tc>
          <w:tcPr>
            <w:tcW w:w="20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45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Recurring subscriptions</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477,612</w:t>
            </w:r>
          </w:p>
        </w:tc>
        <w:tc>
          <w:tcPr>
            <w:tcW w:w="52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474,334</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114,590</w:t>
            </w:r>
          </w:p>
        </w:tc>
        <w:tc>
          <w:tcPr>
            <w:tcW w:w="1080" w:type="dxa"/>
            <w:vAlign w:val="bottom"/>
            <w:gridSpan w:val="2"/>
          </w:tcPr>
          <w:p>
            <w:pPr>
              <w:jc w:val="right"/>
              <w:ind w:right="689"/>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1,066,536</w:t>
            </w:r>
          </w:p>
        </w:tc>
        <w:tc>
          <w:tcPr>
            <w:tcW w:w="120" w:type="dxa"/>
            <w:vAlign w:val="bottom"/>
          </w:tcPr>
          <w:p>
            <w:pPr>
              <w:spacing w:after="0"/>
              <w:rPr>
                <w:sz w:val="13"/>
                <w:szCs w:val="13"/>
                <w:color w:val="auto"/>
              </w:rPr>
            </w:pPr>
          </w:p>
        </w:tc>
      </w:tr>
      <w:tr>
        <w:trPr>
          <w:trHeight w:val="153"/>
        </w:trPr>
        <w:tc>
          <w:tcPr>
            <w:tcW w:w="45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Asset-based fees</w:t>
            </w:r>
          </w:p>
        </w:tc>
        <w:tc>
          <w:tcPr>
            <w:tcW w:w="3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336,565</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336,565</w:t>
            </w:r>
          </w:p>
        </w:tc>
        <w:tc>
          <w:tcPr>
            <w:tcW w:w="120" w:type="dxa"/>
            <w:vAlign w:val="bottom"/>
            <w:shd w:val="clear" w:color="auto" w:fill="CFF0FC"/>
          </w:tcPr>
          <w:p>
            <w:pPr>
              <w:spacing w:after="0"/>
              <w:rPr>
                <w:sz w:val="13"/>
                <w:szCs w:val="13"/>
                <w:color w:val="auto"/>
              </w:rPr>
            </w:pPr>
          </w:p>
        </w:tc>
      </w:tr>
      <w:tr>
        <w:trPr>
          <w:trHeight w:val="153"/>
        </w:trPr>
        <w:tc>
          <w:tcPr>
            <w:tcW w:w="454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2"/>
                <w:szCs w:val="12"/>
                <w:color w:val="auto"/>
              </w:rPr>
              <w:t>Non-recurring</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21,298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5,605</w:t>
            </w:r>
          </w:p>
        </w:tc>
        <w:tc>
          <w:tcPr>
            <w:tcW w:w="3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3,980</w:t>
            </w:r>
          </w:p>
        </w:tc>
        <w:tc>
          <w:tcPr>
            <w:tcW w:w="2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30,883</w:t>
            </w:r>
          </w:p>
        </w:tc>
        <w:tc>
          <w:tcPr>
            <w:tcW w:w="120" w:type="dxa"/>
            <w:vAlign w:val="bottom"/>
            <w:tcBorders>
              <w:bottom w:val="single" w:sz="8" w:color="CFF0FC"/>
            </w:tcBorders>
          </w:tcPr>
          <w:p>
            <w:pPr>
              <w:spacing w:after="0"/>
              <w:rPr>
                <w:sz w:val="13"/>
                <w:szCs w:val="13"/>
                <w:color w:val="auto"/>
              </w:rPr>
            </w:pPr>
          </w:p>
        </w:tc>
      </w:tr>
      <w:tr>
        <w:trPr>
          <w:trHeight w:val="149"/>
        </w:trPr>
        <w:tc>
          <w:tcPr>
            <w:tcW w:w="4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80" w:type="dxa"/>
            <w:vAlign w:val="bottom"/>
            <w:tcBorders>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835,475</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479,939</w:t>
            </w:r>
          </w:p>
        </w:tc>
        <w:tc>
          <w:tcPr>
            <w:tcW w:w="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118,570</w:t>
            </w:r>
          </w:p>
        </w:tc>
        <w:tc>
          <w:tcPr>
            <w:tcW w:w="2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ind w:right="68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1,433,984</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387"/>
        </w:trPr>
        <w:tc>
          <w:tcPr>
            <w:tcW w:w="6200" w:type="dxa"/>
            <w:vAlign w:val="bottom"/>
            <w:gridSpan w:val="4"/>
          </w:tcPr>
          <w:p>
            <w:pPr>
              <w:ind w:left="580"/>
              <w:spacing w:after="0"/>
              <w:rPr>
                <w:sz w:val="20"/>
                <w:szCs w:val="20"/>
                <w:color w:val="auto"/>
              </w:rPr>
            </w:pPr>
            <w:r>
              <w:rPr>
                <w:rFonts w:ascii="Times New Roman" w:cs="Times New Roman" w:eastAsia="Times New Roman" w:hAnsi="Times New Roman"/>
                <w:sz w:val="12"/>
                <w:szCs w:val="12"/>
                <w:color w:val="auto"/>
              </w:rPr>
              <w:t>The table that follows presents the change in accounts receivable and deferred revenue between the dates indicated: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0"/>
                <w:szCs w:val="10"/>
                <w:b w:val="1"/>
                <w:bCs w:val="1"/>
                <w:color w:val="auto"/>
              </w:rPr>
              <w:t>Accounts receivable</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Deferred revenue</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Opening (1/1/2020)</w:t>
            </w:r>
          </w:p>
        </w:tc>
        <w:tc>
          <w:tcPr>
            <w:tcW w:w="3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499,268</w:t>
            </w: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321"/>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574,656</w:t>
            </w:r>
          </w:p>
        </w:tc>
        <w:tc>
          <w:tcPr>
            <w:tcW w:w="120" w:type="dxa"/>
            <w:vAlign w:val="bottom"/>
            <w:shd w:val="clear" w:color="auto" w:fill="CFF0FC"/>
          </w:tcPr>
          <w:p>
            <w:pPr>
              <w:spacing w:after="0"/>
              <w:rPr>
                <w:sz w:val="13"/>
                <w:szCs w:val="13"/>
                <w:color w:val="auto"/>
              </w:rPr>
            </w:pPr>
          </w:p>
        </w:tc>
      </w:tr>
      <w:tr>
        <w:trPr>
          <w:trHeight w:val="153"/>
        </w:trPr>
        <w:tc>
          <w:tcPr>
            <w:tcW w:w="45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Closing (12/31/2020)</w:t>
            </w:r>
          </w:p>
        </w:tc>
        <w:tc>
          <w:tcPr>
            <w:tcW w:w="38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558,569</w:t>
            </w:r>
          </w:p>
        </w:tc>
        <w:tc>
          <w:tcPr>
            <w:tcW w:w="3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675,870</w:t>
            </w:r>
          </w:p>
        </w:tc>
        <w:tc>
          <w:tcPr>
            <w:tcW w:w="120" w:type="dxa"/>
            <w:vAlign w:val="bottom"/>
            <w:tcBorders>
              <w:bottom w:val="single" w:sz="8" w:color="CFF0FC"/>
            </w:tcBorders>
          </w:tcPr>
          <w:p>
            <w:pPr>
              <w:spacing w:after="0"/>
              <w:rPr>
                <w:sz w:val="13"/>
                <w:szCs w:val="13"/>
                <w:color w:val="auto"/>
              </w:rPr>
            </w:pPr>
          </w:p>
        </w:tc>
      </w:tr>
      <w:tr>
        <w:trPr>
          <w:trHeight w:val="162"/>
        </w:trPr>
        <w:tc>
          <w:tcPr>
            <w:tcW w:w="4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38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59,301</w:t>
            </w:r>
          </w:p>
        </w:tc>
        <w:tc>
          <w:tcPr>
            <w:tcW w:w="38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ind w:right="321"/>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101,214</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75"/>
        </w:trPr>
        <w:tc>
          <w:tcPr>
            <w:tcW w:w="4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rPr>
              <w:t>72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72"/>
        </w:trPr>
        <w:tc>
          <w:tcPr>
            <w:tcW w:w="43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1780" w:type="dxa"/>
            <w:vAlign w:val="bottom"/>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Accounts receivable</w:t>
            </w: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Deferred revenue</w:t>
            </w:r>
          </w:p>
        </w:tc>
      </w:tr>
      <w:tr>
        <w:trPr>
          <w:trHeight w:val="142"/>
        </w:trPr>
        <w:tc>
          <w:tcPr>
            <w:tcW w:w="638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Opening (1/1/2019)</w:t>
            </w:r>
          </w:p>
        </w:tc>
        <w:tc>
          <w:tcPr>
            <w:tcW w:w="1780" w:type="dxa"/>
            <w:vAlign w:val="bottom"/>
            <w:shd w:val="clear" w:color="auto" w:fill="CFF0FC"/>
          </w:tcPr>
          <w:p>
            <w:pPr>
              <w:jc w:val="right"/>
              <w:ind w:right="166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473,433</w:t>
            </w:r>
          </w:p>
        </w:tc>
        <w:tc>
          <w:tcPr>
            <w:tcW w:w="38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537,977</w:t>
            </w:r>
          </w:p>
        </w:tc>
        <w:tc>
          <w:tcPr>
            <w:tcW w:w="120" w:type="dxa"/>
            <w:vAlign w:val="bottom"/>
            <w:shd w:val="clear" w:color="auto" w:fill="CFF0FC"/>
          </w:tcPr>
          <w:p>
            <w:pPr>
              <w:spacing w:after="0"/>
              <w:rPr>
                <w:sz w:val="13"/>
                <w:szCs w:val="13"/>
                <w:color w:val="auto"/>
              </w:rPr>
            </w:pPr>
          </w:p>
        </w:tc>
      </w:tr>
      <w:tr>
        <w:trPr>
          <w:trHeight w:val="153"/>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Closing (12/31/2019)</w:t>
            </w:r>
          </w:p>
        </w:tc>
        <w:tc>
          <w:tcPr>
            <w:tcW w:w="17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499,268</w:t>
            </w:r>
          </w:p>
        </w:tc>
        <w:tc>
          <w:tcPr>
            <w:tcW w:w="3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574,656</w:t>
            </w:r>
          </w:p>
        </w:tc>
        <w:tc>
          <w:tcPr>
            <w:tcW w:w="120" w:type="dxa"/>
            <w:vAlign w:val="bottom"/>
            <w:tcBorders>
              <w:bottom w:val="single" w:sz="8" w:color="CFF0FC"/>
            </w:tcBorders>
          </w:tcPr>
          <w:p>
            <w:pPr>
              <w:spacing w:after="0"/>
              <w:rPr>
                <w:sz w:val="13"/>
                <w:szCs w:val="13"/>
                <w:color w:val="auto"/>
              </w:rPr>
            </w:pPr>
          </w:p>
        </w:tc>
      </w:tr>
      <w:tr>
        <w:trPr>
          <w:trHeight w:val="149"/>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1780" w:type="dxa"/>
            <w:vAlign w:val="bottom"/>
            <w:tcBorders>
              <w:bottom w:val="single" w:sz="8" w:color="auto"/>
            </w:tcBorders>
            <w:shd w:val="clear" w:color="auto" w:fill="CFF0FC"/>
          </w:tcPr>
          <w:p>
            <w:pPr>
              <w:jc w:val="right"/>
              <w:ind w:right="166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25,835</w:t>
            </w:r>
          </w:p>
        </w:tc>
        <w:tc>
          <w:tcPr>
            <w:tcW w:w="38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36,679</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51" w:lineRule="exact"/>
        <w:rPr>
          <w:sz w:val="20"/>
          <w:szCs w:val="20"/>
          <w:color w:val="auto"/>
        </w:rPr>
      </w:pPr>
    </w:p>
    <w:p>
      <w:pPr>
        <w:ind w:right="200" w:firstLine="592"/>
        <w:spacing w:after="0" w:line="260" w:lineRule="auto"/>
        <w:rPr>
          <w:sz w:val="20"/>
          <w:szCs w:val="20"/>
          <w:color w:val="auto"/>
        </w:rPr>
      </w:pPr>
      <w:r>
        <w:rPr>
          <w:rFonts w:ascii="Times New Roman" w:cs="Times New Roman" w:eastAsia="Times New Roman" w:hAnsi="Times New Roman"/>
          <w:sz w:val="12"/>
          <w:szCs w:val="12"/>
          <w:color w:val="auto"/>
        </w:rPr>
        <w:t>The amount of revenue recognized in the period that was included in the opening current deferred revenue, which reflects the contract liability amounts, was $555.8 million and $522.7 million for the years ended December 31, 2020 and 2019, respectively. The difference between the opening and closing balances of the Company’s deferred revenue was primarily driven by an increase in billings, partially offset by the amortization of deferred revenue to operating revenues. MSCI had long-term deferred revenue balance as of December 31, 2020 and 2019, respectively, reflected as part of “Other non-current liabilities” on its Consolidated Statement of Financial Condition, which were not material.</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For contracts that have a duration of one year or less, the Company has not disclosed either the remaining performance obligation as of the end of the reporting period or when the Company expects to recognize the revenue.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remaining performance obligations for contracts that have a duration of greater than one year and the periods in which they are expected to be recognized are as follows:</w:t>
      </w:r>
    </w:p>
    <w:p>
      <w:pPr>
        <w:sectPr>
          <w:pgSz w:w="11900" w:h="16838" w:orient="portrait"/>
          <w:cols w:equalWidth="0" w:num="1">
            <w:col w:w="11300"/>
          </w:cols>
          <w:pgMar w:left="300" w:top="60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2"/>
          <w:szCs w:val="12"/>
          <w:color w:val="auto"/>
        </w:rPr>
        <w:t>First 12-month period</w:t>
      </w:r>
    </w:p>
    <w:p>
      <w:pPr>
        <w:spacing w:after="0" w:line="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1"/>
          <w:szCs w:val="11"/>
          <w:color w:val="auto"/>
        </w:rPr>
        <w:t>Second 12-month period</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2"/>
          <w:szCs w:val="12"/>
          <w:color w:val="auto"/>
        </w:rPr>
        <w:t>Third 12-month period</w:t>
      </w:r>
    </w:p>
    <w:p>
      <w:pPr>
        <w:spacing w:after="0" w:line="1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2"/>
          <w:szCs w:val="12"/>
          <w:color w:val="auto"/>
        </w:rPr>
        <w:t>Periods thereafter</w:t>
      </w:r>
    </w:p>
    <w:p>
      <w:pPr>
        <w:spacing w:after="0" w:line="2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2"/>
          <w:szCs w:val="12"/>
          <w:color w:val="auto"/>
        </w:rPr>
        <w:t>Total</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EARNINGS PER COMMON SHARE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0"/>
          <w:szCs w:val="10"/>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97726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spacing w:after="0" w:line="27"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10"/>
          <w:szCs w:val="10"/>
          <w:b w:val="1"/>
          <w:bCs w:val="1"/>
          <w:color w:val="auto"/>
        </w:rPr>
        <w:t>December 31,</w:t>
      </w:r>
    </w:p>
    <w:p>
      <w:pPr>
        <w:spacing w:after="0" w:line="38" w:lineRule="exact"/>
        <w:rPr>
          <w:sz w:val="20"/>
          <w:szCs w:val="20"/>
          <w:color w:val="auto"/>
        </w:rPr>
      </w:pPr>
    </w:p>
    <w:p>
      <w:pPr>
        <w:jc w:val="center"/>
        <w:ind w:right="2897"/>
        <w:spacing w:after="0"/>
        <w:rPr>
          <w:sz w:val="20"/>
          <w:szCs w:val="20"/>
          <w:color w:val="auto"/>
        </w:rPr>
      </w:pPr>
      <w:r>
        <w:rPr>
          <w:rFonts w:ascii="Times New Roman" w:cs="Times New Roman" w:eastAsia="Times New Roman" w:hAnsi="Times New Roman"/>
          <w:sz w:val="10"/>
          <w:szCs w:val="10"/>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97726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spacing w:after="0" w:line="27" w:lineRule="exact"/>
        <w:rPr>
          <w:sz w:val="20"/>
          <w:szCs w:val="20"/>
          <w:color w:val="auto"/>
        </w:rPr>
      </w:pPr>
    </w:p>
    <w:p>
      <w:pPr>
        <w:jc w:val="center"/>
        <w:ind w:right="2897"/>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0</wp:posOffset>
            </wp:positionV>
            <wp:extent cx="3589020" cy="97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89020" cy="97155"/>
                    </a:xfrm>
                    <a:prstGeom prst="rect">
                      <a:avLst/>
                    </a:prstGeom>
                    <a:noFill/>
                  </pic:spPr>
                </pic:pic>
              </a:graphicData>
            </a:graphic>
          </wp:anchor>
        </w:drawing>
      </w:r>
    </w:p>
    <w:p>
      <w:pPr>
        <w:ind w:left="1143" w:hanging="1143"/>
        <w:spacing w:after="0"/>
        <w:tabs>
          <w:tab w:leader="none" w:pos="1143"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337,692</w:t>
      </w:r>
    </w:p>
    <w:p>
      <w:pPr>
        <w:spacing w:after="0" w:line="16" w:lineRule="exact"/>
        <w:rPr>
          <w:rFonts w:ascii="Times New Roman" w:cs="Times New Roman" w:eastAsia="Times New Roman" w:hAnsi="Times New Roman"/>
          <w:sz w:val="11"/>
          <w:szCs w:val="11"/>
          <w:color w:val="auto"/>
        </w:rPr>
      </w:pPr>
    </w:p>
    <w:p>
      <w:pPr>
        <w:ind w:left="1143"/>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198,274</w:t>
      </w:r>
    </w:p>
    <w:p>
      <w:pPr>
        <w:spacing w:after="0" w:line="26" w:lineRule="exact"/>
        <w:rPr>
          <w:rFonts w:ascii="Times New Roman" w:cs="Times New Roman" w:eastAsia="Times New Roman" w:hAnsi="Times New Roman"/>
          <w:sz w:val="11"/>
          <w:szCs w:val="11"/>
          <w:color w:val="auto"/>
        </w:rPr>
      </w:pPr>
    </w:p>
    <w:p>
      <w:pPr>
        <w:ind w:left="1203"/>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60,697</w:t>
      </w:r>
    </w:p>
    <w:p>
      <w:pPr>
        <w:spacing w:after="0" w:line="26" w:lineRule="exact"/>
        <w:rPr>
          <w:rFonts w:ascii="Times New Roman" w:cs="Times New Roman" w:eastAsia="Times New Roman" w:hAnsi="Times New Roman"/>
          <w:sz w:val="11"/>
          <w:szCs w:val="11"/>
          <w:color w:val="auto"/>
        </w:rPr>
      </w:pPr>
    </w:p>
    <w:p>
      <w:pPr>
        <w:ind w:left="1203"/>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14,885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-176530</wp:posOffset>
            </wp:positionV>
            <wp:extent cx="3589020" cy="971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89020" cy="971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17145</wp:posOffset>
            </wp:positionV>
            <wp:extent cx="3589020" cy="1085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89020" cy="108585"/>
                    </a:xfrm>
                    <a:prstGeom prst="rect">
                      <a:avLst/>
                    </a:prstGeom>
                    <a:noFill/>
                  </pic:spPr>
                </pic:pic>
              </a:graphicData>
            </a:graphic>
          </wp:anchor>
        </w:drawing>
      </w:r>
    </w:p>
    <w:p>
      <w:pPr>
        <w:spacing w:after="0" w:line="14" w:lineRule="exact"/>
        <w:rPr>
          <w:sz w:val="20"/>
          <w:szCs w:val="20"/>
          <w:color w:val="auto"/>
        </w:rPr>
      </w:pPr>
    </w:p>
    <w:p>
      <w:pPr>
        <w:ind w:left="1143" w:hanging="1143"/>
        <w:spacing w:after="0"/>
        <w:tabs>
          <w:tab w:leader="none" w:pos="1143"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611,548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97726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spacing w:after="0" w:line="557" w:lineRule="exact"/>
        <w:rPr>
          <w:sz w:val="20"/>
          <w:szCs w:val="20"/>
          <w:color w:val="auto"/>
        </w:rPr>
      </w:pPr>
    </w:p>
    <w:p>
      <w:pPr>
        <w:sectPr>
          <w:pgSz w:w="11900" w:h="16838" w:orient="portrait"/>
          <w:cols w:equalWidth="0" w:num="2">
            <w:col w:w="6157" w:space="720"/>
            <w:col w:w="4423"/>
          </w:cols>
          <w:pgMar w:left="300" w:top="609" w:right="299" w:bottom="1440" w:gutter="0" w:footer="0" w:header="0"/>
          <w:type w:val="continuous"/>
        </w:sectPr>
      </w:pPr>
    </w:p>
    <w:p>
      <w:pPr>
        <w:ind w:right="340" w:firstLine="592"/>
        <w:spacing w:after="0" w:line="279" w:lineRule="auto"/>
        <w:rPr>
          <w:sz w:val="20"/>
          <w:szCs w:val="20"/>
          <w:color w:val="auto"/>
        </w:rPr>
      </w:pPr>
      <w:r>
        <w:rPr>
          <w:rFonts w:ascii="Times New Roman" w:cs="Times New Roman" w:eastAsia="Times New Roman" w:hAnsi="Times New Roman"/>
          <w:sz w:val="12"/>
          <w:szCs w:val="12"/>
          <w:color w:val="auto"/>
        </w:rPr>
        <w:t>Basic earnings per share (“EPS”) is computed by dividing net income by the weighted average number of common shares outstanding during the period. Common shares outstanding include common stock and vested restricted stock unit awards where recipients have satisfied either the explicit vesting terms or retirement-eligible requirements. Diluted EPS reflects the assumed conversion of all dilutive securities.</w:t>
      </w:r>
    </w:p>
    <w:p>
      <w:pPr>
        <w:spacing w:after="0" w:line="1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the computation of basic and diluted EPS: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90"/>
        </w:trPr>
        <w:tc>
          <w:tcPr>
            <w:tcW w:w="1120" w:type="dxa"/>
            <w:vAlign w:val="bottom"/>
          </w:tcPr>
          <w:p>
            <w:pPr>
              <w:spacing w:after="0"/>
              <w:rPr>
                <w:sz w:val="7"/>
                <w:szCs w:val="7"/>
                <w:color w:val="auto"/>
              </w:rPr>
            </w:pPr>
          </w:p>
        </w:tc>
        <w:tc>
          <w:tcPr>
            <w:tcW w:w="428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2"/>
          </w:tcPr>
          <w:p>
            <w:pPr>
              <w:jc w:val="center"/>
              <w:ind w:right="48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40" w:type="dxa"/>
            <w:vAlign w:val="bottom"/>
          </w:tcPr>
          <w:p>
            <w:pPr>
              <w:spacing w:after="0"/>
              <w:rPr>
                <w:sz w:val="7"/>
                <w:szCs w:val="7"/>
                <w:color w:val="auto"/>
              </w:rPr>
            </w:pPr>
          </w:p>
        </w:tc>
        <w:tc>
          <w:tcPr>
            <w:tcW w:w="1160" w:type="dxa"/>
            <w:vAlign w:val="bottom"/>
          </w:tcPr>
          <w:p>
            <w:pPr>
              <w:jc w:val="right"/>
              <w:ind w:right="363"/>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15"/>
        </w:trPr>
        <w:tc>
          <w:tcPr>
            <w:tcW w:w="1120" w:type="dxa"/>
            <w:vAlign w:val="bottom"/>
          </w:tcPr>
          <w:p>
            <w:pPr>
              <w:spacing w:after="0"/>
              <w:rPr>
                <w:sz w:val="10"/>
                <w:szCs w:val="10"/>
                <w:color w:val="auto"/>
              </w:rPr>
            </w:pPr>
          </w:p>
        </w:tc>
        <w:tc>
          <w:tcPr>
            <w:tcW w:w="4280" w:type="dxa"/>
            <w:vAlign w:val="bottom"/>
            <w:tcBorders>
              <w:bottom w:val="single" w:sz="8" w:color="CFF0FC"/>
            </w:tcBorders>
          </w:tcPr>
          <w:p>
            <w:pPr>
              <w:spacing w:after="0"/>
              <w:rPr>
                <w:sz w:val="10"/>
                <w:szCs w:val="10"/>
                <w:color w:val="auto"/>
              </w:rPr>
            </w:pPr>
          </w:p>
        </w:tc>
        <w:tc>
          <w:tcPr>
            <w:tcW w:w="9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2020</w:t>
            </w: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4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2018</w:t>
            </w:r>
          </w:p>
        </w:tc>
        <w:tc>
          <w:tcPr>
            <w:tcW w:w="100" w:type="dxa"/>
            <w:vAlign w:val="bottom"/>
            <w:tcBorders>
              <w:bottom w:val="single" w:sz="8" w:color="CFF0FC"/>
            </w:tcBorders>
          </w:tcPr>
          <w:p>
            <w:pPr>
              <w:spacing w:after="0"/>
              <w:rPr>
                <w:sz w:val="10"/>
                <w:szCs w:val="10"/>
                <w:color w:val="auto"/>
              </w:rPr>
            </w:pPr>
          </w:p>
        </w:tc>
        <w:tc>
          <w:tcPr>
            <w:tcW w:w="1140" w:type="dxa"/>
            <w:vAlign w:val="bottom"/>
          </w:tcPr>
          <w:p>
            <w:pPr>
              <w:spacing w:after="0"/>
              <w:rPr>
                <w:sz w:val="10"/>
                <w:szCs w:val="10"/>
                <w:color w:val="auto"/>
              </w:rPr>
            </w:pPr>
          </w:p>
        </w:tc>
      </w:tr>
      <w:tr>
        <w:trPr>
          <w:trHeight w:val="97"/>
        </w:trPr>
        <w:tc>
          <w:tcPr>
            <w:tcW w:w="1120" w:type="dxa"/>
            <w:vAlign w:val="bottom"/>
          </w:tcPr>
          <w:p>
            <w:pPr>
              <w:spacing w:after="0"/>
              <w:rPr>
                <w:sz w:val="8"/>
                <w:szCs w:val="8"/>
                <w:color w:val="auto"/>
              </w:rPr>
            </w:pPr>
          </w:p>
        </w:tc>
        <w:tc>
          <w:tcPr>
            <w:tcW w:w="4280" w:type="dxa"/>
            <w:vAlign w:val="bottom"/>
            <w:shd w:val="clear" w:color="auto" w:fill="CFF0FC"/>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980" w:type="dxa"/>
            <w:vAlign w:val="bottom"/>
            <w:tcBorders>
              <w:bottom w:val="single" w:sz="8" w:color="auto"/>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spacing w:after="0"/>
              <w:rPr>
                <w:sz w:val="8"/>
                <w:szCs w:val="8"/>
                <w:color w:val="auto"/>
              </w:rPr>
            </w:pPr>
          </w:p>
        </w:tc>
        <w:tc>
          <w:tcPr>
            <w:tcW w:w="1160" w:type="dxa"/>
            <w:vAlign w:val="bottom"/>
            <w:tcBorders>
              <w:bottom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spacing w:after="0"/>
              <w:rPr>
                <w:sz w:val="8"/>
                <w:szCs w:val="8"/>
                <w:color w:val="auto"/>
              </w:rPr>
            </w:pPr>
          </w:p>
        </w:tc>
        <w:tc>
          <w:tcPr>
            <w:tcW w:w="1160" w:type="dxa"/>
            <w:vAlign w:val="bottom"/>
            <w:tcBorders>
              <w:bottom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40" w:type="dxa"/>
            <w:vAlign w:val="bottom"/>
          </w:tcPr>
          <w:p>
            <w:pPr>
              <w:spacing w:after="0"/>
              <w:rPr>
                <w:sz w:val="8"/>
                <w:szCs w:val="8"/>
                <w:color w:val="auto"/>
              </w:rPr>
            </w:pPr>
          </w:p>
        </w:tc>
      </w:tr>
      <w:tr>
        <w:trPr>
          <w:trHeight w:val="149"/>
        </w:trPr>
        <w:tc>
          <w:tcPr>
            <w:tcW w:w="1120" w:type="dxa"/>
            <w:vAlign w:val="bottom"/>
          </w:tcPr>
          <w:p>
            <w:pPr>
              <w:spacing w:after="0"/>
              <w:rPr>
                <w:sz w:val="12"/>
                <w:szCs w:val="12"/>
                <w:color w:val="auto"/>
              </w:rPr>
            </w:pPr>
          </w:p>
        </w:tc>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Net income</w:t>
            </w:r>
          </w:p>
        </w:tc>
        <w:tc>
          <w:tcPr>
            <w:tcW w:w="980" w:type="dxa"/>
            <w:vAlign w:val="bottom"/>
            <w:tcBorders>
              <w:bottom w:val="single" w:sz="8" w:color="auto"/>
            </w:tcBorders>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601,822</w:t>
            </w:r>
          </w:p>
        </w:tc>
        <w:tc>
          <w:tcPr>
            <w:tcW w:w="2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563,648</w:t>
            </w:r>
          </w:p>
        </w:tc>
        <w:tc>
          <w:tcPr>
            <w:tcW w:w="2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507,885</w:t>
            </w:r>
          </w:p>
        </w:tc>
        <w:tc>
          <w:tcPr>
            <w:tcW w:w="100" w:type="dxa"/>
            <w:vAlign w:val="bottom"/>
            <w:tcBorders>
              <w:bottom w:val="single" w:sz="8" w:color="CFF0FC"/>
            </w:tcBorders>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1120" w:type="dxa"/>
            <w:vAlign w:val="bottom"/>
          </w:tcPr>
          <w:p>
            <w:pPr>
              <w:spacing w:after="0"/>
              <w:rPr>
                <w:sz w:val="13"/>
                <w:szCs w:val="13"/>
                <w:color w:val="auto"/>
              </w:rPr>
            </w:pPr>
          </w:p>
        </w:tc>
        <w:tc>
          <w:tcPr>
            <w:tcW w:w="4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11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2"/>
                <w:szCs w:val="12"/>
                <w:color w:val="auto"/>
              </w:rPr>
              <w:t>Basic weighted average common shares</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2"/>
        </w:trPr>
        <w:tc>
          <w:tcPr>
            <w:tcW w:w="1120" w:type="dxa"/>
            <w:vAlign w:val="bottom"/>
          </w:tcPr>
          <w:p>
            <w:pPr>
              <w:spacing w:after="0"/>
              <w:rPr>
                <w:sz w:val="14"/>
                <w:szCs w:val="14"/>
                <w:color w:val="auto"/>
              </w:rPr>
            </w:pPr>
          </w:p>
        </w:tc>
        <w:tc>
          <w:tcPr>
            <w:tcW w:w="42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2"/>
                <w:szCs w:val="12"/>
                <w:color w:val="auto"/>
              </w:rPr>
              <w:t>outstanding</w:t>
            </w: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83,716</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84,644</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87,179</w:t>
            </w:r>
          </w:p>
        </w:tc>
        <w:tc>
          <w:tcPr>
            <w:tcW w:w="100" w:type="dxa"/>
            <w:vAlign w:val="bottom"/>
            <w:tcBorders>
              <w:bottom w:val="single" w:sz="8" w:color="CFF0FC"/>
            </w:tcBorders>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1120" w:type="dxa"/>
            <w:vAlign w:val="bottom"/>
          </w:tcPr>
          <w:p>
            <w:pPr>
              <w:spacing w:after="0"/>
              <w:rPr>
                <w:sz w:val="13"/>
                <w:szCs w:val="13"/>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Effect of dilutive securities:</w:t>
            </w:r>
          </w:p>
        </w:tc>
        <w:tc>
          <w:tcPr>
            <w:tcW w:w="9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Stock options and restricted stock units</w:t>
            </w:r>
          </w:p>
        </w:tc>
        <w:tc>
          <w:tcPr>
            <w:tcW w:w="9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801</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892</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2,522</w:t>
            </w:r>
          </w:p>
        </w:tc>
        <w:tc>
          <w:tcPr>
            <w:tcW w:w="10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r>
      <w:tr>
        <w:trPr>
          <w:trHeight w:val="131"/>
        </w:trPr>
        <w:tc>
          <w:tcPr>
            <w:tcW w:w="1120" w:type="dxa"/>
            <w:vAlign w:val="bottom"/>
          </w:tcPr>
          <w:p>
            <w:pPr>
              <w:spacing w:after="0"/>
              <w:rPr>
                <w:sz w:val="11"/>
                <w:szCs w:val="11"/>
                <w:color w:val="auto"/>
              </w:rPr>
            </w:pPr>
          </w:p>
        </w:tc>
        <w:tc>
          <w:tcPr>
            <w:tcW w:w="42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Diluted weighted average common shares</w:t>
            </w:r>
          </w:p>
        </w:tc>
        <w:tc>
          <w:tcPr>
            <w:tcW w:w="9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tcPr>
          <w:p>
            <w:pPr>
              <w:spacing w:after="0"/>
              <w:rPr>
                <w:sz w:val="11"/>
                <w:szCs w:val="11"/>
                <w:color w:val="auto"/>
              </w:rPr>
            </w:pPr>
          </w:p>
        </w:tc>
      </w:tr>
      <w:tr>
        <w:trPr>
          <w:trHeight w:val="162"/>
        </w:trPr>
        <w:tc>
          <w:tcPr>
            <w:tcW w:w="1120" w:type="dxa"/>
            <w:vAlign w:val="bottom"/>
          </w:tcPr>
          <w:p>
            <w:pPr>
              <w:spacing w:after="0"/>
              <w:rPr>
                <w:sz w:val="14"/>
                <w:szCs w:val="14"/>
                <w:color w:val="auto"/>
              </w:rPr>
            </w:pPr>
          </w:p>
        </w:tc>
        <w:tc>
          <w:tcPr>
            <w:tcW w:w="4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outstanding</w:t>
            </w:r>
          </w:p>
        </w:tc>
        <w:tc>
          <w:tcPr>
            <w:tcW w:w="98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84,517</w:t>
            </w: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85,536</w:t>
            </w: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89,701</w:t>
            </w:r>
          </w:p>
        </w:tc>
        <w:tc>
          <w:tcPr>
            <w:tcW w:w="100" w:type="dxa"/>
            <w:vAlign w:val="bottom"/>
            <w:tcBorders>
              <w:bottom w:val="single" w:sz="8" w:color="CFF0FC"/>
            </w:tcBorders>
            <w:shd w:val="clear" w:color="auto" w:fill="CFF0FC"/>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11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1120" w:type="dxa"/>
            <w:vAlign w:val="bottom"/>
          </w:tcPr>
          <w:p>
            <w:pPr>
              <w:spacing w:after="0"/>
              <w:rPr>
                <w:sz w:val="13"/>
                <w:szCs w:val="13"/>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Earnings per basic common share</w:t>
            </w:r>
          </w:p>
        </w:tc>
        <w:tc>
          <w:tcPr>
            <w:tcW w:w="980" w:type="dxa"/>
            <w:vAlign w:val="bottom"/>
            <w:tcBorders>
              <w:bottom w:val="single" w:sz="8" w:color="auto"/>
            </w:tcBorders>
            <w:shd w:val="clear" w:color="auto" w:fill="CFF0FC"/>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2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2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00" w:type="dxa"/>
            <w:vAlign w:val="bottom"/>
            <w:tcBorders>
              <w:bottom w:val="single" w:sz="8" w:color="CFF0FC"/>
            </w:tcBorders>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1120" w:type="dxa"/>
            <w:vAlign w:val="bottom"/>
          </w:tcPr>
          <w:p>
            <w:pPr>
              <w:spacing w:after="0"/>
              <w:rPr>
                <w:sz w:val="13"/>
                <w:szCs w:val="13"/>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Earnings per diluted common share</w:t>
            </w:r>
          </w:p>
        </w:tc>
        <w:tc>
          <w:tcPr>
            <w:tcW w:w="980" w:type="dxa"/>
            <w:vAlign w:val="bottom"/>
            <w:tcBorders>
              <w:bottom w:val="single" w:sz="8" w:color="auto"/>
            </w:tcBorders>
            <w:shd w:val="clear" w:color="auto" w:fill="CFF0FC"/>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2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2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100" w:type="dxa"/>
            <w:vAlign w:val="bottom"/>
            <w:tcBorders>
              <w:bottom w:val="single" w:sz="8" w:color="CFF0FC"/>
            </w:tcBorders>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288"/>
        </w:trPr>
        <w:tc>
          <w:tcPr>
            <w:tcW w:w="1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80" w:type="dxa"/>
            <w:vAlign w:val="bottom"/>
          </w:tcPr>
          <w:p>
            <w:pPr>
              <w:jc w:val="right"/>
              <w:ind w:right="627"/>
              <w:spacing w:after="0"/>
              <w:rPr>
                <w:sz w:val="20"/>
                <w:szCs w:val="20"/>
                <w:color w:val="auto"/>
              </w:rPr>
            </w:pPr>
            <w:r>
              <w:rPr>
                <w:rFonts w:ascii="Times New Roman" w:cs="Times New Roman" w:eastAsia="Times New Roman" w:hAnsi="Times New Roman"/>
                <w:sz w:val="12"/>
                <w:szCs w:val="12"/>
                <w:color w:val="auto"/>
              </w:rPr>
              <w:t>73</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2"/>
        </w:trPr>
        <w:tc>
          <w:tcPr>
            <w:tcW w:w="1120" w:type="dxa"/>
            <w:vAlign w:val="bottom"/>
            <w:tcBorders>
              <w:bottom w:val="single" w:sz="8" w:color="9A9A9A"/>
            </w:tcBorders>
          </w:tcPr>
          <w:p>
            <w:pPr>
              <w:spacing w:after="0"/>
              <w:rPr>
                <w:sz w:val="6"/>
                <w:szCs w:val="6"/>
                <w:color w:val="auto"/>
              </w:rPr>
            </w:pPr>
          </w:p>
        </w:tc>
        <w:tc>
          <w:tcPr>
            <w:tcW w:w="42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09" w:right="2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2"/>
          <w:szCs w:val="12"/>
          <w:b w:val="1"/>
          <w:bCs w:val="1"/>
          <w:color w:val="auto"/>
        </w:rPr>
        <w:t>5. COMMITMENTS AND CONTINGENCIES</w:t>
      </w:r>
    </w:p>
    <w:p>
      <w:pPr>
        <w:spacing w:after="0" w:line="78" w:lineRule="exact"/>
        <w:rPr>
          <w:sz w:val="20"/>
          <w:szCs w:val="20"/>
          <w:color w:val="auto"/>
        </w:rPr>
      </w:pPr>
    </w:p>
    <w:p>
      <w:pPr>
        <w:ind w:right="440" w:firstLine="59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Legal matters. </w:t>
      </w:r>
      <w:r>
        <w:rPr>
          <w:rFonts w:ascii="Times New Roman" w:cs="Times New Roman" w:eastAsia="Times New Roman" w:hAnsi="Times New Roman"/>
          <w:sz w:val="12"/>
          <w:szCs w:val="12"/>
          <w:color w:val="auto"/>
        </w:rPr>
        <w:t>From time to time, the Company is party to various litigation matters incidental to the conduct of its business. The Company is not presently party to any legal proceedings the resolution of which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Company believes would have a material effect on its business, operating results, financial condition or cash flows.</w:t>
      </w:r>
    </w:p>
    <w:p>
      <w:pPr>
        <w:spacing w:after="0" w:line="130" w:lineRule="exact"/>
        <w:rPr>
          <w:sz w:val="20"/>
          <w:szCs w:val="20"/>
          <w:color w:val="auto"/>
        </w:rPr>
      </w:pPr>
    </w:p>
    <w:p>
      <w:pPr>
        <w:ind w:right="340" w:firstLine="59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Senior Notes. </w:t>
      </w:r>
      <w:r>
        <w:rPr>
          <w:rFonts w:ascii="Times New Roman" w:cs="Times New Roman" w:eastAsia="Times New Roman" w:hAnsi="Times New Roman"/>
          <w:sz w:val="12"/>
          <w:szCs w:val="12"/>
          <w:color w:val="auto"/>
        </w:rPr>
        <w:t>The Company had an aggregate of $3,400.0 million in senior unsecured notes (collectively, the “Senior Notes”) outstanding at December 31, 2020, consisting of five discrete private placement offerings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presented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9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rPr>
              <w:t>Principal</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39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8"/>
                <w:szCs w:val="8"/>
                <w:color w:val="auto"/>
              </w:rPr>
            </w:pPr>
          </w:p>
        </w:tc>
        <w:tc>
          <w:tcPr>
            <w:tcW w:w="114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9"/>
                <w:szCs w:val="9"/>
                <w:b w:val="1"/>
                <w:bCs w:val="1"/>
                <w:color w:val="auto"/>
              </w:rPr>
              <w:t>Carrying</w:t>
            </w:r>
          </w:p>
        </w:tc>
        <w:tc>
          <w:tcPr>
            <w:tcW w:w="100" w:type="dxa"/>
            <w:vAlign w:val="bottom"/>
          </w:tcPr>
          <w:p>
            <w:pPr>
              <w:spacing w:after="0"/>
              <w:rPr>
                <w:sz w:val="8"/>
                <w:szCs w:val="8"/>
                <w:color w:val="auto"/>
              </w:rPr>
            </w:pPr>
          </w:p>
        </w:tc>
        <w:tc>
          <w:tcPr>
            <w:tcW w:w="11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9"/>
                <w:szCs w:val="9"/>
                <w:b w:val="1"/>
                <w:bCs w:val="1"/>
                <w:color w:val="auto"/>
              </w:rPr>
              <w:t>Carrying</w:t>
            </w:r>
          </w:p>
        </w:tc>
        <w:tc>
          <w:tcPr>
            <w:tcW w:w="100" w:type="dxa"/>
            <w:vAlign w:val="bottom"/>
          </w:tcPr>
          <w:p>
            <w:pPr>
              <w:spacing w:after="0"/>
              <w:rPr>
                <w:sz w:val="8"/>
                <w:szCs w:val="8"/>
                <w:color w:val="auto"/>
              </w:rPr>
            </w:pPr>
          </w:p>
        </w:tc>
        <w:tc>
          <w:tcPr>
            <w:tcW w:w="114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9"/>
                <w:szCs w:val="9"/>
                <w:b w:val="1"/>
                <w:bCs w:val="1"/>
                <w:color w:val="auto"/>
                <w:w w:val="96"/>
              </w:rPr>
              <w:t>Fair</w:t>
            </w:r>
          </w:p>
        </w:tc>
        <w:tc>
          <w:tcPr>
            <w:tcW w:w="80" w:type="dxa"/>
            <w:vAlign w:val="bottom"/>
          </w:tcPr>
          <w:p>
            <w:pPr>
              <w:spacing w:after="0"/>
              <w:rPr>
                <w:sz w:val="8"/>
                <w:szCs w:val="8"/>
                <w:color w:val="auto"/>
              </w:rPr>
            </w:pPr>
          </w:p>
        </w:tc>
        <w:tc>
          <w:tcPr>
            <w:tcW w:w="102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9"/>
                <w:szCs w:val="9"/>
                <w:b w:val="1"/>
                <w:bCs w:val="1"/>
                <w:color w:val="auto"/>
                <w:w w:val="96"/>
              </w:rPr>
              <w:t>Fair</w:t>
            </w:r>
          </w:p>
        </w:tc>
      </w:tr>
      <w:tr>
        <w:trPr>
          <w:trHeight w:val="108"/>
        </w:trPr>
        <w:tc>
          <w:tcPr>
            <w:tcW w:w="39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rPr>
              <w:t>outstanding at</w:t>
            </w:r>
          </w:p>
        </w:tc>
        <w:tc>
          <w:tcPr>
            <w:tcW w:w="100" w:type="dxa"/>
            <w:vAlign w:val="bottom"/>
          </w:tcPr>
          <w:p>
            <w:pPr>
              <w:spacing w:after="0"/>
              <w:rPr>
                <w:sz w:val="9"/>
                <w:szCs w:val="9"/>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9"/>
              </w:rPr>
              <w:t>value at</w:t>
            </w:r>
          </w:p>
        </w:tc>
        <w:tc>
          <w:tcPr>
            <w:tcW w:w="100" w:type="dxa"/>
            <w:vAlign w:val="bottom"/>
          </w:tcPr>
          <w:p>
            <w:pPr>
              <w:spacing w:after="0"/>
              <w:rPr>
                <w:sz w:val="9"/>
                <w:szCs w:val="9"/>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rPr>
              <w:t>value at</w:t>
            </w:r>
          </w:p>
        </w:tc>
        <w:tc>
          <w:tcPr>
            <w:tcW w:w="100" w:type="dxa"/>
            <w:vAlign w:val="bottom"/>
          </w:tcPr>
          <w:p>
            <w:pPr>
              <w:spacing w:after="0"/>
              <w:rPr>
                <w:sz w:val="9"/>
                <w:szCs w:val="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9"/>
              </w:rPr>
              <w:t>Value at</w:t>
            </w:r>
          </w:p>
        </w:tc>
        <w:tc>
          <w:tcPr>
            <w:tcW w:w="80" w:type="dxa"/>
            <w:vAlign w:val="bottom"/>
          </w:tcPr>
          <w:p>
            <w:pPr>
              <w:spacing w:after="0"/>
              <w:rPr>
                <w:sz w:val="9"/>
                <w:szCs w:val="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9"/>
              </w:rPr>
              <w:t>Value at</w:t>
            </w:r>
          </w:p>
        </w:tc>
      </w:tr>
      <w:tr>
        <w:trPr>
          <w:trHeight w:val="110"/>
        </w:trPr>
        <w:tc>
          <w:tcPr>
            <w:tcW w:w="3980" w:type="dxa"/>
            <w:vAlign w:val="bottom"/>
          </w:tcPr>
          <w:p>
            <w:pPr>
              <w:spacing w:after="0"/>
              <w:rPr>
                <w:sz w:val="9"/>
                <w:szCs w:val="9"/>
                <w:color w:val="auto"/>
              </w:rPr>
            </w:pPr>
          </w:p>
        </w:tc>
        <w:tc>
          <w:tcPr>
            <w:tcW w:w="1300" w:type="dxa"/>
            <w:vAlign w:val="bottom"/>
          </w:tcPr>
          <w:p>
            <w:pPr>
              <w:jc w:val="center"/>
              <w:ind w:right="67"/>
              <w:spacing w:after="0"/>
              <w:rPr>
                <w:sz w:val="20"/>
                <w:szCs w:val="20"/>
                <w:color w:val="auto"/>
              </w:rPr>
            </w:pPr>
            <w:r>
              <w:rPr>
                <w:rFonts w:ascii="Times New Roman" w:cs="Times New Roman" w:eastAsia="Times New Roman" w:hAnsi="Times New Roman"/>
                <w:sz w:val="9"/>
                <w:szCs w:val="9"/>
                <w:b w:val="1"/>
                <w:bCs w:val="1"/>
                <w:color w:val="auto"/>
                <w:w w:val="97"/>
              </w:rPr>
              <w:t>Maturity Date</w:t>
            </w:r>
          </w:p>
        </w:tc>
        <w:tc>
          <w:tcPr>
            <w:tcW w:w="100" w:type="dxa"/>
            <w:vAlign w:val="bottom"/>
          </w:tcPr>
          <w:p>
            <w:pPr>
              <w:spacing w:after="0"/>
              <w:rPr>
                <w:sz w:val="9"/>
                <w:szCs w:val="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8"/>
              </w:rPr>
              <w:t>December 31, 2020</w:t>
            </w:r>
          </w:p>
        </w:tc>
        <w:tc>
          <w:tcPr>
            <w:tcW w:w="100" w:type="dxa"/>
            <w:vAlign w:val="bottom"/>
          </w:tcPr>
          <w:p>
            <w:pPr>
              <w:spacing w:after="0"/>
              <w:rPr>
                <w:sz w:val="9"/>
                <w:szCs w:val="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8"/>
              </w:rPr>
              <w:t>December 31, 2020</w:t>
            </w:r>
          </w:p>
        </w:tc>
        <w:tc>
          <w:tcPr>
            <w:tcW w:w="100" w:type="dxa"/>
            <w:vAlign w:val="bottom"/>
          </w:tcPr>
          <w:p>
            <w:pPr>
              <w:spacing w:after="0"/>
              <w:rPr>
                <w:sz w:val="9"/>
                <w:szCs w:val="9"/>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8"/>
              </w:rPr>
              <w:t>December 31, 2019</w:t>
            </w:r>
          </w:p>
        </w:tc>
        <w:tc>
          <w:tcPr>
            <w:tcW w:w="100" w:type="dxa"/>
            <w:vAlign w:val="bottom"/>
          </w:tcPr>
          <w:p>
            <w:pPr>
              <w:spacing w:after="0"/>
              <w:rPr>
                <w:sz w:val="9"/>
                <w:szCs w:val="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8"/>
              </w:rPr>
              <w:t>December 31, 2020</w:t>
            </w:r>
          </w:p>
        </w:tc>
        <w:tc>
          <w:tcPr>
            <w:tcW w:w="80" w:type="dxa"/>
            <w:vAlign w:val="bottom"/>
          </w:tcPr>
          <w:p>
            <w:pPr>
              <w:spacing w:after="0"/>
              <w:rPr>
                <w:sz w:val="9"/>
                <w:szCs w:val="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December 31, 2019</w:t>
            </w:r>
          </w:p>
        </w:tc>
      </w:tr>
      <w:tr>
        <w:trPr>
          <w:trHeight w:val="97"/>
        </w:trPr>
        <w:tc>
          <w:tcPr>
            <w:tcW w:w="3980" w:type="dxa"/>
            <w:vAlign w:val="bottom"/>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8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44"/>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Long-term debt</w:t>
            </w: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3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5.25% senior unsecured notes due 2024</w:t>
            </w:r>
          </w:p>
        </w:tc>
        <w:tc>
          <w:tcPr>
            <w:tcW w:w="1300" w:type="dxa"/>
            <w:vAlign w:val="bottom"/>
          </w:tcPr>
          <w:p>
            <w:pPr>
              <w:jc w:val="center"/>
              <w:ind w:right="67"/>
              <w:spacing w:after="0"/>
              <w:rPr>
                <w:sz w:val="20"/>
                <w:szCs w:val="20"/>
                <w:color w:val="auto"/>
              </w:rPr>
            </w:pPr>
            <w:r>
              <w:rPr>
                <w:rFonts w:ascii="Times New Roman" w:cs="Times New Roman" w:eastAsia="Times New Roman" w:hAnsi="Times New Roman"/>
                <w:sz w:val="11"/>
                <w:szCs w:val="11"/>
                <w:color w:val="auto"/>
                <w:w w:val="98"/>
              </w:rPr>
              <w:t>November 15, 2024</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297,835</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309,225</w:t>
            </w:r>
          </w:p>
        </w:tc>
        <w:tc>
          <w:tcPr>
            <w:tcW w:w="120" w:type="dxa"/>
            <w:vAlign w:val="bottom"/>
          </w:tcPr>
          <w:p>
            <w:pPr>
              <w:spacing w:after="0"/>
              <w:rPr>
                <w:sz w:val="12"/>
                <w:szCs w:val="12"/>
                <w:color w:val="auto"/>
              </w:rPr>
            </w:pPr>
          </w:p>
        </w:tc>
      </w:tr>
      <w:tr>
        <w:trPr>
          <w:trHeight w:val="146"/>
        </w:trPr>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5.75% senior unsecured notes due 2025</w:t>
            </w:r>
          </w:p>
        </w:tc>
        <w:tc>
          <w:tcPr>
            <w:tcW w:w="1300" w:type="dxa"/>
            <w:vAlign w:val="bottom"/>
            <w:shd w:val="clear" w:color="auto" w:fill="CFF0FC"/>
          </w:tcPr>
          <w:p>
            <w:pPr>
              <w:jc w:val="center"/>
              <w:ind w:right="67"/>
              <w:spacing w:after="0"/>
              <w:rPr>
                <w:sz w:val="20"/>
                <w:szCs w:val="20"/>
                <w:color w:val="auto"/>
              </w:rPr>
            </w:pPr>
            <w:r>
              <w:rPr>
                <w:rFonts w:ascii="Times New Roman" w:cs="Times New Roman" w:eastAsia="Times New Roman" w:hAnsi="Times New Roman"/>
                <w:sz w:val="11"/>
                <w:szCs w:val="11"/>
                <w:color w:val="auto"/>
                <w:w w:val="95"/>
              </w:rPr>
              <w:t>August 15, 2025</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794,063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840,872</w:t>
            </w:r>
          </w:p>
        </w:tc>
        <w:tc>
          <w:tcPr>
            <w:tcW w:w="120" w:type="dxa"/>
            <w:vAlign w:val="bottom"/>
            <w:shd w:val="clear" w:color="auto" w:fill="CFF0FC"/>
          </w:tcPr>
          <w:p>
            <w:pPr>
              <w:spacing w:after="0"/>
              <w:rPr>
                <w:sz w:val="12"/>
                <w:szCs w:val="12"/>
                <w:color w:val="auto"/>
              </w:rPr>
            </w:pPr>
          </w:p>
        </w:tc>
      </w:tr>
      <w:tr>
        <w:trPr>
          <w:trHeight w:val="142"/>
        </w:trPr>
        <w:tc>
          <w:tcPr>
            <w:tcW w:w="3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4.75% senior unsecured notes due 2026</w:t>
            </w:r>
          </w:p>
        </w:tc>
        <w:tc>
          <w:tcPr>
            <w:tcW w:w="1300" w:type="dxa"/>
            <w:vAlign w:val="bottom"/>
          </w:tcPr>
          <w:p>
            <w:pPr>
              <w:jc w:val="center"/>
              <w:ind w:right="67"/>
              <w:spacing w:after="0"/>
              <w:rPr>
                <w:sz w:val="20"/>
                <w:szCs w:val="20"/>
                <w:color w:val="auto"/>
              </w:rPr>
            </w:pPr>
            <w:r>
              <w:rPr>
                <w:rFonts w:ascii="Times New Roman" w:cs="Times New Roman" w:eastAsia="Times New Roman" w:hAnsi="Times New Roman"/>
                <w:sz w:val="11"/>
                <w:szCs w:val="11"/>
                <w:color w:val="auto"/>
                <w:w w:val="97"/>
              </w:rPr>
              <w:t>August 1, 2026</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496,257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495,587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522,325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525,800</w:t>
            </w:r>
          </w:p>
        </w:tc>
        <w:tc>
          <w:tcPr>
            <w:tcW w:w="120" w:type="dxa"/>
            <w:vAlign w:val="bottom"/>
          </w:tcPr>
          <w:p>
            <w:pPr>
              <w:spacing w:after="0"/>
              <w:rPr>
                <w:sz w:val="12"/>
                <w:szCs w:val="12"/>
                <w:color w:val="auto"/>
              </w:rPr>
            </w:pPr>
          </w:p>
        </w:tc>
      </w:tr>
      <w:tr>
        <w:trPr>
          <w:trHeight w:val="146"/>
        </w:trPr>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5.375% senior unsecured notes due 2027</w:t>
            </w:r>
          </w:p>
        </w:tc>
        <w:tc>
          <w:tcPr>
            <w:tcW w:w="1300" w:type="dxa"/>
            <w:vAlign w:val="bottom"/>
            <w:shd w:val="clear" w:color="auto" w:fill="CFF0FC"/>
          </w:tcPr>
          <w:p>
            <w:pPr>
              <w:jc w:val="center"/>
              <w:ind w:right="67"/>
              <w:spacing w:after="0"/>
              <w:rPr>
                <w:sz w:val="20"/>
                <w:szCs w:val="20"/>
                <w:color w:val="auto"/>
              </w:rPr>
            </w:pPr>
            <w:r>
              <w:rPr>
                <w:rFonts w:ascii="Times New Roman" w:cs="Times New Roman" w:eastAsia="Times New Roman" w:hAnsi="Times New Roman"/>
                <w:sz w:val="11"/>
                <w:szCs w:val="11"/>
                <w:color w:val="auto"/>
              </w:rPr>
              <w:t>May 15, 2027</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495,819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495,168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538,100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541,300</w:t>
            </w:r>
          </w:p>
        </w:tc>
        <w:tc>
          <w:tcPr>
            <w:tcW w:w="120" w:type="dxa"/>
            <w:vAlign w:val="bottom"/>
            <w:shd w:val="clear" w:color="auto" w:fill="CFF0FC"/>
          </w:tcPr>
          <w:p>
            <w:pPr>
              <w:spacing w:after="0"/>
              <w:rPr>
                <w:sz w:val="12"/>
                <w:szCs w:val="12"/>
                <w:color w:val="auto"/>
              </w:rPr>
            </w:pPr>
          </w:p>
        </w:tc>
      </w:tr>
      <w:tr>
        <w:trPr>
          <w:trHeight w:val="142"/>
        </w:trPr>
        <w:tc>
          <w:tcPr>
            <w:tcW w:w="3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4.00% senior unsecured notes due 2029</w:t>
            </w:r>
          </w:p>
        </w:tc>
        <w:tc>
          <w:tcPr>
            <w:tcW w:w="1300" w:type="dxa"/>
            <w:vAlign w:val="bottom"/>
          </w:tcPr>
          <w:p>
            <w:pPr>
              <w:jc w:val="center"/>
              <w:ind w:right="67"/>
              <w:spacing w:after="0"/>
              <w:rPr>
                <w:sz w:val="20"/>
                <w:szCs w:val="20"/>
                <w:color w:val="auto"/>
              </w:rPr>
            </w:pPr>
            <w:r>
              <w:rPr>
                <w:rFonts w:ascii="Times New Roman" w:cs="Times New Roman" w:eastAsia="Times New Roman" w:hAnsi="Times New Roman"/>
                <w:sz w:val="11"/>
                <w:szCs w:val="11"/>
                <w:color w:val="auto"/>
                <w:w w:val="98"/>
              </w:rPr>
              <w:t>November 15, 2029</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990,364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989,273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1,073,040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1,018,820</w:t>
            </w:r>
          </w:p>
        </w:tc>
        <w:tc>
          <w:tcPr>
            <w:tcW w:w="120" w:type="dxa"/>
            <w:vAlign w:val="bottom"/>
          </w:tcPr>
          <w:p>
            <w:pPr>
              <w:spacing w:after="0"/>
              <w:rPr>
                <w:sz w:val="12"/>
                <w:szCs w:val="12"/>
                <w:color w:val="auto"/>
              </w:rPr>
            </w:pPr>
          </w:p>
        </w:tc>
      </w:tr>
      <w:tr>
        <w:trPr>
          <w:trHeight w:val="146"/>
        </w:trPr>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3.625% senior unsecured notes due 2030</w:t>
            </w:r>
          </w:p>
        </w:tc>
        <w:tc>
          <w:tcPr>
            <w:tcW w:w="1300" w:type="dxa"/>
            <w:vAlign w:val="bottom"/>
            <w:shd w:val="clear" w:color="auto" w:fill="CFF0FC"/>
          </w:tcPr>
          <w:p>
            <w:pPr>
              <w:jc w:val="center"/>
              <w:ind w:right="67"/>
              <w:spacing w:after="0"/>
              <w:rPr>
                <w:sz w:val="20"/>
                <w:szCs w:val="20"/>
                <w:color w:val="auto"/>
              </w:rPr>
            </w:pPr>
            <w:r>
              <w:rPr>
                <w:rFonts w:ascii="Times New Roman" w:cs="Times New Roman" w:eastAsia="Times New Roman" w:hAnsi="Times New Roman"/>
                <w:sz w:val="11"/>
                <w:szCs w:val="11"/>
                <w:color w:val="auto"/>
                <w:w w:val="98"/>
              </w:rPr>
              <w:t>September 1, 2030</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395,458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419,428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r>
      <w:tr>
        <w:trPr>
          <w:trHeight w:val="142"/>
        </w:trPr>
        <w:tc>
          <w:tcPr>
            <w:tcW w:w="398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1"/>
                <w:szCs w:val="11"/>
                <w:color w:val="auto"/>
              </w:rPr>
              <w:t>3.875% senior unsecured notes due 2031</w:t>
            </w:r>
          </w:p>
        </w:tc>
        <w:tc>
          <w:tcPr>
            <w:tcW w:w="1300" w:type="dxa"/>
            <w:vAlign w:val="bottom"/>
            <w:tcBorders>
              <w:bottom w:val="single" w:sz="8" w:color="CFF0FC"/>
            </w:tcBorders>
          </w:tcPr>
          <w:p>
            <w:pPr>
              <w:jc w:val="center"/>
              <w:ind w:right="67"/>
              <w:spacing w:after="0"/>
              <w:rPr>
                <w:sz w:val="20"/>
                <w:szCs w:val="20"/>
                <w:color w:val="auto"/>
              </w:rPr>
            </w:pPr>
            <w:r>
              <w:rPr>
                <w:rFonts w:ascii="Times New Roman" w:cs="Times New Roman" w:eastAsia="Times New Roman" w:hAnsi="Times New Roman"/>
                <w:sz w:val="11"/>
                <w:szCs w:val="11"/>
                <w:color w:val="auto"/>
                <w:w w:val="96"/>
              </w:rPr>
              <w:t>February 15, 2031</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988,879</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1,063,430</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tcPr>
          <w:p>
            <w:pPr>
              <w:spacing w:after="0"/>
              <w:rPr>
                <w:sz w:val="12"/>
                <w:szCs w:val="12"/>
                <w:color w:val="auto"/>
              </w:rPr>
            </w:pPr>
          </w:p>
        </w:tc>
      </w:tr>
      <w:tr>
        <w:trPr>
          <w:trHeight w:val="142"/>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debt</w:t>
            </w:r>
          </w:p>
        </w:tc>
        <w:tc>
          <w:tcPr>
            <w:tcW w:w="1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3,400,000</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3,366,777</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3,071,926</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3,616,323</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3,236,017</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Interest payments attributable to the Senior Notes are due as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Second semi-</w:t>
            </w:r>
          </w:p>
        </w:tc>
      </w:tr>
      <w:tr>
        <w:trPr>
          <w:trHeight w:val="99"/>
        </w:trPr>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8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9"/>
                <w:szCs w:val="9"/>
                <w:b w:val="1"/>
                <w:bCs w:val="1"/>
                <w:color w:val="auto"/>
              </w:rPr>
              <w:t>First semi-annual interest</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auto"/>
              </w:rPr>
              <w:t>annual interest</w:t>
            </w:r>
          </w:p>
        </w:tc>
      </w:tr>
      <w:tr>
        <w:trPr>
          <w:trHeight w:val="110"/>
        </w:trPr>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9"/>
              </w:rPr>
              <w:t>payment date</w:t>
            </w:r>
          </w:p>
        </w:tc>
        <w:tc>
          <w:tcPr>
            <w:tcW w:w="13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payment date</w:t>
            </w:r>
          </w:p>
        </w:tc>
      </w:tr>
      <w:tr>
        <w:trPr>
          <w:trHeight w:val="133"/>
        </w:trPr>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3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Senior Notes</w:t>
            </w:r>
          </w:p>
        </w:tc>
        <w:tc>
          <w:tcPr>
            <w:tcW w:w="2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300" w:type="dxa"/>
            <w:vAlign w:val="bottom"/>
            <w:tcBorders>
              <w:top w:val="single" w:sz="8" w:color="auto"/>
            </w:tcBorders>
            <w:shd w:val="clear" w:color="auto" w:fill="CFF0FC"/>
          </w:tcPr>
          <w:p>
            <w:pPr>
              <w:spacing w:after="0"/>
              <w:rPr>
                <w:sz w:val="11"/>
                <w:szCs w:val="11"/>
                <w:color w:val="auto"/>
              </w:rPr>
            </w:pPr>
          </w:p>
        </w:tc>
      </w:tr>
      <w:tr>
        <w:trPr>
          <w:trHeight w:val="142"/>
        </w:trPr>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4.75% senior unsecured notes due 2026</w:t>
            </w:r>
          </w:p>
        </w:tc>
        <w:tc>
          <w:tcPr>
            <w:tcW w:w="2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w w:val="99"/>
              </w:rPr>
              <w:t>February 1</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August 1</w:t>
            </w:r>
          </w:p>
        </w:tc>
      </w:tr>
      <w:tr>
        <w:trPr>
          <w:trHeight w:val="146"/>
        </w:trPr>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5.375% senior unsecured notes due 2027</w:t>
            </w:r>
          </w:p>
        </w:tc>
        <w:tc>
          <w:tcPr>
            <w:tcW w:w="286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1"/>
                <w:szCs w:val="11"/>
                <w:color w:val="auto"/>
              </w:rPr>
              <w:t>May 15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November 15</w:t>
            </w:r>
          </w:p>
        </w:tc>
      </w:tr>
      <w:tr>
        <w:trPr>
          <w:trHeight w:val="142"/>
        </w:trPr>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4.000% senior unsecured notes due 2029</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May 15</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November 15</w:t>
            </w:r>
          </w:p>
        </w:tc>
      </w:tr>
      <w:tr>
        <w:trPr>
          <w:trHeight w:val="146"/>
        </w:trPr>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320" w:type="dxa"/>
            <w:vAlign w:val="bottom"/>
            <w:gridSpan w:val="2"/>
            <w:shd w:val="clear" w:color="auto" w:fill="CFF0FC"/>
          </w:tcPr>
          <w:p>
            <w:pPr>
              <w:ind w:left="80"/>
              <w:spacing w:after="0" w:line="146" w:lineRule="exact"/>
              <w:rPr>
                <w:sz w:val="20"/>
                <w:szCs w:val="20"/>
                <w:color w:val="auto"/>
              </w:rPr>
            </w:pPr>
            <w:r>
              <w:rPr>
                <w:rFonts w:ascii="Times New Roman" w:cs="Times New Roman" w:eastAsia="Times New Roman" w:hAnsi="Times New Roman"/>
                <w:sz w:val="10"/>
                <w:szCs w:val="10"/>
                <w:color w:val="auto"/>
              </w:rPr>
              <w:t>3.625% senior unsecured notes due 2030</w:t>
            </w:r>
            <w:r>
              <w:rPr>
                <w:rFonts w:ascii="Times New Roman" w:cs="Times New Roman" w:eastAsia="Times New Roman" w:hAnsi="Times New Roman"/>
                <w:sz w:val="16"/>
                <w:szCs w:val="16"/>
                <w:color w:val="auto"/>
                <w:vertAlign w:val="superscript"/>
              </w:rPr>
              <w:t>(1)</w:t>
            </w:r>
          </w:p>
        </w:tc>
        <w:tc>
          <w:tcPr>
            <w:tcW w:w="28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1"/>
                <w:szCs w:val="11"/>
                <w:color w:val="auto"/>
                <w:w w:val="97"/>
              </w:rPr>
              <w:t>March 1</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September 1</w:t>
            </w:r>
          </w:p>
        </w:tc>
      </w:tr>
      <w:tr>
        <w:trPr>
          <w:trHeight w:val="234"/>
        </w:trPr>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3.875% senior unsecured notes due 2031</w:t>
            </w:r>
            <w:r>
              <w:rPr>
                <w:rFonts w:ascii="Times New Roman" w:cs="Times New Roman" w:eastAsia="Times New Roman" w:hAnsi="Times New Roman"/>
                <w:sz w:val="18"/>
                <w:szCs w:val="18"/>
                <w:color w:val="auto"/>
                <w:vertAlign w:val="superscript"/>
              </w:rPr>
              <w:t>(2)</w:t>
            </w:r>
          </w:p>
        </w:tc>
        <w:tc>
          <w:tcPr>
            <w:tcW w:w="2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w w:val="98"/>
              </w:rPr>
              <w:t>June 1</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1</w:t>
            </w:r>
          </w:p>
        </w:tc>
      </w:tr>
      <w:tr>
        <w:trPr>
          <w:trHeight w:val="20"/>
        </w:trPr>
        <w:tc>
          <w:tcPr>
            <w:tcW w:w="30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25"/>
        </w:trPr>
        <w:tc>
          <w:tcPr>
            <w:tcW w:w="300" w:type="dxa"/>
            <w:vAlign w:val="bottom"/>
          </w:tcPr>
          <w:p>
            <w:pPr>
              <w:jc w:val="right"/>
              <w:ind w:right="184"/>
              <w:spacing w:after="0"/>
              <w:rPr>
                <w:sz w:val="20"/>
                <w:szCs w:val="20"/>
                <w:color w:val="auto"/>
              </w:rPr>
            </w:pPr>
            <w:r>
              <w:rPr>
                <w:rFonts w:ascii="Times New Roman" w:cs="Times New Roman" w:eastAsia="Times New Roman" w:hAnsi="Times New Roman"/>
                <w:sz w:val="7"/>
                <w:szCs w:val="7"/>
                <w:color w:val="auto"/>
                <w:w w:val="72"/>
              </w:rPr>
              <w:t>(1)</w:t>
            </w:r>
          </w:p>
        </w:tc>
        <w:tc>
          <w:tcPr>
            <w:tcW w:w="54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The first payment occurred on September 1, 2020.</w:t>
            </w:r>
          </w:p>
        </w:tc>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26"/>
        </w:trPr>
        <w:tc>
          <w:tcPr>
            <w:tcW w:w="300" w:type="dxa"/>
            <w:vAlign w:val="bottom"/>
          </w:tcPr>
          <w:p>
            <w:pPr>
              <w:jc w:val="right"/>
              <w:ind w:right="184"/>
              <w:spacing w:after="0"/>
              <w:rPr>
                <w:sz w:val="20"/>
                <w:szCs w:val="20"/>
                <w:color w:val="auto"/>
              </w:rPr>
            </w:pPr>
            <w:r>
              <w:rPr>
                <w:rFonts w:ascii="Times New Roman" w:cs="Times New Roman" w:eastAsia="Times New Roman" w:hAnsi="Times New Roman"/>
                <w:sz w:val="7"/>
                <w:szCs w:val="7"/>
                <w:color w:val="auto"/>
                <w:w w:val="72"/>
              </w:rPr>
              <w:t>(2)</w:t>
            </w:r>
          </w:p>
        </w:tc>
        <w:tc>
          <w:tcPr>
            <w:tcW w:w="54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The first payment occurred on December 1, 2020.</w:t>
            </w:r>
          </w:p>
        </w:tc>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168" w:lineRule="exact"/>
        <w:rPr>
          <w:sz w:val="20"/>
          <w:szCs w:val="20"/>
          <w:color w:val="auto"/>
        </w:rPr>
      </w:pPr>
    </w:p>
    <w:p>
      <w:pPr>
        <w:ind w:right="60" w:firstLine="592"/>
        <w:spacing w:after="0" w:line="265" w:lineRule="auto"/>
        <w:rPr>
          <w:sz w:val="20"/>
          <w:szCs w:val="20"/>
          <w:color w:val="auto"/>
        </w:rPr>
      </w:pPr>
      <w:r>
        <w:rPr>
          <w:rFonts w:ascii="Times New Roman" w:cs="Times New Roman" w:eastAsia="Times New Roman" w:hAnsi="Times New Roman"/>
          <w:sz w:val="12"/>
          <w:szCs w:val="12"/>
          <w:color w:val="auto"/>
        </w:rPr>
        <w:t>The fair market value of the Company’s debt obligations is determined in accordance with accounting standards related to the determination of fair value and represents Level 2 valuations, which are based on one or more quoted prices in markets that are not considered to be active or for which all significant inputs are observable, either directly or indirectly. The Company utilizes the market approach and obtains security pricing from a vendor who uses broker quotes and third-party pricing services to determine fair values.</w:t>
      </w:r>
    </w:p>
    <w:p>
      <w:pPr>
        <w:spacing w:after="0" w:line="119" w:lineRule="exact"/>
        <w:rPr>
          <w:sz w:val="20"/>
          <w:szCs w:val="20"/>
          <w:color w:val="auto"/>
        </w:rPr>
      </w:pPr>
    </w:p>
    <w:p>
      <w:pPr>
        <w:ind w:right="20" w:firstLine="592"/>
        <w:spacing w:after="0" w:line="260" w:lineRule="auto"/>
        <w:rPr>
          <w:sz w:val="20"/>
          <w:szCs w:val="20"/>
          <w:color w:val="auto"/>
        </w:rPr>
      </w:pPr>
      <w:r>
        <w:rPr>
          <w:rFonts w:ascii="Times New Roman" w:cs="Times New Roman" w:eastAsia="Times New Roman" w:hAnsi="Times New Roman"/>
          <w:sz w:val="12"/>
          <w:szCs w:val="12"/>
          <w:color w:val="auto"/>
        </w:rPr>
        <w:t>The $500.0 million aggregate principal amount of 4.75% senior unsecured notes due 2026 (the “2026 Senior Notes”) are scheduled to mature and be paid in full on August 1, 2026. At any time prior to August 1, 2021, the Company may redeem all or part of the 2026 Senior Notes upon not less than 30 nor more than 60 days’ prior notice at a redemption price equal to the sum of (i) 100% of the principal amount thereof, plus (ii) a make-whole premium as of the date of redemption, plus (iii) accrued and unpaid interest and additional interest, if any, thereon, to the date of redemption. In addition, the Company may redeem all or part of the 2026 Senior Notes, together with accrued and unpaid interest, on or after August 1, 2021, at redemption prices set forth in the indenture governing the 2026 Senior Notes.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76" w:name="page77"/>
    <w:bookmarkEnd w:id="76"/>
    <w:p>
      <w:pPr>
        <w:ind w:right="20" w:firstLine="592"/>
        <w:spacing w:after="0" w:line="256" w:lineRule="auto"/>
        <w:rPr>
          <w:sz w:val="20"/>
          <w:szCs w:val="20"/>
          <w:color w:val="auto"/>
        </w:rPr>
      </w:pPr>
      <w:r>
        <w:rPr>
          <w:rFonts w:ascii="Times New Roman" w:cs="Times New Roman" w:eastAsia="Times New Roman" w:hAnsi="Times New Roman"/>
          <w:sz w:val="12"/>
          <w:szCs w:val="12"/>
          <w:color w:val="auto"/>
        </w:rPr>
        <w:t>The $500.0 million aggregate principal amount of 5.375% senior unsecured notes due 2027 (the “2027 Senior Notes”) are scheduled to mature and be paid in full on May 15, 2027. At any time prior to May 15, 2022, the Company may redeem all or part of the 2027 Senior Notes upon not less than 30 nor more than 60 days’ prior notice at a redemption price equal to the sum of (i) 100% of the principal amount thereof, plus (ii) a make-whole premium as of the date of redemption, plus (iii) accrued and unpaid interest and additional interest, if any, thereon, to the date of redemption. In addition, the Company may redeem all or part of the 2027 Senior Notes, together with accrued and unpaid interest, on or after May 15, 2022, at redemption prices set forth in the indenture governing the 2027 Senior Notes. At any time prior to May 15, 2021, the Company may use the proceeds of certain equity offerings to redeem up to 35% of the aggregate principal amount of the 2027 Senior Notes, including any permitted additional notes, at a redemption price equal to 105.375% of the principal amount plus accrued and unpaid interest, if any, to the redemption date.</w:t>
      </w:r>
    </w:p>
    <w:p>
      <w:pPr>
        <w:spacing w:after="0" w:line="125" w:lineRule="exact"/>
        <w:rPr>
          <w:sz w:val="20"/>
          <w:szCs w:val="20"/>
          <w:color w:val="auto"/>
        </w:rPr>
      </w:pPr>
    </w:p>
    <w:p>
      <w:pPr>
        <w:ind w:firstLine="592"/>
        <w:spacing w:after="0" w:line="257" w:lineRule="auto"/>
        <w:rPr>
          <w:sz w:val="20"/>
          <w:szCs w:val="20"/>
          <w:color w:val="auto"/>
        </w:rPr>
      </w:pPr>
      <w:r>
        <w:rPr>
          <w:rFonts w:ascii="Times New Roman" w:cs="Times New Roman" w:eastAsia="Times New Roman" w:hAnsi="Times New Roman"/>
          <w:sz w:val="12"/>
          <w:szCs w:val="12"/>
          <w:color w:val="auto"/>
        </w:rPr>
        <w:t>The $1,000.0 million aggregate principal amount of 4.000% senior unsecured notes due 2029 (the “2029 Senior Notes”) are scheduled to mature and be paid in full on November 15, 2029. At any time prior to November 15, 2024, the Company may redeem all or part of the 2029 Senior Notes at a redemption price equal to the sum of (i) 100% of the principal amount thereof, plus (ii) a make-whole premium as of the date of redemption, plus (iii) accrued and unpaid interest and additional interest, if any, thereon, to the date of redemption. In addition, the Company may redeem all or part of the 2029 Senior Notes, together with accrued and unpaid interest, on or after November 15, 2024, at redemption prices set forth in the indenture governing the 2029 Senior Notes. At any time prior to November 15, 2022, the Company may use the proceeds of certain equity offerings to redeem up to 35% of the aggregate principal amount of the 2029 Senior Notes, including any permitted additional notes, at a redemption price equal to 104.000% of the principal amount plus accrued and unpaid interest, if any, to the redemption date.</w:t>
      </w:r>
    </w:p>
    <w:p>
      <w:pPr>
        <w:spacing w:after="0" w:line="125" w:lineRule="exact"/>
        <w:rPr>
          <w:sz w:val="20"/>
          <w:szCs w:val="20"/>
          <w:color w:val="auto"/>
        </w:rPr>
      </w:pPr>
    </w:p>
    <w:p>
      <w:pPr>
        <w:ind w:right="20" w:firstLine="592"/>
        <w:spacing w:after="0" w:line="260" w:lineRule="auto"/>
        <w:rPr>
          <w:sz w:val="20"/>
          <w:szCs w:val="20"/>
          <w:color w:val="auto"/>
        </w:rPr>
      </w:pPr>
      <w:r>
        <w:rPr>
          <w:rFonts w:ascii="Times New Roman" w:cs="Times New Roman" w:eastAsia="Times New Roman" w:hAnsi="Times New Roman"/>
          <w:sz w:val="12"/>
          <w:szCs w:val="12"/>
          <w:color w:val="auto"/>
        </w:rPr>
        <w:t>On March 4, 2020, the Company issued $400.0 million aggregate principal amount of 3.625% senior unsecured notes due 2030 (the “2030 Senior Notes”) in a private offering that was exempt from the registration requirements of the Securities Act of 1933, as amended. The Company used a portion of the net proceeds from the 2030 Senior Notes to redeem the $300.0 million aggregate principal amount that remained outstanding on its 5.250% senior unsecured notes due 2024 (the “2024 Senior Notes”). The early redemption of the 2024 Senior Notes resulted in a $10.0 million loss on debt extinguishment recorded in other expense (income), which included a redemption price of approximately $7.9 million (as set forth in the indenture governing the terms of the 2024 Senior Notes) and the write-off of approximately $2.1 million of unamortized debt issuance costs associated with the 2024 Senior Notes.</w:t>
      </w:r>
    </w:p>
    <w:p>
      <w:pPr>
        <w:spacing w:after="0" w:line="122" w:lineRule="exact"/>
        <w:rPr>
          <w:sz w:val="20"/>
          <w:szCs w:val="20"/>
          <w:color w:val="auto"/>
        </w:rPr>
      </w:pPr>
    </w:p>
    <w:p>
      <w:pPr>
        <w:ind w:right="20" w:firstLine="592"/>
        <w:spacing w:after="0" w:line="256" w:lineRule="auto"/>
        <w:rPr>
          <w:sz w:val="20"/>
          <w:szCs w:val="20"/>
          <w:color w:val="auto"/>
        </w:rPr>
      </w:pPr>
      <w:r>
        <w:rPr>
          <w:rFonts w:ascii="Times New Roman" w:cs="Times New Roman" w:eastAsia="Times New Roman" w:hAnsi="Times New Roman"/>
          <w:sz w:val="12"/>
          <w:szCs w:val="12"/>
          <w:color w:val="auto"/>
        </w:rPr>
        <w:t>The 2030 Senior Notes are scheduled to mature and be paid in full on September 1, 2030. At any time prior to March 1, 2025, the Company may redeem all or part of the 2030 Senior Notes at a redemption price equal to the sum of (i) 100% of the principal amount thereof, plus (ii) a make-whole premium as of the date of redemption, plus (iii) accrued and unpaid interest and additional interest, if any, thereon, to the date of redemption. In addition, the Company may redeem all or part of the 2030 Senior Notes, together with accrued and unpaid interest, on or after March 1, 2025, at redemption prices set forth in the indenture governing the 2030 Senior Notes. At any time prior to March 1, 2023, the Company may use the proceeds of certain equity offerings to redeem up to 35% of the aggregate principal amount of the 2030 Senior Notes, including any permitted additional notes, at a redemption price equal to 103.625% of the principal amount plus accrued and unpaid interest, if any, to the redemption date, so long as at least 50% of the aggregate principal amount of all notes (excluding any additional notes, if any) issued under the indenture governing the 2030 Senior Notes remain outstanding after each such redemption occurs.</w:t>
      </w:r>
    </w:p>
    <w:p>
      <w:pPr>
        <w:spacing w:after="0" w:line="125" w:lineRule="exact"/>
        <w:rPr>
          <w:sz w:val="20"/>
          <w:szCs w:val="20"/>
          <w:color w:val="auto"/>
        </w:rPr>
      </w:pPr>
    </w:p>
    <w:p>
      <w:pPr>
        <w:ind w:right="260" w:firstLine="592"/>
        <w:spacing w:after="0" w:line="257" w:lineRule="auto"/>
        <w:rPr>
          <w:sz w:val="20"/>
          <w:szCs w:val="20"/>
          <w:color w:val="auto"/>
        </w:rPr>
      </w:pPr>
      <w:r>
        <w:rPr>
          <w:rFonts w:ascii="Times New Roman" w:cs="Times New Roman" w:eastAsia="Times New Roman" w:hAnsi="Times New Roman"/>
          <w:sz w:val="12"/>
          <w:szCs w:val="12"/>
          <w:color w:val="auto"/>
        </w:rPr>
        <w:t>On May 26, 2020, the Company issued $1,000.0 million aggregate principal amount of 3.875% senior unsecured notes due 2031 (the “2031 Senior Notes”) in a private offering that was exempt from the registration requirements of the Securities Act of 1933, as amended. The Company used a portion of the net proceeds from the 2031 Senior Notes for the early redemption of all of the outstanding $800.0 million aggregate principal amount of 5.75% senior unsecured notes due 2025 (the "2025 Senior Notes"). The early redemption of the 2025 Senior Notes resulted in an approximately $35.0 million loss on extinguishment recorded in other expense (income). The loss on extinguishment included an applicable premium of approximately $29.5 million (as defined in the indenture governing the terms of the 2025 Senior Notes) and the write-off of approximately $5.5 million unamortized debt issuance costs associated with the 2025 Senior Notes.</w:t>
      </w:r>
    </w:p>
    <w:p>
      <w:pPr>
        <w:spacing w:after="0" w:line="125" w:lineRule="exact"/>
        <w:rPr>
          <w:sz w:val="20"/>
          <w:szCs w:val="20"/>
          <w:color w:val="auto"/>
        </w:rPr>
      </w:pPr>
    </w:p>
    <w:p>
      <w:pPr>
        <w:ind w:right="60" w:firstLine="592"/>
        <w:spacing w:after="0" w:line="256" w:lineRule="auto"/>
        <w:rPr>
          <w:sz w:val="20"/>
          <w:szCs w:val="20"/>
          <w:color w:val="auto"/>
        </w:rPr>
      </w:pPr>
      <w:r>
        <w:rPr>
          <w:rFonts w:ascii="Times New Roman" w:cs="Times New Roman" w:eastAsia="Times New Roman" w:hAnsi="Times New Roman"/>
          <w:sz w:val="12"/>
          <w:szCs w:val="12"/>
          <w:color w:val="auto"/>
        </w:rPr>
        <w:t>The 2031 Senior Notes are scheduled to mature and be paid in full on February 15, 2031. At any time prior to June 1, 2025, the Company may redeem all or part of the 2031 Senior Notes at a redemption price equal to the sum of (i) 100% of the principal amount thereof, plus (ii) a make-whole premium as of the date of redemption, plus (iii) accrued and unpaid interest, if any, to, but excluding, the redemption date. In addition, the Company may redeem all or part of the 2031 Senior Notes, together with accrued and unpaid interest, on or after June 1, 2025, at redemption prices set forth in the indenture governing the 2031 Senior Notes. At any time prior to June 1, 2023, the Company may use the proceeds of certain equity offerings to redeem up to 35% of the aggregate principal amount of the 2031 Senior Notes, including any permitted additional notes, at a redemption price equal to 103.875% of the principal amount plus accrued and unpaid interest, if any, to, but excluding, the redemption date, so long as at least 50% of the aggregate principal amount of all notes (excluding any additional notes, if any) issued under the indenture governing the 2031 Senior Notes remain outstanding after each such redemption occurs.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77" w:name="page78"/>
    <w:bookmarkEnd w:id="77"/>
    <w:p>
      <w:pPr>
        <w:ind w:firstLine="592"/>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Revolver. </w:t>
      </w:r>
      <w:r>
        <w:rPr>
          <w:rFonts w:ascii="Times New Roman" w:cs="Times New Roman" w:eastAsia="Times New Roman" w:hAnsi="Times New Roman"/>
          <w:sz w:val="12"/>
          <w:szCs w:val="12"/>
          <w:color w:val="auto"/>
        </w:rPr>
        <w:t>On November 20, 2014, the Company entered into a $200.0 million senior unsecured revolving credit agreement (as amended, the “Revolving Credit Agreement”) with a syndicate of banks. The Revolving Credit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Agreement had an initial term of five years with an option to extend for two additional one-year terms. On August 4, 2016, the Company entered into Amendment No. 1 (the “First Amendment”) to the Revolving Credit Agreement. The First Amendment, among other things, (i) increased aggregate commitments available to be borrowed to $220.0 million, (ii) increased the maximum consolidated leverage ratio and (iii) extended the initial term to August 2021 with an option to extend for an additional one-year term. On May 15, 2018, the Company entered into Amendment No. 2 (the “Second Amendment”) to the Revolving Credit Agreement. The Second Amendment, among other things, (i) increased aggregate commitments available to be borrowed to $250.0 million, (ii) extended the term to May 2023 with an option to extend for an additional one-year term and (iii) decreased the applicable rate and applicable fee rate for loans and commitments. On November 15, 2019, the Company entered into Amendment No. 3 (the “Third Amendment”) to the Revolving Credit Agreement. The Third Amendment, among other things, (i) increased aggregate commitments available to be borrowed to $400.0 million, (ii) extended the term to November 2024 with an option to extend for an additional one-year term, (iii) decreased the applicable rate and applicable fee rate for loans and commitments and (iv) amended certain restrictive covenants that limit, among other things, the Company’s financial flexibility. At December 31, 2020, the Revolving Credit Agreement was undrawn.</w:t>
      </w:r>
    </w:p>
    <w:p>
      <w:pPr>
        <w:spacing w:after="0" w:line="127" w:lineRule="exact"/>
        <w:rPr>
          <w:sz w:val="20"/>
          <w:szCs w:val="20"/>
          <w:color w:val="auto"/>
        </w:rPr>
      </w:pPr>
    </w:p>
    <w:p>
      <w:pPr>
        <w:jc w:val="both"/>
        <w:ind w:right="60" w:firstLine="592"/>
        <w:spacing w:after="0" w:line="265" w:lineRule="auto"/>
        <w:rPr>
          <w:sz w:val="20"/>
          <w:szCs w:val="20"/>
          <w:color w:val="auto"/>
        </w:rPr>
      </w:pPr>
      <w:r>
        <w:rPr>
          <w:rFonts w:ascii="Times New Roman" w:cs="Times New Roman" w:eastAsia="Times New Roman" w:hAnsi="Times New Roman"/>
          <w:sz w:val="12"/>
          <w:szCs w:val="12"/>
          <w:color w:val="auto"/>
        </w:rPr>
        <w:t>In connection with the closings of the Senior Notes offerings and entry into the Revolving Credit Agreement and the First, Second and Third Amendments, the Company paid certain financing fees which, together with the existing fees related to prior credit facilities, are being amortized over their related lives. At December 31, 2020, $35.0 million of the deferred financing fees remain unamortized, $0.5 million of which is included in “Prepaids and other assets,” $1.3 million of which is included in “Other non-current assets” and $33.2 million of which is grouped and presented as part of “Long-term debt” on the Consolidated Statement of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LEASES</w:t>
      </w:r>
    </w:p>
    <w:p>
      <w:pPr>
        <w:spacing w:after="0" w:line="82" w:lineRule="exact"/>
        <w:rPr>
          <w:sz w:val="20"/>
          <w:szCs w:val="20"/>
          <w:color w:val="auto"/>
        </w:rPr>
      </w:pPr>
    </w:p>
    <w:p>
      <w:pPr>
        <w:ind w:right="160" w:firstLine="592"/>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2018, the Company followed ASC Subtopic 840-10, “Leases,” which required the recognition of rent expense on a straight-line basis over the lease period. Rent expense for office space, including real estate taxes, insurance, maintenance and other operating expenses associated with the leased premises, for the year ended December 31, 2018 was $25.3 million.</w:t>
      </w:r>
    </w:p>
    <w:p>
      <w:pPr>
        <w:spacing w:after="0" w:line="37" w:lineRule="exact"/>
        <w:rPr>
          <w:sz w:val="20"/>
          <w:szCs w:val="20"/>
          <w:color w:val="auto"/>
        </w:rPr>
      </w:pPr>
    </w:p>
    <w:p>
      <w:pPr>
        <w:ind w:right="60" w:firstLine="592"/>
        <w:spacing w:after="0" w:line="330" w:lineRule="auto"/>
        <w:rPr>
          <w:sz w:val="20"/>
          <w:szCs w:val="20"/>
          <w:color w:val="auto"/>
        </w:rPr>
      </w:pPr>
      <w:r>
        <w:rPr>
          <w:rFonts w:ascii="Times New Roman" w:cs="Times New Roman" w:eastAsia="Times New Roman" w:hAnsi="Times New Roman"/>
          <w:sz w:val="11"/>
          <w:szCs w:val="11"/>
          <w:color w:val="auto"/>
        </w:rPr>
        <w:t>On January 1, 2019, the Company adopted ASU 2016-02 “</w:t>
      </w:r>
      <w:r>
        <w:rPr>
          <w:rFonts w:ascii="Times New Roman" w:cs="Times New Roman" w:eastAsia="Times New Roman" w:hAnsi="Times New Roman"/>
          <w:sz w:val="11"/>
          <w:szCs w:val="11"/>
          <w:i w:val="1"/>
          <w:iCs w:val="1"/>
          <w:color w:val="auto"/>
        </w:rPr>
        <w:t>Leases</w:t>
      </w:r>
      <w:r>
        <w:rPr>
          <w:rFonts w:ascii="Times New Roman" w:cs="Times New Roman" w:eastAsia="Times New Roman" w:hAnsi="Times New Roman"/>
          <w:sz w:val="11"/>
          <w:szCs w:val="11"/>
          <w:color w:val="auto"/>
        </w:rPr>
        <w:t>” and began following ASC Subtopic 842-10. Under ASC Subtopic 842-10, the Company recognized a total of $32.8 million and $35.6 million of operating lease expenses for the years ended December 31, 2020 and 2019. The amounts associated with variable lease costs, short-term lease costs and sublease income were not material for the years ended December 31, 2020 and 2019.</w:t>
      </w:r>
    </w:p>
    <w:p>
      <w:pPr>
        <w:spacing w:after="0" w:line="14" w:lineRule="exact"/>
        <w:rPr>
          <w:sz w:val="20"/>
          <w:szCs w:val="20"/>
          <w:color w:val="auto"/>
        </w:rPr>
      </w:pPr>
    </w:p>
    <w:p>
      <w:pPr>
        <w:ind w:right="60" w:firstLine="592"/>
        <w:spacing w:after="0" w:line="279" w:lineRule="auto"/>
        <w:rPr>
          <w:sz w:val="20"/>
          <w:szCs w:val="20"/>
          <w:color w:val="auto"/>
        </w:rPr>
      </w:pPr>
      <w:r>
        <w:rPr>
          <w:rFonts w:ascii="Times New Roman" w:cs="Times New Roman" w:eastAsia="Times New Roman" w:hAnsi="Times New Roman"/>
          <w:sz w:val="12"/>
          <w:szCs w:val="12"/>
          <w:color w:val="auto"/>
        </w:rPr>
        <w:t>The Company’s leases have remaining lease terms of up to approximately 12 years. Some of these leases have options to extend which, if exercised, would extend the maximum term to approximately 22 years. Some of the leases also provide for early termination, the exercise of which would shorten the term of those leases by up to 5 years.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78" w:name="page79"/>
    <w:bookmarkEnd w:id="78"/>
    <w:p>
      <w:pPr>
        <w:ind w:firstLine="592"/>
        <w:spacing w:after="0" w:line="279" w:lineRule="auto"/>
        <w:rPr>
          <w:sz w:val="20"/>
          <w:szCs w:val="20"/>
          <w:color w:val="auto"/>
        </w:rPr>
      </w:pPr>
      <w:r>
        <w:rPr>
          <w:rFonts w:ascii="Times New Roman" w:cs="Times New Roman" w:eastAsia="Times New Roman" w:hAnsi="Times New Roman"/>
          <w:sz w:val="12"/>
          <w:szCs w:val="12"/>
          <w:color w:val="auto"/>
        </w:rPr>
        <w:t>Future minimum commitments for the Company’s operating leases accounted for in accordance with ASC Subtopic 842-10 in place as of December 31, 2020, the interest and other relevant line items in the Consolidated Statement of Financial Condition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5080" w:type="dxa"/>
            <w:vAlign w:val="bottom"/>
            <w:gridSpan w:val="3"/>
          </w:tcPr>
          <w:p>
            <w:pPr>
              <w:ind w:left="1140"/>
              <w:spacing w:after="0"/>
              <w:rPr>
                <w:sz w:val="20"/>
                <w:szCs w:val="20"/>
                <w:color w:val="auto"/>
              </w:rPr>
            </w:pPr>
            <w:r>
              <w:rPr>
                <w:rFonts w:ascii="Times New Roman" w:cs="Times New Roman" w:eastAsia="Times New Roman" w:hAnsi="Times New Roman"/>
                <w:sz w:val="10"/>
                <w:szCs w:val="10"/>
                <w:b w:val="1"/>
                <w:bCs w:val="1"/>
                <w:color w:val="auto"/>
              </w:rPr>
              <w:t>Maturity of Lease Liabilities</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5"/>
              </w:rPr>
              <w:t>Operating</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5080" w:type="dxa"/>
            <w:vAlign w:val="bottom"/>
            <w:gridSpan w:val="3"/>
          </w:tcPr>
          <w:p>
            <w:pPr>
              <w:ind w:left="114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ind w:left="340"/>
              <w:spacing w:after="0"/>
              <w:rPr>
                <w:sz w:val="20"/>
                <w:szCs w:val="20"/>
                <w:color w:val="auto"/>
              </w:rPr>
            </w:pPr>
            <w:r>
              <w:rPr>
                <w:rFonts w:ascii="Times New Roman" w:cs="Times New Roman" w:eastAsia="Times New Roman" w:hAnsi="Times New Roman"/>
                <w:sz w:val="10"/>
                <w:szCs w:val="10"/>
                <w:b w:val="1"/>
                <w:bCs w:val="1"/>
                <w:color w:val="auto"/>
                <w:w w:val="98"/>
              </w:rPr>
              <w:t>Leases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2021</w:t>
            </w:r>
          </w:p>
        </w:tc>
        <w:tc>
          <w:tcPr>
            <w:tcW w:w="34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ind w:right="66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28,201</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2022</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26,189</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2023</w:t>
            </w: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tcBorders>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25,022</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19,659</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tcBorders>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19,170</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1"/>
                <w:szCs w:val="11"/>
                <w:color w:val="auto"/>
              </w:rPr>
              <w:t>Thereafter</w:t>
            </w:r>
          </w:p>
        </w:tc>
        <w:tc>
          <w:tcPr>
            <w:tcW w:w="10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4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86,361</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lease payments</w:t>
            </w:r>
          </w:p>
        </w:tc>
        <w:tc>
          <w:tcPr>
            <w:tcW w:w="10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204,602</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Less: Interest</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(29,571)</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tcBorders>
              <w:top w:val="single" w:sz="8" w:color="CFF0FC"/>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Present value of lease liabilities</w:t>
            </w:r>
          </w:p>
        </w:tc>
        <w:tc>
          <w:tcPr>
            <w:tcW w:w="10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ind w:right="66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175,031</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Other accrued liabilities</w:t>
            </w: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00" w:type="dxa"/>
            <w:vAlign w:val="bottom"/>
            <w:gridSpan w:val="4"/>
            <w:shd w:val="clear" w:color="auto" w:fill="CFF0FC"/>
          </w:tcPr>
          <w:p>
            <w:pPr>
              <w:jc w:val="right"/>
              <w:ind w:right="6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22,689</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4"/>
          </w:tcPr>
          <w:p>
            <w:pPr>
              <w:jc w:val="right"/>
              <w:ind w:right="6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152,342</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6200" w:type="dxa"/>
            <w:vAlign w:val="bottom"/>
            <w:gridSpan w:val="4"/>
          </w:tcPr>
          <w:p>
            <w:pPr>
              <w:ind w:left="580"/>
              <w:spacing w:after="0"/>
              <w:rPr>
                <w:sz w:val="20"/>
                <w:szCs w:val="20"/>
                <w:color w:val="auto"/>
              </w:rPr>
            </w:pPr>
            <w:r>
              <w:rPr>
                <w:rFonts w:ascii="Times New Roman" w:cs="Times New Roman" w:eastAsia="Times New Roman" w:hAnsi="Times New Roman"/>
                <w:sz w:val="12"/>
                <w:szCs w:val="12"/>
                <w:color w:val="auto"/>
              </w:rPr>
              <w:t>Lease term and discount rate for the Company’s operating leases in place as of December 31, 2020 are as follows:</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0"/>
                <w:szCs w:val="10"/>
                <w:b w:val="1"/>
                <w:bCs w:val="1"/>
                <w:color w:val="auto"/>
                <w:w w:val="90"/>
              </w:rPr>
              <w:t>As of</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tcPr>
          <w:p>
            <w:pPr>
              <w:jc w:val="center"/>
              <w:ind w:right="106"/>
              <w:spacing w:after="0" w:line="107"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5080" w:type="dxa"/>
            <w:vAlign w:val="bottom"/>
            <w:gridSpan w:val="3"/>
          </w:tcPr>
          <w:p>
            <w:pPr>
              <w:ind w:left="1140"/>
              <w:spacing w:after="0"/>
              <w:rPr>
                <w:sz w:val="20"/>
                <w:szCs w:val="20"/>
                <w:color w:val="auto"/>
              </w:rPr>
            </w:pPr>
            <w:r>
              <w:rPr>
                <w:rFonts w:ascii="Times New Roman" w:cs="Times New Roman" w:eastAsia="Times New Roman" w:hAnsi="Times New Roman"/>
                <w:sz w:val="10"/>
                <w:szCs w:val="10"/>
                <w:b w:val="1"/>
                <w:bCs w:val="1"/>
                <w:color w:val="auto"/>
              </w:rPr>
              <w:t>Lease Term and Discount Rate</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4"/>
          </w:tcPr>
          <w:p>
            <w:pPr>
              <w:jc w:val="center"/>
              <w:ind w:left="405"/>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Weighted-average remaining lease term (years)</w:t>
            </w:r>
          </w:p>
        </w:tc>
        <w:tc>
          <w:tcPr>
            <w:tcW w:w="10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right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8.93</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Weighted-average discount rate</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w w:val="91"/>
              </w:rPr>
              <w:t>3.34%</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6200" w:type="dxa"/>
            <w:vAlign w:val="bottom"/>
            <w:gridSpan w:val="4"/>
          </w:tcPr>
          <w:p>
            <w:pPr>
              <w:ind w:left="580"/>
              <w:spacing w:after="0"/>
              <w:rPr>
                <w:sz w:val="20"/>
                <w:szCs w:val="20"/>
                <w:color w:val="auto"/>
              </w:rPr>
            </w:pPr>
            <w:r>
              <w:rPr>
                <w:rFonts w:ascii="Times New Roman" w:cs="Times New Roman" w:eastAsia="Times New Roman" w:hAnsi="Times New Roman"/>
                <w:sz w:val="12"/>
                <w:szCs w:val="12"/>
                <w:color w:val="auto"/>
                <w:w w:val="99"/>
              </w:rPr>
              <w:t>Other information for the Company’s operating leases in place for the year ended December 31, 2020 are as follows:</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5080" w:type="dxa"/>
            <w:vAlign w:val="bottom"/>
            <w:gridSpan w:val="3"/>
          </w:tcPr>
          <w:p>
            <w:pPr>
              <w:ind w:left="1140"/>
              <w:spacing w:after="0" w:line="110" w:lineRule="exact"/>
              <w:rPr>
                <w:sz w:val="20"/>
                <w:szCs w:val="20"/>
                <w:color w:val="auto"/>
              </w:rPr>
            </w:pPr>
            <w:r>
              <w:rPr>
                <w:rFonts w:ascii="Times New Roman" w:cs="Times New Roman" w:eastAsia="Times New Roman" w:hAnsi="Times New Roman"/>
                <w:sz w:val="10"/>
                <w:szCs w:val="10"/>
                <w:b w:val="1"/>
                <w:bCs w:val="1"/>
                <w:color w:val="auto"/>
              </w:rPr>
              <w:t>Other Information</w:t>
            </w: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tcBorders>
              <w:top w:val="single" w:sz="8" w:color="auto"/>
            </w:tcBorders>
            <w:gridSpan w:val="3"/>
          </w:tcPr>
          <w:p>
            <w:pPr>
              <w:jc w:val="center"/>
              <w:ind w:right="26"/>
              <w:spacing w:after="0" w:line="11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5080" w:type="dxa"/>
            <w:vAlign w:val="bottom"/>
            <w:gridSpan w:val="3"/>
          </w:tcPr>
          <w:p>
            <w:pPr>
              <w:ind w:left="114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4"/>
          </w:tcPr>
          <w:p>
            <w:pPr>
              <w:jc w:val="center"/>
              <w:ind w:left="485"/>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Operating cash flows used for operating leases</w:t>
            </w:r>
          </w:p>
        </w:tc>
        <w:tc>
          <w:tcPr>
            <w:tcW w:w="10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gridSpan w:val="2"/>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ind w:right="66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30,061</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Leased assets obtained in exchange for new operating lease</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11,472</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liabilities</w:t>
            </w: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94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1"/>
        </w:trPr>
        <w:tc>
          <w:tcPr>
            <w:tcW w:w="62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7. PROPERTY, EQUIPMENT AND LEASEHOLD IMPROVEMENTS, NET</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gridSpan w:val="4"/>
          </w:tcPr>
          <w:p>
            <w:pPr>
              <w:ind w:left="580"/>
              <w:spacing w:after="0"/>
              <w:rPr>
                <w:sz w:val="20"/>
                <w:szCs w:val="20"/>
                <w:color w:val="auto"/>
              </w:rPr>
            </w:pPr>
            <w:r>
              <w:rPr>
                <w:rFonts w:ascii="Times New Roman" w:cs="Times New Roman" w:eastAsia="Times New Roman" w:hAnsi="Times New Roman"/>
                <w:sz w:val="12"/>
                <w:szCs w:val="12"/>
                <w:color w:val="auto"/>
              </w:rPr>
              <w:t>Property, equipment and leasehold improvements, net at December 31, 2020 and 2019 consisted of the following:</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6"/>
              </w:rPr>
              <w:t>Estimated</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w w:val="90"/>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gridSpan w:val="4"/>
          </w:tcPr>
          <w:p>
            <w:pPr>
              <w:jc w:val="right"/>
              <w:ind w:right="300"/>
              <w:spacing w:after="0" w:line="9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jc w:val="right"/>
              <w:ind w:right="303"/>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5"/>
              </w:rPr>
              <w:t>Useful Lives</w:t>
            </w:r>
          </w:p>
        </w:tc>
        <w:tc>
          <w:tcPr>
            <w:tcW w:w="340" w:type="dxa"/>
            <w:vAlign w:val="bottom"/>
          </w:tcPr>
          <w:p>
            <w:pPr>
              <w:spacing w:after="0"/>
              <w:rPr>
                <w:sz w:val="10"/>
                <w:szCs w:val="10"/>
                <w:color w:val="auto"/>
              </w:rPr>
            </w:pPr>
          </w:p>
        </w:tc>
        <w:tc>
          <w:tcPr>
            <w:tcW w:w="900" w:type="dxa"/>
            <w:vAlign w:val="bottom"/>
            <w:gridSpan w:val="4"/>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right"/>
              <w:ind w:right="483"/>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gridSpan w:val="3"/>
          </w:tcPr>
          <w:p>
            <w:pPr>
              <w:jc w:val="right"/>
              <w:ind w:right="6"/>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Computer &amp; related equipment</w:t>
            </w:r>
          </w:p>
        </w:tc>
        <w:tc>
          <w:tcPr>
            <w:tcW w:w="1140" w:type="dxa"/>
            <w:vAlign w:val="bottom"/>
            <w:gridSpan w:val="2"/>
            <w:shd w:val="clear" w:color="auto" w:fill="CFF0FC"/>
          </w:tcPr>
          <w:p>
            <w:pPr>
              <w:jc w:val="center"/>
              <w:ind w:right="460"/>
              <w:spacing w:after="0"/>
              <w:rPr>
                <w:sz w:val="20"/>
                <w:szCs w:val="20"/>
                <w:color w:val="auto"/>
              </w:rPr>
            </w:pPr>
            <w:r>
              <w:rPr>
                <w:rFonts w:ascii="Times New Roman" w:cs="Times New Roman" w:eastAsia="Times New Roman" w:hAnsi="Times New Roman"/>
                <w:sz w:val="12"/>
                <w:szCs w:val="12"/>
                <w:color w:val="auto"/>
              </w:rPr>
              <w:t>2 to 5 years</w:t>
            </w: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186,786</w:t>
            </w:r>
          </w:p>
        </w:tc>
        <w:tc>
          <w:tcPr>
            <w:tcW w:w="460" w:type="dxa"/>
            <w:vAlign w:val="bottom"/>
            <w:tcBorders>
              <w:right w:val="single" w:sz="8" w:color="CFF0FC"/>
            </w:tcBorders>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185,794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Furniture &amp; fixtures</w:t>
            </w: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color w:val="auto"/>
                <w:w w:val="98"/>
              </w:rPr>
              <w:t>7 years</w:t>
            </w:r>
          </w:p>
        </w:tc>
        <w:tc>
          <w:tcPr>
            <w:tcW w:w="340" w:type="dxa"/>
            <w:vAlign w:val="bottom"/>
          </w:tcPr>
          <w:p>
            <w:pPr>
              <w:spacing w:after="0"/>
              <w:rPr>
                <w:sz w:val="13"/>
                <w:szCs w:val="1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15,276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140" w:type="dxa"/>
            <w:vAlign w:val="bottom"/>
            <w:gridSpan w:val="2"/>
            <w:shd w:val="clear" w:color="auto" w:fill="CFF0FC"/>
          </w:tcPr>
          <w:p>
            <w:pPr>
              <w:jc w:val="center"/>
              <w:ind w:right="480"/>
              <w:spacing w:after="0"/>
              <w:rPr>
                <w:sz w:val="20"/>
                <w:szCs w:val="20"/>
                <w:color w:val="auto"/>
              </w:rPr>
            </w:pPr>
            <w:r>
              <w:rPr>
                <w:rFonts w:ascii="Times New Roman" w:cs="Times New Roman" w:eastAsia="Times New Roman" w:hAnsi="Times New Roman"/>
                <w:sz w:val="12"/>
                <w:szCs w:val="12"/>
                <w:color w:val="auto"/>
              </w:rPr>
              <w:t>1 to 21 years</w:t>
            </w:r>
          </w:p>
        </w:tc>
        <w:tc>
          <w:tcPr>
            <w:tcW w:w="340" w:type="dxa"/>
            <w:vAlign w:val="bottom"/>
            <w:shd w:val="clear" w:color="auto" w:fill="CFF0FC"/>
          </w:tcPr>
          <w:p>
            <w:pPr>
              <w:spacing w:after="0"/>
              <w:rPr>
                <w:sz w:val="13"/>
                <w:szCs w:val="13"/>
                <w:color w:val="auto"/>
              </w:rPr>
            </w:pP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56,537</w:t>
            </w:r>
          </w:p>
        </w:tc>
        <w:tc>
          <w:tcPr>
            <w:tcW w:w="22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52,339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08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2"/>
                <w:szCs w:val="12"/>
                <w:color w:val="auto"/>
              </w:rPr>
              <w:t>Work-in-process</w:t>
            </w:r>
          </w:p>
        </w:tc>
        <w:tc>
          <w:tcPr>
            <w:tcW w:w="1140" w:type="dxa"/>
            <w:vAlign w:val="bottom"/>
            <w:tcBorders>
              <w:bottom w:val="single" w:sz="8" w:color="CFF0FC"/>
            </w:tcBorders>
            <w:gridSpan w:val="2"/>
          </w:tcPr>
          <w:p>
            <w:pPr>
              <w:jc w:val="center"/>
              <w:ind w:right="46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color w:val="auto"/>
              </w:rPr>
              <w:t>2,996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8,667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Subtotal</w:t>
            </w: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261,595</w:t>
            </w: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259,278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Accumulated depreciation and amortization</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5"/>
          </w:tcPr>
          <w:p>
            <w:pPr>
              <w:jc w:val="right"/>
              <w:ind w:right="126"/>
              <w:spacing w:after="0"/>
              <w:rPr>
                <w:sz w:val="20"/>
                <w:szCs w:val="20"/>
                <w:color w:val="auto"/>
              </w:rPr>
            </w:pPr>
            <w:r>
              <w:rPr>
                <w:rFonts w:ascii="Times New Roman" w:cs="Times New Roman" w:eastAsia="Times New Roman" w:hAnsi="Times New Roman"/>
                <w:sz w:val="12"/>
                <w:szCs w:val="12"/>
                <w:color w:val="auto"/>
              </w:rPr>
              <w:t>(181,149)</w:t>
            </w:r>
          </w:p>
        </w:tc>
        <w:tc>
          <w:tcPr>
            <w:tcW w:w="24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(168,570)</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5080" w:type="dxa"/>
            <w:vAlign w:val="bottom"/>
            <w:tcBorders>
              <w:top w:val="single" w:sz="8" w:color="CFF0FC"/>
            </w:tcBorders>
            <w:gridSpan w:val="3"/>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Property, equipment and leasehold</w:t>
            </w:r>
          </w:p>
        </w:tc>
        <w:tc>
          <w:tcPr>
            <w:tcW w:w="10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right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508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improvements, net</w:t>
            </w:r>
          </w:p>
        </w:tc>
        <w:tc>
          <w:tcPr>
            <w:tcW w:w="10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80,446</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right w:val="single" w:sz="8" w:color="CFF0FC"/>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90,708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Depreciation and amortization expense of property, equipment and leasehold improvements was $29.8 million, $30.0 million and $31.3 million for the years ended December 31, 2020, 2019 and 2018, respectively.</w:t>
      </w: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00"/>
          </w:cols>
          <w:pgMar w:left="300" w:top="417" w:right="499" w:bottom="1440" w:gutter="0" w:footer="0" w:header="0"/>
        </w:sectPr>
      </w:pPr>
    </w:p>
    <w:bookmarkStart w:id="79" w:name="page80"/>
    <w:bookmarkEnd w:id="79"/>
    <w:p>
      <w:pPr>
        <w:ind w:left="288" w:right="8640" w:hanging="288"/>
        <w:spacing w:after="0" w:line="379" w:lineRule="auto"/>
        <w:tabs>
          <w:tab w:leader="none" w:pos="112" w:val="left"/>
        </w:tabs>
        <w:numPr>
          <w:ilvl w:val="0"/>
          <w:numId w:val="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GOODWILL AND INTANGIBLE ASSETS, NET </w:t>
      </w:r>
      <w:r>
        <w:rPr>
          <w:rFonts w:ascii="Times New Roman" w:cs="Times New Roman" w:eastAsia="Times New Roman" w:hAnsi="Times New Roman"/>
          <w:sz w:val="12"/>
          <w:szCs w:val="12"/>
          <w:b w:val="1"/>
          <w:bCs w:val="1"/>
          <w:i w:val="1"/>
          <w:iCs w:val="1"/>
          <w:color w:val="auto"/>
        </w:rPr>
        <w:t>Goodwill</w:t>
      </w:r>
    </w:p>
    <w:p>
      <w:pPr>
        <w:ind w:left="58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change to the Company’s goodwill was as follows:</w:t>
      </w:r>
    </w:p>
    <w:p>
      <w:pPr>
        <w:spacing w:after="0" w:line="153" w:lineRule="exact"/>
        <w:rPr>
          <w:sz w:val="20"/>
          <w:szCs w:val="20"/>
          <w:color w:val="auto"/>
        </w:rPr>
      </w:pPr>
    </w:p>
    <w:tbl>
      <w:tblPr>
        <w:tblLayout w:type="fixed"/>
        <w:tblInd w:w="568" w:type="dxa"/>
        <w:tblCellMar>
          <w:top w:w="0" w:type="dxa"/>
          <w:left w:w="0" w:type="dxa"/>
          <w:bottom w:w="0" w:type="dxa"/>
          <w:right w:w="0" w:type="dxa"/>
        </w:tblCellMar>
      </w:tblPr>
      <w:tr>
        <w:trPr>
          <w:trHeight w:val="115"/>
        </w:trPr>
        <w:tc>
          <w:tcPr>
            <w:tcW w:w="5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2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Index</w:t>
            </w:r>
          </w:p>
        </w:tc>
        <w:tc>
          <w:tcPr>
            <w:tcW w:w="180" w:type="dxa"/>
            <w:vAlign w:val="bottom"/>
          </w:tcPr>
          <w:p>
            <w:pPr>
              <w:spacing w:after="0"/>
              <w:rPr>
                <w:sz w:val="10"/>
                <w:szCs w:val="1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Analytics</w:t>
            </w:r>
          </w:p>
        </w:tc>
        <w:tc>
          <w:tcPr>
            <w:tcW w:w="180" w:type="dxa"/>
            <w:vAlign w:val="bottom"/>
          </w:tcPr>
          <w:p>
            <w:pPr>
              <w:spacing w:after="0"/>
              <w:rPr>
                <w:sz w:val="10"/>
                <w:szCs w:val="10"/>
                <w:color w:val="auto"/>
              </w:rPr>
            </w:pP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2"/>
        </w:trPr>
        <w:tc>
          <w:tcPr>
            <w:tcW w:w="5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 at December 31, 2018</w:t>
            </w: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1,203,404</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290,976</w:t>
            </w: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51,381</w:t>
            </w:r>
          </w:p>
        </w:tc>
        <w:tc>
          <w:tcPr>
            <w:tcW w:w="3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1,545,761</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Changes to goodwill</w:t>
            </w:r>
          </w:p>
        </w:tc>
        <w:tc>
          <w:tcPr>
            <w:tcW w:w="2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14,567</w:t>
            </w:r>
          </w:p>
        </w:tc>
        <w:tc>
          <w:tcPr>
            <w:tcW w:w="34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14,567</w:t>
            </w:r>
          </w:p>
        </w:tc>
        <w:tc>
          <w:tcPr>
            <w:tcW w:w="100" w:type="dxa"/>
            <w:vAlign w:val="bottom"/>
          </w:tcPr>
          <w:p>
            <w:pPr>
              <w:spacing w:after="0"/>
              <w:rPr>
                <w:sz w:val="13"/>
                <w:szCs w:val="13"/>
                <w:color w:val="auto"/>
              </w:rPr>
            </w:pPr>
          </w:p>
        </w:tc>
      </w:tr>
      <w:tr>
        <w:trPr>
          <w:trHeight w:val="153"/>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Foreign exchange translation adjustment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2,540</w:t>
            </w:r>
          </w:p>
        </w:tc>
        <w:tc>
          <w:tcPr>
            <w:tcW w:w="100" w:type="dxa"/>
            <w:vAlign w:val="bottom"/>
            <w:shd w:val="clear" w:color="auto" w:fill="CFF0FC"/>
          </w:tcPr>
          <w:p>
            <w:pPr>
              <w:spacing w:after="0"/>
              <w:rPr>
                <w:sz w:val="13"/>
                <w:szCs w:val="13"/>
                <w:color w:val="auto"/>
              </w:rPr>
            </w:pPr>
          </w:p>
        </w:tc>
      </w:tr>
      <w:tr>
        <w:trPr>
          <w:trHeight w:val="142"/>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Goodwill at December 31, 2019</w:t>
            </w:r>
          </w:p>
        </w:tc>
        <w:tc>
          <w:tcPr>
            <w:tcW w:w="22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1,204,694</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290,976</w:t>
            </w:r>
          </w:p>
        </w:tc>
        <w:tc>
          <w:tcPr>
            <w:tcW w:w="340" w:type="dxa"/>
            <w:vAlign w:val="bottom"/>
          </w:tcPr>
          <w:p>
            <w:pPr>
              <w:spacing w:after="0"/>
              <w:rPr>
                <w:sz w:val="12"/>
                <w:szCs w:val="12"/>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67,198</w:t>
            </w:r>
          </w:p>
        </w:tc>
        <w:tc>
          <w:tcPr>
            <w:tcW w:w="340" w:type="dxa"/>
            <w:vAlign w:val="bottom"/>
          </w:tcPr>
          <w:p>
            <w:pPr>
              <w:spacing w:after="0"/>
              <w:rPr>
                <w:sz w:val="12"/>
                <w:szCs w:val="12"/>
                <w:color w:val="auto"/>
              </w:rPr>
            </w:pPr>
          </w:p>
        </w:tc>
        <w:tc>
          <w:tcPr>
            <w:tcW w:w="24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1,562,868</w:t>
            </w:r>
          </w:p>
        </w:tc>
        <w:tc>
          <w:tcPr>
            <w:tcW w:w="100" w:type="dxa"/>
            <w:vAlign w:val="bottom"/>
          </w:tcPr>
          <w:p>
            <w:pPr>
              <w:spacing w:after="0"/>
              <w:rPr>
                <w:sz w:val="12"/>
                <w:szCs w:val="12"/>
                <w:color w:val="auto"/>
              </w:rPr>
            </w:pPr>
          </w:p>
        </w:tc>
      </w:tr>
      <w:tr>
        <w:trPr>
          <w:trHeight w:val="153"/>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Changes to goodwill</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exchange translation adjustment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2,090</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3,154</w:t>
            </w:r>
          </w:p>
        </w:tc>
        <w:tc>
          <w:tcPr>
            <w:tcW w:w="100" w:type="dxa"/>
            <w:vAlign w:val="bottom"/>
          </w:tcPr>
          <w:p>
            <w:pPr>
              <w:spacing w:after="0"/>
              <w:rPr>
                <w:sz w:val="13"/>
                <w:szCs w:val="13"/>
                <w:color w:val="auto"/>
              </w:rPr>
            </w:pPr>
          </w:p>
        </w:tc>
      </w:tr>
      <w:tr>
        <w:trPr>
          <w:trHeight w:val="149"/>
        </w:trPr>
        <w:tc>
          <w:tcPr>
            <w:tcW w:w="51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 at December 31, 2020</w:t>
            </w:r>
          </w:p>
        </w:tc>
        <w:tc>
          <w:tcPr>
            <w:tcW w:w="22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1,205,758</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290,976</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69,288</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1,566,022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88" w:lineRule="exact"/>
        <w:rPr>
          <w:sz w:val="20"/>
          <w:szCs w:val="20"/>
          <w:color w:val="auto"/>
        </w:rPr>
      </w:pPr>
    </w:p>
    <w:p>
      <w:pPr>
        <w:ind w:left="588" w:hanging="588"/>
        <w:spacing w:after="0"/>
        <w:tabs>
          <w:tab w:leader="none" w:pos="588"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Reflects the impact of the Carbon Delta AG (“Carbon Delta”)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99441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94410" cy="5715"/>
                    </a:xfrm>
                    <a:prstGeom prst="rect">
                      <a:avLst/>
                    </a:prstGeom>
                    <a:noFill/>
                  </pic:spPr>
                </pic:pic>
              </a:graphicData>
            </a:graphic>
          </wp:anchor>
        </w:drawing>
      </w:r>
    </w:p>
    <w:p>
      <w:pPr>
        <w:spacing w:after="0" w:line="19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b w:val="1"/>
          <w:bCs w:val="1"/>
          <w:i w:val="1"/>
          <w:iCs w:val="1"/>
          <w:color w:val="auto"/>
        </w:rPr>
        <w:t>Intangible Assets, Net</w:t>
      </w:r>
    </w:p>
    <w:p>
      <w:pPr>
        <w:spacing w:after="0" w:line="82"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The following table presents the amount of amortization expense related to intangible assets by category for the periods indicated:</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6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8"/>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90"/>
        </w:trPr>
        <w:tc>
          <w:tcPr>
            <w:tcW w:w="6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top w:val="single" w:sz="8" w:color="auto"/>
            </w:tcBorders>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gridSpan w:val="2"/>
          </w:tcPr>
          <w:p>
            <w:pPr>
              <w:jc w:val="center"/>
              <w:ind w:right="58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4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jc w:val="right"/>
              <w:ind w:right="345"/>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7"/>
                <w:szCs w:val="7"/>
                <w:color w:val="auto"/>
              </w:rPr>
            </w:pPr>
          </w:p>
        </w:tc>
      </w:tr>
      <w:tr>
        <w:trPr>
          <w:trHeight w:val="115"/>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980" w:type="dxa"/>
            <w:vAlign w:val="bottom"/>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2020</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ind w:right="186"/>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525"/>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Pr>
          <w:p>
            <w:pPr>
              <w:spacing w:after="0"/>
              <w:rPr>
                <w:sz w:val="10"/>
                <w:szCs w:val="10"/>
                <w:color w:val="auto"/>
              </w:rPr>
            </w:pPr>
          </w:p>
        </w:tc>
      </w:tr>
      <w:tr>
        <w:trPr>
          <w:trHeight w:val="142"/>
        </w:trPr>
        <w:tc>
          <w:tcPr>
            <w:tcW w:w="6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Amortization expense of acquired intangible assets</w:t>
            </w:r>
          </w:p>
        </w:tc>
        <w:tc>
          <w:tcPr>
            <w:tcW w:w="22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34,049</w:t>
            </w:r>
          </w:p>
        </w:tc>
        <w:tc>
          <w:tcPr>
            <w:tcW w:w="3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34,773</w:t>
            </w:r>
          </w:p>
        </w:tc>
        <w:tc>
          <w:tcPr>
            <w:tcW w:w="3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43,981</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6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Amortization expense of internally developed</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644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2"/>
                <w:szCs w:val="12"/>
                <w:color w:val="auto"/>
              </w:rPr>
              <w:t>capitalized software</w:t>
            </w: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22,892</w:t>
            </w:r>
          </w:p>
        </w:tc>
        <w:tc>
          <w:tcPr>
            <w:tcW w:w="3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14,637</w:t>
            </w:r>
          </w:p>
        </w:tc>
        <w:tc>
          <w:tcPr>
            <w:tcW w:w="3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10,208</w:t>
            </w:r>
          </w:p>
        </w:tc>
        <w:tc>
          <w:tcPr>
            <w:tcW w:w="120" w:type="dxa"/>
            <w:vAlign w:val="bottom"/>
            <w:tcBorders>
              <w:bottom w:val="single" w:sz="8" w:color="CFF0FC"/>
            </w:tcBorders>
          </w:tcPr>
          <w:p>
            <w:pPr>
              <w:spacing w:after="0"/>
              <w:rPr>
                <w:sz w:val="13"/>
                <w:szCs w:val="13"/>
                <w:color w:val="auto"/>
              </w:rPr>
            </w:pPr>
          </w:p>
        </w:tc>
      </w:tr>
      <w:tr>
        <w:trPr>
          <w:trHeight w:val="149"/>
        </w:trPr>
        <w:tc>
          <w:tcPr>
            <w:tcW w:w="6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amortization of intangible assets expense</w:t>
            </w:r>
          </w:p>
        </w:tc>
        <w:tc>
          <w:tcPr>
            <w:tcW w:w="980" w:type="dxa"/>
            <w:vAlign w:val="bottom"/>
            <w:tcBorders>
              <w:bottom w:val="single" w:sz="8" w:color="auto"/>
            </w:tcBorders>
            <w:shd w:val="clear" w:color="auto" w:fill="CFF0FC"/>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56,941</w:t>
            </w:r>
          </w:p>
        </w:tc>
        <w:tc>
          <w:tcPr>
            <w:tcW w:w="3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49,410</w:t>
            </w:r>
          </w:p>
        </w:tc>
        <w:tc>
          <w:tcPr>
            <w:tcW w:w="3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54,189</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3" w:lineRule="exact"/>
        <w:rPr>
          <w:sz w:val="20"/>
          <w:szCs w:val="20"/>
          <w:color w:val="auto"/>
        </w:rPr>
      </w:pPr>
    </w:p>
    <w:p>
      <w:pPr>
        <w:jc w:val="both"/>
        <w:ind w:left="8" w:right="40" w:firstLine="592"/>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2018 management decided to discontinue the use of the IPD trade name utilized by the Real Estate segment. As a result, the remaining unamortized value associated with the trade name of $7.9 million was written off in the year ended December 31, 2018.</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80" w:name="page81"/>
    <w:bookmarkEnd w:id="80"/>
    <w:p>
      <w:pPr>
        <w:ind w:left="580"/>
        <w:spacing w:after="0"/>
        <w:rPr>
          <w:sz w:val="20"/>
          <w:szCs w:val="20"/>
          <w:color w:val="auto"/>
        </w:rPr>
      </w:pPr>
      <w:r>
        <w:rPr>
          <w:rFonts w:ascii="Times New Roman" w:cs="Times New Roman" w:eastAsia="Times New Roman" w:hAnsi="Times New Roman"/>
          <w:sz w:val="12"/>
          <w:szCs w:val="12"/>
          <w:color w:val="auto"/>
        </w:rPr>
        <w:t>The gross carrying and accumulated amortization amounts related to the Company’s identifiable intangible assets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Estimated</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As of</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7"/>
                <w:szCs w:val="7"/>
                <w:color w:val="auto"/>
              </w:rPr>
            </w:pPr>
          </w:p>
        </w:tc>
        <w:tc>
          <w:tcPr>
            <w:tcW w:w="860" w:type="dxa"/>
            <w:vAlign w:val="bottom"/>
          </w:tcPr>
          <w:p>
            <w:pPr>
              <w:jc w:val="right"/>
              <w:ind w:right="201"/>
              <w:spacing w:after="0" w:line="90"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Useful Lives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4"/>
          </w:tcPr>
          <w:p>
            <w:pPr>
              <w:jc w:val="center"/>
              <w:ind w:left="582"/>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8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Gross intangible assets:</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tcPr>
          <w:p>
            <w:pPr>
              <w:spacing w:after="0"/>
              <w:rPr>
                <w:sz w:val="13"/>
                <w:szCs w:val="13"/>
                <w:color w:val="auto"/>
              </w:rPr>
            </w:pPr>
          </w:p>
        </w:tc>
        <w:tc>
          <w:tcPr>
            <w:tcW w:w="19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rPr>
              <w:t>13 to 21 years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356,700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356,700</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Trademarks/trade names</w:t>
            </w:r>
          </w:p>
        </w:tc>
        <w:tc>
          <w:tcPr>
            <w:tcW w:w="940" w:type="dxa"/>
            <w:vAlign w:val="bottom"/>
            <w:shd w:val="clear" w:color="auto" w:fill="CFF0FC"/>
          </w:tcPr>
          <w:p>
            <w:pPr>
              <w:spacing w:after="0"/>
              <w:rPr>
                <w:sz w:val="13"/>
                <w:szCs w:val="13"/>
                <w:color w:val="auto"/>
              </w:rPr>
            </w:pPr>
          </w:p>
        </w:tc>
        <w:tc>
          <w:tcPr>
            <w:tcW w:w="1940" w:type="dxa"/>
            <w:vAlign w:val="bottom"/>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10 to 21.5 years</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207,300</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207,300</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Technology/software</w:t>
            </w:r>
          </w:p>
        </w:tc>
        <w:tc>
          <w:tcPr>
            <w:tcW w:w="940" w:type="dxa"/>
            <w:vAlign w:val="bottom"/>
          </w:tcPr>
          <w:p>
            <w:pPr>
              <w:spacing w:after="0"/>
              <w:rPr>
                <w:sz w:val="13"/>
                <w:szCs w:val="13"/>
                <w:color w:val="auto"/>
              </w:rPr>
            </w:pPr>
          </w:p>
        </w:tc>
        <w:tc>
          <w:tcPr>
            <w:tcW w:w="19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rPr>
              <w:t>3 to 8 years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290,908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263,719</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Proprietary data</w:t>
            </w:r>
          </w:p>
        </w:tc>
        <w:tc>
          <w:tcPr>
            <w:tcW w:w="940" w:type="dxa"/>
            <w:vAlign w:val="bottom"/>
            <w:shd w:val="clear" w:color="auto" w:fill="CFF0FC"/>
          </w:tcPr>
          <w:p>
            <w:pPr>
              <w:spacing w:after="0"/>
              <w:rPr>
                <w:sz w:val="13"/>
                <w:szCs w:val="13"/>
                <w:color w:val="auto"/>
              </w:rPr>
            </w:pPr>
          </w:p>
        </w:tc>
        <w:tc>
          <w:tcPr>
            <w:tcW w:w="1940" w:type="dxa"/>
            <w:vAlign w:val="bottom"/>
            <w:gridSpan w:val="3"/>
            <w:shd w:val="clear" w:color="auto" w:fill="CFF0FC"/>
          </w:tcPr>
          <w:p>
            <w:pPr>
              <w:jc w:val="center"/>
              <w:ind w:right="120"/>
              <w:spacing w:after="0"/>
              <w:rPr>
                <w:sz w:val="20"/>
                <w:szCs w:val="20"/>
                <w:color w:val="auto"/>
              </w:rPr>
            </w:pPr>
            <w:r>
              <w:rPr>
                <w:rFonts w:ascii="Times New Roman" w:cs="Times New Roman" w:eastAsia="Times New Roman" w:hAnsi="Times New Roman"/>
                <w:sz w:val="12"/>
                <w:szCs w:val="12"/>
                <w:color w:val="auto"/>
              </w:rPr>
              <w:t>6 to 13 years</w:t>
            </w:r>
          </w:p>
        </w:tc>
        <w:tc>
          <w:tcPr>
            <w:tcW w:w="1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28,627</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28,627</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Subtotal</w:t>
            </w:r>
          </w:p>
        </w:tc>
        <w:tc>
          <w:tcPr>
            <w:tcW w:w="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883,535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856,346</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Foreign exchange translation adjustment</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12"/>
              <w:spacing w:after="0"/>
              <w:rPr>
                <w:sz w:val="20"/>
                <w:szCs w:val="20"/>
                <w:color w:val="auto"/>
              </w:rPr>
            </w:pPr>
            <w:r>
              <w:rPr>
                <w:rFonts w:ascii="Times New Roman" w:cs="Times New Roman" w:eastAsia="Times New Roman" w:hAnsi="Times New Roman"/>
                <w:sz w:val="12"/>
                <w:szCs w:val="12"/>
                <w:color w:val="auto"/>
              </w:rPr>
              <w:t>(5,262)</w:t>
            </w: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(7,615)</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72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2"/>
                <w:szCs w:val="12"/>
                <w:color w:val="auto"/>
              </w:rPr>
              <w:t>Total gross intangible assets</w:t>
            </w:r>
          </w:p>
        </w:tc>
        <w:tc>
          <w:tcPr>
            <w:tcW w:w="940" w:type="dxa"/>
            <w:vAlign w:val="bottom"/>
            <w:tcBorders>
              <w:bottom w:val="single" w:sz="8" w:color="CFF0FC"/>
            </w:tcBorders>
          </w:tcPr>
          <w:p>
            <w:pPr>
              <w:spacing w:after="0"/>
              <w:rPr>
                <w:sz w:val="12"/>
                <w:szCs w:val="12"/>
                <w:color w:val="auto"/>
              </w:rPr>
            </w:pPr>
          </w:p>
        </w:tc>
        <w:tc>
          <w:tcPr>
            <w:tcW w:w="18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878,273</w:t>
            </w: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848,731</w:t>
            </w:r>
          </w:p>
        </w:tc>
        <w:tc>
          <w:tcPr>
            <w:tcW w:w="80" w:type="dxa"/>
            <w:vAlign w:val="bottom"/>
            <w:tcBorders>
              <w:bottom w:val="single" w:sz="8" w:color="CFF0FC"/>
            </w:tcBorders>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Accumulated amortization:</w:t>
            </w:r>
          </w:p>
        </w:tc>
        <w:tc>
          <w:tcPr>
            <w:tcW w:w="94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1060" w:type="dxa"/>
            <w:vAlign w:val="bottom"/>
            <w:gridSpan w:val="2"/>
          </w:tcPr>
          <w:p>
            <w:pPr>
              <w:jc w:val="right"/>
              <w:ind w:right="112"/>
              <w:spacing w:after="0"/>
              <w:rPr>
                <w:sz w:val="20"/>
                <w:szCs w:val="20"/>
                <w:color w:val="auto"/>
              </w:rPr>
            </w:pPr>
            <w:r>
              <w:rPr>
                <w:rFonts w:ascii="Times New Roman" w:cs="Times New Roman" w:eastAsia="Times New Roman" w:hAnsi="Times New Roman"/>
                <w:sz w:val="12"/>
                <w:szCs w:val="12"/>
                <w:color w:val="auto"/>
              </w:rPr>
              <w:t>(253,465)</w:t>
            </w:r>
          </w:p>
        </w:tc>
        <w:tc>
          <w:tcPr>
            <w:tcW w:w="2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(231,665)</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Trademarks/trade names</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12"/>
              <w:spacing w:after="0"/>
              <w:rPr>
                <w:sz w:val="20"/>
                <w:szCs w:val="20"/>
                <w:color w:val="auto"/>
              </w:rPr>
            </w:pPr>
            <w:r>
              <w:rPr>
                <w:rFonts w:ascii="Times New Roman" w:cs="Times New Roman" w:eastAsia="Times New Roman" w:hAnsi="Times New Roman"/>
                <w:sz w:val="12"/>
                <w:szCs w:val="12"/>
                <w:color w:val="auto"/>
              </w:rPr>
              <w:t>(143,207)</w:t>
            </w: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(133,305)</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Technology/software</w:t>
            </w:r>
          </w:p>
        </w:tc>
        <w:tc>
          <w:tcPr>
            <w:tcW w:w="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12"/>
              <w:spacing w:after="0"/>
              <w:rPr>
                <w:sz w:val="20"/>
                <w:szCs w:val="20"/>
                <w:color w:val="auto"/>
              </w:rPr>
            </w:pPr>
            <w:r>
              <w:rPr>
                <w:rFonts w:ascii="Times New Roman" w:cs="Times New Roman" w:eastAsia="Times New Roman" w:hAnsi="Times New Roman"/>
                <w:sz w:val="12"/>
                <w:szCs w:val="12"/>
                <w:color w:val="auto"/>
              </w:rPr>
              <w:t>(231,496)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(209,878)</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Proprietary data</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12"/>
              <w:spacing w:after="0"/>
              <w:rPr>
                <w:sz w:val="20"/>
                <w:szCs w:val="20"/>
                <w:color w:val="auto"/>
              </w:rPr>
            </w:pPr>
            <w:r>
              <w:rPr>
                <w:rFonts w:ascii="Times New Roman" w:cs="Times New Roman" w:eastAsia="Times New Roman" w:hAnsi="Times New Roman"/>
                <w:sz w:val="12"/>
                <w:szCs w:val="12"/>
                <w:color w:val="auto"/>
              </w:rPr>
              <w:t>(15,730)</w:t>
            </w: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(13,963)</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Subtotal</w:t>
            </w:r>
          </w:p>
        </w:tc>
        <w:tc>
          <w:tcPr>
            <w:tcW w:w="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(643,898)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(588,811)</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Foreign exchange translation adjustment</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1,567</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72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2"/>
                <w:szCs w:val="12"/>
                <w:color w:val="auto"/>
              </w:rPr>
              <w:t>Total accumulated amortization</w:t>
            </w:r>
          </w:p>
        </w:tc>
        <w:tc>
          <w:tcPr>
            <w:tcW w:w="940" w:type="dxa"/>
            <w:vAlign w:val="bottom"/>
            <w:tcBorders>
              <w:bottom w:val="single" w:sz="8" w:color="CFF0FC"/>
            </w:tcBorders>
          </w:tcPr>
          <w:p>
            <w:pPr>
              <w:spacing w:after="0"/>
              <w:rPr>
                <w:sz w:val="12"/>
                <w:szCs w:val="12"/>
                <w:color w:val="auto"/>
              </w:rPr>
            </w:pPr>
          </w:p>
        </w:tc>
        <w:tc>
          <w:tcPr>
            <w:tcW w:w="18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(643,525)</w:t>
            </w: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(587,244)</w:t>
            </w:r>
          </w:p>
        </w:tc>
        <w:tc>
          <w:tcPr>
            <w:tcW w:w="80" w:type="dxa"/>
            <w:vAlign w:val="bottom"/>
            <w:tcBorders>
              <w:bottom w:val="single" w:sz="8" w:color="CFF0FC"/>
            </w:tcBorders>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intangible assets:</w:t>
            </w:r>
          </w:p>
        </w:tc>
        <w:tc>
          <w:tcPr>
            <w:tcW w:w="94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103,235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125,035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Trademarks/trade names</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64,093</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73,995</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Technology/software</w:t>
            </w:r>
          </w:p>
        </w:tc>
        <w:tc>
          <w:tcPr>
            <w:tcW w:w="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59,412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53,841</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Proprietary data</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12,897</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14,664</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Subtotal</w:t>
            </w:r>
          </w:p>
        </w:tc>
        <w:tc>
          <w:tcPr>
            <w:tcW w:w="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239,637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267,535</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Foreign exchange translation adjustment</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12"/>
              <w:spacing w:after="0"/>
              <w:rPr>
                <w:sz w:val="20"/>
                <w:szCs w:val="20"/>
                <w:color w:val="auto"/>
              </w:rPr>
            </w:pPr>
            <w:r>
              <w:rPr>
                <w:rFonts w:ascii="Times New Roman" w:cs="Times New Roman" w:eastAsia="Times New Roman" w:hAnsi="Times New Roman"/>
                <w:sz w:val="12"/>
                <w:szCs w:val="12"/>
                <w:color w:val="auto"/>
              </w:rPr>
              <w:t>(4,889)</w:t>
            </w: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(6,048)</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Total net intangible assets</w:t>
            </w:r>
          </w:p>
        </w:tc>
        <w:tc>
          <w:tcPr>
            <w:tcW w:w="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234,748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261,487</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484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Estimated amortization expense for succeeding years is presented below:</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37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0"/>
                <w:szCs w:val="10"/>
                <w:b w:val="1"/>
                <w:bCs w:val="1"/>
                <w:color w:val="auto"/>
              </w:rPr>
              <w:t>Years Ending December 31,</w:t>
            </w:r>
          </w:p>
        </w:tc>
        <w:tc>
          <w:tcPr>
            <w:tcW w:w="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372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5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2"/>
          </w:tcPr>
          <w:p>
            <w:pPr>
              <w:jc w:val="center"/>
              <w:ind w:right="72"/>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13"/>
                <w:szCs w:val="13"/>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2021</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59,605</w:t>
            </w: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13"/>
                <w:szCs w:val="13"/>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52,283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13"/>
                <w:szCs w:val="13"/>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2023</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41,618</w:t>
            </w: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13"/>
                <w:szCs w:val="13"/>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34,770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13"/>
                <w:szCs w:val="13"/>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2025</w:t>
            </w:r>
          </w:p>
        </w:tc>
        <w:tc>
          <w:tcPr>
            <w:tcW w:w="9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20,697</w:t>
            </w:r>
          </w:p>
        </w:tc>
        <w:tc>
          <w:tcPr>
            <w:tcW w:w="20" w:type="dxa"/>
            <w:vAlign w:val="bottom"/>
            <w:shd w:val="clear" w:color="auto" w:fill="CFF0FC"/>
          </w:tcPr>
          <w:p>
            <w:pPr>
              <w:spacing w:after="0"/>
              <w:rPr>
                <w:sz w:val="13"/>
                <w:szCs w:val="13"/>
                <w:color w:val="auto"/>
              </w:rPr>
            </w:pPr>
          </w:p>
        </w:tc>
        <w:tc>
          <w:tcPr>
            <w:tcW w:w="220" w:type="dxa"/>
            <w:vAlign w:val="bottom"/>
            <w:tcBorders>
              <w:left w:val="single" w:sz="8" w:color="CFF0FC"/>
            </w:tcBorders>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94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25,775</w:t>
            </w:r>
          </w:p>
        </w:tc>
        <w:tc>
          <w:tcPr>
            <w:tcW w:w="20" w:type="dxa"/>
            <w:vAlign w:val="bottom"/>
            <w:tcBorders>
              <w:bottom w:val="single" w:sz="8" w:color="CFF0FC"/>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w:t>
            </w:r>
          </w:p>
        </w:tc>
        <w:tc>
          <w:tcPr>
            <w:tcW w:w="940" w:type="dxa"/>
            <w:vAlign w:val="bottom"/>
            <w:tcBorders>
              <w:bottom w:val="single" w:sz="8" w:color="CFF0FC"/>
            </w:tcBorders>
            <w:shd w:val="clear" w:color="auto" w:fill="CFF0FC"/>
          </w:tcPr>
          <w:p>
            <w:pPr>
              <w:spacing w:after="0"/>
              <w:rPr>
                <w:sz w:val="14"/>
                <w:szCs w:val="14"/>
                <w:color w:val="auto"/>
              </w:rPr>
            </w:pPr>
          </w:p>
        </w:tc>
        <w:tc>
          <w:tcPr>
            <w:tcW w:w="1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234,748</w:t>
            </w:r>
          </w:p>
        </w:tc>
        <w:tc>
          <w:tcPr>
            <w:tcW w:w="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left w:val="single" w:sz="8" w:color="CFF0FC"/>
            </w:tcBorders>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0"/>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79</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5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b w:val="1"/>
          <w:bCs w:val="1"/>
          <w:color w:val="auto"/>
        </w:rPr>
        <w:t>9. EMPLOYEE BENEFITS</w:t>
      </w:r>
    </w:p>
    <w:p>
      <w:pPr>
        <w:spacing w:after="0" w:line="82" w:lineRule="exact"/>
        <w:rPr>
          <w:sz w:val="20"/>
          <w:szCs w:val="20"/>
          <w:color w:val="auto"/>
        </w:rPr>
      </w:pPr>
    </w:p>
    <w:p>
      <w:pPr>
        <w:ind w:right="40" w:firstLine="592"/>
        <w:spacing w:after="0" w:line="265" w:lineRule="auto"/>
        <w:rPr>
          <w:sz w:val="20"/>
          <w:szCs w:val="20"/>
          <w:color w:val="auto"/>
        </w:rPr>
      </w:pPr>
      <w:r>
        <w:rPr>
          <w:rFonts w:ascii="Times New Roman" w:cs="Times New Roman" w:eastAsia="Times New Roman" w:hAnsi="Times New Roman"/>
          <w:sz w:val="12"/>
          <w:szCs w:val="12"/>
          <w:color w:val="auto"/>
        </w:rPr>
        <w:t>The Company sponsors a 401(k) plan for eligible U.S. employees and defined contribution and defined benefit pension plans that cover substantially all of its non-U.S. employees. Eligible employees may participate in the MSCI 401(k) plan (or any other regional defined contribution plan sponsored by MSCI) immediately upon hire. Eligible employees receive 401(k) and other defined contribution plan matching contributions, which are subject to vesting and certain other limitations. Additionally, some non-US employees are eligible to participate in and receive contributions to defined benefit plans.</w:t>
      </w:r>
    </w:p>
    <w:p>
      <w:pPr>
        <w:spacing w:after="0" w:line="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reflects the employee benefits expense by cost, type and location in the Statement of Income for the periods indicated:</w:t>
      </w:r>
    </w:p>
    <w:p>
      <w:pPr>
        <w:spacing w:after="0" w:line="10"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9"/>
                <w:szCs w:val="9"/>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60" w:type="dxa"/>
            <w:vAlign w:val="bottom"/>
          </w:tcPr>
          <w:p>
            <w:pPr>
              <w:spacing w:after="0"/>
              <w:rPr>
                <w:sz w:val="9"/>
                <w:szCs w:val="9"/>
                <w:color w:val="auto"/>
              </w:rPr>
            </w:pPr>
          </w:p>
        </w:tc>
        <w:tc>
          <w:tcPr>
            <w:tcW w:w="940" w:type="dxa"/>
            <w:vAlign w:val="bottom"/>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9"/>
                <w:szCs w:val="9"/>
                <w:color w:val="auto"/>
              </w:rPr>
            </w:pPr>
          </w:p>
        </w:tc>
      </w:tr>
      <w:tr>
        <w:trPr>
          <w:trHeight w:val="127"/>
        </w:trPr>
        <w:tc>
          <w:tcPr>
            <w:tcW w:w="5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80" w:type="dxa"/>
            <w:vAlign w:val="bottom"/>
          </w:tcPr>
          <w:p>
            <w:pPr>
              <w:spacing w:after="0"/>
              <w:rPr>
                <w:sz w:val="11"/>
                <w:szCs w:val="11"/>
                <w:color w:val="auto"/>
              </w:rPr>
            </w:pPr>
          </w:p>
        </w:tc>
        <w:tc>
          <w:tcPr>
            <w:tcW w:w="920" w:type="dxa"/>
            <w:vAlign w:val="bottom"/>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23"/>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2018</w:t>
            </w:r>
          </w:p>
        </w:tc>
        <w:tc>
          <w:tcPr>
            <w:tcW w:w="100" w:type="dxa"/>
            <w:vAlign w:val="bottom"/>
          </w:tcPr>
          <w:p>
            <w:pPr>
              <w:spacing w:after="0"/>
              <w:rPr>
                <w:sz w:val="11"/>
                <w:szCs w:val="11"/>
                <w:color w:val="auto"/>
              </w:rPr>
            </w:pPr>
          </w:p>
        </w:tc>
      </w:tr>
      <w:tr>
        <w:trPr>
          <w:trHeight w:val="142"/>
        </w:trPr>
        <w:tc>
          <w:tcPr>
            <w:tcW w:w="4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Employee benefit cost type</w:t>
            </w: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401(k) and other defined contribution plans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19,909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19,228</w:t>
            </w:r>
          </w:p>
        </w:tc>
        <w:tc>
          <w:tcPr>
            <w:tcW w:w="100" w:type="dxa"/>
            <w:vAlign w:val="bottom"/>
          </w:tcPr>
          <w:p>
            <w:pPr>
              <w:spacing w:after="0"/>
              <w:rPr>
                <w:sz w:val="13"/>
                <w:szCs w:val="13"/>
                <w:color w:val="auto"/>
              </w:rPr>
            </w:pPr>
          </w:p>
        </w:tc>
      </w:tr>
      <w:tr>
        <w:trPr>
          <w:trHeight w:val="153"/>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Pension related net period benefit expense</w:t>
            </w:r>
          </w:p>
        </w:tc>
        <w:tc>
          <w:tcPr>
            <w:tcW w:w="1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4,671</w:t>
            </w:r>
          </w:p>
        </w:tc>
        <w:tc>
          <w:tcPr>
            <w:tcW w:w="2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4,135</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3,570</w:t>
            </w:r>
          </w:p>
        </w:tc>
        <w:tc>
          <w:tcPr>
            <w:tcW w:w="100" w:type="dxa"/>
            <w:vAlign w:val="bottom"/>
            <w:shd w:val="clear" w:color="auto" w:fill="CFF0FC"/>
          </w:tcPr>
          <w:p>
            <w:pPr>
              <w:spacing w:after="0"/>
              <w:rPr>
                <w:sz w:val="13"/>
                <w:szCs w:val="13"/>
                <w:color w:val="auto"/>
              </w:rPr>
            </w:pPr>
          </w:p>
        </w:tc>
      </w:tr>
      <w:tr>
        <w:trPr>
          <w:trHeight w:val="149"/>
        </w:trPr>
        <w:tc>
          <w:tcPr>
            <w:tcW w:w="51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26,475</w:t>
            </w:r>
          </w:p>
        </w:tc>
        <w:tc>
          <w:tcPr>
            <w:tcW w:w="2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24,044</w:t>
            </w:r>
          </w:p>
        </w:tc>
        <w:tc>
          <w:tcPr>
            <w:tcW w:w="2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22,798</w:t>
            </w:r>
          </w:p>
        </w:tc>
        <w:tc>
          <w:tcPr>
            <w:tcW w:w="100" w:type="dxa"/>
            <w:vAlign w:val="bottom"/>
            <w:tcBorders>
              <w:bottom w:val="single" w:sz="8" w:color="CFF0FC"/>
            </w:tcBorders>
          </w:tcPr>
          <w:p>
            <w:pPr>
              <w:spacing w:after="0"/>
              <w:rPr>
                <w:sz w:val="12"/>
                <w:szCs w:val="12"/>
                <w:color w:val="auto"/>
              </w:rPr>
            </w:pPr>
          </w:p>
        </w:tc>
      </w:tr>
      <w:tr>
        <w:trPr>
          <w:trHeight w:val="108"/>
        </w:trPr>
        <w:tc>
          <w:tcPr>
            <w:tcW w:w="49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53"/>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Location in the Statement of Income</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9,913</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9,387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10,162</w:t>
            </w:r>
          </w:p>
        </w:tc>
        <w:tc>
          <w:tcPr>
            <w:tcW w:w="100" w:type="dxa"/>
            <w:vAlign w:val="bottom"/>
            <w:shd w:val="clear" w:color="auto" w:fill="CFF0FC"/>
          </w:tcPr>
          <w:p>
            <w:pPr>
              <w:spacing w:after="0"/>
              <w:rPr>
                <w:sz w:val="13"/>
                <w:szCs w:val="13"/>
                <w:color w:val="auto"/>
              </w:rPr>
            </w:pPr>
          </w:p>
        </w:tc>
      </w:tr>
      <w:tr>
        <w:trPr>
          <w:trHeight w:val="153"/>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7,910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6,946</w:t>
            </w:r>
          </w:p>
        </w:tc>
        <w:tc>
          <w:tcPr>
            <w:tcW w:w="100" w:type="dxa"/>
            <w:vAlign w:val="bottom"/>
          </w:tcPr>
          <w:p>
            <w:pPr>
              <w:spacing w:after="0"/>
              <w:rPr>
                <w:sz w:val="13"/>
                <w:szCs w:val="13"/>
                <w:color w:val="auto"/>
              </w:rPr>
            </w:pPr>
          </w:p>
        </w:tc>
      </w:tr>
      <w:tr>
        <w:trPr>
          <w:trHeight w:val="153"/>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5,328</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4,705</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3,840</w:t>
            </w:r>
          </w:p>
        </w:tc>
        <w:tc>
          <w:tcPr>
            <w:tcW w:w="100" w:type="dxa"/>
            <w:vAlign w:val="bottom"/>
            <w:shd w:val="clear" w:color="auto" w:fill="CFF0FC"/>
          </w:tcPr>
          <w:p>
            <w:pPr>
              <w:spacing w:after="0"/>
              <w:rPr>
                <w:sz w:val="13"/>
                <w:szCs w:val="13"/>
                <w:color w:val="auto"/>
              </w:rPr>
            </w:pPr>
          </w:p>
        </w:tc>
      </w:tr>
      <w:tr>
        <w:trPr>
          <w:trHeight w:val="153"/>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100" w:type="dxa"/>
            <w:vAlign w:val="bottom"/>
          </w:tcPr>
          <w:p>
            <w:pPr>
              <w:spacing w:after="0"/>
              <w:rPr>
                <w:sz w:val="13"/>
                <w:szCs w:val="13"/>
                <w:color w:val="auto"/>
              </w:rPr>
            </w:pPr>
          </w:p>
        </w:tc>
      </w:tr>
      <w:tr>
        <w:trPr>
          <w:trHeight w:val="153"/>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expense (income)</w:t>
            </w:r>
          </w:p>
        </w:tc>
        <w:tc>
          <w:tcPr>
            <w:tcW w:w="1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1,035</w:t>
            </w:r>
          </w:p>
        </w:tc>
        <w:tc>
          <w:tcPr>
            <w:tcW w:w="2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740</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shd w:val="clear" w:color="auto" w:fill="CFF0FC"/>
          </w:tcPr>
          <w:p>
            <w:pPr>
              <w:spacing w:after="0"/>
              <w:rPr>
                <w:sz w:val="13"/>
                <w:szCs w:val="13"/>
                <w:color w:val="auto"/>
              </w:rPr>
            </w:pPr>
          </w:p>
        </w:tc>
      </w:tr>
      <w:tr>
        <w:trPr>
          <w:trHeight w:val="149"/>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26,475</w:t>
            </w:r>
          </w:p>
        </w:tc>
        <w:tc>
          <w:tcPr>
            <w:tcW w:w="28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24,044</w:t>
            </w:r>
          </w:p>
        </w:tc>
        <w:tc>
          <w:tcPr>
            <w:tcW w:w="26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22,798</w:t>
            </w:r>
          </w:p>
        </w:tc>
        <w:tc>
          <w:tcPr>
            <w:tcW w:w="100" w:type="dxa"/>
            <w:vAlign w:val="bottom"/>
          </w:tcPr>
          <w:p>
            <w:pPr>
              <w:spacing w:after="0"/>
              <w:rPr>
                <w:sz w:val="12"/>
                <w:szCs w:val="12"/>
                <w:color w:val="auto"/>
              </w:rPr>
            </w:pPr>
          </w:p>
        </w:tc>
      </w:tr>
    </w:tbl>
    <w:p>
      <w:pPr>
        <w:spacing w:after="0" w:line="205" w:lineRule="exact"/>
        <w:rPr>
          <w:sz w:val="20"/>
          <w:szCs w:val="20"/>
          <w:color w:val="auto"/>
        </w:rPr>
      </w:pPr>
    </w:p>
    <w:p>
      <w:pPr>
        <w:ind w:right="60" w:firstLine="592"/>
        <w:spacing w:after="0" w:line="265" w:lineRule="auto"/>
        <w:rPr>
          <w:sz w:val="20"/>
          <w:szCs w:val="20"/>
          <w:color w:val="auto"/>
        </w:rPr>
      </w:pPr>
      <w:r>
        <w:rPr>
          <w:rFonts w:ascii="Times New Roman" w:cs="Times New Roman" w:eastAsia="Times New Roman" w:hAnsi="Times New Roman"/>
          <w:sz w:val="12"/>
          <w:szCs w:val="12"/>
          <w:color w:val="auto"/>
        </w:rPr>
        <w:t>The Company uses a measurement date of December 31 to calculate obligations under its pension and postretirement plans. As of December 31, 2020 and 2019, the Company carried a net liability of $36.1 million and $30.4 million, respectively, in “Other non-current liabilities” on the Consolidated Statement of Financial Condition related to its future pension obligations. The fair value of the defined benefit plan assets were $28.5 million and $25.0 million at December 31, 2020 and 2019, respectively.</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Company’s retiree benefit plans include defined benefit plans for employees in Switzerland, as well as other countries where MSCI maintains an operating presence.</w:t>
      </w:r>
    </w:p>
    <w:p>
      <w:pPr>
        <w:spacing w:after="0" w:line="150" w:lineRule="exact"/>
        <w:rPr>
          <w:sz w:val="20"/>
          <w:szCs w:val="20"/>
          <w:color w:val="auto"/>
        </w:rPr>
      </w:pPr>
    </w:p>
    <w:p>
      <w:pPr>
        <w:ind w:firstLine="592"/>
        <w:spacing w:after="0" w:line="257" w:lineRule="auto"/>
        <w:rPr>
          <w:sz w:val="20"/>
          <w:szCs w:val="20"/>
          <w:color w:val="auto"/>
        </w:rPr>
      </w:pPr>
      <w:r>
        <w:rPr>
          <w:rFonts w:ascii="Times New Roman" w:cs="Times New Roman" w:eastAsia="Times New Roman" w:hAnsi="Times New Roman"/>
          <w:sz w:val="12"/>
          <w:szCs w:val="12"/>
          <w:color w:val="auto"/>
        </w:rPr>
        <w:t>Our Switzerland plans are government-mandated retirement funds that provide employees with a minimum investment return, which is determined annually by the Swiss government and was 1.00% in the years ended December 31, 2020, 2019 and 2018. Under the Switzerland plans, the Company and our employees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December 31, 2020 and 2019, the Switzerland plans had a gross pension liability of $34.8 million and $32.6 million, respectively, and plan assets that totaled $24.6 million and $21.9 million, respectively. In the years ended December 31, 2020, 2019 and 2018, we recognized net periodic benefit expense of $0.5 million, $1.0 million and $1.3 million, respectively, related to our Switzerland plans. The discount rate for the Switzerland defined benefit pension plan was 0.10% as of December 31, 2020 and 0.30% as of December 31, 2019.</w:t>
      </w:r>
    </w:p>
    <w:p>
      <w:pPr>
        <w:spacing w:after="0" w:line="125" w:lineRule="exact"/>
        <w:rPr>
          <w:sz w:val="20"/>
          <w:szCs w:val="20"/>
          <w:color w:val="auto"/>
        </w:rPr>
      </w:pPr>
    </w:p>
    <w:p>
      <w:pPr>
        <w:ind w:right="100" w:firstLine="592"/>
        <w:spacing w:after="0" w:line="265" w:lineRule="auto"/>
        <w:rPr>
          <w:sz w:val="20"/>
          <w:szCs w:val="20"/>
          <w:color w:val="auto"/>
        </w:rPr>
      </w:pPr>
      <w:r>
        <w:rPr>
          <w:rFonts w:ascii="Times New Roman" w:cs="Times New Roman" w:eastAsia="Times New Roman" w:hAnsi="Times New Roman"/>
          <w:sz w:val="12"/>
          <w:szCs w:val="12"/>
          <w:color w:val="auto"/>
        </w:rPr>
        <w:t>The investment strategies of the non-U.S. defined benefit plans vary according to the plan provisions and local laws. The majority of the assets in the non-U.S. plans are in the Switzerland plans. The Switzerland plans are associated with an insured collective retirement foundation, whereby assets are held in trust and the assets are comingled with those of other participating companies. Investment decisions are made by a board of the collective retirement foundation, comprised of participating company representatives and representatives from the insurer. The overall strategy is to manage risk while maximizing total returns.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51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b w:val="1"/>
          <w:bCs w:val="1"/>
          <w:color w:val="auto"/>
        </w:rPr>
        <w:t>10. SHAREHOLDERS’ EQUITY (DEFICIT)</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This note reflects the share repurchases and related activity as well as share-based compensation activity recognized by the Company, for all periods referenced.</w:t>
      </w:r>
    </w:p>
    <w:p>
      <w:pPr>
        <w:spacing w:after="0" w:line="2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Return of capital</w:t>
      </w:r>
    </w:p>
    <w:p>
      <w:pPr>
        <w:spacing w:after="0" w:line="154" w:lineRule="exact"/>
        <w:rPr>
          <w:sz w:val="20"/>
          <w:szCs w:val="20"/>
          <w:color w:val="auto"/>
        </w:rPr>
      </w:pPr>
    </w:p>
    <w:p>
      <w:pPr>
        <w:ind w:right="240" w:firstLine="592"/>
        <w:spacing w:after="0" w:line="279" w:lineRule="auto"/>
        <w:rPr>
          <w:sz w:val="20"/>
          <w:szCs w:val="20"/>
          <w:color w:val="auto"/>
        </w:rPr>
      </w:pPr>
      <w:r>
        <w:rPr>
          <w:rFonts w:ascii="Times New Roman" w:cs="Times New Roman" w:eastAsia="Times New Roman" w:hAnsi="Times New Roman"/>
          <w:sz w:val="12"/>
          <w:szCs w:val="12"/>
          <w:color w:val="auto"/>
        </w:rPr>
        <w:t>On October 29, 2020, the Board of Directors authorized a stock repurchase program for the purchase of up to $1,000.0 million worth of shares of MSCI’s common stock in addition to the $804.5 million of authorization then remaining under a previously existing share repurchase program (the “2020 Repurchase Program”) for a total of $1,804.5 million of stock repurchase authorization.</w:t>
      </w:r>
    </w:p>
    <w:p>
      <w:pPr>
        <w:spacing w:after="0" w:line="111" w:lineRule="exact"/>
        <w:rPr>
          <w:sz w:val="20"/>
          <w:szCs w:val="20"/>
          <w:color w:val="auto"/>
        </w:rPr>
      </w:pPr>
    </w:p>
    <w:p>
      <w:pPr>
        <w:ind w:right="120" w:firstLine="592"/>
        <w:spacing w:after="0" w:line="279" w:lineRule="auto"/>
        <w:rPr>
          <w:sz w:val="20"/>
          <w:szCs w:val="20"/>
          <w:color w:val="auto"/>
        </w:rPr>
      </w:pPr>
      <w:r>
        <w:rPr>
          <w:rFonts w:ascii="Times New Roman" w:cs="Times New Roman" w:eastAsia="Times New Roman" w:hAnsi="Times New Roman"/>
          <w:sz w:val="12"/>
          <w:szCs w:val="12"/>
          <w:color w:val="auto"/>
        </w:rPr>
        <w:t>Share repurchases made pursuant to the 2020 Repurchase Program may take place in the open market or in privately negotiated transactions from time to time based on market and other conditions. This authorization may be modified, suspended or terminated by the Board of Directors at any time without prior notice. As of December 31, 2020, there was $1,728.8 million of available authorization remaining under the 2020 Repurchase Program.</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provides information with respect to repurchases of the Company’s common stock pursuant to open market repurchases: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ind w:left="343"/>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left="290"/>
              <w:spacing w:after="0" w:line="99" w:lineRule="exact"/>
              <w:rPr>
                <w:sz w:val="20"/>
                <w:szCs w:val="20"/>
                <w:color w:val="auto"/>
              </w:rPr>
            </w:pPr>
            <w:r>
              <w:rPr>
                <w:rFonts w:ascii="Times New Roman" w:cs="Times New Roman" w:eastAsia="Times New Roman" w:hAnsi="Times New Roman"/>
                <w:sz w:val="10"/>
                <w:szCs w:val="10"/>
                <w:b w:val="1"/>
                <w:bCs w:val="1"/>
                <w:color w:val="auto"/>
                <w:w w:val="98"/>
              </w:rPr>
              <w:t>Price</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tcPr>
          <w:p>
            <w:pPr>
              <w:jc w:val="center"/>
              <w:ind w:left="252"/>
              <w:spacing w:after="0" w:line="99"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4"/>
              </w:rPr>
              <w:t>Value of</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left="290"/>
              <w:spacing w:after="0" w:line="99" w:lineRule="exact"/>
              <w:rPr>
                <w:sz w:val="20"/>
                <w:szCs w:val="20"/>
                <w:color w:val="auto"/>
              </w:rPr>
            </w:pPr>
            <w:r>
              <w:rPr>
                <w:rFonts w:ascii="Times New Roman" w:cs="Times New Roman" w:eastAsia="Times New Roman" w:hAnsi="Times New Roman"/>
                <w:sz w:val="10"/>
                <w:szCs w:val="10"/>
                <w:b w:val="1"/>
                <w:bCs w:val="1"/>
                <w:color w:val="auto"/>
                <w:w w:val="91"/>
              </w:rPr>
              <w:t>Paid Per</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tcPr>
          <w:p>
            <w:pPr>
              <w:jc w:val="center"/>
              <w:ind w:left="252"/>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89"/>
              </w:rPr>
              <w:t>Shares</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2"/>
              </w:rPr>
              <w:t>Repurchased</w:t>
            </w: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Repurchased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360" w:type="dxa"/>
            <w:vAlign w:val="bottom"/>
            <w:tcBorders>
              <w:top w:val="single" w:sz="8" w:color="auto"/>
            </w:tcBorders>
            <w:gridSpan w:val="8"/>
          </w:tcPr>
          <w:p>
            <w:pPr>
              <w:jc w:val="center"/>
              <w:ind w:right="42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 except per share data)</w:t>
            </w: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December 31, 2020</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291.76</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2,493</w:t>
            </w: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7"/>
              </w:rPr>
              <w:t>727,344</w:t>
            </w:r>
          </w:p>
        </w:tc>
        <w:tc>
          <w:tcPr>
            <w:tcW w:w="80" w:type="dxa"/>
            <w:vAlign w:val="bottom"/>
            <w:shd w:val="clear" w:color="auto" w:fill="CFF0FC"/>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20" w:type="dxa"/>
            <w:vAlign w:val="bottom"/>
            <w:tcBorders>
              <w:top w:val="single" w:sz="8" w:color="CFF0FC"/>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December 31, 2019</w:t>
            </w:r>
          </w:p>
        </w:tc>
        <w:tc>
          <w:tcPr>
            <w:tcW w:w="20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rPr>
              <w:t>147.97</w:t>
            </w:r>
          </w:p>
        </w:tc>
        <w:tc>
          <w:tcPr>
            <w:tcW w:w="220" w:type="dxa"/>
            <w:vAlign w:val="bottom"/>
            <w:tcBorders>
              <w:top w:val="single" w:sz="8" w:color="CFF0FC"/>
              <w:bottom w:val="single" w:sz="8" w:color="CFF0FC"/>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200" w:type="dxa"/>
            <w:vAlign w:val="bottom"/>
            <w:tcBorders>
              <w:top w:val="single" w:sz="8" w:color="CFF0FC"/>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7"/>
              </w:rPr>
              <w:t>102,081</w:t>
            </w:r>
          </w:p>
        </w:tc>
        <w:tc>
          <w:tcPr>
            <w:tcW w:w="80" w:type="dxa"/>
            <w:vAlign w:val="bottom"/>
            <w:tcBorders>
              <w:top w:val="single" w:sz="8" w:color="CFF0FC"/>
              <w:bottom w:val="single" w:sz="8" w:color="CFF0FC"/>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December 31, 2018</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148.34</w:t>
            </w:r>
          </w:p>
        </w:tc>
        <w:tc>
          <w:tcPr>
            <w:tcW w:w="2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6,236</w:t>
            </w:r>
          </w:p>
        </w:tc>
        <w:tc>
          <w:tcPr>
            <w:tcW w:w="2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7"/>
              </w:rPr>
              <w:t>924,989</w:t>
            </w: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56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following table presents cash dividends declared and distributed per common share for the periods indicated: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Dividends</w:t>
            </w: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Declared</w:t>
            </w:r>
          </w:p>
        </w:tc>
        <w:tc>
          <w:tcPr>
            <w:tcW w:w="11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Distributed</w:t>
            </w:r>
          </w:p>
        </w:tc>
        <w:tc>
          <w:tcPr>
            <w:tcW w:w="960" w:type="dxa"/>
            <w:vAlign w:val="bottom"/>
            <w:gridSpan w:val="3"/>
          </w:tcPr>
          <w:p>
            <w:pPr>
              <w:jc w:val="right"/>
              <w:ind w:right="200"/>
              <w:spacing w:after="0" w:line="81" w:lineRule="exact"/>
              <w:rPr>
                <w:sz w:val="20"/>
                <w:szCs w:val="20"/>
                <w:color w:val="auto"/>
              </w:rPr>
            </w:pPr>
            <w:r>
              <w:rPr>
                <w:rFonts w:ascii="Times New Roman" w:cs="Times New Roman" w:eastAsia="Times New Roman" w:hAnsi="Times New Roman"/>
                <w:sz w:val="8"/>
                <w:szCs w:val="8"/>
                <w:b w:val="1"/>
                <w:bCs w:val="1"/>
                <w:color w:val="auto"/>
              </w:rPr>
              <w:t>(Released)/</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2020</w:t>
            </w:r>
          </w:p>
        </w:tc>
        <w:tc>
          <w:tcPr>
            <w:tcW w:w="5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060" w:type="dxa"/>
            <w:vAlign w:val="bottom"/>
            <w:gridSpan w:val="4"/>
          </w:tcPr>
          <w:p>
            <w:pPr>
              <w:ind w:left="300"/>
              <w:spacing w:after="0"/>
              <w:rPr>
                <w:sz w:val="20"/>
                <w:szCs w:val="20"/>
                <w:color w:val="auto"/>
              </w:rPr>
            </w:pPr>
            <w:r>
              <w:rPr>
                <w:rFonts w:ascii="Times New Roman" w:cs="Times New Roman" w:eastAsia="Times New Roman" w:hAnsi="Times New Roman"/>
                <w:sz w:val="10"/>
                <w:szCs w:val="10"/>
                <w:b w:val="1"/>
                <w:bCs w:val="1"/>
                <w:color w:val="auto"/>
              </w:rPr>
              <w:t>Deferred</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(in thousands, except per share data)</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95"/>
              </w:rPr>
              <w:t>0.68</w:t>
            </w:r>
          </w:p>
        </w:tc>
        <w:tc>
          <w:tcPr>
            <w:tcW w:w="1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59,233</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59,455</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(222)</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 June 30,</w:t>
            </w:r>
          </w:p>
        </w:tc>
        <w:tc>
          <w:tcPr>
            <w:tcW w:w="200" w:type="dxa"/>
            <w:vAlign w:val="bottom"/>
          </w:tcPr>
          <w:p>
            <w:pPr>
              <w:spacing w:after="0"/>
              <w:rPr>
                <w:sz w:val="13"/>
                <w:szCs w:val="13"/>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w w:val="95"/>
              </w:rPr>
              <w:t>0.68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57,360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57,068</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September 30,</w:t>
            </w: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95"/>
              </w:rPr>
              <w:t>0.78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65,830</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65,454</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100" w:type="dxa"/>
            <w:vAlign w:val="bottom"/>
            <w:shd w:val="clear" w:color="auto" w:fill="CFF0FC"/>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Three Months Ended December 31,</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2"/>
                <w:szCs w:val="12"/>
                <w:color w:val="auto"/>
                <w:w w:val="95"/>
              </w:rPr>
              <w:t>0.78</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65,029</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64,653</w:t>
            </w:r>
          </w:p>
        </w:tc>
        <w:tc>
          <w:tcPr>
            <w:tcW w:w="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Year Ended December 31,</w:t>
            </w: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gridSpan w:val="2"/>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95"/>
              </w:rPr>
              <w:t>2.92</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center"/>
              <w:ind w:right="10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247,452</w:t>
            </w:r>
          </w:p>
        </w:tc>
        <w:tc>
          <w:tcPr>
            <w:tcW w:w="2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246,630</w:t>
            </w:r>
          </w:p>
        </w:tc>
        <w:tc>
          <w:tcPr>
            <w:tcW w:w="2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822</w:t>
            </w: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2019</w:t>
            </w: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95"/>
              </w:rPr>
              <w:t>0.58</w:t>
            </w:r>
          </w:p>
        </w:tc>
        <w:tc>
          <w:tcPr>
            <w:tcW w:w="1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55,339</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57,988</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(2,649)</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 June 30,</w:t>
            </w:r>
          </w:p>
        </w:tc>
        <w:tc>
          <w:tcPr>
            <w:tcW w:w="200" w:type="dxa"/>
            <w:vAlign w:val="bottom"/>
          </w:tcPr>
          <w:p>
            <w:pPr>
              <w:spacing w:after="0"/>
              <w:rPr>
                <w:sz w:val="13"/>
                <w:szCs w:val="13"/>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w w:val="95"/>
              </w:rPr>
              <w:t>0.58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49,613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49,365</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September 30,</w:t>
            </w: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95"/>
              </w:rPr>
              <w:t>0.68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58,176</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57,882</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shd w:val="clear" w:color="auto" w:fill="CFF0FC"/>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Three Months Ended December 31,</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2"/>
                <w:szCs w:val="12"/>
                <w:color w:val="auto"/>
                <w:w w:val="95"/>
              </w:rPr>
              <w:t>0.68</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58,176</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57,916</w:t>
            </w:r>
          </w:p>
        </w:tc>
        <w:tc>
          <w:tcPr>
            <w:tcW w:w="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Year Ended December 31,</w:t>
            </w: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gridSpan w:val="2"/>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95"/>
              </w:rPr>
              <w:t>2.52</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center"/>
              <w:ind w:right="10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221,304</w:t>
            </w:r>
          </w:p>
        </w:tc>
        <w:tc>
          <w:tcPr>
            <w:tcW w:w="2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223,151</w:t>
            </w:r>
          </w:p>
        </w:tc>
        <w:tc>
          <w:tcPr>
            <w:tcW w:w="2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(1,847)</w:t>
            </w: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2018</w:t>
            </w: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95"/>
              </w:rPr>
              <w:t>0.38</w:t>
            </w:r>
          </w:p>
        </w:tc>
        <w:tc>
          <w:tcPr>
            <w:tcW w:w="1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34,848</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34,900</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(52)</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 June 30,</w:t>
            </w:r>
          </w:p>
        </w:tc>
        <w:tc>
          <w:tcPr>
            <w:tcW w:w="200" w:type="dxa"/>
            <w:vAlign w:val="bottom"/>
          </w:tcPr>
          <w:p>
            <w:pPr>
              <w:spacing w:after="0"/>
              <w:rPr>
                <w:sz w:val="13"/>
                <w:szCs w:val="13"/>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w w:val="95"/>
              </w:rPr>
              <w:t>0.38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34,254</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33,935</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Three Months Ended September 30,</w:t>
            </w: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95"/>
              </w:rPr>
              <w:t>0.58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52,264</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51,764</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00" w:type="dxa"/>
            <w:vAlign w:val="bottom"/>
            <w:shd w:val="clear" w:color="auto" w:fill="CFF0FC"/>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5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Three Months Ended December 31,</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2"/>
                <w:szCs w:val="12"/>
                <w:color w:val="auto"/>
                <w:w w:val="95"/>
              </w:rPr>
              <w:t>0.58</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50,907</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50,434</w:t>
            </w:r>
          </w:p>
        </w:tc>
        <w:tc>
          <w:tcPr>
            <w:tcW w:w="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Year Ended December 31,</w:t>
            </w: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gridSpan w:val="2"/>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95"/>
              </w:rPr>
              <w:t>1.92</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center"/>
              <w:ind w:right="10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172,273</w:t>
            </w:r>
          </w:p>
        </w:tc>
        <w:tc>
          <w:tcPr>
            <w:tcW w:w="2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171,033</w:t>
            </w:r>
          </w:p>
        </w:tc>
        <w:tc>
          <w:tcPr>
            <w:tcW w:w="2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1,240</w:t>
            </w: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5580" w:type="dxa"/>
            <w:vAlign w:val="bottom"/>
            <w:gridSpan w:val="2"/>
          </w:tcPr>
          <w:p>
            <w:pPr>
              <w:ind w:left="5020"/>
              <w:spacing w:after="0"/>
              <w:rPr>
                <w:sz w:val="20"/>
                <w:szCs w:val="20"/>
                <w:color w:val="auto"/>
              </w:rPr>
            </w:pPr>
            <w:r>
              <w:rPr>
                <w:rFonts w:ascii="Times New Roman" w:cs="Times New Roman" w:eastAsia="Times New Roman" w:hAnsi="Times New Roman"/>
                <w:sz w:val="12"/>
                <w:szCs w:val="12"/>
                <w:color w:val="auto"/>
              </w:rPr>
              <w:t>81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0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377" w:right="299" w:bottom="1440" w:gutter="0" w:footer="0" w:header="0"/>
        </w:sectPr>
      </w:pPr>
    </w:p>
    <w:bookmarkStart w:id="83" w:name="page84"/>
    <w:bookmarkEnd w:id="83"/>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Common Stock</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activity related to shares of common stock issued and repurchased for the periods indicated: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Common Stock</w:t>
            </w:r>
          </w:p>
        </w:tc>
      </w:tr>
      <w:tr>
        <w:trPr>
          <w:trHeight w:val="125"/>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Stock Issued</w:t>
            </w: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Outstanding</w:t>
            </w:r>
          </w:p>
        </w:tc>
      </w:tr>
      <w:tr>
        <w:trPr>
          <w:trHeight w:val="142"/>
        </w:trPr>
        <w:tc>
          <w:tcPr>
            <w:tcW w:w="20" w:type="dxa"/>
            <w:vAlign w:val="bottom"/>
          </w:tcPr>
          <w:p>
            <w:pPr>
              <w:spacing w:after="0"/>
              <w:rPr>
                <w:sz w:val="12"/>
                <w:szCs w:val="12"/>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2017</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129,543,856</w:t>
            </w:r>
          </w:p>
        </w:tc>
        <w:tc>
          <w:tcPr>
            <w:tcW w:w="24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(39,438,971)</w:t>
            </w:r>
          </w:p>
        </w:tc>
        <w:tc>
          <w:tcPr>
            <w:tcW w:w="24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90,104,885</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Dividend payable/paid</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24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(579)</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0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Common stock issued and exercise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479,277</w:t>
            </w:r>
          </w:p>
        </w:tc>
        <w:tc>
          <w:tcPr>
            <w:tcW w:w="2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479,277</w:t>
            </w:r>
          </w:p>
        </w:tc>
        <w:tc>
          <w:tcPr>
            <w:tcW w:w="10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withheld for tax withholding and exercises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(174,991)</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(174,991)</w:t>
            </w:r>
          </w:p>
        </w:tc>
      </w:tr>
      <w:tr>
        <w:trPr>
          <w:trHeight w:val="153"/>
        </w:trPr>
        <w:tc>
          <w:tcPr>
            <w:tcW w:w="20" w:type="dxa"/>
            <w:vAlign w:val="bottom"/>
          </w:tcPr>
          <w:p>
            <w:pPr>
              <w:spacing w:after="0"/>
              <w:rPr>
                <w:sz w:val="13"/>
                <w:szCs w:val="13"/>
                <w:color w:val="auto"/>
              </w:rPr>
            </w:pPr>
          </w:p>
        </w:tc>
        <w:tc>
          <w:tcPr>
            <w:tcW w:w="5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Shares repurchased under stock repurchase programs</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(6,235,629)</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(6,235,629)</w:t>
            </w:r>
          </w:p>
        </w:tc>
      </w:tr>
      <w:tr>
        <w:trPr>
          <w:trHeight w:val="153"/>
        </w:trPr>
        <w:tc>
          <w:tcPr>
            <w:tcW w:w="20" w:type="dxa"/>
            <w:vAlign w:val="bottom"/>
          </w:tcPr>
          <w:p>
            <w:pPr>
              <w:spacing w:after="0"/>
              <w:rPr>
                <w:sz w:val="13"/>
                <w:szCs w:val="13"/>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issued to Directors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6,059</w:t>
            </w:r>
          </w:p>
        </w:tc>
        <w:tc>
          <w:tcPr>
            <w:tcW w:w="24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(5,618)</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w:t>
            </w:r>
          </w:p>
        </w:tc>
        <w:tc>
          <w:tcPr>
            <w:tcW w:w="1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2018</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130,029,926</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(45,855,788)</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84,174,138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Dividend payable/paid</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10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Common stock issued and exercise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2,387,145</w:t>
            </w:r>
          </w:p>
        </w:tc>
        <w:tc>
          <w:tcPr>
            <w:tcW w:w="2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2,387,145</w:t>
            </w:r>
          </w:p>
        </w:tc>
        <w:tc>
          <w:tcPr>
            <w:tcW w:w="10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withheld for tax withholding and exercises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(1,077,815)</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(1,077,815)</w:t>
            </w:r>
          </w:p>
        </w:tc>
      </w:tr>
      <w:tr>
        <w:trPr>
          <w:trHeight w:val="153"/>
        </w:trPr>
        <w:tc>
          <w:tcPr>
            <w:tcW w:w="20" w:type="dxa"/>
            <w:vAlign w:val="bottom"/>
          </w:tcPr>
          <w:p>
            <w:pPr>
              <w:spacing w:after="0"/>
              <w:rPr>
                <w:sz w:val="13"/>
                <w:szCs w:val="13"/>
                <w:color w:val="auto"/>
              </w:rPr>
            </w:pPr>
          </w:p>
        </w:tc>
        <w:tc>
          <w:tcPr>
            <w:tcW w:w="5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Shares repurchased under stock repurchase programs</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(689,891)</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(689,891)</w:t>
            </w:r>
          </w:p>
        </w:tc>
      </w:tr>
      <w:tr>
        <w:trPr>
          <w:trHeight w:val="153"/>
        </w:trPr>
        <w:tc>
          <w:tcPr>
            <w:tcW w:w="20" w:type="dxa"/>
            <w:vAlign w:val="bottom"/>
          </w:tcPr>
          <w:p>
            <w:pPr>
              <w:spacing w:after="0"/>
              <w:rPr>
                <w:sz w:val="13"/>
                <w:szCs w:val="13"/>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issued to Directors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1,277</w:t>
            </w:r>
          </w:p>
        </w:tc>
        <w:tc>
          <w:tcPr>
            <w:tcW w:w="24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(403)</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w:t>
            </w:r>
          </w:p>
        </w:tc>
        <w:tc>
          <w:tcPr>
            <w:tcW w:w="1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2019</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132,419,412</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(47,624,482)</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84,794,930</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Dividend payable/paid</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Common stock issued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406,960</w:t>
            </w:r>
          </w:p>
        </w:tc>
        <w:tc>
          <w:tcPr>
            <w:tcW w:w="2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406,960</w:t>
            </w:r>
          </w:p>
        </w:tc>
        <w:tc>
          <w:tcPr>
            <w:tcW w:w="10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withheld for tax withholding and exercises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(165,239)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(165,239)</w:t>
            </w:r>
          </w:p>
        </w:tc>
      </w:tr>
      <w:tr>
        <w:trPr>
          <w:trHeight w:val="153"/>
        </w:trPr>
        <w:tc>
          <w:tcPr>
            <w:tcW w:w="20" w:type="dxa"/>
            <w:vAlign w:val="bottom"/>
          </w:tcPr>
          <w:p>
            <w:pPr>
              <w:spacing w:after="0"/>
              <w:rPr>
                <w:sz w:val="13"/>
                <w:szCs w:val="13"/>
                <w:color w:val="auto"/>
              </w:rPr>
            </w:pPr>
          </w:p>
        </w:tc>
        <w:tc>
          <w:tcPr>
            <w:tcW w:w="5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Shares repurchased under stock repurchase programs</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(2,492,994)</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(2,492,994)</w:t>
            </w:r>
          </w:p>
        </w:tc>
      </w:tr>
      <w:tr>
        <w:trPr>
          <w:trHeight w:val="153"/>
        </w:trPr>
        <w:tc>
          <w:tcPr>
            <w:tcW w:w="20" w:type="dxa"/>
            <w:vAlign w:val="bottom"/>
          </w:tcPr>
          <w:p>
            <w:pPr>
              <w:spacing w:after="0"/>
              <w:rPr>
                <w:sz w:val="13"/>
                <w:szCs w:val="13"/>
                <w:color w:val="auto"/>
              </w:rPr>
            </w:pPr>
          </w:p>
        </w:tc>
        <w:tc>
          <w:tcPr>
            <w:tcW w:w="58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Shares issued to Directors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2,250</w:t>
            </w:r>
          </w:p>
        </w:tc>
        <w:tc>
          <w:tcPr>
            <w:tcW w:w="2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27,284</w:t>
            </w:r>
          </w:p>
        </w:tc>
        <w:tc>
          <w:tcPr>
            <w:tcW w:w="2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29,534</w:t>
            </w:r>
          </w:p>
        </w:tc>
        <w:tc>
          <w:tcPr>
            <w:tcW w:w="100" w:type="dxa"/>
            <w:vAlign w:val="bottom"/>
            <w:tcBorders>
              <w:bottom w:val="single" w:sz="8" w:color="CFF0FC"/>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132,829,175</w:t>
            </w:r>
          </w:p>
        </w:tc>
        <w:tc>
          <w:tcPr>
            <w:tcW w:w="2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(50,255,768)</w:t>
            </w:r>
          </w:p>
        </w:tc>
        <w:tc>
          <w:tcPr>
            <w:tcW w:w="2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82,573,407</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82" w:lineRule="exact"/>
        <w:rPr>
          <w:sz w:val="20"/>
          <w:szCs w:val="20"/>
          <w:color w:val="auto"/>
        </w:rPr>
      </w:pPr>
    </w:p>
    <w:p>
      <w:pPr>
        <w:ind w:right="600" w:firstLine="592"/>
        <w:spacing w:after="0" w:line="279" w:lineRule="auto"/>
        <w:rPr>
          <w:sz w:val="20"/>
          <w:szCs w:val="20"/>
          <w:color w:val="auto"/>
        </w:rPr>
      </w:pPr>
      <w:r>
        <w:rPr>
          <w:rFonts w:ascii="Times New Roman" w:cs="Times New Roman" w:eastAsia="Times New Roman" w:hAnsi="Times New Roman"/>
          <w:sz w:val="12"/>
          <w:szCs w:val="12"/>
          <w:color w:val="auto"/>
        </w:rPr>
        <w:t>The Company regularly issues share-based compensation to its employees and directors who are not employees of the Company. The accounting guidance for share-based compensation requires measurement of compensation cost for share-based awards at fair value and recognition of compensation cost over the service period, net of estimated forfeitures.</w:t>
      </w:r>
    </w:p>
    <w:p>
      <w:pPr>
        <w:spacing w:after="0" w:line="111"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In February 2021, the Company granted a portion of its employees awards in the form of RSUs and PSUs. The total number of units granted was 182,971. The aggregate fair value of the awards was $65.9 million. A portion of the awards granted consisted of RSUs vesting over a three-year period, with one-third vesting on each anniversary of the grant in 2022, 2023 and 2024. A smaller portion of the awards granted consisted of PSUs that will time-vest over a three-year period and a five-year period and are subject to the achievement of the applicable absolute total shareholder return compounded annual growth rate measured over a three-year and five-year performance period, respectively. The PSUs that will time-vest over a three-year period are subject to a one-year sale restriction. All of these awards are subject to forfeiture under specific criteria set in the award agreements.</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In connection with awards under its equity-based compensation and benefit plans, the Company is authorized to use newly-issued shares or certain shares of common stock held in treasury.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512" w:right="319" w:bottom="1440" w:gutter="0" w:footer="0" w:header="0"/>
        </w:sectPr>
      </w:pPr>
    </w:p>
    <w:bookmarkStart w:id="84" w:name="page85"/>
    <w:bookmarkEnd w:id="84"/>
    <w:p>
      <w:pPr>
        <w:ind w:left="580"/>
        <w:spacing w:after="0"/>
        <w:rPr>
          <w:sz w:val="20"/>
          <w:szCs w:val="20"/>
          <w:color w:val="auto"/>
        </w:rPr>
      </w:pPr>
      <w:r>
        <w:rPr>
          <w:rFonts w:ascii="Times New Roman" w:cs="Times New Roman" w:eastAsia="Times New Roman" w:hAnsi="Times New Roman"/>
          <w:sz w:val="12"/>
          <w:szCs w:val="12"/>
          <w:color w:val="auto"/>
        </w:rPr>
        <w:t>The following table presents the amount of share-based compensation expense by category for the periods indicated:</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25"/>
        </w:trPr>
        <w:tc>
          <w:tcPr>
            <w:tcW w:w="5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35"/>
        </w:trPr>
        <w:tc>
          <w:tcPr>
            <w:tcW w:w="5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r>
      <w:tr>
        <w:trPr>
          <w:trHeight w:val="90"/>
        </w:trPr>
        <w:tc>
          <w:tcPr>
            <w:tcW w:w="5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2"/>
          </w:tcPr>
          <w:p>
            <w:pPr>
              <w:ind w:left="10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4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2"/>
          </w:tcPr>
          <w:p>
            <w:pPr>
              <w:jc w:val="center"/>
              <w:ind w:right="36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jc w:val="right"/>
              <w:ind w:right="203"/>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r>
      <w:tr>
        <w:trPr>
          <w:trHeight w:val="115"/>
        </w:trPr>
        <w:tc>
          <w:tcPr>
            <w:tcW w:w="5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Pr>
          <w:p>
            <w:pPr>
              <w:spacing w:after="0"/>
              <w:rPr>
                <w:sz w:val="10"/>
                <w:szCs w:val="10"/>
                <w:color w:val="auto"/>
              </w:rPr>
            </w:pPr>
          </w:p>
        </w:tc>
        <w:tc>
          <w:tcPr>
            <w:tcW w:w="900" w:type="dxa"/>
            <w:vAlign w:val="bottom"/>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Pr>
          <w:p>
            <w:pPr>
              <w:spacing w:after="0"/>
              <w:rPr>
                <w:sz w:val="10"/>
                <w:szCs w:val="10"/>
                <w:color w:val="auto"/>
              </w:rPr>
            </w:pPr>
          </w:p>
        </w:tc>
      </w:tr>
      <w:tr>
        <w:trPr>
          <w:trHeight w:val="142"/>
        </w:trPr>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14,523</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11,190</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10,334</w:t>
            </w:r>
          </w:p>
        </w:tc>
        <w:tc>
          <w:tcPr>
            <w:tcW w:w="80" w:type="dxa"/>
            <w:vAlign w:val="bottom"/>
            <w:tcBorders>
              <w:top w:val="single" w:sz="8" w:color="CFF0FC"/>
            </w:tcBorders>
            <w:shd w:val="clear" w:color="auto" w:fill="CFF0FC"/>
          </w:tcPr>
          <w:p>
            <w:pPr>
              <w:spacing w:after="0"/>
              <w:rPr>
                <w:sz w:val="12"/>
                <w:szCs w:val="12"/>
                <w:color w:val="auto"/>
              </w:rPr>
            </w:pPr>
          </w:p>
        </w:tc>
      </w:tr>
      <w:tr>
        <w:trPr>
          <w:trHeight w:val="153"/>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13,545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12,851</w:t>
            </w:r>
          </w:p>
        </w:tc>
        <w:tc>
          <w:tcPr>
            <w:tcW w:w="80" w:type="dxa"/>
            <w:vAlign w:val="bottom"/>
          </w:tcPr>
          <w:p>
            <w:pPr>
              <w:spacing w:after="0"/>
              <w:rPr>
                <w:sz w:val="13"/>
                <w:szCs w:val="13"/>
                <w:color w:val="auto"/>
              </w:rPr>
            </w:pPr>
          </w:p>
        </w:tc>
      </w:tr>
      <w:tr>
        <w:trPr>
          <w:trHeight w:val="153"/>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7,344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5,966</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4,175</w:t>
            </w:r>
          </w:p>
        </w:tc>
        <w:tc>
          <w:tcPr>
            <w:tcW w:w="80" w:type="dxa"/>
            <w:vAlign w:val="bottom"/>
            <w:shd w:val="clear" w:color="auto" w:fill="CFF0FC"/>
          </w:tcPr>
          <w:p>
            <w:pPr>
              <w:spacing w:after="0"/>
              <w:rPr>
                <w:sz w:val="13"/>
                <w:szCs w:val="13"/>
                <w:color w:val="auto"/>
              </w:rPr>
            </w:pPr>
          </w:p>
        </w:tc>
      </w:tr>
      <w:tr>
        <w:trPr>
          <w:trHeight w:val="153"/>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19,826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13,203</w:t>
            </w:r>
          </w:p>
        </w:tc>
        <w:tc>
          <w:tcPr>
            <w:tcW w:w="80" w:type="dxa"/>
            <w:vAlign w:val="bottom"/>
          </w:tcPr>
          <w:p>
            <w:pPr>
              <w:spacing w:after="0"/>
              <w:rPr>
                <w:sz w:val="13"/>
                <w:szCs w:val="13"/>
                <w:color w:val="auto"/>
              </w:rPr>
            </w:pPr>
          </w:p>
        </w:tc>
      </w:tr>
      <w:tr>
        <w:trPr>
          <w:trHeight w:val="153"/>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expense (income)</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share-based compensation expense</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55,617</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44,090</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40,563</w:t>
            </w:r>
          </w:p>
        </w:tc>
        <w:tc>
          <w:tcPr>
            <w:tcW w:w="80" w:type="dxa"/>
            <w:vAlign w:val="bottom"/>
          </w:tcPr>
          <w:p>
            <w:pPr>
              <w:spacing w:after="0"/>
              <w:rPr>
                <w:sz w:val="12"/>
                <w:szCs w:val="12"/>
                <w:color w:val="auto"/>
              </w:rPr>
            </w:pPr>
          </w:p>
        </w:tc>
      </w:tr>
    </w:tbl>
    <w:p>
      <w:pPr>
        <w:spacing w:after="0" w:line="151" w:lineRule="exact"/>
        <w:rPr>
          <w:sz w:val="20"/>
          <w:szCs w:val="20"/>
          <w:color w:val="auto"/>
        </w:rPr>
      </w:pPr>
    </w:p>
    <w:p>
      <w:pPr>
        <w:ind w:right="80" w:firstLine="592"/>
        <w:spacing w:after="0" w:line="279" w:lineRule="auto"/>
        <w:rPr>
          <w:sz w:val="20"/>
          <w:szCs w:val="20"/>
          <w:color w:val="auto"/>
        </w:rPr>
      </w:pPr>
      <w:r>
        <w:rPr>
          <w:rFonts w:ascii="Times New Roman" w:cs="Times New Roman" w:eastAsia="Times New Roman" w:hAnsi="Times New Roman"/>
          <w:sz w:val="12"/>
          <w:szCs w:val="12"/>
          <w:color w:val="auto"/>
        </w:rPr>
        <w:t>The windfall tax benefits for share-based compensation expense related to RSUs, PSUs and other restricted stock unit awards (together, the “Share-based Awards”) as well as stock options granted to Company employees and to directors who are not employees of the Company were $20.9 million, $82.5 million and $8.8 million for the years ended December 31, 2020, 2019 and 2018, respectively.</w:t>
      </w:r>
    </w:p>
    <w:p>
      <w:pPr>
        <w:spacing w:after="0" w:line="111" w:lineRule="exact"/>
        <w:rPr>
          <w:sz w:val="20"/>
          <w:szCs w:val="20"/>
          <w:color w:val="auto"/>
        </w:rPr>
      </w:pPr>
    </w:p>
    <w:p>
      <w:pPr>
        <w:ind w:right="80" w:firstLine="592"/>
        <w:spacing w:after="0" w:line="279" w:lineRule="auto"/>
        <w:rPr>
          <w:sz w:val="20"/>
          <w:szCs w:val="20"/>
          <w:color w:val="auto"/>
        </w:rPr>
      </w:pPr>
      <w:r>
        <w:rPr>
          <w:rFonts w:ascii="Times New Roman" w:cs="Times New Roman" w:eastAsia="Times New Roman" w:hAnsi="Times New Roman"/>
          <w:sz w:val="12"/>
          <w:szCs w:val="12"/>
          <w:color w:val="auto"/>
        </w:rPr>
        <w:t>As of December 31, 2020, $43.9 million of compensation cost related to MSCI unvested share-based awards granted to the Company’s employees and to directors who are not employees of the Company had not yet been recognized. The unrecognized compensation cost relating to unvested stock-based awards expected to vest will be recognized primarily over the next one to five years.</w:t>
      </w:r>
    </w:p>
    <w:p>
      <w:pPr>
        <w:spacing w:after="0" w:line="111" w:lineRule="exact"/>
        <w:rPr>
          <w:sz w:val="20"/>
          <w:szCs w:val="20"/>
          <w:color w:val="auto"/>
        </w:rPr>
      </w:pPr>
    </w:p>
    <w:p>
      <w:pPr>
        <w:ind w:firstLine="592"/>
        <w:spacing w:after="0" w:line="279" w:lineRule="auto"/>
        <w:rPr>
          <w:sz w:val="20"/>
          <w:szCs w:val="20"/>
          <w:color w:val="auto"/>
        </w:rPr>
      </w:pPr>
      <w:r>
        <w:rPr>
          <w:rFonts w:ascii="Times New Roman" w:cs="Times New Roman" w:eastAsia="Times New Roman" w:hAnsi="Times New Roman"/>
          <w:sz w:val="12"/>
          <w:szCs w:val="12"/>
          <w:color w:val="auto"/>
        </w:rPr>
        <w:t>In connection with awards under its equity-based compensation and benefit plans, the Company is authorized to issue shares of common stock. As of December 31, 2020, 4.8 million shares of common stock were available for future grants under these plans.</w:t>
      </w:r>
    </w:p>
    <w:p>
      <w:pPr>
        <w:spacing w:after="0" w:line="109" w:lineRule="exact"/>
        <w:rPr>
          <w:sz w:val="20"/>
          <w:szCs w:val="20"/>
          <w:color w:val="auto"/>
        </w:rPr>
      </w:pPr>
    </w:p>
    <w:p>
      <w:pPr>
        <w:ind w:right="20" w:firstLine="59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Share-based Awards. </w:t>
      </w:r>
      <w:r>
        <w:rPr>
          <w:rFonts w:ascii="Times New Roman" w:cs="Times New Roman" w:eastAsia="Times New Roman" w:hAnsi="Times New Roman"/>
          <w:sz w:val="12"/>
          <w:szCs w:val="12"/>
          <w:color w:val="auto"/>
        </w:rPr>
        <w:t>Certain Company employees have been granted Share-based Awards pursuant to a share-based compensation plan. The plan provides for the deferral of a portion of certain employees’ discretionary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compensation with awards made in the form of Share-based Awards. Recipients of Share-based Awards generally have rights to receive dividend equivalents that are subject to vesting. The Company reports the target number of PSUs granted unless it has determined, based on the actual achievement of performance measures, that an employee will receive a different amount of shares underlying the PSUs, in which case the Company reports the amount of shares employees are likely to receive.</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fair value of the PSUs on the award dates were estimated under the Monte Carlo method using the following assumptions:</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10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5200" w:type="dxa"/>
            <w:vAlign w:val="bottom"/>
          </w:tcPr>
          <w:p>
            <w:pPr>
              <w:spacing w:after="0"/>
              <w:rPr>
                <w:sz w:val="9"/>
                <w:szCs w:val="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40" w:type="dxa"/>
            <w:vAlign w:val="bottom"/>
          </w:tcPr>
          <w:p>
            <w:pPr>
              <w:jc w:val="right"/>
              <w:ind w:right="185"/>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9"/>
                <w:szCs w:val="9"/>
                <w:color w:val="auto"/>
              </w:rPr>
            </w:pPr>
          </w:p>
        </w:tc>
      </w:tr>
      <w:tr>
        <w:trPr>
          <w:trHeight w:val="127"/>
        </w:trPr>
        <w:tc>
          <w:tcPr>
            <w:tcW w:w="5200" w:type="dxa"/>
            <w:vAlign w:val="bottom"/>
            <w:tcBorders>
              <w:bottom w:val="single" w:sz="8" w:color="CFF0FC"/>
            </w:tcBorders>
          </w:tcPr>
          <w:p>
            <w:pPr>
              <w:spacing w:after="0"/>
              <w:rPr>
                <w:sz w:val="11"/>
                <w:szCs w:val="11"/>
                <w:color w:val="auto"/>
              </w:rPr>
            </w:pPr>
          </w:p>
        </w:tc>
        <w:tc>
          <w:tcPr>
            <w:tcW w:w="10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0"/>
                <w:szCs w:val="10"/>
                <w:b w:val="1"/>
                <w:bCs w:val="1"/>
                <w:color w:val="auto"/>
              </w:rPr>
              <w:t>2019</w:t>
            </w:r>
          </w:p>
        </w:tc>
        <w:tc>
          <w:tcPr>
            <w:tcW w:w="34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Borders>
              <w:bottom w:val="single" w:sz="8" w:color="CFF0FC"/>
            </w:tcBorders>
          </w:tcPr>
          <w:p>
            <w:pPr>
              <w:spacing w:after="0"/>
              <w:rPr>
                <w:sz w:val="11"/>
                <w:szCs w:val="11"/>
                <w:color w:val="auto"/>
              </w:rPr>
            </w:pPr>
          </w:p>
        </w:tc>
      </w:tr>
      <w:tr>
        <w:trPr>
          <w:trHeight w:val="142"/>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Risk free interest rate</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1.28%</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2.46%</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2.30%</w:t>
            </w:r>
          </w:p>
        </w:tc>
      </w:tr>
      <w:tr>
        <w:trPr>
          <w:trHeight w:val="153"/>
        </w:trPr>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Historical stock price volatility</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25.42%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21.98%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20.51%</w:t>
            </w:r>
          </w:p>
        </w:tc>
      </w:tr>
      <w:tr>
        <w:trPr>
          <w:trHeight w:val="15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Term (in years)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34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shd w:val="clear" w:color="auto" w:fill="CFF0FC"/>
          </w:tcPr>
          <w:p>
            <w:pPr>
              <w:spacing w:after="0"/>
              <w:rPr>
                <w:sz w:val="13"/>
                <w:szCs w:val="13"/>
                <w:color w:val="auto"/>
              </w:rPr>
            </w:pPr>
          </w:p>
        </w:tc>
      </w:tr>
    </w:tbl>
    <w:p>
      <w:pPr>
        <w:spacing w:after="0" w:line="160" w:lineRule="exact"/>
        <w:rPr>
          <w:sz w:val="20"/>
          <w:szCs w:val="20"/>
          <w:color w:val="auto"/>
        </w:rPr>
      </w:pPr>
    </w:p>
    <w:p>
      <w:pPr>
        <w:ind w:right="220" w:firstLine="592"/>
        <w:spacing w:after="0" w:line="279" w:lineRule="auto"/>
        <w:rPr>
          <w:sz w:val="20"/>
          <w:szCs w:val="20"/>
          <w:color w:val="auto"/>
        </w:rPr>
      </w:pPr>
      <w:r>
        <w:rPr>
          <w:rFonts w:ascii="Times New Roman" w:cs="Times New Roman" w:eastAsia="Times New Roman" w:hAnsi="Times New Roman"/>
          <w:sz w:val="12"/>
          <w:szCs w:val="12"/>
          <w:color w:val="auto"/>
        </w:rPr>
        <w:t>The risk-free interest rate was determined based on the yields available on U.S. Constant Maturity Treasury yield curve as of the valuation dates with a maturity commensurate with the terms. The expected stock price volatility was determined using historical volatility. Since the PSU awards are dividend-protected, the assumed dividend yield applied in the valuation was 0.0%.</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444" w:right="379" w:bottom="1440" w:gutter="0" w:footer="0" w:header="0"/>
        </w:sectPr>
      </w:pPr>
    </w:p>
    <w:bookmarkStart w:id="85" w:name="page86"/>
    <w:bookmarkEnd w:id="85"/>
    <w:p>
      <w:pPr>
        <w:ind w:left="588"/>
        <w:spacing w:after="0"/>
        <w:rPr>
          <w:sz w:val="20"/>
          <w:szCs w:val="20"/>
          <w:color w:val="auto"/>
        </w:rPr>
      </w:pPr>
      <w:r>
        <w:rPr>
          <w:rFonts w:ascii="Times New Roman" w:cs="Times New Roman" w:eastAsia="Times New Roman" w:hAnsi="Times New Roman"/>
          <w:sz w:val="12"/>
          <w:szCs w:val="12"/>
          <w:color w:val="auto"/>
        </w:rPr>
        <w:t>The following table presents activity concerning the Company’s vested and unvested Share-based Awards applicable to its employees (share data in thousands) for the period indicated:</w:t>
      </w:r>
    </w:p>
    <w:p>
      <w:pPr>
        <w:spacing w:after="0" w:line="153" w:lineRule="exact"/>
        <w:rPr>
          <w:sz w:val="20"/>
          <w:szCs w:val="20"/>
          <w:color w:val="auto"/>
        </w:rPr>
      </w:pPr>
    </w:p>
    <w:tbl>
      <w:tblPr>
        <w:tblLayout w:type="fixed"/>
        <w:tblInd w:w="1688"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7"/>
              </w:rPr>
              <w:t>Weighted</w:t>
            </w:r>
          </w:p>
        </w:tc>
      </w:tr>
      <w:tr>
        <w:trPr>
          <w:trHeight w:val="136"/>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89"/>
              </w:rPr>
              <w:t>Average</w:t>
            </w: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0"/>
                <w:szCs w:val="10"/>
                <w:b w:val="1"/>
                <w:bCs w:val="1"/>
                <w:color w:val="auto"/>
                <w:w w:val="91"/>
              </w:rPr>
              <w:t>Grant</w:t>
            </w: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2"/>
              <w:spacing w:after="0" w:line="108"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0"/>
                <w:szCs w:val="10"/>
                <w:b w:val="1"/>
                <w:bCs w:val="1"/>
                <w:color w:val="auto"/>
                <w:w w:val="97"/>
              </w:rPr>
              <w:t>Date Fair</w:t>
            </w:r>
          </w:p>
        </w:tc>
      </w:tr>
      <w:tr>
        <w:trPr>
          <w:trHeight w:val="115"/>
        </w:trPr>
        <w:tc>
          <w:tcPr>
            <w:tcW w:w="57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For the Year Ended December 31, 2020</w:t>
            </w:r>
          </w:p>
        </w:tc>
        <w:tc>
          <w:tcPr>
            <w:tcW w:w="72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Value</w:t>
            </w:r>
          </w:p>
        </w:tc>
      </w:tr>
      <w:tr>
        <w:trPr>
          <w:trHeight w:val="131"/>
        </w:trPr>
        <w:tc>
          <w:tcPr>
            <w:tcW w:w="20" w:type="dxa"/>
            <w:vAlign w:val="bottom"/>
          </w:tcPr>
          <w:p>
            <w:pPr>
              <w:spacing w:after="0"/>
              <w:rPr>
                <w:sz w:val="11"/>
                <w:szCs w:val="11"/>
                <w:color w:val="auto"/>
              </w:rPr>
            </w:pPr>
          </w:p>
        </w:tc>
        <w:tc>
          <w:tcPr>
            <w:tcW w:w="5600" w:type="dxa"/>
            <w:vAlign w:val="bottom"/>
            <w:tcBorders>
              <w:top w:val="single" w:sz="8" w:color="auto"/>
            </w:tcBorders>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Vested and unvested Share-based Awards at</w:t>
            </w: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57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December 31, 2019</w:t>
            </w: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757</w:t>
            </w:r>
          </w:p>
        </w:tc>
        <w:tc>
          <w:tcPr>
            <w:tcW w:w="10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122.42</w:t>
            </w:r>
          </w:p>
        </w:tc>
        <w:tc>
          <w:tcPr>
            <w:tcW w:w="6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7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Granted</w:t>
            </w:r>
          </w:p>
        </w:tc>
        <w:tc>
          <w:tcPr>
            <w:tcW w:w="7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170.57</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Conversion to common stock</w:t>
            </w:r>
          </w:p>
        </w:tc>
        <w:tc>
          <w:tcPr>
            <w:tcW w:w="7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(417)</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97.79</w:t>
            </w:r>
          </w:p>
        </w:tc>
        <w:tc>
          <w:tcPr>
            <w:tcW w:w="6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7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Canceled</w:t>
            </w:r>
          </w:p>
        </w:tc>
        <w:tc>
          <w:tcPr>
            <w:tcW w:w="72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(55)</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147.49</w:t>
            </w:r>
          </w:p>
        </w:tc>
        <w:tc>
          <w:tcPr>
            <w:tcW w:w="6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5700" w:type="dxa"/>
            <w:vAlign w:val="bottom"/>
            <w:tcBorders>
              <w:top w:val="single" w:sz="8" w:color="CFF0FC"/>
            </w:tcBorders>
            <w:gridSpan w:val="2"/>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Vested and unvested Share-based Awards at</w:t>
            </w:r>
          </w:p>
        </w:tc>
        <w:tc>
          <w:tcPr>
            <w:tcW w:w="7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57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 xml:space="preserve">December 31, 2020 </w:t>
            </w:r>
            <w:r>
              <w:rPr>
                <w:rFonts w:ascii="Times New Roman" w:cs="Times New Roman" w:eastAsia="Times New Roman" w:hAnsi="Times New Roman"/>
                <w:sz w:val="10"/>
                <w:szCs w:val="10"/>
                <w:color w:val="auto"/>
              </w:rPr>
              <w:t>(1)</w:t>
            </w:r>
          </w:p>
        </w:tc>
        <w:tc>
          <w:tcPr>
            <w:tcW w:w="7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163.99</w:t>
            </w:r>
          </w:p>
        </w:tc>
        <w:tc>
          <w:tcPr>
            <w:tcW w:w="6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99441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94410" cy="5715"/>
                    </a:xfrm>
                    <a:prstGeom prst="rect">
                      <a:avLst/>
                    </a:prstGeom>
                    <a:noFill/>
                  </pic:spPr>
                </pic:pic>
              </a:graphicData>
            </a:graphic>
          </wp:anchor>
        </w:drawing>
      </w:r>
    </w:p>
    <w:p>
      <w:pPr>
        <w:spacing w:after="0" w:line="158" w:lineRule="exact"/>
        <w:rPr>
          <w:sz w:val="20"/>
          <w:szCs w:val="20"/>
          <w:color w:val="auto"/>
        </w:rPr>
      </w:pPr>
    </w:p>
    <w:p>
      <w:pPr>
        <w:ind w:left="588" w:hanging="588"/>
        <w:spacing w:after="0"/>
        <w:tabs>
          <w:tab w:leader="none" w:pos="588"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As of December 31, 2020, 670 Share-based Awards, with a weighted average grant date fair value of $165.61, were vested or expected to vest.</w:t>
      </w:r>
    </w:p>
    <w:p>
      <w:pPr>
        <w:spacing w:after="0" w:line="150" w:lineRule="exact"/>
        <w:rPr>
          <w:sz w:val="20"/>
          <w:szCs w:val="20"/>
          <w:color w:val="auto"/>
        </w:rPr>
      </w:pPr>
    </w:p>
    <w:p>
      <w:pPr>
        <w:ind w:left="8" w:right="300" w:firstLine="592"/>
        <w:spacing w:after="0" w:line="279" w:lineRule="auto"/>
        <w:rPr>
          <w:sz w:val="20"/>
          <w:szCs w:val="20"/>
          <w:color w:val="auto"/>
        </w:rPr>
      </w:pPr>
      <w:r>
        <w:rPr>
          <w:rFonts w:ascii="Times New Roman" w:cs="Times New Roman" w:eastAsia="Times New Roman" w:hAnsi="Times New Roman"/>
          <w:sz w:val="12"/>
          <w:szCs w:val="12"/>
          <w:color w:val="auto"/>
        </w:rPr>
        <w:t>The total fair value of Share-based Awards held by the Company’s employees that converted to MSCI common stock during the years ended December 31, 2020, 2019 and 2018 was $133.6 million, $401.7 million and $63.6 million, respectively.</w:t>
      </w:r>
    </w:p>
    <w:p>
      <w:pPr>
        <w:spacing w:after="0" w:line="111"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The following table presents activity concerning the Company’s unvested Share-based Awards related to its employees (share data in thousands):</w:t>
      </w:r>
    </w:p>
    <w:p>
      <w:pPr>
        <w:spacing w:after="0" w:line="19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85"/>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ind w:right="185"/>
              <w:spacing w:after="0" w:line="108"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ind w:right="185"/>
              <w:spacing w:after="0" w:line="108" w:lineRule="exact"/>
              <w:rPr>
                <w:sz w:val="20"/>
                <w:szCs w:val="20"/>
                <w:color w:val="auto"/>
              </w:rPr>
            </w:pPr>
            <w:r>
              <w:rPr>
                <w:rFonts w:ascii="Times New Roman" w:cs="Times New Roman" w:eastAsia="Times New Roman" w:hAnsi="Times New Roman"/>
                <w:sz w:val="10"/>
                <w:szCs w:val="10"/>
                <w:b w:val="1"/>
                <w:bCs w:val="1"/>
                <w:color w:val="auto"/>
                <w:w w:val="91"/>
              </w:rPr>
              <w:t>Grant</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2"/>
              <w:spacing w:after="0" w:line="108"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ind w:right="185"/>
              <w:spacing w:after="0" w:line="108" w:lineRule="exact"/>
              <w:rPr>
                <w:sz w:val="20"/>
                <w:szCs w:val="20"/>
                <w:color w:val="auto"/>
              </w:rPr>
            </w:pPr>
            <w:r>
              <w:rPr>
                <w:rFonts w:ascii="Times New Roman" w:cs="Times New Roman" w:eastAsia="Times New Roman" w:hAnsi="Times New Roman"/>
                <w:sz w:val="10"/>
                <w:szCs w:val="10"/>
                <w:b w:val="1"/>
                <w:bCs w:val="1"/>
                <w:color w:val="auto"/>
                <w:w w:val="97"/>
              </w:rPr>
              <w:t>Date Fair</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920" w:type="dxa"/>
            <w:vAlign w:val="bottom"/>
            <w:gridSpan w:val="2"/>
          </w:tcPr>
          <w:p>
            <w:pPr>
              <w:ind w:left="1680"/>
              <w:spacing w:after="0"/>
              <w:rPr>
                <w:sz w:val="20"/>
                <w:szCs w:val="20"/>
                <w:color w:val="auto"/>
              </w:rPr>
            </w:pPr>
            <w:r>
              <w:rPr>
                <w:rFonts w:ascii="Times New Roman" w:cs="Times New Roman" w:eastAsia="Times New Roman" w:hAnsi="Times New Roman"/>
                <w:sz w:val="10"/>
                <w:szCs w:val="10"/>
                <w:b w:val="1"/>
                <w:bCs w:val="1"/>
                <w:color w:val="auto"/>
              </w:rPr>
              <w:t>For the Year Ended December 31, 2020</w:t>
            </w: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85"/>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Unvested Share-based Awards at December 31, 2019</w:t>
            </w:r>
          </w:p>
        </w:tc>
        <w:tc>
          <w:tcPr>
            <w:tcW w:w="23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2"/>
                <w:szCs w:val="12"/>
                <w:color w:val="auto"/>
              </w:rPr>
              <w:t>123.21</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Granted</w:t>
            </w: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100" w:type="dxa"/>
            <w:vAlign w:val="bottom"/>
          </w:tcPr>
          <w:p>
            <w:pPr>
              <w:spacing w:after="0"/>
              <w:rPr>
                <w:sz w:val="13"/>
                <w:szCs w:val="13"/>
                <w:color w:val="auto"/>
              </w:rPr>
            </w:pP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2"/>
                <w:szCs w:val="12"/>
                <w:color w:val="auto"/>
              </w:rPr>
              <w:t>174.25</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Vested</w:t>
            </w:r>
          </w:p>
        </w:tc>
        <w:tc>
          <w:tcPr>
            <w:tcW w:w="2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(382)</w:t>
            </w:r>
          </w:p>
        </w:tc>
        <w:tc>
          <w:tcPr>
            <w:tcW w:w="24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2"/>
                <w:szCs w:val="12"/>
                <w:color w:val="auto"/>
              </w:rPr>
              <w:t>99.24</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Canceled</w:t>
            </w: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(55)</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2"/>
                <w:szCs w:val="12"/>
                <w:color w:val="auto"/>
              </w:rPr>
              <w:t>147.49</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Unvested Share-based Awards at December 31, 2020</w:t>
            </w:r>
          </w:p>
        </w:tc>
        <w:tc>
          <w:tcPr>
            <w:tcW w:w="23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CFF0FC"/>
              <w:bottom w:val="single" w:sz="8" w:color="CFF0FC"/>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2"/>
                <w:szCs w:val="12"/>
                <w:color w:val="auto"/>
              </w:rPr>
              <w:t>164.58</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vMerge w:val="restart"/>
          </w:tcPr>
          <w:p>
            <w:pPr>
              <w:spacing w:after="0"/>
              <w:rPr>
                <w:sz w:val="13"/>
                <w:szCs w:val="13"/>
                <w:color w:val="auto"/>
              </w:rPr>
            </w:pPr>
          </w:p>
        </w:tc>
        <w:tc>
          <w:tcPr>
            <w:tcW w:w="32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vMerge w:val="continue"/>
          </w:tcPr>
          <w:p>
            <w:pPr>
              <w:spacing w:after="0"/>
              <w:rPr>
                <w:sz w:val="15"/>
                <w:szCs w:val="15"/>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Unvested Share-based Awards expected to vest</w:t>
            </w:r>
          </w:p>
        </w:tc>
        <w:tc>
          <w:tcPr>
            <w:tcW w:w="23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658</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FF0FC"/>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2"/>
                <w:szCs w:val="12"/>
                <w:color w:val="auto"/>
              </w:rPr>
              <w:t>166.29</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80" w:type="dxa"/>
            <w:vAlign w:val="bottom"/>
          </w:tcPr>
          <w:p>
            <w:pPr>
              <w:jc w:val="right"/>
              <w:ind w:right="1540"/>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220" w:type="dxa"/>
            <w:vAlign w:val="bottom"/>
            <w:tcBorders>
              <w:bottom w:val="single" w:sz="8" w:color="9A9A9A"/>
            </w:tcBorders>
          </w:tcPr>
          <w:p>
            <w:pPr>
              <w:spacing w:after="0"/>
              <w:rPr>
                <w:sz w:val="6"/>
                <w:szCs w:val="6"/>
                <w:color w:val="auto"/>
              </w:rPr>
            </w:pPr>
          </w:p>
        </w:tc>
        <w:tc>
          <w:tcPr>
            <w:tcW w:w="23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417" w:right="299" w:bottom="1440" w:gutter="0" w:footer="0" w:header="0"/>
        </w:sectPr>
      </w:pPr>
    </w:p>
    <w:bookmarkStart w:id="86" w:name="page87"/>
    <w:bookmarkEnd w:id="86"/>
    <w:p>
      <w:pPr>
        <w:ind w:left="8" w:right="20" w:firstLine="652"/>
        <w:spacing w:after="0" w:line="279" w:lineRule="auto"/>
        <w:rPr>
          <w:sz w:val="20"/>
          <w:szCs w:val="20"/>
          <w:color w:val="auto"/>
        </w:rPr>
      </w:pPr>
      <w:r>
        <w:rPr>
          <w:rFonts w:ascii="Times New Roman" w:cs="Times New Roman" w:eastAsia="Times New Roman" w:hAnsi="Times New Roman"/>
          <w:sz w:val="12"/>
          <w:szCs w:val="12"/>
          <w:color w:val="auto"/>
        </w:rPr>
        <w:t>There were no remaining stock options outstanding that could be exercised during the year ended December 31, 2020. The intrinsic value of the stock options exercised by the Company’s employees during the years ended December 31, 2019 and 2018 was $22.1 million and $4.8 million, respectively.</w:t>
      </w:r>
    </w:p>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11. INCOME TAXES</w:t>
      </w:r>
    </w:p>
    <w:p>
      <w:pPr>
        <w:spacing w:after="0" w:line="82"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The provision for income taxes (benefits) by taxing jurisdiction consisted of:</w:t>
      </w:r>
    </w:p>
    <w:p>
      <w:pPr>
        <w:spacing w:after="0" w:line="19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4"/>
          </w:tcPr>
          <w:p>
            <w:pPr>
              <w:jc w:val="center"/>
              <w:ind w:right="300"/>
              <w:spacing w:after="0" w:line="9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100" w:type="dxa"/>
            <w:vAlign w:val="bottom"/>
          </w:tcPr>
          <w:p>
            <w:pPr>
              <w:spacing w:after="0"/>
              <w:rPr>
                <w:sz w:val="7"/>
                <w:szCs w:val="7"/>
                <w:color w:val="auto"/>
              </w:rPr>
            </w:pPr>
          </w:p>
        </w:tc>
        <w:tc>
          <w:tcPr>
            <w:tcW w:w="1160" w:type="dxa"/>
            <w:vAlign w:val="bottom"/>
            <w:gridSpan w:val="3"/>
          </w:tcPr>
          <w:p>
            <w:pPr>
              <w:jc w:val="center"/>
              <w:ind w:right="32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40" w:type="dxa"/>
            <w:vAlign w:val="bottom"/>
          </w:tcPr>
          <w:p>
            <w:pPr>
              <w:spacing w:after="0"/>
              <w:rPr>
                <w:sz w:val="7"/>
                <w:szCs w:val="7"/>
                <w:color w:val="auto"/>
              </w:rPr>
            </w:pPr>
          </w:p>
        </w:tc>
        <w:tc>
          <w:tcPr>
            <w:tcW w:w="94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tcPr>
          <w:p>
            <w:pPr>
              <w:jc w:val="center"/>
              <w:ind w:right="30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Current</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U.S. federal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39,665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31,493</w:t>
            </w:r>
          </w:p>
        </w:tc>
        <w:tc>
          <w:tcPr>
            <w:tcW w:w="20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51,316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U.S. state and local</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29,942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6,841</w:t>
            </w:r>
          </w:p>
        </w:tc>
        <w:tc>
          <w:tcPr>
            <w:tcW w:w="2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31,680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tcBorders>
              <w:bottom w:val="single" w:sz="8" w:color="CFF0FC"/>
            </w:tcBorders>
            <w:gridSpan w:val="3"/>
          </w:tcPr>
          <w:p>
            <w:pPr>
              <w:ind w:left="180"/>
              <w:spacing w:after="0"/>
              <w:rPr>
                <w:sz w:val="20"/>
                <w:szCs w:val="20"/>
                <w:color w:val="auto"/>
              </w:rPr>
            </w:pPr>
            <w:r>
              <w:rPr>
                <w:rFonts w:ascii="Times New Roman" w:cs="Times New Roman" w:eastAsia="Times New Roman" w:hAnsi="Times New Roman"/>
                <w:sz w:val="12"/>
                <w:szCs w:val="12"/>
                <w:color w:val="auto"/>
              </w:rPr>
              <w:t>Non U.S.</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70,441</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22,103</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39,795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140,048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60,437</w:t>
            </w: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122,791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Deferred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U.S. federal</w:t>
            </w: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(44,507)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(11,941)</w:t>
            </w:r>
          </w:p>
        </w:tc>
        <w:tc>
          <w:tcPr>
            <w:tcW w:w="14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(1,406)</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U.S. state and local</w:t>
            </w:r>
          </w:p>
        </w:tc>
        <w:tc>
          <w:tcPr>
            <w:tcW w:w="80" w:type="dxa"/>
            <w:vAlign w:val="bottom"/>
          </w:tcPr>
          <w:p>
            <w:pPr>
              <w:spacing w:after="0"/>
              <w:rPr>
                <w:sz w:val="13"/>
                <w:szCs w:val="13"/>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(8,911)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(4,001)</w:t>
            </w:r>
          </w:p>
        </w:tc>
        <w:tc>
          <w:tcPr>
            <w:tcW w:w="14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5,566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Non U.S.</w:t>
            </w: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(2,227)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(4,825)</w:t>
            </w:r>
          </w:p>
        </w:tc>
        <w:tc>
          <w:tcPr>
            <w:tcW w:w="14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(4,940)</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47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(55,645)</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(20,767)</w:t>
            </w:r>
          </w:p>
        </w:tc>
        <w:tc>
          <w:tcPr>
            <w:tcW w:w="20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(780)</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84,403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39,670</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6460" w:type="dxa"/>
            <w:vAlign w:val="bottom"/>
            <w:gridSpan w:val="4"/>
          </w:tcPr>
          <w:p>
            <w:pPr>
              <w:ind w:left="580"/>
              <w:spacing w:after="0"/>
              <w:rPr>
                <w:sz w:val="20"/>
                <w:szCs w:val="20"/>
                <w:color w:val="auto"/>
              </w:rPr>
            </w:pPr>
            <w:r>
              <w:rPr>
                <w:rFonts w:ascii="Times New Roman" w:cs="Times New Roman" w:eastAsia="Times New Roman" w:hAnsi="Times New Roman"/>
                <w:sz w:val="12"/>
                <w:szCs w:val="12"/>
                <w:color w:val="auto"/>
              </w:rPr>
              <w:t>The following table reconciles the U.S. federal statutory income tax rate to the effective income tax rate: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4"/>
          </w:tcPr>
          <w:p>
            <w:pPr>
              <w:jc w:val="center"/>
              <w:ind w:right="60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00" w:type="dxa"/>
            <w:vAlign w:val="bottom"/>
          </w:tcPr>
          <w:p>
            <w:pPr>
              <w:spacing w:after="0"/>
              <w:rPr>
                <w:sz w:val="7"/>
                <w:szCs w:val="7"/>
                <w:color w:val="auto"/>
              </w:rPr>
            </w:pPr>
          </w:p>
        </w:tc>
        <w:tc>
          <w:tcPr>
            <w:tcW w:w="1160" w:type="dxa"/>
            <w:vAlign w:val="bottom"/>
            <w:gridSpan w:val="3"/>
          </w:tcPr>
          <w:p>
            <w:pPr>
              <w:jc w:val="center"/>
              <w:ind w:right="52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40" w:type="dxa"/>
            <w:vAlign w:val="bottom"/>
          </w:tcPr>
          <w:p>
            <w:pPr>
              <w:spacing w:after="0"/>
              <w:rPr>
                <w:sz w:val="7"/>
                <w:szCs w:val="7"/>
                <w:color w:val="auto"/>
              </w:rPr>
            </w:pPr>
          </w:p>
        </w:tc>
        <w:tc>
          <w:tcPr>
            <w:tcW w:w="860" w:type="dxa"/>
            <w:vAlign w:val="bottom"/>
          </w:tcPr>
          <w:p>
            <w:pPr>
              <w:jc w:val="center"/>
              <w:ind w:right="122"/>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440" w:type="dxa"/>
            <w:vAlign w:val="bottom"/>
            <w:tcBorders>
              <w:bottom w:val="single" w:sz="8" w:color="CFF0FC"/>
            </w:tcBorders>
          </w:tcPr>
          <w:p>
            <w:pPr>
              <w:spacing w:after="0"/>
              <w:rPr>
                <w:sz w:val="10"/>
                <w:szCs w:val="10"/>
                <w:color w:val="auto"/>
              </w:rPr>
            </w:pPr>
          </w:p>
        </w:tc>
        <w:tc>
          <w:tcPr>
            <w:tcW w:w="474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20" w:type="dxa"/>
            <w:vAlign w:val="bottom"/>
            <w:tcBorders>
              <w:bottom w:val="single" w:sz="8" w:color="CFF0FC"/>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U.S. federal statutory income tax rate</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21.00%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21.00%</w:t>
            </w: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21.00%</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U.S. state and local income taxes, net of U.S.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federal income tax benefits</w:t>
            </w:r>
          </w:p>
        </w:tc>
        <w:tc>
          <w:tcPr>
            <w:tcW w:w="8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2.51%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4.66%</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Change in tax rates applicable to non-U.S.</w:t>
            </w: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earnings</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(3.30%)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(3.74%)</w:t>
            </w:r>
          </w:p>
        </w:tc>
        <w:tc>
          <w:tcPr>
            <w:tcW w:w="14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Foreign Derived Intangible Income (FDII),</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 xml:space="preserve">net of GILTI </w:t>
            </w:r>
            <w:r>
              <w:rPr>
                <w:rFonts w:ascii="Times New Roman" w:cs="Times New Roman" w:eastAsia="Times New Roman" w:hAnsi="Times New Roman"/>
                <w:sz w:val="10"/>
                <w:szCs w:val="10"/>
                <w:color w:val="auto"/>
              </w:rPr>
              <w:t>(1)</w:t>
            </w:r>
          </w:p>
        </w:tc>
        <w:tc>
          <w:tcPr>
            <w:tcW w:w="8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(0.13%)</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Domestic tax credits and incentives</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(0.59%)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14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(0.30%)</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Net tax charge related to Tax Reform</w:t>
            </w:r>
          </w:p>
        </w:tc>
        <w:tc>
          <w:tcPr>
            <w:tcW w:w="80" w:type="dxa"/>
            <w:vAlign w:val="bottom"/>
          </w:tcPr>
          <w:p>
            <w:pPr>
              <w:spacing w:after="0"/>
              <w:rPr>
                <w:sz w:val="13"/>
                <w:szCs w:val="13"/>
                <w:color w:val="auto"/>
              </w:rPr>
            </w:pPr>
          </w:p>
        </w:tc>
        <w:tc>
          <w:tcPr>
            <w:tcW w:w="1200" w:type="dxa"/>
            <w:vAlign w:val="bottom"/>
            <w:gridSpan w:val="4"/>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(1.78%)</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80" w:type="dxa"/>
            <w:vAlign w:val="bottom"/>
            <w:shd w:val="clear" w:color="auto" w:fill="CFF0FC"/>
          </w:tcPr>
          <w:p>
            <w:pPr>
              <w:spacing w:after="0"/>
              <w:rPr>
                <w:sz w:val="13"/>
                <w:szCs w:val="13"/>
                <w:color w:val="auto"/>
              </w:rPr>
            </w:pPr>
          </w:p>
        </w:tc>
        <w:tc>
          <w:tcPr>
            <w:tcW w:w="1200" w:type="dxa"/>
            <w:vAlign w:val="bottom"/>
            <w:gridSpan w:val="4"/>
            <w:shd w:val="clear" w:color="auto" w:fill="CFF0FC"/>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16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(0.10%)</w:t>
            </w:r>
          </w:p>
        </w:tc>
        <w:tc>
          <w:tcPr>
            <w:tcW w:w="14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Excess share-based compensation</w:t>
            </w:r>
          </w:p>
        </w:tc>
        <w:tc>
          <w:tcPr>
            <w:tcW w:w="8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(13.94%)</w:t>
            </w:r>
          </w:p>
        </w:tc>
        <w:tc>
          <w:tcPr>
            <w:tcW w:w="140" w:type="dxa"/>
            <w:vAlign w:val="bottom"/>
          </w:tcPr>
          <w:p>
            <w:pPr>
              <w:spacing w:after="0"/>
              <w:rPr>
                <w:sz w:val="13"/>
                <w:szCs w:val="13"/>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(0.87%)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0.11%</w:t>
            </w:r>
          </w:p>
        </w:tc>
        <w:tc>
          <w:tcPr>
            <w:tcW w:w="2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0.67%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19.37%</w:t>
            </w:r>
          </w:p>
        </w:tc>
        <w:tc>
          <w:tcPr>
            <w:tcW w:w="0" w:type="dxa"/>
            <w:vAlign w:val="bottom"/>
          </w:tcPr>
          <w:p>
            <w:pPr>
              <w:spacing w:after="0"/>
              <w:rPr>
                <w:sz w:val="1"/>
                <w:szCs w:val="1"/>
                <w:color w:val="auto"/>
              </w:rPr>
            </w:pPr>
          </w:p>
        </w:tc>
      </w:tr>
      <w:tr>
        <w:trPr>
          <w:trHeight w:val="90"/>
        </w:trPr>
        <w:tc>
          <w:tcPr>
            <w:tcW w:w="1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88" w:right="40" w:hanging="588"/>
        <w:spacing w:after="0" w:line="279" w:lineRule="auto"/>
        <w:tabs>
          <w:tab w:leader="none" w:pos="588" w:val="left"/>
        </w:tabs>
        <w:numPr>
          <w:ilvl w:val="0"/>
          <w:numId w:val="40"/>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Current period includes (3.00%) released during the year related to the favorable impact on prior years from final regulations clarifying certain provisions of Tax Reform. Certain prior period amounts have been reclassified to conform to the current period presentation.</w:t>
      </w:r>
    </w:p>
    <w:p>
      <w:pPr>
        <w:spacing w:after="0" w:line="138" w:lineRule="exact"/>
        <w:rPr>
          <w:sz w:val="20"/>
          <w:szCs w:val="20"/>
          <w:color w:val="auto"/>
        </w:rPr>
      </w:pPr>
    </w:p>
    <w:p>
      <w:pPr>
        <w:ind w:left="8" w:right="100" w:firstLine="592"/>
        <w:spacing w:after="0" w:line="265" w:lineRule="auto"/>
        <w:rPr>
          <w:sz w:val="20"/>
          <w:szCs w:val="20"/>
          <w:color w:val="auto"/>
        </w:rPr>
      </w:pPr>
      <w:r>
        <w:rPr>
          <w:rFonts w:ascii="Times New Roman" w:cs="Times New Roman" w:eastAsia="Times New Roman" w:hAnsi="Times New Roman"/>
          <w:sz w:val="12"/>
          <w:szCs w:val="12"/>
          <w:color w:val="auto"/>
        </w:rPr>
        <w:t>On December 22, 2017, the U.S. government enacted comprehensive tax legislation commonly referred to as the Tax Cuts and Jobs Act (“Tax Reform”). Given the significance of the legislation, the SEC staff issued Staff Accounting Bulletin No. 118, “</w:t>
      </w:r>
      <w:r>
        <w:rPr>
          <w:rFonts w:ascii="Times New Roman" w:cs="Times New Roman" w:eastAsia="Times New Roman" w:hAnsi="Times New Roman"/>
          <w:sz w:val="12"/>
          <w:szCs w:val="12"/>
          <w:i w:val="1"/>
          <w:iCs w:val="1"/>
          <w:color w:val="auto"/>
        </w:rPr>
        <w:t>Income Tax Accounting Implications of the Tax Cuts and Jobs Act,</w:t>
      </w:r>
      <w:r>
        <w:rPr>
          <w:rFonts w:ascii="Times New Roman" w:cs="Times New Roman" w:eastAsia="Times New Roman" w:hAnsi="Times New Roman"/>
          <w:sz w:val="12"/>
          <w:szCs w:val="12"/>
          <w:color w:val="auto"/>
        </w:rPr>
        <w:t>” (“SAB 118”), which allowed registrants to record provisional amounts during a one year “measurement period” similar to that used when accounting for business combinations.</w:t>
      </w:r>
    </w:p>
    <w:p>
      <w:pPr>
        <w:spacing w:after="0" w:line="119" w:lineRule="exact"/>
        <w:rPr>
          <w:sz w:val="20"/>
          <w:szCs w:val="20"/>
          <w:color w:val="auto"/>
        </w:rPr>
      </w:pPr>
    </w:p>
    <w:p>
      <w:pPr>
        <w:jc w:val="both"/>
        <w:ind w:left="8" w:firstLine="592"/>
        <w:spacing w:after="0" w:line="265" w:lineRule="auto"/>
        <w:rPr>
          <w:sz w:val="20"/>
          <w:szCs w:val="20"/>
          <w:color w:val="auto"/>
        </w:rPr>
      </w:pPr>
      <w:r>
        <w:rPr>
          <w:rFonts w:ascii="Times New Roman" w:cs="Times New Roman" w:eastAsia="Times New Roman" w:hAnsi="Times New Roman"/>
          <w:sz w:val="12"/>
          <w:szCs w:val="12"/>
          <w:color w:val="auto"/>
        </w:rPr>
        <w:t>Tax Reform significantly revised the U.S. corporate income tax by, among other things, lowering U.S. corporate income tax rates, implementing a territorial tax system and imposing a one-time tax on deemed repatriation of historic earnings and profits (“E&amp;P”) of foreign subsidiaries (the “Toll Charge”). The provisions of Tax Reform began impacting the Company for the annual reporting periods, including interim periods within those periods, beginning after December 31, 2017 as well as during the three months ended December 31, 2017. The U.S. federal income tax rate reduction was effective as of January 1, 2018.</w:t>
      </w:r>
    </w:p>
    <w:p>
      <w:pPr>
        <w:spacing w:after="0" w:line="11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273" w:right="319" w:bottom="1440" w:gutter="0" w:footer="0" w:header="0"/>
        </w:sectPr>
      </w:pPr>
    </w:p>
    <w:bookmarkStart w:id="87" w:name="page88"/>
    <w:bookmarkEnd w:id="87"/>
    <w:p>
      <w:pPr>
        <w:ind w:firstLine="592"/>
        <w:spacing w:after="0" w:line="265" w:lineRule="auto"/>
        <w:rPr>
          <w:sz w:val="20"/>
          <w:szCs w:val="20"/>
          <w:color w:val="auto"/>
        </w:rPr>
      </w:pPr>
      <w:r>
        <w:rPr>
          <w:rFonts w:ascii="Times New Roman" w:cs="Times New Roman" w:eastAsia="Times New Roman" w:hAnsi="Times New Roman"/>
          <w:sz w:val="12"/>
          <w:szCs w:val="12"/>
          <w:color w:val="auto"/>
        </w:rPr>
        <w:t>In the year ended December 31, 2018, the Company finalized the Toll Charge and determined the final impact of Tax Reform, resulting in a net benefit of $11.2 million that included a benefit of $5.7 million on the change to the provisional estimate of the Toll Charge and a benefit of $2.6 million for a reduction in the expected withholding taxes from Switzerland. The Company also recorded a benefit of $2.9 million related to the revaluation of deferred taxes at the lower statutory rate as a result of tax planning. The cumulative net charge of Tax Reform was $23.3 million as of December 31, 2018.</w:t>
      </w:r>
    </w:p>
    <w:p>
      <w:pPr>
        <w:spacing w:after="0" w:line="119" w:lineRule="exact"/>
        <w:rPr>
          <w:sz w:val="20"/>
          <w:szCs w:val="20"/>
          <w:color w:val="auto"/>
        </w:rPr>
      </w:pPr>
    </w:p>
    <w:p>
      <w:pPr>
        <w:ind w:right="280" w:firstLine="592"/>
        <w:spacing w:after="0" w:line="279" w:lineRule="auto"/>
        <w:rPr>
          <w:sz w:val="20"/>
          <w:szCs w:val="20"/>
          <w:color w:val="auto"/>
        </w:rPr>
      </w:pPr>
      <w:r>
        <w:rPr>
          <w:rFonts w:ascii="Times New Roman" w:cs="Times New Roman" w:eastAsia="Times New Roman" w:hAnsi="Times New Roman"/>
          <w:sz w:val="12"/>
          <w:szCs w:val="12"/>
          <w:color w:val="auto"/>
        </w:rPr>
        <w:t>Deferred income taxes reflect the net tax effects of temporary differences between the financial reporting and tax bases of assets and liabilities and are measured using the enacted tax rates and laws that will be in effect when such differences are expected to reverse. Significant components of the Company’s deferred tax assets and liabilities as of December 31, 2020 and 2019, were as follows:</w:t>
      </w:r>
    </w:p>
    <w:p>
      <w:pPr>
        <w:spacing w:after="0" w:line="16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As of</w:t>
            </w:r>
          </w:p>
        </w:tc>
        <w:tc>
          <w:tcPr>
            <w:tcW w:w="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0"/>
        </w:trPr>
        <w:tc>
          <w:tcPr>
            <w:tcW w:w="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2"/>
          </w:tcPr>
          <w:p>
            <w:pPr>
              <w:jc w:val="right"/>
              <w:ind w:right="38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jc w:val="right"/>
              <w:ind w:right="221"/>
              <w:spacing w:after="0" w:line="90"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80" w:type="dxa"/>
            <w:vAlign w:val="bottom"/>
          </w:tcPr>
          <w:p>
            <w:pPr>
              <w:spacing w:after="0"/>
              <w:rPr>
                <w:sz w:val="7"/>
                <w:szCs w:val="7"/>
                <w:color w:val="auto"/>
              </w:rPr>
            </w:pPr>
          </w:p>
        </w:tc>
      </w:tr>
      <w:tr>
        <w:trPr>
          <w:trHeight w:val="115"/>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gridSpan w:val="4"/>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Unearned revenue</w:t>
            </w:r>
          </w:p>
        </w:tc>
        <w:tc>
          <w:tcPr>
            <w:tcW w:w="17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46,530</w:t>
            </w:r>
          </w:p>
        </w:tc>
        <w:tc>
          <w:tcPr>
            <w:tcW w:w="120" w:type="dxa"/>
            <w:vAlign w:val="bottom"/>
          </w:tcPr>
          <w:p>
            <w:pPr>
              <w:spacing w:after="0"/>
              <w:rPr>
                <w:sz w:val="13"/>
                <w:szCs w:val="13"/>
                <w:color w:val="auto"/>
              </w:rPr>
            </w:pPr>
          </w:p>
        </w:tc>
        <w:tc>
          <w:tcPr>
            <w:tcW w:w="30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0" w:type="dxa"/>
            <w:vAlign w:val="bottom"/>
          </w:tcPr>
          <w:p>
            <w:pPr>
              <w:spacing w:after="0"/>
              <w:rPr>
                <w:sz w:val="13"/>
                <w:szCs w:val="13"/>
                <w:color w:val="auto"/>
              </w:rPr>
            </w:pPr>
          </w:p>
        </w:tc>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Lease liabilities</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40,786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43,584</w:t>
            </w:r>
          </w:p>
        </w:tc>
        <w:tc>
          <w:tcPr>
            <w:tcW w:w="8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Employee compensation and benefit plans</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20,602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17,438</w:t>
            </w: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Interest expense carryforwards</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7,901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19,028</w:t>
            </w:r>
          </w:p>
        </w:tc>
        <w:tc>
          <w:tcPr>
            <w:tcW w:w="8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Loss carryforwards</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2,928</w:t>
            </w: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w:t>
            </w:r>
          </w:p>
        </w:tc>
        <w:tc>
          <w:tcPr>
            <w:tcW w:w="16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3,066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2,558</w:t>
            </w:r>
          </w:p>
        </w:tc>
        <w:tc>
          <w:tcPr>
            <w:tcW w:w="80" w:type="dxa"/>
            <w:vAlign w:val="bottom"/>
            <w:shd w:val="clear" w:color="auto" w:fill="CFF0FC"/>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Subtotal</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85,536</w:t>
            </w:r>
          </w:p>
        </w:tc>
        <w:tc>
          <w:tcPr>
            <w:tcW w:w="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Less: valuation allowance</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deferred tax assets</w:t>
            </w:r>
          </w:p>
        </w:tc>
        <w:tc>
          <w:tcPr>
            <w:tcW w:w="160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121,956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85,536</w:t>
            </w:r>
          </w:p>
        </w:tc>
        <w:tc>
          <w:tcPr>
            <w:tcW w:w="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Intangible assets</w:t>
            </w:r>
          </w:p>
        </w:tc>
        <w:tc>
          <w:tcPr>
            <w:tcW w:w="17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(51,862)</w:t>
            </w:r>
          </w:p>
        </w:tc>
        <w:tc>
          <w:tcPr>
            <w:tcW w:w="30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(57,155)</w:t>
            </w:r>
          </w:p>
        </w:tc>
      </w:tr>
      <w:tr>
        <w:trPr>
          <w:trHeight w:val="153"/>
        </w:trPr>
        <w:tc>
          <w:tcPr>
            <w:tcW w:w="20" w:type="dxa"/>
            <w:vAlign w:val="bottom"/>
          </w:tcPr>
          <w:p>
            <w:pPr>
              <w:spacing w:after="0"/>
              <w:rPr>
                <w:sz w:val="13"/>
                <w:szCs w:val="13"/>
                <w:color w:val="auto"/>
              </w:rPr>
            </w:pPr>
          </w:p>
        </w:tc>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Right of use assets</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(35,634)</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(38,666)</w:t>
            </w:r>
          </w:p>
        </w:tc>
      </w:tr>
      <w:tr>
        <w:trPr>
          <w:trHeight w:val="142"/>
        </w:trPr>
        <w:tc>
          <w:tcPr>
            <w:tcW w:w="20" w:type="dxa"/>
            <w:vAlign w:val="bottom"/>
          </w:tcPr>
          <w:p>
            <w:pPr>
              <w:spacing w:after="0"/>
              <w:rPr>
                <w:sz w:val="12"/>
                <w:szCs w:val="12"/>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Property, equipment and leasehold</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improvements, net</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(20,197)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(20,531)</w:t>
            </w:r>
          </w:p>
        </w:tc>
      </w:tr>
      <w:tr>
        <w:trPr>
          <w:trHeight w:val="153"/>
        </w:trPr>
        <w:tc>
          <w:tcPr>
            <w:tcW w:w="20" w:type="dxa"/>
            <w:vAlign w:val="bottom"/>
          </w:tcPr>
          <w:p>
            <w:pPr>
              <w:spacing w:after="0"/>
              <w:rPr>
                <w:sz w:val="13"/>
                <w:szCs w:val="13"/>
                <w:color w:val="auto"/>
              </w:rPr>
            </w:pPr>
          </w:p>
        </w:tc>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Unremitted foreign earnings</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(1,279)</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(12,996)</w:t>
            </w:r>
          </w:p>
        </w:tc>
      </w:tr>
      <w:tr>
        <w:trPr>
          <w:trHeight w:val="153"/>
        </w:trPr>
        <w:tc>
          <w:tcPr>
            <w:tcW w:w="20" w:type="dxa"/>
            <w:vAlign w:val="bottom"/>
          </w:tcPr>
          <w:p>
            <w:pPr>
              <w:spacing w:after="0"/>
              <w:rPr>
                <w:sz w:val="13"/>
                <w:szCs w:val="13"/>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Unearned revenue</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(1,079)</w:t>
            </w:r>
          </w:p>
        </w:tc>
      </w:tr>
      <w:tr>
        <w:trPr>
          <w:trHeight w:val="153"/>
        </w:trPr>
        <w:tc>
          <w:tcPr>
            <w:tcW w:w="20" w:type="dxa"/>
            <w:vAlign w:val="bottom"/>
          </w:tcPr>
          <w:p>
            <w:pPr>
              <w:spacing w:after="0"/>
              <w:rPr>
                <w:sz w:val="13"/>
                <w:szCs w:val="13"/>
                <w:color w:val="auto"/>
              </w:rPr>
            </w:pPr>
          </w:p>
        </w:tc>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Other</w:t>
            </w:r>
          </w:p>
        </w:tc>
        <w:tc>
          <w:tcPr>
            <w:tcW w:w="1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(2,131)</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(837)</w:t>
            </w:r>
          </w:p>
        </w:tc>
      </w:tr>
      <w:tr>
        <w:trPr>
          <w:trHeight w:val="149"/>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160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(111,103)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(131,264)</w:t>
            </w:r>
          </w:p>
        </w:tc>
        <w:tc>
          <w:tcPr>
            <w:tcW w:w="8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deferred tax assets (deferred tax liabilities)</w:t>
            </w:r>
          </w:p>
        </w:tc>
        <w:tc>
          <w:tcPr>
            <w:tcW w:w="16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10,853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(45,728)</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60" w:lineRule="exact"/>
        <w:rPr>
          <w:sz w:val="20"/>
          <w:szCs w:val="20"/>
          <w:color w:val="auto"/>
        </w:rPr>
      </w:pPr>
    </w:p>
    <w:p>
      <w:pPr>
        <w:jc w:val="both"/>
        <w:ind w:right="80" w:firstLine="592"/>
        <w:spacing w:after="0" w:line="265" w:lineRule="auto"/>
        <w:rPr>
          <w:sz w:val="20"/>
          <w:szCs w:val="20"/>
          <w:color w:val="auto"/>
        </w:rPr>
      </w:pPr>
      <w:r>
        <w:rPr>
          <w:rFonts w:ascii="Times New Roman" w:cs="Times New Roman" w:eastAsia="Times New Roman" w:hAnsi="Times New Roman"/>
          <w:sz w:val="12"/>
          <w:szCs w:val="12"/>
          <w:color w:val="auto"/>
        </w:rPr>
        <w:t>As presented in the table above, the Company has certain loss and interest carryforward items. The tax value of the U.S. portion of the interest carryforward was $0.7 million and $13.2 million as of December 31, 2020 and December 31, 2019, respectively. The tax value of the non-U.S. portion of the interest carryforward was $7.2 million and $5.8 million as of December 31, 2020 and December 31, 2019, respectively. These carryforwards are subject to annual limitations on utilization over an indefinite life.</w:t>
      </w:r>
    </w:p>
    <w:p>
      <w:pPr>
        <w:spacing w:after="0" w:line="137" w:lineRule="exact"/>
        <w:rPr>
          <w:sz w:val="20"/>
          <w:szCs w:val="20"/>
          <w:color w:val="auto"/>
        </w:rPr>
      </w:pPr>
    </w:p>
    <w:p>
      <w:pPr>
        <w:jc w:val="both"/>
        <w:ind w:right="380" w:firstLine="592"/>
        <w:spacing w:after="0" w:line="265" w:lineRule="auto"/>
        <w:rPr>
          <w:sz w:val="20"/>
          <w:szCs w:val="20"/>
          <w:color w:val="auto"/>
        </w:rPr>
      </w:pPr>
      <w:r>
        <w:rPr>
          <w:rFonts w:ascii="Times New Roman" w:cs="Times New Roman" w:eastAsia="Times New Roman" w:hAnsi="Times New Roman"/>
          <w:sz w:val="12"/>
          <w:szCs w:val="12"/>
          <w:color w:val="auto"/>
        </w:rPr>
        <w:t>Net operating loss carryforwards in the U.S. were $8.7 million with a tax value of $1.8 million and $13.8 million with a tax value of $1.9 million as of December 31, 2020 and December 31, 2019, respectively. These carryforwards are subject to annual limitations and will begin to expire in 2026. The tax value of the non-U.S. portion of the net operating loss was $1.2 million and $1.0 million as of December 31, 2020 and December 31, 2019 respectively. These carryforwards are subject to annual limitations and will begin to expire in 2021.</w:t>
      </w:r>
    </w:p>
    <w:p>
      <w:pPr>
        <w:spacing w:after="0" w:line="173" w:lineRule="exact"/>
        <w:rPr>
          <w:sz w:val="20"/>
          <w:szCs w:val="20"/>
          <w:color w:val="auto"/>
        </w:rPr>
      </w:pPr>
    </w:p>
    <w:p>
      <w:pPr>
        <w:ind w:right="100" w:firstLine="592"/>
        <w:spacing w:after="0" w:line="279" w:lineRule="auto"/>
        <w:rPr>
          <w:sz w:val="20"/>
          <w:szCs w:val="20"/>
          <w:color w:val="auto"/>
        </w:rPr>
      </w:pPr>
      <w:r>
        <w:rPr>
          <w:rFonts w:ascii="Times New Roman" w:cs="Times New Roman" w:eastAsia="Times New Roman" w:hAnsi="Times New Roman"/>
          <w:sz w:val="12"/>
          <w:szCs w:val="12"/>
          <w:color w:val="auto"/>
        </w:rPr>
        <w:t>The Company believes the total deferred tax assets at December 31, 2020 are more likely than not to be realized based on expectations as to future taxable income in the jurisdictions in which it operates. The Company has determined that there is no requirement to establish a valuation allowance as of December 31, 2020.</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88" w:name="page89"/>
    <w:bookmarkEnd w:id="88"/>
    <w:p>
      <w:pPr>
        <w:ind w:left="588"/>
        <w:spacing w:after="0"/>
        <w:rPr>
          <w:sz w:val="20"/>
          <w:szCs w:val="20"/>
          <w:color w:val="auto"/>
        </w:rPr>
      </w:pPr>
      <w:r>
        <w:rPr>
          <w:rFonts w:ascii="Times New Roman" w:cs="Times New Roman" w:eastAsia="Times New Roman" w:hAnsi="Times New Roman"/>
          <w:sz w:val="12"/>
          <w:szCs w:val="12"/>
          <w:color w:val="auto"/>
        </w:rPr>
        <w:t>The following table presents changes in the Company’s deferred tax asset valuation allowance for the periods indicated:</w:t>
      </w:r>
    </w:p>
    <w:p>
      <w:pPr>
        <w:spacing w:after="0" w:line="198" w:lineRule="exact"/>
        <w:rPr>
          <w:sz w:val="20"/>
          <w:szCs w:val="20"/>
          <w:color w:val="auto"/>
        </w:rPr>
      </w:pPr>
    </w:p>
    <w:tbl>
      <w:tblPr>
        <w:tblLayout w:type="fixed"/>
        <w:tblInd w:w="1128"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0"/>
        </w:trPr>
        <w:tc>
          <w:tcPr>
            <w:tcW w:w="5340" w:type="dxa"/>
            <w:vAlign w:val="bottom"/>
          </w:tcPr>
          <w:p>
            <w:pPr>
              <w:spacing w:after="0"/>
              <w:rPr>
                <w:sz w:val="7"/>
                <w:szCs w:val="7"/>
                <w:color w:val="auto"/>
              </w:rPr>
            </w:pPr>
          </w:p>
        </w:tc>
        <w:tc>
          <w:tcPr>
            <w:tcW w:w="880" w:type="dxa"/>
            <w:vAlign w:val="bottom"/>
          </w:tcPr>
          <w:p>
            <w:pPr>
              <w:jc w:val="right"/>
              <w:ind w:right="29"/>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jc w:val="center"/>
              <w:ind w:left="17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jc w:val="right"/>
              <w:ind w:right="204"/>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r>
      <w:tr>
        <w:trPr>
          <w:trHeight w:val="115"/>
        </w:trPr>
        <w:tc>
          <w:tcPr>
            <w:tcW w:w="5340" w:type="dxa"/>
            <w:vAlign w:val="bottom"/>
          </w:tcPr>
          <w:p>
            <w:pPr>
              <w:spacing w:after="0"/>
              <w:rPr>
                <w:sz w:val="10"/>
                <w:szCs w:val="10"/>
                <w:color w:val="auto"/>
              </w:rPr>
            </w:pPr>
          </w:p>
        </w:tc>
        <w:tc>
          <w:tcPr>
            <w:tcW w:w="8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Pr>
          <w:p>
            <w:pPr>
              <w:spacing w:after="0"/>
              <w:rPr>
                <w:sz w:val="10"/>
                <w:szCs w:val="10"/>
                <w:color w:val="auto"/>
              </w:rPr>
            </w:pPr>
          </w:p>
        </w:tc>
      </w:tr>
      <w:tr>
        <w:trPr>
          <w:trHeight w:val="97"/>
        </w:trPr>
        <w:tc>
          <w:tcPr>
            <w:tcW w:w="5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center"/>
              <w:ind w:left="19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Beginning balance</w:t>
            </w:r>
          </w:p>
        </w:tc>
        <w:tc>
          <w:tcPr>
            <w:tcW w:w="880" w:type="dxa"/>
            <w:vAlign w:val="bottom"/>
            <w:shd w:val="clear" w:color="auto" w:fill="CFF0FC"/>
          </w:tcPr>
          <w:p>
            <w:pPr>
              <w:jc w:val="right"/>
              <w:ind w:right="76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11,575</w:t>
            </w:r>
          </w:p>
        </w:tc>
        <w:tc>
          <w:tcPr>
            <w:tcW w:w="80" w:type="dxa"/>
            <w:vAlign w:val="bottom"/>
            <w:shd w:val="clear" w:color="auto" w:fill="CFF0FC"/>
          </w:tcPr>
          <w:p>
            <w:pPr>
              <w:spacing w:after="0"/>
              <w:rPr>
                <w:sz w:val="13"/>
                <w:szCs w:val="13"/>
                <w:color w:val="auto"/>
              </w:rPr>
            </w:pPr>
          </w:p>
        </w:tc>
      </w:tr>
      <w:tr>
        <w:trPr>
          <w:trHeight w:val="153"/>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Additions charged to cost and expenses</w:t>
            </w:r>
          </w:p>
        </w:tc>
        <w:tc>
          <w:tcPr>
            <w:tcW w:w="88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3"/>
                <w:szCs w:val="13"/>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Deductions</w:t>
            </w:r>
          </w:p>
        </w:tc>
        <w:tc>
          <w:tcPr>
            <w:tcW w:w="880" w:type="dxa"/>
            <w:vAlign w:val="bottom"/>
            <w:shd w:val="clear" w:color="auto" w:fill="CFF0FC"/>
          </w:tcPr>
          <w:p>
            <w:pPr>
              <w:spacing w:after="0"/>
              <w:rPr>
                <w:sz w:val="13"/>
                <w:szCs w:val="13"/>
                <w:color w:val="auto"/>
              </w:rPr>
            </w:pPr>
          </w:p>
        </w:tc>
        <w:tc>
          <w:tcPr>
            <w:tcW w:w="4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w w:val="99"/>
              </w:rPr>
              <w:t>(632)</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(10,943)</w:t>
            </w:r>
          </w:p>
        </w:tc>
      </w:tr>
      <w:tr>
        <w:trPr>
          <w:trHeight w:val="149"/>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Ending balance</w:t>
            </w:r>
          </w:p>
        </w:tc>
        <w:tc>
          <w:tcPr>
            <w:tcW w:w="8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80" w:type="dxa"/>
            <w:vAlign w:val="bottom"/>
          </w:tcPr>
          <w:p>
            <w:pPr>
              <w:spacing w:after="0"/>
              <w:rPr>
                <w:sz w:val="12"/>
                <w:szCs w:val="12"/>
                <w:color w:val="auto"/>
              </w:rPr>
            </w:pPr>
          </w:p>
        </w:tc>
      </w:tr>
    </w:tbl>
    <w:p>
      <w:pPr>
        <w:spacing w:after="0" w:line="151"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The following table presents the components of income before provision for income taxes generated by domestic or foreign operations for the periods indicated:</w:t>
      </w:r>
    </w:p>
    <w:p>
      <w:pPr>
        <w:spacing w:after="0" w:line="198" w:lineRule="exact"/>
        <w:rPr>
          <w:sz w:val="20"/>
          <w:szCs w:val="20"/>
          <w:color w:val="auto"/>
        </w:rPr>
      </w:pPr>
    </w:p>
    <w:tbl>
      <w:tblPr>
        <w:tblLayout w:type="fixed"/>
        <w:tblInd w:w="1128"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0"/>
        </w:trPr>
        <w:tc>
          <w:tcPr>
            <w:tcW w:w="5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ind w:left="10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40" w:type="dxa"/>
            <w:vAlign w:val="bottom"/>
          </w:tcPr>
          <w:p>
            <w:pPr>
              <w:spacing w:after="0"/>
              <w:rPr>
                <w:sz w:val="7"/>
                <w:szCs w:val="7"/>
                <w:color w:val="auto"/>
              </w:rPr>
            </w:pPr>
          </w:p>
        </w:tc>
        <w:tc>
          <w:tcPr>
            <w:tcW w:w="1120" w:type="dxa"/>
            <w:vAlign w:val="bottom"/>
            <w:gridSpan w:val="2"/>
          </w:tcPr>
          <w:p>
            <w:pPr>
              <w:jc w:val="center"/>
              <w:ind w:right="36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60" w:type="dxa"/>
            <w:vAlign w:val="bottom"/>
          </w:tcPr>
          <w:p>
            <w:pPr>
              <w:spacing w:after="0"/>
              <w:rPr>
                <w:sz w:val="7"/>
                <w:szCs w:val="7"/>
                <w:color w:val="auto"/>
              </w:rPr>
            </w:pPr>
          </w:p>
        </w:tc>
        <w:tc>
          <w:tcPr>
            <w:tcW w:w="920" w:type="dxa"/>
            <w:vAlign w:val="bottom"/>
          </w:tcPr>
          <w:p>
            <w:pPr>
              <w:jc w:val="right"/>
              <w:ind w:right="205"/>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r>
      <w:tr>
        <w:trPr>
          <w:trHeight w:val="115"/>
        </w:trPr>
        <w:tc>
          <w:tcPr>
            <w:tcW w:w="5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Pr>
          <w:p>
            <w:pPr>
              <w:spacing w:after="0"/>
              <w:rPr>
                <w:sz w:val="10"/>
                <w:szCs w:val="10"/>
                <w:color w:val="auto"/>
              </w:rPr>
            </w:pPr>
          </w:p>
        </w:tc>
      </w:tr>
      <w:tr>
        <w:trPr>
          <w:trHeight w:val="114"/>
        </w:trPr>
        <w:tc>
          <w:tcPr>
            <w:tcW w:w="5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8"/>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Domestic</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353,049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351,177</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399,000</w:t>
            </w:r>
          </w:p>
        </w:tc>
        <w:tc>
          <w:tcPr>
            <w:tcW w:w="80" w:type="dxa"/>
            <w:vAlign w:val="bottom"/>
            <w:shd w:val="clear" w:color="auto" w:fill="CFF0FC"/>
          </w:tcPr>
          <w:p>
            <w:pPr>
              <w:spacing w:after="0"/>
              <w:rPr>
                <w:sz w:val="13"/>
                <w:szCs w:val="13"/>
                <w:color w:val="auto"/>
              </w:rPr>
            </w:pPr>
          </w:p>
        </w:tc>
      </w:tr>
      <w:tr>
        <w:trPr>
          <w:trHeight w:val="153"/>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 xml:space="preserve">Foreign </w:t>
            </w:r>
            <w:r>
              <w:rPr>
                <w:rFonts w:ascii="Times New Roman" w:cs="Times New Roman" w:eastAsia="Times New Roman" w:hAnsi="Times New Roman"/>
                <w:sz w:val="10"/>
                <w:szCs w:val="10"/>
                <w:color w:val="auto"/>
              </w:rPr>
              <w:t>(1)</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333,176</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252,141</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230,896</w:t>
            </w:r>
          </w:p>
        </w:tc>
        <w:tc>
          <w:tcPr>
            <w:tcW w:w="80" w:type="dxa"/>
            <w:vAlign w:val="bottom"/>
            <w:tcBorders>
              <w:bottom w:val="single" w:sz="8" w:color="CFF0FC"/>
            </w:tcBorders>
          </w:tcPr>
          <w:p>
            <w:pPr>
              <w:spacing w:after="0"/>
              <w:rPr>
                <w:sz w:val="13"/>
                <w:szCs w:val="13"/>
                <w:color w:val="auto"/>
              </w:rPr>
            </w:pPr>
          </w:p>
        </w:tc>
      </w:tr>
      <w:tr>
        <w:trPr>
          <w:trHeight w:val="149"/>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income before provision for income taxes</w:t>
            </w: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686,225</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603,318</w:t>
            </w: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629,896</w:t>
            </w:r>
          </w:p>
        </w:tc>
        <w:tc>
          <w:tcPr>
            <w:tcW w:w="8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99441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94410" cy="5715"/>
                    </a:xfrm>
                    <a:prstGeom prst="rect">
                      <a:avLst/>
                    </a:prstGeom>
                    <a:noFill/>
                  </pic:spPr>
                </pic:pic>
              </a:graphicData>
            </a:graphic>
          </wp:anchor>
        </w:drawing>
      </w:r>
    </w:p>
    <w:p>
      <w:pPr>
        <w:spacing w:after="0" w:line="95" w:lineRule="exact"/>
        <w:rPr>
          <w:sz w:val="20"/>
          <w:szCs w:val="20"/>
          <w:color w:val="auto"/>
        </w:rPr>
      </w:pPr>
    </w:p>
    <w:p>
      <w:pPr>
        <w:ind w:left="588" w:hanging="588"/>
        <w:spacing w:after="0"/>
        <w:tabs>
          <w:tab w:leader="none" w:pos="588" w:val="left"/>
        </w:tabs>
        <w:numPr>
          <w:ilvl w:val="0"/>
          <w:numId w:val="41"/>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Foreign income before provision for income taxes is defined as income generated from operations located outside the U.S., which includes income from foreign branches of U.S. companies.</w:t>
      </w:r>
    </w:p>
    <w:p>
      <w:pPr>
        <w:spacing w:after="0" w:line="159" w:lineRule="exact"/>
        <w:rPr>
          <w:sz w:val="20"/>
          <w:szCs w:val="20"/>
          <w:color w:val="auto"/>
        </w:rPr>
      </w:pPr>
    </w:p>
    <w:p>
      <w:pPr>
        <w:ind w:left="8" w:right="100" w:firstLine="592"/>
        <w:spacing w:after="0" w:line="279" w:lineRule="auto"/>
        <w:rPr>
          <w:sz w:val="20"/>
          <w:szCs w:val="20"/>
          <w:color w:val="auto"/>
        </w:rPr>
      </w:pPr>
      <w:r>
        <w:rPr>
          <w:rFonts w:ascii="Times New Roman" w:cs="Times New Roman" w:eastAsia="Times New Roman" w:hAnsi="Times New Roman"/>
          <w:sz w:val="12"/>
          <w:szCs w:val="12"/>
          <w:color w:val="auto"/>
        </w:rPr>
        <w:t>As of December 31, 2020, the Company is no longer maintaining the indefinite reinvestment assertion on the undistributed earnings in its India subsidiary accumulated after January 1, 2018. As of December 31, 2020, the Company has provided for applicable state income and foreign withholding taxes on all undistributed earnings on its foreign subsidiaries.</w:t>
      </w:r>
    </w:p>
    <w:p>
      <w:pPr>
        <w:spacing w:after="0" w:line="111" w:lineRule="exact"/>
        <w:rPr>
          <w:sz w:val="20"/>
          <w:szCs w:val="20"/>
          <w:color w:val="auto"/>
        </w:rPr>
      </w:pPr>
    </w:p>
    <w:p>
      <w:pPr>
        <w:ind w:left="8" w:firstLine="592"/>
        <w:spacing w:after="0" w:line="260" w:lineRule="auto"/>
        <w:rPr>
          <w:sz w:val="20"/>
          <w:szCs w:val="20"/>
          <w:color w:val="auto"/>
        </w:rPr>
      </w:pPr>
      <w:r>
        <w:rPr>
          <w:rFonts w:ascii="Times New Roman" w:cs="Times New Roman" w:eastAsia="Times New Roman" w:hAnsi="Times New Roman"/>
          <w:sz w:val="12"/>
          <w:szCs w:val="12"/>
          <w:color w:val="auto"/>
        </w:rPr>
        <w:t>The Company regularly assesses the likelihood of additional assessments in each of the taxing jurisdictions in which it files income tax returns. The Company has established unrecognized tax benefits that the Company believes are adequate in relation to the potential for additional assessments. Once established, the Company adjusts unrecognized tax benefits only when more information is available or when an event occurs necessitating a change. As part of the Company’s periodic review of unrecognized tax benefits and based on new information regarding the status of federal and state examinations, the Company’s unrecognized tax benefits are remeasured. Based on the current status of income tax audits, the total amount of unrecognized benefits may decrease by approximately $14.8 million in the next twelve months as a result of the resolution of tax examinations.</w:t>
      </w:r>
    </w:p>
    <w:p>
      <w:pPr>
        <w:spacing w:after="0" w:line="122" w:lineRule="exact"/>
        <w:rPr>
          <w:sz w:val="20"/>
          <w:szCs w:val="20"/>
          <w:color w:val="auto"/>
        </w:rPr>
      </w:pPr>
    </w:p>
    <w:p>
      <w:pPr>
        <w:ind w:left="8" w:right="500" w:firstLine="592"/>
        <w:spacing w:after="0" w:line="279" w:lineRule="auto"/>
        <w:rPr>
          <w:sz w:val="20"/>
          <w:szCs w:val="20"/>
          <w:color w:val="auto"/>
        </w:rPr>
      </w:pPr>
      <w:r>
        <w:rPr>
          <w:rFonts w:ascii="Times New Roman" w:cs="Times New Roman" w:eastAsia="Times New Roman" w:hAnsi="Times New Roman"/>
          <w:sz w:val="12"/>
          <w:szCs w:val="12"/>
          <w:color w:val="auto"/>
        </w:rPr>
        <w:t>The Company believes the resolution of tax matters will not have a material effect on the Consolidated Statement of Financial Condition of the Company, although a resolution could have a material impact on the Company’s Consolidated Statement of Income for a particular future period and on the Company’s effective tax rate for any period in which such resolution occurs.</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8"/>
          </w:cols>
          <w:pgMar w:left="292" w:top="300" w:right="339" w:bottom="1440" w:gutter="0" w:footer="0" w:header="0"/>
        </w:sectPr>
      </w:pPr>
    </w:p>
    <w:bookmarkStart w:id="89" w:name="page90"/>
    <w:bookmarkEnd w:id="89"/>
    <w:p>
      <w:pPr>
        <w:jc w:val="center"/>
        <w:ind w:right="-7"/>
        <w:spacing w:after="0"/>
        <w:rPr>
          <w:sz w:val="20"/>
          <w:szCs w:val="20"/>
          <w:color w:val="auto"/>
        </w:rPr>
      </w:pPr>
      <w:r>
        <w:rPr>
          <w:rFonts w:ascii="Times New Roman" w:cs="Times New Roman" w:eastAsia="Times New Roman" w:hAnsi="Times New Roman"/>
          <w:sz w:val="12"/>
          <w:szCs w:val="12"/>
          <w:color w:val="auto"/>
        </w:rPr>
        <w:t>The following table presents a reconciliation of the beginning and ending amount of the gross unrecognized tax benefits, excluding interest and penalties, for the years ended December 31, 2020, 2019 and 2018:</w:t>
      </w:r>
    </w:p>
    <w:p>
      <w:pPr>
        <w:spacing w:after="0" w:line="198" w:lineRule="exact"/>
        <w:rPr>
          <w:sz w:val="20"/>
          <w:szCs w:val="20"/>
          <w:color w:val="auto"/>
        </w:rPr>
      </w:pPr>
    </w:p>
    <w:tbl>
      <w:tblPr>
        <w:tblLayout w:type="fixed"/>
        <w:tblInd w:w="1128" w:type="dxa"/>
        <w:tblCellMar>
          <w:top w:w="0" w:type="dxa"/>
          <w:left w:w="0" w:type="dxa"/>
          <w:bottom w:w="0" w:type="dxa"/>
          <w:right w:w="0" w:type="dxa"/>
        </w:tblCellMar>
      </w:tblPr>
      <w:tr>
        <w:trPr>
          <w:trHeight w:val="115"/>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Gross unrecognized tax benefits</w:t>
            </w: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3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jc w:val="right"/>
              <w:ind w:right="48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40" w:type="dxa"/>
            <w:vAlign w:val="bottom"/>
          </w:tcPr>
          <w:p>
            <w:pPr>
              <w:spacing w:after="0"/>
              <w:rPr>
                <w:sz w:val="7"/>
                <w:szCs w:val="7"/>
                <w:color w:val="auto"/>
              </w:rPr>
            </w:pPr>
          </w:p>
        </w:tc>
        <w:tc>
          <w:tcPr>
            <w:tcW w:w="1120" w:type="dxa"/>
            <w:vAlign w:val="bottom"/>
            <w:gridSpan w:val="2"/>
          </w:tcPr>
          <w:p>
            <w:pPr>
              <w:jc w:val="center"/>
              <w:ind w:right="36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60" w:type="dxa"/>
            <w:vAlign w:val="bottom"/>
          </w:tcPr>
          <w:p>
            <w:pPr>
              <w:spacing w:after="0"/>
              <w:rPr>
                <w:sz w:val="7"/>
                <w:szCs w:val="7"/>
                <w:color w:val="auto"/>
              </w:rPr>
            </w:pPr>
          </w:p>
        </w:tc>
        <w:tc>
          <w:tcPr>
            <w:tcW w:w="920" w:type="dxa"/>
            <w:vAlign w:val="bottom"/>
          </w:tcPr>
          <w:p>
            <w:pPr>
              <w:jc w:val="right"/>
              <w:ind w:right="203"/>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Pr>
          <w:p>
            <w:pPr>
              <w:spacing w:after="0"/>
              <w:rPr>
                <w:sz w:val="10"/>
                <w:szCs w:val="10"/>
                <w:color w:val="auto"/>
              </w:rPr>
            </w:pPr>
          </w:p>
        </w:tc>
        <w:tc>
          <w:tcPr>
            <w:tcW w:w="900" w:type="dxa"/>
            <w:vAlign w:val="bottom"/>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Beginning balance</w:t>
            </w: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15,841</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14,091</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10,022</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Increases based on tax positions related to the</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current period</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Increases based on tax positions related to</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prior periods</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1,892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Decreases based on tax positions related to</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prior periods</w:t>
            </w:r>
          </w:p>
        </w:tc>
        <w:tc>
          <w:tcPr>
            <w:tcW w:w="1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(297)</w:t>
            </w:r>
          </w:p>
        </w:tc>
        <w:tc>
          <w:tcPr>
            <w:tcW w:w="0" w:type="dxa"/>
            <w:vAlign w:val="bottom"/>
          </w:tcPr>
          <w:p>
            <w:pPr>
              <w:spacing w:after="0"/>
              <w:rPr>
                <w:sz w:val="1"/>
                <w:szCs w:val="1"/>
                <w:color w:val="auto"/>
              </w:rPr>
            </w:pPr>
          </w:p>
        </w:tc>
      </w:tr>
      <w:tr>
        <w:trPr>
          <w:trHeight w:val="142"/>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Decreases related to settlements</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with taxing authorities</w:t>
            </w: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Decreases related to a lapse of</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applicable statute of limitations</w:t>
            </w:r>
          </w:p>
        </w:tc>
        <w:tc>
          <w:tcPr>
            <w:tcW w:w="16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(1,611)</w:t>
            </w:r>
          </w:p>
        </w:tc>
        <w:tc>
          <w:tcPr>
            <w:tcW w:w="14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(663)</w:t>
            </w:r>
          </w:p>
        </w:tc>
        <w:tc>
          <w:tcPr>
            <w:tcW w:w="16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(1,454)</w:t>
            </w:r>
          </w:p>
        </w:tc>
        <w:tc>
          <w:tcPr>
            <w:tcW w:w="0" w:type="dxa"/>
            <w:vAlign w:val="bottom"/>
          </w:tcPr>
          <w:p>
            <w:pPr>
              <w:spacing w:after="0"/>
              <w:rPr>
                <w:sz w:val="1"/>
                <w:szCs w:val="1"/>
                <w:color w:val="auto"/>
              </w:rPr>
            </w:pPr>
          </w:p>
        </w:tc>
      </w:tr>
      <w:tr>
        <w:trPr>
          <w:trHeight w:val="149"/>
        </w:trPr>
        <w:tc>
          <w:tcPr>
            <w:tcW w:w="53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Ending balance</w:t>
            </w:r>
          </w:p>
        </w:tc>
        <w:tc>
          <w:tcPr>
            <w:tcW w:w="16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16,621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15,841</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14,091</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 w:right="40" w:firstLine="592"/>
        <w:spacing w:after="0" w:line="256" w:lineRule="auto"/>
        <w:rPr>
          <w:sz w:val="20"/>
          <w:szCs w:val="20"/>
          <w:color w:val="auto"/>
        </w:rPr>
      </w:pPr>
      <w:r>
        <w:rPr>
          <w:rFonts w:ascii="Times New Roman" w:cs="Times New Roman" w:eastAsia="Times New Roman" w:hAnsi="Times New Roman"/>
          <w:sz w:val="12"/>
          <w:szCs w:val="12"/>
          <w:color w:val="auto"/>
        </w:rPr>
        <w:t>The total amount of unrecognized tax benefits was $16.6 million, $15.8 million and $13.8 million, net of federal benefit of state issues, competent authority and foreign tax credit offsets, as of December 31, 2020, 2019 and 2018, respectively, which, if recognized, would favorably affect the effective tax rate in future periods. The Company recognizes the accrual of interest and penalties related to unrecognized tax benefits in the “Provision for income taxes” in the Consolidated Statement of Income. For the years ended December 31, 2020, 2019 and 2018, the Company recognized zero, $0.4 million and $0.2 million, respectively, of interest in the Consolidated Statement of Income with respect to unrecognized tax benefits. Penalties of $0.4 million were recognized in the Consolidated Statement of Income and the Consolidated Statement of Financial Position for the year ended December 31, 2020. No penalties were recognized in the Consolidated Statement of Income and the Consolidated Statement of Financial Position for the years ended December 31, 2019 and 2018. The amount of accrued interest, which includes interest related to uncertain tax positions and accrued income tax expense, recorded on the Consolidated Statement of Financial Condition as of December 31, 2020, 2019 and 2018 was $0.9 million.</w:t>
      </w:r>
    </w:p>
    <w:p>
      <w:pPr>
        <w:spacing w:after="0" w:line="125" w:lineRule="exact"/>
        <w:rPr>
          <w:sz w:val="20"/>
          <w:szCs w:val="20"/>
          <w:color w:val="auto"/>
        </w:rPr>
      </w:pPr>
    </w:p>
    <w:p>
      <w:pPr>
        <w:ind w:left="8" w:right="220" w:firstLine="592"/>
        <w:spacing w:after="0" w:line="279" w:lineRule="auto"/>
        <w:rPr>
          <w:sz w:val="20"/>
          <w:szCs w:val="20"/>
          <w:color w:val="auto"/>
        </w:rPr>
      </w:pPr>
      <w:r>
        <w:rPr>
          <w:rFonts w:ascii="Times New Roman" w:cs="Times New Roman" w:eastAsia="Times New Roman" w:hAnsi="Times New Roman"/>
          <w:sz w:val="12"/>
          <w:szCs w:val="12"/>
          <w:color w:val="auto"/>
        </w:rPr>
        <w:t>The Company is under examination by the IRS and other tax authorities in certain jurisdictions, including foreign jurisdictions, such as the United Kingdom, Switzerland and India, and states within the United States in which the Company has significant operations, such as New York. The tax years currently under examination vary by jurisdiction but include years ranging from 2007 through 2019.</w:t>
      </w:r>
    </w:p>
    <w:p>
      <w:pPr>
        <w:spacing w:after="0" w:line="206" w:lineRule="exact"/>
        <w:rPr>
          <w:sz w:val="20"/>
          <w:szCs w:val="20"/>
          <w:color w:val="auto"/>
        </w:rPr>
      </w:pPr>
    </w:p>
    <w:p>
      <w:pPr>
        <w:ind w:left="288" w:right="10040" w:hanging="288"/>
        <w:spacing w:after="0" w:line="422" w:lineRule="auto"/>
        <w:tabs>
          <w:tab w:leader="none" w:pos="172" w:val="left"/>
        </w:tabs>
        <w:numPr>
          <w:ilvl w:val="0"/>
          <w:numId w:val="4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DIVESTITURES </w:t>
      </w:r>
      <w:r>
        <w:rPr>
          <w:rFonts w:ascii="Times New Roman" w:cs="Times New Roman" w:eastAsia="Times New Roman" w:hAnsi="Times New Roman"/>
          <w:sz w:val="11"/>
          <w:szCs w:val="11"/>
          <w:b w:val="1"/>
          <w:bCs w:val="1"/>
          <w:i w:val="1"/>
          <w:iCs w:val="1"/>
          <w:color w:val="auto"/>
        </w:rPr>
        <w:t>Divestiture of FEA</w:t>
      </w:r>
    </w:p>
    <w:p>
      <w:pPr>
        <w:ind w:left="8" w:firstLine="592"/>
        <w:spacing w:after="0" w:line="265" w:lineRule="auto"/>
        <w:rPr>
          <w:sz w:val="20"/>
          <w:szCs w:val="20"/>
          <w:color w:val="auto"/>
        </w:rPr>
      </w:pPr>
      <w:r>
        <w:rPr>
          <w:rFonts w:ascii="Times New Roman" w:cs="Times New Roman" w:eastAsia="Times New Roman" w:hAnsi="Times New Roman"/>
          <w:sz w:val="12"/>
          <w:szCs w:val="12"/>
          <w:color w:val="auto"/>
        </w:rPr>
        <w:t>On April 9, 2018, MSCI completed the FEA divestiture for $21.0 million in cash. The sale included $2.9 million of goodwill, $2.7 million of fully amortized identifiable intangible assets, $6.1 million of other net assets and $1.4 million of transaction costs, which resulted in a gain of $10.6 million included in “Other expense (income)” within the Consolidated Statement of Income. FEA was included as a component of the Analytics segment through the date of divestiture. The results of operations from FEA were not material to the Company.</w:t>
      </w:r>
    </w:p>
    <w:p>
      <w:pPr>
        <w:spacing w:after="0" w:line="11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8"/>
          </w:cols>
          <w:pgMar w:left="292" w:top="417" w:right="339" w:bottom="1440" w:gutter="0" w:footer="0" w:header="0"/>
        </w:sectPr>
      </w:pPr>
    </w:p>
    <w:bookmarkStart w:id="90" w:name="page91"/>
    <w:bookmarkEnd w:id="90"/>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Divestiture of InvestorForce</w:t>
      </w:r>
    </w:p>
    <w:p>
      <w:pPr>
        <w:spacing w:after="0" w:line="82" w:lineRule="exact"/>
        <w:rPr>
          <w:sz w:val="20"/>
          <w:szCs w:val="20"/>
          <w:color w:val="auto"/>
        </w:rPr>
      </w:pPr>
    </w:p>
    <w:p>
      <w:pPr>
        <w:ind w:right="60" w:firstLine="592"/>
        <w:spacing w:after="0" w:line="265" w:lineRule="auto"/>
        <w:rPr>
          <w:sz w:val="20"/>
          <w:szCs w:val="20"/>
          <w:color w:val="auto"/>
        </w:rPr>
      </w:pPr>
      <w:r>
        <w:rPr>
          <w:rFonts w:ascii="Times New Roman" w:cs="Times New Roman" w:eastAsia="Times New Roman" w:hAnsi="Times New Roman"/>
          <w:sz w:val="12"/>
          <w:szCs w:val="12"/>
          <w:color w:val="auto"/>
        </w:rPr>
        <w:t>On October 12, 2018, the Company completed the InvestorForce divestiture for $62.0 million in cash plus an additional $0.8 million for working capital adjustment, $8.7 million of allocated goodwill, $4.0 million of identifiable intangible assets, net of accumulated amortization, $0.7 million of other net assets and $2.8 million of transaction costs, which resulted in a gain of approximately $46.6 million included in “Other expense (income)” within the Consolidated Statement of Income. InvestorForce was included as a component of the Analytics segment through the date of divestiture. The results of operations from InvestorForce were not material to 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SEGMENT INFORMATION</w:t>
      </w:r>
    </w:p>
    <w:p>
      <w:pPr>
        <w:spacing w:after="0" w:line="80" w:lineRule="exact"/>
        <w:rPr>
          <w:sz w:val="20"/>
          <w:szCs w:val="20"/>
          <w:color w:val="auto"/>
        </w:rPr>
      </w:pPr>
    </w:p>
    <w:p>
      <w:pPr>
        <w:ind w:right="20" w:firstLine="592"/>
        <w:spacing w:after="0" w:line="266" w:lineRule="auto"/>
        <w:rPr>
          <w:sz w:val="20"/>
          <w:szCs w:val="20"/>
          <w:color w:val="auto"/>
        </w:rPr>
      </w:pPr>
      <w:r>
        <w:rPr>
          <w:rFonts w:ascii="Times New Roman" w:cs="Times New Roman" w:eastAsia="Times New Roman" w:hAnsi="Times New Roman"/>
          <w:sz w:val="12"/>
          <w:szCs w:val="12"/>
          <w:color w:val="auto"/>
        </w:rPr>
        <w:t xml:space="preserve">ASC Subtopic 280-10, </w:t>
      </w:r>
      <w:r>
        <w:rPr>
          <w:rFonts w:ascii="Times New Roman" w:cs="Times New Roman" w:eastAsia="Times New Roman" w:hAnsi="Times New Roman"/>
          <w:sz w:val="12"/>
          <w:szCs w:val="12"/>
          <w:i w:val="1"/>
          <w:iCs w:val="1"/>
          <w:color w:val="auto"/>
        </w:rPr>
        <w:t>“Segment Reporting,”</w:t>
      </w:r>
      <w:r>
        <w:rPr>
          <w:rFonts w:ascii="Times New Roman" w:cs="Times New Roman" w:eastAsia="Times New Roman" w:hAnsi="Times New Roman"/>
          <w:sz w:val="12"/>
          <w:szCs w:val="12"/>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or CODM, in deciding how to allocate resources and assess performance. MSCI’s Chief Executive Officer and its President and Chief Operating Officer, who are together considered to be its CODM, review financial information presented on an operating segment basis for purposes of making operating decisions and assessing financial performance.</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CODM measures and evaluates reportable segments based on segment operating revenues as well as Adjusted EBITDA and other measures. The Company excludes the following items from segment Adjusted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EBITDA: provision for income taxes, other expense (income), net, depreciation and amortization of property, equipment and leasehold improvements, amortization of intangible assets and, at times, certain other transactions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adjustments, including the impact related to the vesting of multi-year restricted stock units granted in 2016 to certain senior executives that are subject to the achievement of multi-year total shareholder return targets, which 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performance targets with a market condition (the “2016 Multi-Year PSUs”), that the CODM does not consider for the purposes of making decisions to allocate resources among segments or to assess segment performance. Although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amounts are excluded from segment Adjusted EBITDA, they are included in reported consolidated net income and are included in the reconciliation that follows.</w:t>
      </w:r>
    </w:p>
    <w:p>
      <w:pPr>
        <w:spacing w:after="0" w:line="139" w:lineRule="exact"/>
        <w:rPr>
          <w:sz w:val="20"/>
          <w:szCs w:val="20"/>
          <w:color w:val="auto"/>
        </w:rPr>
      </w:pPr>
    </w:p>
    <w:p>
      <w:pPr>
        <w:ind w:firstLine="592"/>
        <w:spacing w:after="0" w:line="279" w:lineRule="auto"/>
        <w:rPr>
          <w:sz w:val="20"/>
          <w:szCs w:val="20"/>
          <w:color w:val="auto"/>
        </w:rPr>
      </w:pPr>
      <w:r>
        <w:rPr>
          <w:rFonts w:ascii="Times New Roman" w:cs="Times New Roman" w:eastAsia="Times New Roman" w:hAnsi="Times New Roman"/>
          <w:sz w:val="12"/>
          <w:szCs w:val="12"/>
          <w:color w:val="auto"/>
        </w:rPr>
        <w:t>The Company’s computation of segment Adjusted EBITDA may not be comparable to other similarly-titled measures computed by other companies because all companies do not calculate segment Adjusted EBITDA in the same fashion.</w:t>
      </w:r>
    </w:p>
    <w:p>
      <w:pPr>
        <w:spacing w:after="0" w:line="111" w:lineRule="exact"/>
        <w:rPr>
          <w:sz w:val="20"/>
          <w:szCs w:val="20"/>
          <w:color w:val="auto"/>
        </w:rPr>
      </w:pPr>
    </w:p>
    <w:p>
      <w:pPr>
        <w:jc w:val="both"/>
        <w:ind w:right="200" w:firstLine="592"/>
        <w:spacing w:after="0" w:line="265" w:lineRule="auto"/>
        <w:rPr>
          <w:sz w:val="20"/>
          <w:szCs w:val="20"/>
          <w:color w:val="auto"/>
        </w:rPr>
      </w:pPr>
      <w:r>
        <w:rPr>
          <w:rFonts w:ascii="Times New Roman" w:cs="Times New Roman" w:eastAsia="Times New Roman" w:hAnsi="Times New Roman"/>
          <w:sz w:val="12"/>
          <w:szCs w:val="12"/>
          <w:color w:val="auto"/>
        </w:rPr>
        <w:t>Operating revenues and expenses directly associated with each segment are included in determining its operating results. Other expenses that are not directly attributable to a particular segment are based upon allocation methodologies, including time estimates, revenue, headcount, sales targets, data center consumption and other relevant usage measures. Due to the integrated structure of MSCI’s business, certain costs incurred by one segment may benefit other segments. A segment may use the content and data produced by another segment without incurring an arm’s-length intersegment charge.</w:t>
      </w:r>
    </w:p>
    <w:p>
      <w:pPr>
        <w:spacing w:after="0" w:line="119" w:lineRule="exact"/>
        <w:rPr>
          <w:sz w:val="20"/>
          <w:szCs w:val="20"/>
          <w:color w:val="auto"/>
        </w:rPr>
      </w:pPr>
    </w:p>
    <w:p>
      <w:pPr>
        <w:jc w:val="both"/>
        <w:ind w:right="180" w:firstLine="592"/>
        <w:spacing w:after="0" w:line="279" w:lineRule="auto"/>
        <w:rPr>
          <w:sz w:val="20"/>
          <w:szCs w:val="20"/>
          <w:color w:val="auto"/>
        </w:rPr>
      </w:pPr>
      <w:r>
        <w:rPr>
          <w:rFonts w:ascii="Times New Roman" w:cs="Times New Roman" w:eastAsia="Times New Roman" w:hAnsi="Times New Roman"/>
          <w:sz w:val="12"/>
          <w:szCs w:val="12"/>
          <w:color w:val="auto"/>
        </w:rPr>
        <w:t>The CODM does not review any information regarding total assets on an operating segment basis. Operating segments do not record intersegment revenues, and, accordingly, there is none to be reported. The accounting policies for segment reporting are the same as for MSCI as a whole.</w:t>
      </w:r>
    </w:p>
    <w:p>
      <w:pPr>
        <w:spacing w:after="0" w:line="1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Company has five operating segments: Index, Analytics, ESG, Real Estate and The Burgiss Group, LLC (“Burgiss”).</w:t>
      </w:r>
    </w:p>
    <w:p>
      <w:pPr>
        <w:spacing w:after="0" w:line="150" w:lineRule="exact"/>
        <w:rPr>
          <w:sz w:val="20"/>
          <w:szCs w:val="20"/>
          <w:color w:val="auto"/>
        </w:rPr>
      </w:pPr>
    </w:p>
    <w:p>
      <w:pPr>
        <w:jc w:val="both"/>
        <w:ind w:right="180" w:firstLine="592"/>
        <w:spacing w:after="0" w:line="279" w:lineRule="auto"/>
        <w:rPr>
          <w:sz w:val="20"/>
          <w:szCs w:val="20"/>
          <w:color w:val="auto"/>
        </w:rPr>
      </w:pPr>
      <w:r>
        <w:rPr>
          <w:rFonts w:ascii="Times New Roman" w:cs="Times New Roman" w:eastAsia="Times New Roman" w:hAnsi="Times New Roman"/>
          <w:sz w:val="12"/>
          <w:szCs w:val="12"/>
          <w:color w:val="auto"/>
        </w:rPr>
        <w:t>The Index operating segment is a provider of primarily equity indexes. The indexes are used in many areas of the investment process, including for indexed product creation (e.g., ETFs, mutual funds, annuities, futures, options, structured products, over-the-counter derivatives), performance benchmarking, portfolio construction and rebalancing, and asset allocation.</w:t>
      </w:r>
    </w:p>
    <w:p>
      <w:pPr>
        <w:spacing w:after="0" w:line="111" w:lineRule="exact"/>
        <w:rPr>
          <w:sz w:val="20"/>
          <w:szCs w:val="20"/>
          <w:color w:val="auto"/>
        </w:rPr>
      </w:pPr>
    </w:p>
    <w:p>
      <w:pPr>
        <w:ind w:right="40" w:firstLine="592"/>
        <w:spacing w:after="0" w:line="260" w:lineRule="auto"/>
        <w:rPr>
          <w:sz w:val="20"/>
          <w:szCs w:val="20"/>
          <w:color w:val="auto"/>
        </w:rPr>
      </w:pPr>
      <w:r>
        <w:rPr>
          <w:rFonts w:ascii="Times New Roman" w:cs="Times New Roman" w:eastAsia="Times New Roman" w:hAnsi="Times New Roman"/>
          <w:sz w:val="12"/>
          <w:szCs w:val="12"/>
          <w:color w:val="auto"/>
        </w:rPr>
        <w:t>The Analytics operating segment offers risk management, performance attribution and portfolio management content, applications and services that provide clients with an integrated view of risk and return and tools for analyzing market, credit, liquidity and counterparty risk across all major asset classes, spanning short-, medium- and long-term time horizons. Clients access our Analytics tools and content through MSCI’s proprietary applications and application programming interfaces, third-party applications or directly through their own platforms. Additionally, the Analytics operating segment also provides various managed services to help clients operate more efficiently, including consolidation of client portfolio data from various sources, review and reconciliation of input data and results, and customized reporting.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91" w:name="page92"/>
    <w:bookmarkEnd w:id="91"/>
    <w:p>
      <w:pPr>
        <w:jc w:val="both"/>
        <w:ind w:right="160" w:firstLine="592"/>
        <w:spacing w:after="0" w:line="265" w:lineRule="auto"/>
        <w:rPr>
          <w:sz w:val="20"/>
          <w:szCs w:val="20"/>
          <w:color w:val="auto"/>
        </w:rPr>
      </w:pPr>
      <w:r>
        <w:rPr>
          <w:rFonts w:ascii="Times New Roman" w:cs="Times New Roman" w:eastAsia="Times New Roman" w:hAnsi="Times New Roman"/>
          <w:sz w:val="12"/>
          <w:szCs w:val="12"/>
          <w:color w:val="auto"/>
        </w:rPr>
        <w:t>The ESG operating segment offers products and services that help institutional investors understand how ESG and climate considerations can impact the long-term risks and opportunities in financial markets. In addition, MSCI ESG Research data and ratings are used in the construction of equity and fixed income indexes from our Index operating segment to help institutional investors more effectively benchmark ESG investment performance, issue indexed investment products, as well as manage, measure and report on ESG mandates.</w:t>
      </w:r>
    </w:p>
    <w:p>
      <w:pPr>
        <w:spacing w:after="0" w:line="119" w:lineRule="exact"/>
        <w:rPr>
          <w:sz w:val="20"/>
          <w:szCs w:val="20"/>
          <w:color w:val="auto"/>
        </w:rPr>
      </w:pPr>
    </w:p>
    <w:p>
      <w:pPr>
        <w:ind w:right="280" w:firstLine="592"/>
        <w:spacing w:after="0" w:line="279" w:lineRule="auto"/>
        <w:rPr>
          <w:sz w:val="20"/>
          <w:szCs w:val="20"/>
          <w:color w:val="auto"/>
        </w:rPr>
      </w:pPr>
      <w:r>
        <w:rPr>
          <w:rFonts w:ascii="Times New Roman" w:cs="Times New Roman" w:eastAsia="Times New Roman" w:hAnsi="Times New Roman"/>
          <w:sz w:val="12"/>
          <w:szCs w:val="12"/>
          <w:color w:val="auto"/>
        </w:rPr>
        <w:t>The Real Estate operating segment offers research, reporting, market data and benchmarking offerings that provide real estate performance analytics for funds, investors and managers. Real Estate performance and risk analytics range from enterprise-wide to property-specific analysis. The Real Estate operating segment also provides business intelligence to real estate owners, managers, developers and brokers worldwide.</w:t>
      </w:r>
    </w:p>
    <w:p>
      <w:pPr>
        <w:spacing w:after="0" w:line="111" w:lineRule="exact"/>
        <w:rPr>
          <w:sz w:val="20"/>
          <w:szCs w:val="20"/>
          <w:color w:val="auto"/>
        </w:rPr>
      </w:pPr>
    </w:p>
    <w:p>
      <w:pPr>
        <w:ind w:right="320" w:firstLine="592"/>
        <w:spacing w:after="0" w:line="279" w:lineRule="auto"/>
        <w:rPr>
          <w:sz w:val="20"/>
          <w:szCs w:val="20"/>
          <w:color w:val="auto"/>
        </w:rPr>
      </w:pPr>
      <w:r>
        <w:rPr>
          <w:rFonts w:ascii="Times New Roman" w:cs="Times New Roman" w:eastAsia="Times New Roman" w:hAnsi="Times New Roman"/>
          <w:sz w:val="12"/>
          <w:szCs w:val="12"/>
          <w:color w:val="auto"/>
        </w:rPr>
        <w:t>The Burgiss operating segment represents the Company’s equity method investment in Burgiss, a global provider of investment decision support tools for private capital. See Note 14, “Equity Method Investment,” for further information.</w:t>
      </w:r>
    </w:p>
    <w:p>
      <w:pPr>
        <w:spacing w:after="0" w:line="111" w:lineRule="exact"/>
        <w:rPr>
          <w:sz w:val="20"/>
          <w:szCs w:val="20"/>
          <w:color w:val="auto"/>
        </w:rPr>
      </w:pPr>
    </w:p>
    <w:p>
      <w:pPr>
        <w:ind w:right="20" w:firstLine="592"/>
        <w:spacing w:after="0" w:line="265" w:lineRule="auto"/>
        <w:rPr>
          <w:sz w:val="20"/>
          <w:szCs w:val="20"/>
          <w:color w:val="auto"/>
        </w:rPr>
      </w:pPr>
      <w:r>
        <w:rPr>
          <w:rFonts w:ascii="Times New Roman" w:cs="Times New Roman" w:eastAsia="Times New Roman" w:hAnsi="Times New Roman"/>
          <w:sz w:val="12"/>
          <w:szCs w:val="12"/>
          <w:color w:val="auto"/>
        </w:rPr>
        <w:t>The operating segments of ESG, Real Estate and Burgiss do not individually meet the segment reporting thresholds and have been combined and presented as part of All Other for disclosure purposes. Burgiss is an equity-method investment, therefore, the All Other segment does not include the Company’s proportionate share of operating revenues and Adjusted EBITDA related to Burgiss. The Company’s proportionate share of Burgiss’s equity earnings is not a component of Adjusted EBITDA as it is reported as a component of other (expense) income, net.</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following table presents operating revenues by reportable segment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90"/>
        </w:trPr>
        <w:tc>
          <w:tcPr>
            <w:tcW w:w="11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jc w:val="center"/>
              <w:ind w:right="380"/>
              <w:spacing w:after="0" w:line="9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120" w:type="dxa"/>
            <w:vAlign w:val="bottom"/>
          </w:tcPr>
          <w:p>
            <w:pPr>
              <w:spacing w:after="0"/>
              <w:rPr>
                <w:sz w:val="7"/>
                <w:szCs w:val="7"/>
                <w:color w:val="auto"/>
              </w:rPr>
            </w:pPr>
          </w:p>
        </w:tc>
        <w:tc>
          <w:tcPr>
            <w:tcW w:w="1140" w:type="dxa"/>
            <w:vAlign w:val="bottom"/>
            <w:gridSpan w:val="2"/>
          </w:tcPr>
          <w:p>
            <w:pPr>
              <w:jc w:val="center"/>
              <w:ind w:right="34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60" w:type="dxa"/>
            <w:vAlign w:val="bottom"/>
          </w:tcPr>
          <w:p>
            <w:pPr>
              <w:spacing w:after="0"/>
              <w:rPr>
                <w:sz w:val="7"/>
                <w:szCs w:val="7"/>
                <w:color w:val="auto"/>
              </w:rPr>
            </w:pPr>
          </w:p>
        </w:tc>
        <w:tc>
          <w:tcPr>
            <w:tcW w:w="920" w:type="dxa"/>
            <w:vAlign w:val="bottom"/>
          </w:tcPr>
          <w:p>
            <w:pPr>
              <w:jc w:val="center"/>
              <w:ind w:right="103"/>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15"/>
        </w:trPr>
        <w:tc>
          <w:tcPr>
            <w:tcW w:w="11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0"/>
                <w:szCs w:val="10"/>
                <w:b w:val="1"/>
                <w:bCs w:val="1"/>
                <w:color w:val="auto"/>
                <w:w w:val="89"/>
              </w:rPr>
              <w:t>2018</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97"/>
        </w:trPr>
        <w:tc>
          <w:tcPr>
            <w:tcW w:w="11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jc w:val="right"/>
              <w:ind w:right="244"/>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53"/>
        </w:trPr>
        <w:tc>
          <w:tcPr>
            <w:tcW w:w="1120" w:type="dxa"/>
            <w:vAlign w:val="bottom"/>
          </w:tcPr>
          <w:p>
            <w:pPr>
              <w:spacing w:after="0"/>
              <w:rPr>
                <w:sz w:val="13"/>
                <w:szCs w:val="13"/>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Operating revenues</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Index</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1,016,495</w:t>
            </w:r>
          </w:p>
        </w:tc>
        <w:tc>
          <w:tcPr>
            <w:tcW w:w="2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920,937</w:t>
            </w:r>
          </w:p>
        </w:tc>
        <w:tc>
          <w:tcPr>
            <w:tcW w:w="20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835,475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Analytics</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513,808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496,925</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479,939</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53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2"/>
                <w:szCs w:val="12"/>
                <w:color w:val="auto"/>
              </w:rPr>
              <w:t>All Other</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165,087</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139,934</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118,570</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1120" w:type="dxa"/>
            <w:vAlign w:val="bottom"/>
          </w:tcPr>
          <w:p>
            <w:pPr>
              <w:spacing w:after="0"/>
              <w:rPr>
                <w:sz w:val="14"/>
                <w:szCs w:val="14"/>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1,695,390</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1,557,796</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1,433,984</w:t>
            </w: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Pr>
          <w:p>
            <w:pPr>
              <w:spacing w:after="0"/>
              <w:rPr>
                <w:sz w:val="14"/>
                <w:szCs w:val="14"/>
                <w:color w:val="auto"/>
              </w:rPr>
            </w:pPr>
          </w:p>
        </w:tc>
      </w:tr>
      <w:tr>
        <w:trPr>
          <w:trHeight w:val="302"/>
        </w:trPr>
        <w:tc>
          <w:tcPr>
            <w:tcW w:w="64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The following table presents segment profitability and a reconciliation to net income for the periods indicated: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1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0"/>
        </w:trPr>
        <w:tc>
          <w:tcPr>
            <w:tcW w:w="11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jc w:val="center"/>
              <w:ind w:right="380"/>
              <w:spacing w:after="0" w:line="9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120" w:type="dxa"/>
            <w:vAlign w:val="bottom"/>
          </w:tcPr>
          <w:p>
            <w:pPr>
              <w:spacing w:after="0"/>
              <w:rPr>
                <w:sz w:val="7"/>
                <w:szCs w:val="7"/>
                <w:color w:val="auto"/>
              </w:rPr>
            </w:pPr>
          </w:p>
        </w:tc>
        <w:tc>
          <w:tcPr>
            <w:tcW w:w="1140" w:type="dxa"/>
            <w:vAlign w:val="bottom"/>
            <w:gridSpan w:val="2"/>
          </w:tcPr>
          <w:p>
            <w:pPr>
              <w:jc w:val="center"/>
              <w:ind w:right="34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60" w:type="dxa"/>
            <w:vAlign w:val="bottom"/>
          </w:tcPr>
          <w:p>
            <w:pPr>
              <w:spacing w:after="0"/>
              <w:rPr>
                <w:sz w:val="7"/>
                <w:szCs w:val="7"/>
                <w:color w:val="auto"/>
              </w:rPr>
            </w:pPr>
          </w:p>
        </w:tc>
        <w:tc>
          <w:tcPr>
            <w:tcW w:w="920" w:type="dxa"/>
            <w:vAlign w:val="bottom"/>
          </w:tcPr>
          <w:p>
            <w:pPr>
              <w:jc w:val="center"/>
              <w:ind w:right="103"/>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15"/>
        </w:trPr>
        <w:tc>
          <w:tcPr>
            <w:tcW w:w="11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0"/>
                <w:szCs w:val="10"/>
                <w:b w:val="1"/>
                <w:bCs w:val="1"/>
                <w:color w:val="auto"/>
                <w:w w:val="89"/>
              </w:rPr>
              <w:t>2018</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97"/>
        </w:trPr>
        <w:tc>
          <w:tcPr>
            <w:tcW w:w="11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jc w:val="right"/>
              <w:ind w:right="244"/>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53"/>
        </w:trPr>
        <w:tc>
          <w:tcPr>
            <w:tcW w:w="1120" w:type="dxa"/>
            <w:vAlign w:val="bottom"/>
          </w:tcPr>
          <w:p>
            <w:pPr>
              <w:spacing w:after="0"/>
              <w:rPr>
                <w:sz w:val="13"/>
                <w:szCs w:val="13"/>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Index Adjusted EBITDA</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766,493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670,188</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607,853</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Analytics Adjusted EBITDA</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172,924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152,113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143,645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All Other Adjusted EBITDA</w:t>
            </w:r>
          </w:p>
        </w:tc>
        <w:tc>
          <w:tcPr>
            <w:tcW w:w="1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32,093</w:t>
            </w: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28,198</w:t>
            </w:r>
          </w:p>
        </w:tc>
        <w:tc>
          <w:tcPr>
            <w:tcW w:w="2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20,935</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1120" w:type="dxa"/>
            <w:vAlign w:val="bottom"/>
          </w:tcPr>
          <w:p>
            <w:pPr>
              <w:spacing w:after="0"/>
              <w:rPr>
                <w:sz w:val="12"/>
                <w:szCs w:val="1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segment profitability</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971,510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850,499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772,433</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1120" w:type="dxa"/>
            <w:vAlign w:val="bottom"/>
          </w:tcPr>
          <w:p>
            <w:pPr>
              <w:spacing w:after="0"/>
              <w:rPr>
                <w:sz w:val="13"/>
                <w:szCs w:val="13"/>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2016 Multi-Year PSUs grant payroll tax expense</w:t>
            </w: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15,389</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56,941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49,410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54,189</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1120" w:type="dxa"/>
            <w:vAlign w:val="bottom"/>
          </w:tcPr>
          <w:p>
            <w:pPr>
              <w:spacing w:after="0"/>
              <w:rPr>
                <w:sz w:val="12"/>
                <w:szCs w:val="12"/>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Depreciation and amortization of property,</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tcPr>
          <w:p>
            <w:pPr>
              <w:spacing w:after="0"/>
              <w:rPr>
                <w:sz w:val="12"/>
                <w:szCs w:val="12"/>
                <w:color w:val="auto"/>
              </w:rPr>
            </w:pPr>
          </w:p>
        </w:tc>
      </w:tr>
      <w:tr>
        <w:trPr>
          <w:trHeight w:val="155"/>
        </w:trPr>
        <w:tc>
          <w:tcPr>
            <w:tcW w:w="1120" w:type="dxa"/>
            <w:vAlign w:val="bottom"/>
          </w:tcPr>
          <w:p>
            <w:pPr>
              <w:spacing w:after="0"/>
              <w:rPr>
                <w:sz w:val="13"/>
                <w:szCs w:val="13"/>
                <w:color w:val="auto"/>
              </w:rPr>
            </w:pPr>
          </w:p>
        </w:tc>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equipment and leasehold improvements</w:t>
            </w:r>
          </w:p>
        </w:tc>
        <w:tc>
          <w:tcPr>
            <w:tcW w:w="1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29,805</w:t>
            </w: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29,999</w:t>
            </w:r>
          </w:p>
        </w:tc>
        <w:tc>
          <w:tcPr>
            <w:tcW w:w="2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31,346</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1120" w:type="dxa"/>
            <w:vAlign w:val="bottom"/>
          </w:tcPr>
          <w:p>
            <w:pPr>
              <w:spacing w:after="0"/>
              <w:rPr>
                <w:sz w:val="12"/>
                <w:szCs w:val="1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884,764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755,701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686,898</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1120" w:type="dxa"/>
            <w:vAlign w:val="bottom"/>
          </w:tcPr>
          <w:p>
            <w:pPr>
              <w:spacing w:after="0"/>
              <w:rPr>
                <w:sz w:val="13"/>
                <w:szCs w:val="13"/>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198,539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152,383</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57,002</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84,403</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39,670</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122,011</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1120" w:type="dxa"/>
            <w:vAlign w:val="bottom"/>
          </w:tcPr>
          <w:p>
            <w:pPr>
              <w:spacing w:after="0"/>
              <w:rPr>
                <w:sz w:val="14"/>
                <w:szCs w:val="14"/>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601,822</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563,648</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507,885</w:t>
            </w: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Pr>
          <w:p>
            <w:pPr>
              <w:spacing w:after="0"/>
              <w:rPr>
                <w:sz w:val="14"/>
                <w:szCs w:val="14"/>
                <w:color w:val="auto"/>
              </w:rPr>
            </w:pPr>
          </w:p>
        </w:tc>
      </w:tr>
      <w:tr>
        <w:trPr>
          <w:trHeight w:val="419"/>
        </w:trPr>
        <w:tc>
          <w:tcPr>
            <w:tcW w:w="64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90</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2"/>
        </w:trPr>
        <w:tc>
          <w:tcPr>
            <w:tcW w:w="1120" w:type="dxa"/>
            <w:vAlign w:val="bottom"/>
            <w:tcBorders>
              <w:bottom w:val="single" w:sz="8" w:color="9A9A9A"/>
            </w:tcBorders>
          </w:tcPr>
          <w:p>
            <w:pPr>
              <w:spacing w:after="0"/>
              <w:rPr>
                <w:sz w:val="6"/>
                <w:szCs w:val="6"/>
                <w:color w:val="auto"/>
              </w:rPr>
            </w:pPr>
          </w:p>
        </w:tc>
        <w:tc>
          <w:tcPr>
            <w:tcW w:w="53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92" w:name="page93"/>
    <w:bookmarkEnd w:id="92"/>
    <w:p>
      <w:pPr>
        <w:ind w:left="580"/>
        <w:spacing w:after="0"/>
        <w:rPr>
          <w:sz w:val="20"/>
          <w:szCs w:val="20"/>
          <w:color w:val="auto"/>
        </w:rPr>
      </w:pPr>
      <w:r>
        <w:rPr>
          <w:rFonts w:ascii="Times New Roman" w:cs="Times New Roman" w:eastAsia="Times New Roman" w:hAnsi="Times New Roman"/>
          <w:sz w:val="12"/>
          <w:szCs w:val="12"/>
          <w:color w:val="auto"/>
        </w:rPr>
        <w:t>Revenue by geography is based on the shipping address of the ultimate customer utilizing the product. The following table presents revenue by geographic area for the periods indicated:</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0"/>
        </w:trPr>
        <w:tc>
          <w:tcPr>
            <w:tcW w:w="5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ind w:left="10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40" w:type="dxa"/>
            <w:vAlign w:val="bottom"/>
          </w:tcPr>
          <w:p>
            <w:pPr>
              <w:spacing w:after="0"/>
              <w:rPr>
                <w:sz w:val="7"/>
                <w:szCs w:val="7"/>
                <w:color w:val="auto"/>
              </w:rPr>
            </w:pPr>
          </w:p>
        </w:tc>
        <w:tc>
          <w:tcPr>
            <w:tcW w:w="1120" w:type="dxa"/>
            <w:vAlign w:val="bottom"/>
            <w:gridSpan w:val="2"/>
          </w:tcPr>
          <w:p>
            <w:pPr>
              <w:jc w:val="center"/>
              <w:ind w:right="360"/>
              <w:spacing w:after="0" w:line="9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60" w:type="dxa"/>
            <w:vAlign w:val="bottom"/>
          </w:tcPr>
          <w:p>
            <w:pPr>
              <w:spacing w:after="0"/>
              <w:rPr>
                <w:sz w:val="7"/>
                <w:szCs w:val="7"/>
                <w:color w:val="auto"/>
              </w:rPr>
            </w:pPr>
          </w:p>
        </w:tc>
        <w:tc>
          <w:tcPr>
            <w:tcW w:w="920" w:type="dxa"/>
            <w:vAlign w:val="bottom"/>
          </w:tcPr>
          <w:p>
            <w:pPr>
              <w:jc w:val="right"/>
              <w:ind w:right="202"/>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r>
      <w:tr>
        <w:trPr>
          <w:trHeight w:val="115"/>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Borders>
              <w:bottom w:val="single" w:sz="8" w:color="CFF0FC"/>
            </w:tcBorders>
          </w:tcPr>
          <w:p>
            <w:pPr>
              <w:spacing w:after="0"/>
              <w:rPr>
                <w:sz w:val="10"/>
                <w:szCs w:val="10"/>
                <w:color w:val="auto"/>
              </w:rPr>
            </w:pPr>
          </w:p>
        </w:tc>
      </w:tr>
      <w:tr>
        <w:trPr>
          <w:trHeight w:val="14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Operating revenues</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3"/>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Americas:</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United States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723,962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698,105</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662,345</w:t>
            </w:r>
          </w:p>
        </w:tc>
        <w:tc>
          <w:tcPr>
            <w:tcW w:w="80" w:type="dxa"/>
            <w:vAlign w:val="bottom"/>
            <w:shd w:val="clear" w:color="auto" w:fill="CFF0FC"/>
          </w:tcPr>
          <w:p>
            <w:pPr>
              <w:spacing w:after="0"/>
              <w:rPr>
                <w:sz w:val="13"/>
                <w:szCs w:val="13"/>
                <w:color w:val="auto"/>
              </w:rPr>
            </w:pPr>
          </w:p>
        </w:tc>
      </w:tr>
      <w:tr>
        <w:trPr>
          <w:trHeight w:val="153"/>
        </w:trPr>
        <w:tc>
          <w:tcPr>
            <w:tcW w:w="53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71,408</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65,997</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58,065</w:t>
            </w:r>
          </w:p>
        </w:tc>
        <w:tc>
          <w:tcPr>
            <w:tcW w:w="80" w:type="dxa"/>
            <w:vAlign w:val="bottom"/>
            <w:tcBorders>
              <w:bottom w:val="single" w:sz="8" w:color="CFF0FC"/>
            </w:tcBorders>
          </w:tcPr>
          <w:p>
            <w:pPr>
              <w:spacing w:after="0"/>
              <w:rPr>
                <w:sz w:val="13"/>
                <w:szCs w:val="13"/>
                <w:color w:val="auto"/>
              </w:rPr>
            </w:pPr>
          </w:p>
        </w:tc>
      </w:tr>
      <w:tr>
        <w:trPr>
          <w:trHeight w:val="14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Americas</w:t>
            </w: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795,370</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764,102</w:t>
            </w:r>
          </w:p>
        </w:tc>
        <w:tc>
          <w:tcPr>
            <w:tcW w:w="20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720,410</w:t>
            </w:r>
          </w:p>
        </w:tc>
        <w:tc>
          <w:tcPr>
            <w:tcW w:w="80" w:type="dxa"/>
            <w:vAlign w:val="bottom"/>
            <w:shd w:val="clear" w:color="auto" w:fill="CFF0FC"/>
          </w:tcPr>
          <w:p>
            <w:pPr>
              <w:spacing w:after="0"/>
              <w:rPr>
                <w:sz w:val="12"/>
                <w:szCs w:val="12"/>
                <w:color w:val="auto"/>
              </w:rPr>
            </w:pPr>
          </w:p>
        </w:tc>
      </w:tr>
      <w:tr>
        <w:trPr>
          <w:trHeight w:val="142"/>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Europe, the Middle East and Africa ("EMEA"):</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United Kingdom</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262,188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234,926</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214,204</w:t>
            </w:r>
          </w:p>
        </w:tc>
        <w:tc>
          <w:tcPr>
            <w:tcW w:w="80" w:type="dxa"/>
            <w:vAlign w:val="bottom"/>
            <w:shd w:val="clear" w:color="auto" w:fill="CFF0FC"/>
          </w:tcPr>
          <w:p>
            <w:pPr>
              <w:spacing w:after="0"/>
              <w:rPr>
                <w:sz w:val="13"/>
                <w:szCs w:val="13"/>
                <w:color w:val="auto"/>
              </w:rPr>
            </w:pPr>
          </w:p>
        </w:tc>
      </w:tr>
      <w:tr>
        <w:trPr>
          <w:trHeight w:val="153"/>
        </w:trPr>
        <w:tc>
          <w:tcPr>
            <w:tcW w:w="53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364,547</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325,221</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293,252</w:t>
            </w:r>
          </w:p>
        </w:tc>
        <w:tc>
          <w:tcPr>
            <w:tcW w:w="80" w:type="dxa"/>
            <w:vAlign w:val="bottom"/>
            <w:tcBorders>
              <w:bottom w:val="single" w:sz="8" w:color="CFF0FC"/>
            </w:tcBorders>
          </w:tcPr>
          <w:p>
            <w:pPr>
              <w:spacing w:after="0"/>
              <w:rPr>
                <w:sz w:val="13"/>
                <w:szCs w:val="13"/>
                <w:color w:val="auto"/>
              </w:rPr>
            </w:pPr>
          </w:p>
        </w:tc>
      </w:tr>
      <w:tr>
        <w:trPr>
          <w:trHeight w:val="14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EMEA</w:t>
            </w: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626,735</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560,147</w:t>
            </w:r>
          </w:p>
        </w:tc>
        <w:tc>
          <w:tcPr>
            <w:tcW w:w="20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507,456</w:t>
            </w:r>
          </w:p>
        </w:tc>
        <w:tc>
          <w:tcPr>
            <w:tcW w:w="80" w:type="dxa"/>
            <w:vAlign w:val="bottom"/>
            <w:shd w:val="clear" w:color="auto" w:fill="CFF0FC"/>
          </w:tcPr>
          <w:p>
            <w:pPr>
              <w:spacing w:after="0"/>
              <w:rPr>
                <w:sz w:val="12"/>
                <w:szCs w:val="12"/>
                <w:color w:val="auto"/>
              </w:rPr>
            </w:pPr>
          </w:p>
        </w:tc>
      </w:tr>
      <w:tr>
        <w:trPr>
          <w:trHeight w:val="142"/>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Asia &amp; Australia:</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Japan</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80,591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71,629</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67,100</w:t>
            </w:r>
          </w:p>
        </w:tc>
        <w:tc>
          <w:tcPr>
            <w:tcW w:w="80" w:type="dxa"/>
            <w:vAlign w:val="bottom"/>
            <w:shd w:val="clear" w:color="auto" w:fill="CFF0FC"/>
          </w:tcPr>
          <w:p>
            <w:pPr>
              <w:spacing w:after="0"/>
              <w:rPr>
                <w:sz w:val="13"/>
                <w:szCs w:val="13"/>
                <w:color w:val="auto"/>
              </w:rPr>
            </w:pPr>
          </w:p>
        </w:tc>
      </w:tr>
      <w:tr>
        <w:trPr>
          <w:trHeight w:val="153"/>
        </w:trPr>
        <w:tc>
          <w:tcPr>
            <w:tcW w:w="53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192,694</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161,918</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139,018</w:t>
            </w:r>
          </w:p>
        </w:tc>
        <w:tc>
          <w:tcPr>
            <w:tcW w:w="80" w:type="dxa"/>
            <w:vAlign w:val="bottom"/>
            <w:tcBorders>
              <w:bottom w:val="single" w:sz="8" w:color="CFF0FC"/>
            </w:tcBorders>
          </w:tcPr>
          <w:p>
            <w:pPr>
              <w:spacing w:after="0"/>
              <w:rPr>
                <w:sz w:val="13"/>
                <w:szCs w:val="13"/>
                <w:color w:val="auto"/>
              </w:rPr>
            </w:pPr>
          </w:p>
        </w:tc>
      </w:tr>
      <w:tr>
        <w:trPr>
          <w:trHeight w:val="14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Asia &amp; Australia</w:t>
            </w: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273,285</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233,547</w:t>
            </w:r>
          </w:p>
        </w:tc>
        <w:tc>
          <w:tcPr>
            <w:tcW w:w="20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206,118</w:t>
            </w:r>
          </w:p>
        </w:tc>
        <w:tc>
          <w:tcPr>
            <w:tcW w:w="80" w:type="dxa"/>
            <w:vAlign w:val="bottom"/>
            <w:shd w:val="clear" w:color="auto" w:fill="CFF0FC"/>
          </w:tcPr>
          <w:p>
            <w:pPr>
              <w:spacing w:after="0"/>
              <w:rPr>
                <w:sz w:val="12"/>
                <w:szCs w:val="12"/>
                <w:color w:val="auto"/>
              </w:rPr>
            </w:pPr>
          </w:p>
        </w:tc>
      </w:tr>
      <w:tr>
        <w:trPr>
          <w:trHeight w:val="149"/>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1,695,390</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1,557,796</w:t>
            </w: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1,433,984</w:t>
            </w:r>
          </w:p>
        </w:tc>
        <w:tc>
          <w:tcPr>
            <w:tcW w:w="80" w:type="dxa"/>
            <w:vAlign w:val="bottom"/>
          </w:tcPr>
          <w:p>
            <w:pPr>
              <w:spacing w:after="0"/>
              <w:rPr>
                <w:sz w:val="12"/>
                <w:szCs w:val="12"/>
                <w:color w:val="auto"/>
              </w:rPr>
            </w:pPr>
          </w:p>
        </w:tc>
      </w:tr>
    </w:tbl>
    <w:p>
      <w:pPr>
        <w:spacing w:after="0" w:line="151" w:lineRule="exact"/>
        <w:rPr>
          <w:sz w:val="20"/>
          <w:szCs w:val="20"/>
          <w:color w:val="auto"/>
        </w:rPr>
      </w:pPr>
    </w:p>
    <w:p>
      <w:pPr>
        <w:ind w:right="380" w:firstLine="592"/>
        <w:spacing w:after="0" w:line="279" w:lineRule="auto"/>
        <w:rPr>
          <w:sz w:val="20"/>
          <w:szCs w:val="20"/>
          <w:color w:val="auto"/>
        </w:rPr>
      </w:pPr>
      <w:r>
        <w:rPr>
          <w:rFonts w:ascii="Times New Roman" w:cs="Times New Roman" w:eastAsia="Times New Roman" w:hAnsi="Times New Roman"/>
          <w:sz w:val="12"/>
          <w:szCs w:val="12"/>
          <w:color w:val="auto"/>
        </w:rPr>
        <w:t>Long-lived assets consist of property, equipment and leasehold improvements, right of use assets and internally developed capitalized software, net of accumulated depreciation and amortization. The following table presents long-lived assets by geographic area on the dates indicated:</w:t>
      </w:r>
    </w:p>
    <w:p>
      <w:pPr>
        <w:spacing w:after="0" w:line="16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0"/>
                <w:szCs w:val="10"/>
                <w:b w:val="1"/>
                <w:bCs w:val="1"/>
                <w:color w:val="auto"/>
                <w:w w:val="81"/>
              </w:rPr>
              <w:t>As of</w:t>
            </w:r>
          </w:p>
        </w:tc>
        <w:tc>
          <w:tcPr>
            <w:tcW w:w="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0"/>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jc w:val="right"/>
              <w:ind w:right="203"/>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jc w:val="right"/>
              <w:ind w:right="222"/>
              <w:spacing w:after="0" w:line="90"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80" w:type="dxa"/>
            <w:vAlign w:val="bottom"/>
          </w:tcPr>
          <w:p>
            <w:pPr>
              <w:spacing w:after="0"/>
              <w:rPr>
                <w:sz w:val="7"/>
                <w:szCs w:val="7"/>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gridSpan w:val="4"/>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Long-lived assets</w:t>
            </w:r>
          </w:p>
        </w:tc>
        <w:tc>
          <w:tcPr>
            <w:tcW w:w="2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Americas:</w:t>
            </w: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United States</w:t>
            </w:r>
          </w:p>
        </w:tc>
        <w:tc>
          <w:tcPr>
            <w:tcW w:w="234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182,776</w:t>
            </w:r>
          </w:p>
        </w:tc>
        <w:tc>
          <w:tcPr>
            <w:tcW w:w="420" w:type="dxa"/>
            <w:vAlign w:val="bottom"/>
            <w:gridSpan w:val="3"/>
            <w:shd w:val="clear" w:color="auto" w:fill="CFF0FC"/>
          </w:tcPr>
          <w:p>
            <w:pPr>
              <w:jc w:val="right"/>
              <w:ind w:right="13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199,022</w:t>
            </w:r>
          </w:p>
        </w:tc>
        <w:tc>
          <w:tcPr>
            <w:tcW w:w="8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2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Other</w:t>
            </w:r>
          </w:p>
        </w:tc>
        <w:tc>
          <w:tcPr>
            <w:tcW w:w="2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13,949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16,343</w:t>
            </w:r>
          </w:p>
        </w:tc>
        <w:tc>
          <w:tcPr>
            <w:tcW w:w="80" w:type="dxa"/>
            <w:vAlign w:val="bottom"/>
            <w:tcBorders>
              <w:bottom w:val="single" w:sz="8" w:color="CFF0FC"/>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Americas</w:t>
            </w:r>
          </w:p>
        </w:tc>
        <w:tc>
          <w:tcPr>
            <w:tcW w:w="21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196,725</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215,365</w:t>
            </w:r>
          </w:p>
        </w:tc>
        <w:tc>
          <w:tcPr>
            <w:tcW w:w="80" w:type="dxa"/>
            <w:vAlign w:val="bottom"/>
            <w:shd w:val="clear" w:color="auto" w:fill="CFF0FC"/>
          </w:tcPr>
          <w:p>
            <w:pPr>
              <w:spacing w:after="0"/>
              <w:rPr>
                <w:sz w:val="12"/>
                <w:szCs w:val="12"/>
                <w:color w:val="auto"/>
              </w:rPr>
            </w:pPr>
          </w:p>
        </w:tc>
      </w:tr>
      <w:tr>
        <w:trPr>
          <w:trHeight w:val="142"/>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EMEA:</w:t>
            </w: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United Kingdom</w:t>
            </w:r>
          </w:p>
        </w:tc>
        <w:tc>
          <w:tcPr>
            <w:tcW w:w="2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19,678</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20,480</w:t>
            </w:r>
          </w:p>
        </w:tc>
        <w:tc>
          <w:tcPr>
            <w:tcW w:w="8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2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Other</w:t>
            </w:r>
          </w:p>
        </w:tc>
        <w:tc>
          <w:tcPr>
            <w:tcW w:w="2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33,561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36,121</w:t>
            </w:r>
          </w:p>
        </w:tc>
        <w:tc>
          <w:tcPr>
            <w:tcW w:w="80" w:type="dxa"/>
            <w:vAlign w:val="bottom"/>
            <w:tcBorders>
              <w:bottom w:val="single" w:sz="8" w:color="CFF0FC"/>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EMEA</w:t>
            </w:r>
          </w:p>
        </w:tc>
        <w:tc>
          <w:tcPr>
            <w:tcW w:w="21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53,239</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56,601</w:t>
            </w:r>
          </w:p>
        </w:tc>
        <w:tc>
          <w:tcPr>
            <w:tcW w:w="80" w:type="dxa"/>
            <w:vAlign w:val="bottom"/>
            <w:shd w:val="clear" w:color="auto" w:fill="CFF0FC"/>
          </w:tcPr>
          <w:p>
            <w:pPr>
              <w:spacing w:after="0"/>
              <w:rPr>
                <w:sz w:val="12"/>
                <w:szCs w:val="12"/>
                <w:color w:val="auto"/>
              </w:rPr>
            </w:pPr>
          </w:p>
        </w:tc>
      </w:tr>
      <w:tr>
        <w:trPr>
          <w:trHeight w:val="142"/>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Asia &amp; Australia:</w:t>
            </w: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Japan</w:t>
            </w:r>
          </w:p>
        </w:tc>
        <w:tc>
          <w:tcPr>
            <w:tcW w:w="2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1,896</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2,351</w:t>
            </w:r>
          </w:p>
        </w:tc>
        <w:tc>
          <w:tcPr>
            <w:tcW w:w="8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2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Other</w:t>
            </w:r>
          </w:p>
        </w:tc>
        <w:tc>
          <w:tcPr>
            <w:tcW w:w="2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37,946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32,326</w:t>
            </w:r>
          </w:p>
        </w:tc>
        <w:tc>
          <w:tcPr>
            <w:tcW w:w="80" w:type="dxa"/>
            <w:vAlign w:val="bottom"/>
            <w:tcBorders>
              <w:bottom w:val="single" w:sz="8" w:color="CFF0FC"/>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Asia &amp; Australia</w:t>
            </w:r>
          </w:p>
        </w:tc>
        <w:tc>
          <w:tcPr>
            <w:tcW w:w="21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39,842</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34,677</w:t>
            </w:r>
          </w:p>
        </w:tc>
        <w:tc>
          <w:tcPr>
            <w:tcW w:w="80" w:type="dxa"/>
            <w:vAlign w:val="bottom"/>
            <w:shd w:val="clear" w:color="auto" w:fill="CFF0FC"/>
          </w:tcPr>
          <w:p>
            <w:pPr>
              <w:spacing w:after="0"/>
              <w:rPr>
                <w:sz w:val="12"/>
                <w:szCs w:val="12"/>
                <w:color w:val="auto"/>
              </w:rPr>
            </w:pPr>
          </w:p>
        </w:tc>
      </w:tr>
      <w:tr>
        <w:trPr>
          <w:trHeight w:val="149"/>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18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289,806</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306,643</w:t>
            </w:r>
          </w:p>
        </w:tc>
        <w:tc>
          <w:tcPr>
            <w:tcW w:w="80" w:type="dxa"/>
            <w:vAlign w:val="bottom"/>
          </w:tcPr>
          <w:p>
            <w:pPr>
              <w:spacing w:after="0"/>
              <w:rPr>
                <w:sz w:val="12"/>
                <w:szCs w:val="12"/>
                <w:color w:val="auto"/>
              </w:rPr>
            </w:pPr>
          </w:p>
        </w:tc>
      </w:tr>
    </w:tbl>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Certain prior period amounts in the preceding table have been reclassified to conform to the current period presentation.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EQUITY METHOD INVESTMENT</w:t>
      </w:r>
    </w:p>
    <w:p>
      <w:pPr>
        <w:spacing w:after="0" w:line="154" w:lineRule="exact"/>
        <w:rPr>
          <w:sz w:val="20"/>
          <w:szCs w:val="20"/>
          <w:color w:val="auto"/>
        </w:rPr>
      </w:pPr>
    </w:p>
    <w:p>
      <w:pPr>
        <w:ind w:firstLine="652"/>
        <w:spacing w:after="0" w:line="257" w:lineRule="auto"/>
        <w:rPr>
          <w:sz w:val="20"/>
          <w:szCs w:val="20"/>
          <w:color w:val="auto"/>
        </w:rPr>
      </w:pPr>
      <w:r>
        <w:rPr>
          <w:rFonts w:ascii="Times New Roman" w:cs="Times New Roman" w:eastAsia="Times New Roman" w:hAnsi="Times New Roman"/>
          <w:sz w:val="12"/>
          <w:szCs w:val="12"/>
          <w:color w:val="auto"/>
        </w:rPr>
        <w:t>In January 2020, MSCI entered into a strategic relationship with Burgiss, a global provider of investment decision support tools for private capital. The Company acquired a 40% non-controlling interest for $190.8 million, including capitalized costs, which is accounted for as an equity method investment with the Company’s share of Burgiss’ earnings being recognized in “Other expense (income), net” in the Consolidated Statements of Income. The Company is applying a policy election to recognize its share of Burgiss’ earnings on a three-month lag. For the year ended December 31, 2020, the Company has recognized in its results of operations an immaterial amount in earnings related to its investment in Burgiss. MSCI has also elected to apply the nature of the distribution approach to determine the classification of the distributions it receives from its equity method investee. In the year ended December 31, 2020, MSCI received an immaterial amount in distributions from its equity method investee.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44" w:right="339" w:bottom="1440" w:gutter="0" w:footer="0" w:header="0"/>
        </w:sectPr>
      </w:pPr>
    </w:p>
    <w:bookmarkStart w:id="93" w:name="page94"/>
    <w:bookmarkEnd w:id="93"/>
    <w:p>
      <w:pPr>
        <w:ind w:right="240" w:firstLine="652"/>
        <w:spacing w:after="0" w:line="279" w:lineRule="auto"/>
        <w:rPr>
          <w:sz w:val="20"/>
          <w:szCs w:val="20"/>
          <w:color w:val="auto"/>
        </w:rPr>
      </w:pPr>
      <w:r>
        <w:rPr>
          <w:rFonts w:ascii="Times New Roman" w:cs="Times New Roman" w:eastAsia="Times New Roman" w:hAnsi="Times New Roman"/>
          <w:sz w:val="12"/>
          <w:szCs w:val="12"/>
          <w:color w:val="auto"/>
        </w:rPr>
        <w:t>The Company’s investment substantially exceeds the Company’s share of the underlying equity of Burgiss. A portion of this excess, representing the excess of the fair value of Burgiss’ intangible assets over their book value, is amortized into “Other expense (income), net” over the useful lives of the respective intangible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QUARTERLY RESULTS OF OPERATIONS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0"/>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tcPr>
          <w:p>
            <w:pPr>
              <w:jc w:val="right"/>
              <w:ind w:right="480"/>
              <w:spacing w:after="0" w:line="90" w:lineRule="exact"/>
              <w:rPr>
                <w:sz w:val="20"/>
                <w:szCs w:val="20"/>
                <w:color w:val="auto"/>
              </w:rPr>
            </w:pPr>
            <w:r>
              <w:rPr>
                <w:rFonts w:ascii="Times New Roman" w:cs="Times New Roman" w:eastAsia="Times New Roman" w:hAnsi="Times New Roman"/>
                <w:sz w:val="10"/>
                <w:szCs w:val="10"/>
                <w:b w:val="1"/>
                <w:bCs w:val="1"/>
                <w:color w:val="auto"/>
              </w:rPr>
              <w:t>First</w:t>
            </w:r>
          </w:p>
        </w:tc>
        <w:tc>
          <w:tcPr>
            <w:tcW w:w="120" w:type="dxa"/>
            <w:vAlign w:val="bottom"/>
          </w:tcPr>
          <w:p>
            <w:pPr>
              <w:spacing w:after="0"/>
              <w:rPr>
                <w:sz w:val="7"/>
                <w:szCs w:val="7"/>
                <w:color w:val="auto"/>
              </w:rPr>
            </w:pPr>
          </w:p>
        </w:tc>
        <w:tc>
          <w:tcPr>
            <w:tcW w:w="820" w:type="dxa"/>
            <w:vAlign w:val="bottom"/>
            <w:gridSpan w:val="2"/>
          </w:tcPr>
          <w:p>
            <w:pPr>
              <w:jc w:val="right"/>
              <w:ind w:right="440"/>
              <w:spacing w:after="0" w:line="90" w:lineRule="exact"/>
              <w:rPr>
                <w:sz w:val="20"/>
                <w:szCs w:val="20"/>
                <w:color w:val="auto"/>
              </w:rPr>
            </w:pPr>
            <w:r>
              <w:rPr>
                <w:rFonts w:ascii="Times New Roman" w:cs="Times New Roman" w:eastAsia="Times New Roman" w:hAnsi="Times New Roman"/>
                <w:sz w:val="10"/>
                <w:szCs w:val="10"/>
                <w:b w:val="1"/>
                <w:bCs w:val="1"/>
                <w:color w:val="auto"/>
              </w:rPr>
              <w:t>Second</w:t>
            </w:r>
          </w:p>
        </w:tc>
        <w:tc>
          <w:tcPr>
            <w:tcW w:w="120" w:type="dxa"/>
            <w:vAlign w:val="bottom"/>
          </w:tcPr>
          <w:p>
            <w:pPr>
              <w:spacing w:after="0"/>
              <w:rPr>
                <w:sz w:val="7"/>
                <w:szCs w:val="7"/>
                <w:color w:val="auto"/>
              </w:rPr>
            </w:pPr>
          </w:p>
        </w:tc>
        <w:tc>
          <w:tcPr>
            <w:tcW w:w="820" w:type="dxa"/>
            <w:vAlign w:val="bottom"/>
            <w:gridSpan w:val="2"/>
          </w:tcPr>
          <w:p>
            <w:pPr>
              <w:jc w:val="right"/>
              <w:ind w:right="460"/>
              <w:spacing w:after="0" w:line="90" w:lineRule="exact"/>
              <w:rPr>
                <w:sz w:val="20"/>
                <w:szCs w:val="20"/>
                <w:color w:val="auto"/>
              </w:rPr>
            </w:pPr>
            <w:r>
              <w:rPr>
                <w:rFonts w:ascii="Times New Roman" w:cs="Times New Roman" w:eastAsia="Times New Roman" w:hAnsi="Times New Roman"/>
                <w:sz w:val="10"/>
                <w:szCs w:val="10"/>
                <w:b w:val="1"/>
                <w:bCs w:val="1"/>
                <w:color w:val="auto"/>
              </w:rPr>
              <w:t>Third</w:t>
            </w:r>
          </w:p>
        </w:tc>
        <w:tc>
          <w:tcPr>
            <w:tcW w:w="80" w:type="dxa"/>
            <w:vAlign w:val="bottom"/>
          </w:tcPr>
          <w:p>
            <w:pPr>
              <w:spacing w:after="0"/>
              <w:rPr>
                <w:sz w:val="7"/>
                <w:szCs w:val="7"/>
                <w:color w:val="auto"/>
              </w:rPr>
            </w:pPr>
          </w:p>
        </w:tc>
        <w:tc>
          <w:tcPr>
            <w:tcW w:w="660" w:type="dxa"/>
            <w:vAlign w:val="bottom"/>
          </w:tcPr>
          <w:p>
            <w:pPr>
              <w:jc w:val="right"/>
              <w:ind w:right="187"/>
              <w:spacing w:after="0" w:line="90" w:lineRule="exact"/>
              <w:rPr>
                <w:sz w:val="20"/>
                <w:szCs w:val="20"/>
                <w:color w:val="auto"/>
              </w:rPr>
            </w:pPr>
            <w:r>
              <w:rPr>
                <w:rFonts w:ascii="Times New Roman" w:cs="Times New Roman" w:eastAsia="Times New Roman" w:hAnsi="Times New Roman"/>
                <w:sz w:val="10"/>
                <w:szCs w:val="10"/>
                <w:b w:val="1"/>
                <w:bCs w:val="1"/>
                <w:color w:val="auto"/>
              </w:rPr>
              <w:t>Fourth</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tcPr>
          <w:p>
            <w:pPr>
              <w:jc w:val="right"/>
              <w:ind w:right="500"/>
              <w:spacing w:after="0" w:line="90" w:lineRule="exact"/>
              <w:rPr>
                <w:sz w:val="20"/>
                <w:szCs w:val="20"/>
                <w:color w:val="auto"/>
              </w:rPr>
            </w:pPr>
            <w:r>
              <w:rPr>
                <w:rFonts w:ascii="Times New Roman" w:cs="Times New Roman" w:eastAsia="Times New Roman" w:hAnsi="Times New Roman"/>
                <w:sz w:val="10"/>
                <w:szCs w:val="10"/>
                <w:b w:val="1"/>
                <w:bCs w:val="1"/>
                <w:color w:val="auto"/>
              </w:rPr>
              <w:t>First</w:t>
            </w:r>
          </w:p>
        </w:tc>
        <w:tc>
          <w:tcPr>
            <w:tcW w:w="120" w:type="dxa"/>
            <w:vAlign w:val="bottom"/>
          </w:tcPr>
          <w:p>
            <w:pPr>
              <w:spacing w:after="0"/>
              <w:rPr>
                <w:sz w:val="7"/>
                <w:szCs w:val="7"/>
                <w:color w:val="auto"/>
              </w:rPr>
            </w:pPr>
          </w:p>
        </w:tc>
        <w:tc>
          <w:tcPr>
            <w:tcW w:w="820" w:type="dxa"/>
            <w:vAlign w:val="bottom"/>
            <w:gridSpan w:val="2"/>
          </w:tcPr>
          <w:p>
            <w:pPr>
              <w:jc w:val="right"/>
              <w:ind w:right="440"/>
              <w:spacing w:after="0" w:line="90" w:lineRule="exact"/>
              <w:rPr>
                <w:sz w:val="20"/>
                <w:szCs w:val="20"/>
                <w:color w:val="auto"/>
              </w:rPr>
            </w:pPr>
            <w:r>
              <w:rPr>
                <w:rFonts w:ascii="Times New Roman" w:cs="Times New Roman" w:eastAsia="Times New Roman" w:hAnsi="Times New Roman"/>
                <w:sz w:val="10"/>
                <w:szCs w:val="10"/>
                <w:b w:val="1"/>
                <w:bCs w:val="1"/>
                <w:color w:val="auto"/>
              </w:rPr>
              <w:t>Second</w:t>
            </w:r>
          </w:p>
        </w:tc>
        <w:tc>
          <w:tcPr>
            <w:tcW w:w="120" w:type="dxa"/>
            <w:vAlign w:val="bottom"/>
          </w:tcPr>
          <w:p>
            <w:pPr>
              <w:spacing w:after="0"/>
              <w:rPr>
                <w:sz w:val="7"/>
                <w:szCs w:val="7"/>
                <w:color w:val="auto"/>
              </w:rPr>
            </w:pPr>
          </w:p>
        </w:tc>
        <w:tc>
          <w:tcPr>
            <w:tcW w:w="840" w:type="dxa"/>
            <w:vAlign w:val="bottom"/>
            <w:gridSpan w:val="2"/>
          </w:tcPr>
          <w:p>
            <w:pPr>
              <w:jc w:val="right"/>
              <w:ind w:right="480"/>
              <w:spacing w:after="0" w:line="90" w:lineRule="exact"/>
              <w:rPr>
                <w:sz w:val="20"/>
                <w:szCs w:val="20"/>
                <w:color w:val="auto"/>
              </w:rPr>
            </w:pPr>
            <w:r>
              <w:rPr>
                <w:rFonts w:ascii="Times New Roman" w:cs="Times New Roman" w:eastAsia="Times New Roman" w:hAnsi="Times New Roman"/>
                <w:sz w:val="10"/>
                <w:szCs w:val="10"/>
                <w:b w:val="1"/>
                <w:bCs w:val="1"/>
                <w:color w:val="auto"/>
              </w:rPr>
              <w:t>Third</w:t>
            </w:r>
          </w:p>
        </w:tc>
        <w:tc>
          <w:tcPr>
            <w:tcW w:w="120" w:type="dxa"/>
            <w:vAlign w:val="bottom"/>
          </w:tcPr>
          <w:p>
            <w:pPr>
              <w:spacing w:after="0"/>
              <w:rPr>
                <w:sz w:val="7"/>
                <w:szCs w:val="7"/>
                <w:color w:val="auto"/>
              </w:rPr>
            </w:pPr>
          </w:p>
        </w:tc>
        <w:tc>
          <w:tcPr>
            <w:tcW w:w="620" w:type="dxa"/>
            <w:vAlign w:val="bottom"/>
          </w:tcPr>
          <w:p>
            <w:pPr>
              <w:jc w:val="right"/>
              <w:ind w:right="187"/>
              <w:spacing w:after="0" w:line="90" w:lineRule="exact"/>
              <w:rPr>
                <w:sz w:val="20"/>
                <w:szCs w:val="20"/>
                <w:color w:val="auto"/>
              </w:rPr>
            </w:pPr>
            <w:r>
              <w:rPr>
                <w:rFonts w:ascii="Times New Roman" w:cs="Times New Roman" w:eastAsia="Times New Roman" w:hAnsi="Times New Roman"/>
                <w:sz w:val="10"/>
                <w:szCs w:val="10"/>
                <w:b w:val="1"/>
                <w:bCs w:val="1"/>
                <w:color w:val="auto"/>
              </w:rPr>
              <w:t>Fourth</w:t>
            </w:r>
          </w:p>
        </w:tc>
        <w:tc>
          <w:tcPr>
            <w:tcW w:w="120" w:type="dxa"/>
            <w:vAlign w:val="bottom"/>
          </w:tcPr>
          <w:p>
            <w:pPr>
              <w:spacing w:after="0"/>
              <w:rPr>
                <w:sz w:val="7"/>
                <w:szCs w:val="7"/>
                <w:color w:val="auto"/>
              </w:rPr>
            </w:pPr>
          </w:p>
        </w:tc>
      </w:tr>
      <w:tr>
        <w:trPr>
          <w:trHeight w:val="115"/>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Quarter</w:t>
            </w:r>
          </w:p>
        </w:tc>
        <w:tc>
          <w:tcPr>
            <w:tcW w:w="120" w:type="dxa"/>
            <w:vAlign w:val="bottom"/>
          </w:tcPr>
          <w:p>
            <w:pPr>
              <w:spacing w:after="0"/>
              <w:rPr>
                <w:sz w:val="10"/>
                <w:szCs w:val="10"/>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Quarter</w:t>
            </w:r>
          </w:p>
        </w:tc>
        <w:tc>
          <w:tcPr>
            <w:tcW w:w="120" w:type="dxa"/>
            <w:vAlign w:val="bottom"/>
          </w:tcPr>
          <w:p>
            <w:pPr>
              <w:spacing w:after="0"/>
              <w:rPr>
                <w:sz w:val="10"/>
                <w:szCs w:val="10"/>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Quarter</w:t>
            </w:r>
          </w:p>
        </w:tc>
        <w:tc>
          <w:tcPr>
            <w:tcW w:w="80" w:type="dxa"/>
            <w:vAlign w:val="bottom"/>
          </w:tcPr>
          <w:p>
            <w:pPr>
              <w:spacing w:after="0"/>
              <w:rPr>
                <w:sz w:val="10"/>
                <w:szCs w:val="10"/>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Quarter</w:t>
            </w:r>
          </w:p>
        </w:tc>
        <w:tc>
          <w:tcPr>
            <w:tcW w:w="140" w:type="dxa"/>
            <w:vAlign w:val="bottom"/>
          </w:tcPr>
          <w:p>
            <w:pPr>
              <w:spacing w:after="0"/>
              <w:rPr>
                <w:sz w:val="10"/>
                <w:szCs w:val="10"/>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Quarter</w:t>
            </w:r>
          </w:p>
        </w:tc>
        <w:tc>
          <w:tcPr>
            <w:tcW w:w="120" w:type="dxa"/>
            <w:vAlign w:val="bottom"/>
          </w:tcPr>
          <w:p>
            <w:pPr>
              <w:spacing w:after="0"/>
              <w:rPr>
                <w:sz w:val="10"/>
                <w:szCs w:val="10"/>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Quarter</w:t>
            </w:r>
          </w:p>
        </w:tc>
        <w:tc>
          <w:tcPr>
            <w:tcW w:w="120" w:type="dxa"/>
            <w:vAlign w:val="bottom"/>
          </w:tcPr>
          <w:p>
            <w:pPr>
              <w:spacing w:after="0"/>
              <w:rPr>
                <w:sz w:val="10"/>
                <w:szCs w:val="10"/>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Quarter</w:t>
            </w:r>
          </w:p>
        </w:tc>
        <w:tc>
          <w:tcPr>
            <w:tcW w:w="120" w:type="dxa"/>
            <w:vAlign w:val="bottom"/>
          </w:tcPr>
          <w:p>
            <w:pPr>
              <w:spacing w:after="0"/>
              <w:rPr>
                <w:sz w:val="10"/>
                <w:szCs w:val="10"/>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Quarter</w:t>
            </w:r>
          </w:p>
        </w:tc>
      </w:tr>
      <w:tr>
        <w:trPr>
          <w:trHeight w:val="97"/>
        </w:trPr>
        <w:tc>
          <w:tcPr>
            <w:tcW w:w="38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20" w:type="dxa"/>
            <w:vAlign w:val="bottom"/>
            <w:tcBorders>
              <w:top w:val="single" w:sz="8" w:color="auto"/>
            </w:tcBorders>
            <w:gridSpan w:val="5"/>
          </w:tcPr>
          <w:p>
            <w:pPr>
              <w:jc w:val="right"/>
              <w:ind w:right="300"/>
              <w:spacing w:after="0" w:line="97" w:lineRule="exact"/>
              <w:rPr>
                <w:sz w:val="20"/>
                <w:szCs w:val="20"/>
                <w:color w:val="auto"/>
              </w:rPr>
            </w:pPr>
            <w:r>
              <w:rPr>
                <w:rFonts w:ascii="Times New Roman" w:cs="Times New Roman" w:eastAsia="Times New Roman" w:hAnsi="Times New Roman"/>
                <w:sz w:val="10"/>
                <w:szCs w:val="10"/>
                <w:b w:val="1"/>
                <w:bCs w:val="1"/>
                <w:color w:val="auto"/>
                <w:w w:val="95"/>
              </w:rPr>
              <w:t>(in thousands, except per share data)</w:t>
            </w: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44"/>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Operating revenues</w:t>
            </w: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416,780</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409,616</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425,333</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443,661</w:t>
            </w:r>
          </w:p>
        </w:tc>
        <w:tc>
          <w:tcPr>
            <w:tcW w:w="2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371,381</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385,558</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394,251</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406,606</w:t>
            </w:r>
          </w:p>
        </w:tc>
        <w:tc>
          <w:tcPr>
            <w:tcW w:w="120" w:type="dxa"/>
            <w:vAlign w:val="bottom"/>
            <w:shd w:val="clear" w:color="auto" w:fill="CFF0FC"/>
          </w:tcPr>
          <w:p>
            <w:pPr>
              <w:spacing w:after="0"/>
              <w:rPr>
                <w:sz w:val="12"/>
                <w:szCs w:val="12"/>
                <w:color w:val="auto"/>
              </w:rPr>
            </w:pPr>
          </w:p>
        </w:tc>
      </w:tr>
      <w:tr>
        <w:trPr>
          <w:trHeight w:val="131"/>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Cost of revenues</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74,609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70,704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75,935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82,346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70,486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70,154</w:t>
            </w:r>
          </w:p>
        </w:tc>
        <w:tc>
          <w:tcPr>
            <w:tcW w:w="120" w:type="dxa"/>
            <w:vAlign w:val="bottom"/>
          </w:tcPr>
          <w:p>
            <w:pPr>
              <w:spacing w:after="0"/>
              <w:rPr>
                <w:sz w:val="11"/>
                <w:szCs w:val="11"/>
                <w:color w:val="auto"/>
              </w:rPr>
            </w:pPr>
          </w:p>
        </w:tc>
      </w:tr>
      <w:tr>
        <w:trPr>
          <w:trHeight w:val="14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Selling and marketing</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55,549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51,617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52,668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56,662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56,048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51,657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52,107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59,486</w:t>
            </w:r>
          </w:p>
        </w:tc>
        <w:tc>
          <w:tcPr>
            <w:tcW w:w="120" w:type="dxa"/>
            <w:vAlign w:val="bottom"/>
            <w:shd w:val="clear" w:color="auto" w:fill="CFF0FC"/>
          </w:tcPr>
          <w:p>
            <w:pPr>
              <w:spacing w:after="0"/>
              <w:rPr>
                <w:sz w:val="12"/>
                <w:szCs w:val="12"/>
                <w:color w:val="auto"/>
              </w:rPr>
            </w:pPr>
          </w:p>
        </w:tc>
      </w:tr>
      <w:tr>
        <w:trPr>
          <w:trHeight w:val="142"/>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Research and development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23,172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27,100</w:t>
            </w:r>
          </w:p>
        </w:tc>
        <w:tc>
          <w:tcPr>
            <w:tcW w:w="120" w:type="dxa"/>
            <w:vAlign w:val="bottom"/>
          </w:tcPr>
          <w:p>
            <w:pPr>
              <w:spacing w:after="0"/>
              <w:rPr>
                <w:sz w:val="12"/>
                <w:szCs w:val="12"/>
                <w:color w:val="auto"/>
              </w:rPr>
            </w:pPr>
          </w:p>
        </w:tc>
      </w:tr>
      <w:tr>
        <w:trPr>
          <w:trHeight w:val="14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30,833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28,309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27,613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27,872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27,497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26,378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26,559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29,659</w:t>
            </w:r>
          </w:p>
        </w:tc>
        <w:tc>
          <w:tcPr>
            <w:tcW w:w="120" w:type="dxa"/>
            <w:vAlign w:val="bottom"/>
            <w:shd w:val="clear" w:color="auto" w:fill="CFF0FC"/>
          </w:tcPr>
          <w:p>
            <w:pPr>
              <w:spacing w:after="0"/>
              <w:rPr>
                <w:sz w:val="12"/>
                <w:szCs w:val="12"/>
                <w:color w:val="auto"/>
              </w:rPr>
            </w:pPr>
          </w:p>
        </w:tc>
      </w:tr>
      <w:tr>
        <w:trPr>
          <w:trHeight w:val="142"/>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13,776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13,243</w:t>
            </w:r>
          </w:p>
        </w:tc>
        <w:tc>
          <w:tcPr>
            <w:tcW w:w="120" w:type="dxa"/>
            <w:vAlign w:val="bottom"/>
          </w:tcPr>
          <w:p>
            <w:pPr>
              <w:spacing w:after="0"/>
              <w:rPr>
                <w:sz w:val="12"/>
                <w:szCs w:val="12"/>
                <w:color w:val="auto"/>
              </w:rPr>
            </w:pPr>
          </w:p>
        </w:tc>
      </w:tr>
      <w:tr>
        <w:trPr>
          <w:trHeight w:val="137"/>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Depreciation and amortization of</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property, equipment and</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leasehold improvements</w:t>
            </w: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7,567</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7,463</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7,494</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7,281</w:t>
            </w:r>
          </w:p>
        </w:tc>
        <w:tc>
          <w:tcPr>
            <w:tcW w:w="2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7,850</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7,405</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7,209</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7,535</w:t>
            </w:r>
          </w:p>
        </w:tc>
        <w:tc>
          <w:tcPr>
            <w:tcW w:w="120" w:type="dxa"/>
            <w:vAlign w:val="bottom"/>
            <w:shd w:val="clear" w:color="auto" w:fill="CFF0FC"/>
          </w:tcPr>
          <w:p>
            <w:pPr>
              <w:spacing w:after="0"/>
              <w:rPr>
                <w:sz w:val="12"/>
                <w:szCs w:val="12"/>
                <w:color w:val="auto"/>
              </w:rPr>
            </w:pPr>
          </w:p>
        </w:tc>
      </w:tr>
      <w:tr>
        <w:trPr>
          <w:trHeight w:val="131"/>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208,896</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194,441</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197,713</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209,576</w:t>
            </w:r>
          </w:p>
        </w:tc>
        <w:tc>
          <w:tcPr>
            <w:tcW w:w="2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208,706</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193,180</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193,032</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207,177</w:t>
            </w:r>
          </w:p>
        </w:tc>
        <w:tc>
          <w:tcPr>
            <w:tcW w:w="120" w:type="dxa"/>
            <w:vAlign w:val="bottom"/>
            <w:tcBorders>
              <w:bottom w:val="single" w:sz="8" w:color="CFF0FC"/>
            </w:tcBorders>
          </w:tcPr>
          <w:p>
            <w:pPr>
              <w:spacing w:after="0"/>
              <w:rPr>
                <w:sz w:val="11"/>
                <w:szCs w:val="11"/>
                <w:color w:val="auto"/>
              </w:rPr>
            </w:pPr>
          </w:p>
        </w:tc>
      </w:tr>
      <w:tr>
        <w:trPr>
          <w:trHeight w:val="135"/>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207,884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215,175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227,620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234,085</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162,675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192,378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201,219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199,429</w:t>
            </w:r>
          </w:p>
        </w:tc>
        <w:tc>
          <w:tcPr>
            <w:tcW w:w="120" w:type="dxa"/>
            <w:vAlign w:val="bottom"/>
            <w:shd w:val="clear" w:color="auto" w:fill="CFF0FC"/>
          </w:tcPr>
          <w:p>
            <w:pPr>
              <w:spacing w:after="0"/>
              <w:rPr>
                <w:sz w:val="11"/>
                <w:szCs w:val="11"/>
                <w:color w:val="auto"/>
              </w:rPr>
            </w:pPr>
          </w:p>
        </w:tc>
      </w:tr>
      <w:tr>
        <w:trPr>
          <w:trHeight w:val="142"/>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Interest income</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(3,483)</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(771)</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(475)</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(301)</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(4,086)</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(3,345)</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(3,673)</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(5,299)</w:t>
            </w:r>
          </w:p>
        </w:tc>
      </w:tr>
      <w:tr>
        <w:trPr>
          <w:trHeight w:val="14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40,231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41,227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37,536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37,330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35,915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35,915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35,922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40,289</w:t>
            </w:r>
          </w:p>
        </w:tc>
        <w:tc>
          <w:tcPr>
            <w:tcW w:w="120" w:type="dxa"/>
            <w:vAlign w:val="bottom"/>
            <w:shd w:val="clear" w:color="auto" w:fill="CFF0FC"/>
          </w:tcPr>
          <w:p>
            <w:pPr>
              <w:spacing w:after="0"/>
              <w:rPr>
                <w:sz w:val="12"/>
                <w:szCs w:val="12"/>
                <w:color w:val="auto"/>
              </w:rPr>
            </w:pPr>
          </w:p>
        </w:tc>
      </w:tr>
      <w:tr>
        <w:trPr>
          <w:trHeight w:val="142"/>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Other expense (income)</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8,287</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35,552</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1,516</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2,554</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17,906</w:t>
            </w:r>
          </w:p>
        </w:tc>
        <w:tc>
          <w:tcPr>
            <w:tcW w:w="120" w:type="dxa"/>
            <w:vAlign w:val="bottom"/>
            <w:tcBorders>
              <w:bottom w:val="single" w:sz="8" w:color="CFF0FC"/>
            </w:tcBorders>
          </w:tcPr>
          <w:p>
            <w:pPr>
              <w:spacing w:after="0"/>
              <w:rPr>
                <w:sz w:val="12"/>
                <w:szCs w:val="12"/>
                <w:color w:val="auto"/>
              </w:rPr>
            </w:pPr>
          </w:p>
        </w:tc>
      </w:tr>
      <w:tr>
        <w:trPr>
          <w:trHeight w:val="135"/>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expense (income), net</w:t>
            </w:r>
          </w:p>
        </w:tc>
        <w:tc>
          <w:tcPr>
            <w:tcW w:w="1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45,035</w:t>
            </w:r>
          </w:p>
        </w:tc>
        <w:tc>
          <w:tcPr>
            <w:tcW w:w="22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76,008</w:t>
            </w:r>
          </w:p>
        </w:tc>
        <w:tc>
          <w:tcPr>
            <w:tcW w:w="22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38,577</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38,919</w:t>
            </w:r>
          </w:p>
        </w:tc>
        <w:tc>
          <w:tcPr>
            <w:tcW w:w="20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34,383</w:t>
            </w:r>
          </w:p>
        </w:tc>
        <w:tc>
          <w:tcPr>
            <w:tcW w:w="22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32,633</w:t>
            </w:r>
          </w:p>
        </w:tc>
        <w:tc>
          <w:tcPr>
            <w:tcW w:w="22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32,471</w:t>
            </w:r>
          </w:p>
        </w:tc>
        <w:tc>
          <w:tcPr>
            <w:tcW w:w="22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52,896</w:t>
            </w:r>
          </w:p>
        </w:tc>
        <w:tc>
          <w:tcPr>
            <w:tcW w:w="120" w:type="dxa"/>
            <w:vAlign w:val="bottom"/>
            <w:shd w:val="clear" w:color="auto" w:fill="CFF0FC"/>
          </w:tcPr>
          <w:p>
            <w:pPr>
              <w:spacing w:after="0"/>
              <w:rPr>
                <w:sz w:val="11"/>
                <w:szCs w:val="11"/>
                <w:color w:val="auto"/>
              </w:rPr>
            </w:pPr>
          </w:p>
        </w:tc>
      </w:tr>
      <w:tr>
        <w:trPr>
          <w:trHeight w:val="124"/>
        </w:trPr>
        <w:tc>
          <w:tcPr>
            <w:tcW w:w="382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Income before provision for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2"/>
        </w:trPr>
        <w:tc>
          <w:tcPr>
            <w:tcW w:w="3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taxes</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162,849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189,043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195,166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128,292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159,745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168,748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146,533</w:t>
            </w:r>
          </w:p>
        </w:tc>
        <w:tc>
          <w:tcPr>
            <w:tcW w:w="120" w:type="dxa"/>
            <w:vAlign w:val="bottom"/>
          </w:tcPr>
          <w:p>
            <w:pPr>
              <w:spacing w:after="0"/>
              <w:rPr>
                <w:sz w:val="12"/>
                <w:szCs w:val="12"/>
                <w:color w:val="auto"/>
              </w:rPr>
            </w:pPr>
          </w:p>
        </w:tc>
      </w:tr>
      <w:tr>
        <w:trPr>
          <w:trHeight w:val="14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14,724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24,044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38,950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(49,900)</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34,055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31,765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23,750</w:t>
            </w:r>
          </w:p>
        </w:tc>
        <w:tc>
          <w:tcPr>
            <w:tcW w:w="120" w:type="dxa"/>
            <w:vAlign w:val="bottom"/>
            <w:shd w:val="clear" w:color="auto" w:fill="CFF0FC"/>
          </w:tcPr>
          <w:p>
            <w:pPr>
              <w:spacing w:after="0"/>
              <w:rPr>
                <w:sz w:val="12"/>
                <w:szCs w:val="12"/>
                <w:color w:val="auto"/>
              </w:rPr>
            </w:pPr>
          </w:p>
        </w:tc>
      </w:tr>
      <w:tr>
        <w:trPr>
          <w:trHeight w:val="140"/>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148,125</w:t>
            </w:r>
          </w:p>
        </w:tc>
        <w:tc>
          <w:tcPr>
            <w:tcW w:w="2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115,123</w:t>
            </w:r>
          </w:p>
        </w:tc>
        <w:tc>
          <w:tcPr>
            <w:tcW w:w="2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182,358</w:t>
            </w:r>
          </w:p>
        </w:tc>
        <w:tc>
          <w:tcPr>
            <w:tcW w:w="2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156,216</w:t>
            </w:r>
          </w:p>
        </w:tc>
        <w:tc>
          <w:tcPr>
            <w:tcW w:w="20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178,192</w:t>
            </w:r>
          </w:p>
        </w:tc>
        <w:tc>
          <w:tcPr>
            <w:tcW w:w="2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125,690</w:t>
            </w:r>
          </w:p>
        </w:tc>
        <w:tc>
          <w:tcPr>
            <w:tcW w:w="2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136,983</w:t>
            </w:r>
          </w:p>
        </w:tc>
        <w:tc>
          <w:tcPr>
            <w:tcW w:w="2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122,783</w:t>
            </w:r>
          </w:p>
        </w:tc>
        <w:tc>
          <w:tcPr>
            <w:tcW w:w="120" w:type="dxa"/>
            <w:vAlign w:val="bottom"/>
            <w:tcBorders>
              <w:bottom w:val="single" w:sz="8" w:color="CFF0FC"/>
            </w:tcBorders>
          </w:tcPr>
          <w:p>
            <w:pPr>
              <w:spacing w:after="0"/>
              <w:rPr>
                <w:sz w:val="12"/>
                <w:szCs w:val="12"/>
                <w:color w:val="auto"/>
              </w:rPr>
            </w:pPr>
          </w:p>
        </w:tc>
      </w:tr>
      <w:tr>
        <w:trPr>
          <w:trHeight w:val="144"/>
        </w:trPr>
        <w:tc>
          <w:tcPr>
            <w:tcW w:w="3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5"/>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Earnings per basic common</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22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2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20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2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2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2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20" w:type="dxa"/>
            <w:vAlign w:val="bottom"/>
          </w:tcPr>
          <w:p>
            <w:pPr>
              <w:spacing w:after="0"/>
              <w:rPr>
                <w:sz w:val="11"/>
                <w:szCs w:val="11"/>
                <w:color w:val="auto"/>
              </w:rPr>
            </w:pPr>
          </w:p>
        </w:tc>
      </w:tr>
      <w:tr>
        <w:trPr>
          <w:trHeight w:val="151"/>
        </w:trPr>
        <w:tc>
          <w:tcPr>
            <w:tcW w:w="382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1"/>
                <w:szCs w:val="11"/>
                <w:color w:val="auto"/>
              </w:rPr>
              <w:t>share</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44"/>
        </w:trPr>
        <w:tc>
          <w:tcPr>
            <w:tcW w:w="3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5"/>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Earnings per diluted common</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22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22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20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22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22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20" w:type="dxa"/>
            <w:vAlign w:val="bottom"/>
          </w:tcPr>
          <w:p>
            <w:pPr>
              <w:spacing w:after="0"/>
              <w:rPr>
                <w:sz w:val="11"/>
                <w:szCs w:val="11"/>
                <w:color w:val="auto"/>
              </w:rPr>
            </w:pPr>
          </w:p>
        </w:tc>
      </w:tr>
      <w:tr>
        <w:trPr>
          <w:trHeight w:val="151"/>
        </w:trPr>
        <w:tc>
          <w:tcPr>
            <w:tcW w:w="382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1"/>
                <w:szCs w:val="11"/>
                <w:color w:val="auto"/>
              </w:rPr>
              <w:t>share</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44"/>
        </w:trPr>
        <w:tc>
          <w:tcPr>
            <w:tcW w:w="3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5"/>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shares outstanding</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3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used in computing per share data</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4"/>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Basic</w:t>
            </w: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84,870</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83,666</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83,602</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82,737</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84,253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84,750</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84,765</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84,802</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40"/>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Diluted</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85,548</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84,349</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84,479</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83,707</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85,649</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85,393</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85,550</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85,546</w:t>
            </w:r>
          </w:p>
        </w:tc>
        <w:tc>
          <w:tcPr>
            <w:tcW w:w="120" w:type="dxa"/>
            <w:vAlign w:val="bottom"/>
          </w:tcPr>
          <w:p>
            <w:pPr>
              <w:spacing w:after="0"/>
              <w:rPr>
                <w:sz w:val="12"/>
                <w:szCs w:val="12"/>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SUBSEQUENT EVENTS</w:t>
      </w:r>
    </w:p>
    <w:p>
      <w:pPr>
        <w:spacing w:after="0" w:line="82" w:lineRule="exact"/>
        <w:rPr>
          <w:sz w:val="20"/>
          <w:szCs w:val="20"/>
          <w:color w:val="auto"/>
        </w:rPr>
      </w:pPr>
    </w:p>
    <w:p>
      <w:pPr>
        <w:ind w:right="440" w:firstLine="592"/>
        <w:spacing w:after="0" w:line="279" w:lineRule="auto"/>
        <w:rPr>
          <w:sz w:val="20"/>
          <w:szCs w:val="20"/>
          <w:color w:val="auto"/>
        </w:rPr>
      </w:pPr>
      <w:r>
        <w:rPr>
          <w:rFonts w:ascii="Times New Roman" w:cs="Times New Roman" w:eastAsia="Times New Roman" w:hAnsi="Times New Roman"/>
          <w:sz w:val="12"/>
          <w:szCs w:val="12"/>
          <w:color w:val="auto"/>
        </w:rPr>
        <w:t>On January 25, 2021, the Board of Directors of the Company declared a quarterly dividend of $0.78 per share of common stock to be paid on February 26, 2021 to shareholders of record as of the close of trading on February 19, 2021.</w:t>
      </w:r>
    </w:p>
    <w:p>
      <w:pPr>
        <w:spacing w:after="0" w:line="39" w:lineRule="exact"/>
        <w:rPr>
          <w:sz w:val="20"/>
          <w:szCs w:val="20"/>
          <w:color w:val="auto"/>
        </w:rPr>
      </w:pPr>
    </w:p>
    <w:p>
      <w:pPr>
        <w:ind w:right="60" w:firstLine="592"/>
        <w:spacing w:after="0" w:line="279" w:lineRule="auto"/>
        <w:rPr>
          <w:sz w:val="20"/>
          <w:szCs w:val="20"/>
          <w:color w:val="auto"/>
        </w:rPr>
      </w:pPr>
      <w:r>
        <w:rPr>
          <w:rFonts w:ascii="Times New Roman" w:cs="Times New Roman" w:eastAsia="Times New Roman" w:hAnsi="Times New Roman"/>
          <w:sz w:val="12"/>
          <w:szCs w:val="12"/>
          <w:color w:val="auto"/>
        </w:rPr>
        <w:t>Effective January 1, 2021, the Company will present the ESG operating segment as a separate reportable segment and will be renamed ESG and Climate. In addition, the All Other reportable segment will be renamed to All Other – Private Assets and will be comprised of the Real Estate and Burgiss operating segments. These changes will be reflected in subsequent filings.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94" w:name="page95"/>
    <w:bookmarkEnd w:id="94"/>
    <w:p>
      <w:pPr>
        <w:spacing w:after="0"/>
        <w:tabs>
          <w:tab w:leader="none" w:pos="76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2"/>
          <w:szCs w:val="12"/>
          <w:b w:val="1"/>
          <w:bCs w:val="1"/>
          <w:i w:val="1"/>
          <w:iCs w:val="1"/>
          <w:color w:val="auto"/>
        </w:rPr>
        <w:t>Changes in and Disagreements With Accountants on Accounting and Financial Disclosure</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None.</w:t>
      </w:r>
    </w:p>
    <w:p>
      <w:pPr>
        <w:spacing w:after="0" w:line="2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1"/>
          <w:szCs w:val="11"/>
          <w:b w:val="1"/>
          <w:bCs w:val="1"/>
          <w:i w:val="1"/>
          <w:iCs w:val="1"/>
          <w:color w:val="auto"/>
        </w:rPr>
        <w:t>Controls and Procedures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Evaluation of Disclosure Controls and Procedures</w:t>
      </w:r>
    </w:p>
    <w:p>
      <w:pPr>
        <w:spacing w:after="0" w:line="82" w:lineRule="exact"/>
        <w:rPr>
          <w:sz w:val="20"/>
          <w:szCs w:val="20"/>
          <w:color w:val="auto"/>
        </w:rPr>
      </w:pPr>
    </w:p>
    <w:p>
      <w:pPr>
        <w:ind w:right="60" w:firstLine="592"/>
        <w:spacing w:after="0" w:line="265" w:lineRule="auto"/>
        <w:rPr>
          <w:sz w:val="20"/>
          <w:szCs w:val="20"/>
          <w:color w:val="auto"/>
        </w:rPr>
      </w:pPr>
      <w:r>
        <w:rPr>
          <w:rFonts w:ascii="Times New Roman" w:cs="Times New Roman" w:eastAsia="Times New Roman" w:hAnsi="Times New Roman"/>
          <w:sz w:val="12"/>
          <w:szCs w:val="12"/>
          <w:color w:val="auto"/>
        </w:rPr>
        <w:t>The Company maintains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w:t>
      </w:r>
    </w:p>
    <w:p>
      <w:pPr>
        <w:spacing w:after="0" w:line="119" w:lineRule="exact"/>
        <w:rPr>
          <w:sz w:val="20"/>
          <w:szCs w:val="20"/>
          <w:color w:val="auto"/>
        </w:rPr>
      </w:pPr>
    </w:p>
    <w:p>
      <w:pPr>
        <w:ind w:right="180" w:firstLine="592"/>
        <w:spacing w:after="0" w:line="327" w:lineRule="auto"/>
        <w:rPr>
          <w:sz w:val="20"/>
          <w:szCs w:val="20"/>
          <w:color w:val="auto"/>
        </w:rPr>
      </w:pPr>
      <w:r>
        <w:rPr>
          <w:rFonts w:ascii="Times New Roman" w:cs="Times New Roman" w:eastAsia="Times New Roman" w:hAnsi="Times New Roman"/>
          <w:sz w:val="11"/>
          <w:szCs w:val="11"/>
          <w:color w:val="auto"/>
        </w:rPr>
        <w:t>Management of the Company, with the participation of its CEO and CFO, evaluated the effectiveness of the Company’s disclosure controls and procedures. Based on their evaluation, as of December 31, 2020, the end of the period covered by this Annual Report on Form 10-K, the Company’s CEO and CFO have concluded that the Company’s disclosure controls and procedures (as defined in Rules 13a-15(e) and 15d-15(e) under the Exchange Act) were effective.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Management’s Annual Report On Internal Control Over Financial Reporting</w:t>
      </w:r>
    </w:p>
    <w:p>
      <w:pPr>
        <w:spacing w:after="0" w:line="82" w:lineRule="exact"/>
        <w:rPr>
          <w:sz w:val="20"/>
          <w:szCs w:val="20"/>
          <w:color w:val="auto"/>
        </w:rPr>
      </w:pPr>
    </w:p>
    <w:p>
      <w:pPr>
        <w:ind w:firstLine="592"/>
        <w:spacing w:after="0" w:line="300" w:lineRule="auto"/>
        <w:rPr>
          <w:sz w:val="20"/>
          <w:szCs w:val="20"/>
          <w:color w:val="auto"/>
        </w:rPr>
      </w:pPr>
      <w:r>
        <w:rPr>
          <w:rFonts w:ascii="Times New Roman" w:cs="Times New Roman" w:eastAsia="Times New Roman" w:hAnsi="Times New Roman"/>
          <w:sz w:val="11"/>
          <w:szCs w:val="11"/>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30" w:lineRule="exact"/>
        <w:rPr>
          <w:sz w:val="20"/>
          <w:szCs w:val="20"/>
          <w:color w:val="auto"/>
        </w:rPr>
      </w:pPr>
    </w:p>
    <w:p>
      <w:pPr>
        <w:ind w:left="1000" w:hanging="423"/>
        <w:spacing w:after="0"/>
        <w:tabs>
          <w:tab w:leader="none" w:pos="10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pertain to the maintenance of records that, in reasonable detail, accurately and fairly reflect our transactions and dispositions of our assets,</w:t>
      </w:r>
    </w:p>
    <w:p>
      <w:pPr>
        <w:spacing w:after="0" w:line="78" w:lineRule="exact"/>
        <w:rPr>
          <w:rFonts w:ascii="Times New Roman" w:cs="Times New Roman" w:eastAsia="Times New Roman" w:hAnsi="Times New Roman"/>
          <w:sz w:val="12"/>
          <w:szCs w:val="12"/>
          <w:color w:val="auto"/>
        </w:rPr>
      </w:pPr>
    </w:p>
    <w:p>
      <w:pPr>
        <w:ind w:left="1000" w:right="140" w:hanging="423"/>
        <w:spacing w:after="0" w:line="279" w:lineRule="auto"/>
        <w:tabs>
          <w:tab w:leader="none" w:pos="10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our financial statements in accordance with GAAP, and that our receipts and expenditures are being made only in accordance with authorizations of management and directors of the Company, and</w:t>
      </w:r>
    </w:p>
    <w:p>
      <w:pPr>
        <w:spacing w:after="0" w:line="39" w:lineRule="exact"/>
        <w:rPr>
          <w:rFonts w:ascii="Times New Roman" w:cs="Times New Roman" w:eastAsia="Times New Roman" w:hAnsi="Times New Roman"/>
          <w:sz w:val="12"/>
          <w:szCs w:val="12"/>
          <w:color w:val="auto"/>
        </w:rPr>
      </w:pPr>
    </w:p>
    <w:p>
      <w:pPr>
        <w:ind w:left="1000" w:hanging="423"/>
        <w:spacing w:after="0"/>
        <w:tabs>
          <w:tab w:leader="none" w:pos="10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our assets that could have a material effect on the financial statements.</w:t>
      </w:r>
    </w:p>
    <w:p>
      <w:pPr>
        <w:spacing w:after="0" w:line="150" w:lineRule="exact"/>
        <w:rPr>
          <w:sz w:val="20"/>
          <w:szCs w:val="20"/>
          <w:color w:val="auto"/>
        </w:rPr>
      </w:pPr>
    </w:p>
    <w:p>
      <w:pPr>
        <w:ind w:right="80" w:firstLine="592"/>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13" w:right="339" w:bottom="1440" w:gutter="0" w:footer="0" w:header="0"/>
        </w:sectPr>
      </w:pPr>
    </w:p>
    <w:bookmarkStart w:id="95" w:name="page96"/>
    <w:bookmarkEnd w:id="95"/>
    <w:p>
      <w:pPr>
        <w:ind w:firstLine="592"/>
        <w:spacing w:after="0" w:line="283" w:lineRule="auto"/>
        <w:rPr>
          <w:sz w:val="20"/>
          <w:szCs w:val="20"/>
          <w:color w:val="auto"/>
        </w:rPr>
      </w:pPr>
      <w:r>
        <w:rPr>
          <w:rFonts w:ascii="Times New Roman" w:cs="Times New Roman" w:eastAsia="Times New Roman" w:hAnsi="Times New Roman"/>
          <w:sz w:val="12"/>
          <w:szCs w:val="12"/>
          <w:color w:val="auto"/>
        </w:rPr>
        <w:t xml:space="preserve">Management assessed the effectiveness of our internal control over financial reporting as of December 31, 2020 based on the criteria described in </w:t>
      </w:r>
      <w:r>
        <w:rPr>
          <w:rFonts w:ascii="Times New Roman" w:cs="Times New Roman" w:eastAsia="Times New Roman" w:hAnsi="Times New Roman"/>
          <w:sz w:val="12"/>
          <w:szCs w:val="12"/>
          <w:i w:val="1"/>
          <w:iCs w:val="1"/>
          <w:color w:val="auto"/>
        </w:rPr>
        <w:t>Internal Control—Integrated Framework (2013)</w:t>
      </w:r>
      <w:r>
        <w:rPr>
          <w:rFonts w:ascii="Times New Roman" w:cs="Times New Roman" w:eastAsia="Times New Roman" w:hAnsi="Times New Roman"/>
          <w:sz w:val="12"/>
          <w:szCs w:val="12"/>
          <w:color w:val="auto"/>
        </w:rPr>
        <w:t xml:space="preserve"> issued by the Committee of Sponsoring Organizations of the Treadway Commission (COSO).</w:t>
      </w:r>
    </w:p>
    <w:p>
      <w:pPr>
        <w:spacing w:after="0" w:line="109" w:lineRule="exact"/>
        <w:rPr>
          <w:sz w:val="20"/>
          <w:szCs w:val="20"/>
          <w:color w:val="auto"/>
        </w:rPr>
      </w:pPr>
    </w:p>
    <w:p>
      <w:pPr>
        <w:ind w:right="320" w:firstLine="592"/>
        <w:spacing w:after="0" w:line="279" w:lineRule="auto"/>
        <w:rPr>
          <w:sz w:val="20"/>
          <w:szCs w:val="20"/>
          <w:color w:val="auto"/>
        </w:rPr>
      </w:pPr>
      <w:r>
        <w:rPr>
          <w:rFonts w:ascii="Times New Roman" w:cs="Times New Roman" w:eastAsia="Times New Roman" w:hAnsi="Times New Roman"/>
          <w:sz w:val="12"/>
          <w:szCs w:val="12"/>
          <w:color w:val="auto"/>
        </w:rPr>
        <w:t>Based on this assessment, management, including the Company’s CEO and CFO, concluded that, as of December 31, 2020,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111" w:lineRule="exact"/>
        <w:rPr>
          <w:sz w:val="20"/>
          <w:szCs w:val="20"/>
          <w:color w:val="auto"/>
        </w:rPr>
      </w:pPr>
    </w:p>
    <w:p>
      <w:pPr>
        <w:ind w:right="60" w:firstLine="592"/>
        <w:spacing w:after="0" w:line="279" w:lineRule="auto"/>
        <w:rPr>
          <w:sz w:val="20"/>
          <w:szCs w:val="20"/>
          <w:color w:val="auto"/>
        </w:rPr>
      </w:pPr>
      <w:r>
        <w:rPr>
          <w:rFonts w:ascii="Times New Roman" w:cs="Times New Roman" w:eastAsia="Times New Roman" w:hAnsi="Times New Roman"/>
          <w:sz w:val="12"/>
          <w:szCs w:val="12"/>
          <w:color w:val="auto"/>
        </w:rPr>
        <w:t>PricewaterhouseCoopers LLP, our independent registered public accounting firm, has audited and issued a report on the effectiveness of our internal control over financial reporting as of December 31, 2020, which appears on page 58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 Changes in Internal Control Over Financial Reporting</w:t>
      </w:r>
    </w:p>
    <w:p>
      <w:pPr>
        <w:spacing w:after="0" w:line="82" w:lineRule="exact"/>
        <w:rPr>
          <w:sz w:val="20"/>
          <w:szCs w:val="20"/>
          <w:color w:val="auto"/>
        </w:rPr>
      </w:pPr>
    </w:p>
    <w:p>
      <w:pPr>
        <w:ind w:right="260" w:firstLine="592"/>
        <w:spacing w:after="0" w:line="279"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(as defined in Rules 13a-15(f) and 15d-15(f) under the Exchange Act) during the fiscal quarter ended December 31, 2020 that have materially affected, or are reasonably likely to materially affect, our internal control over financial reporting.</w:t>
      </w:r>
    </w:p>
    <w:p>
      <w:pPr>
        <w:spacing w:after="0" w:line="23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i w:val="1"/>
          <w:iCs w:val="1"/>
          <w:color w:val="auto"/>
        </w:rPr>
        <w:t>Other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1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3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i w:val="1"/>
          <w:iCs w:val="1"/>
          <w:color w:val="auto"/>
        </w:rPr>
        <w:t>Directors, Executive Officers and Corporate Governance</w:t>
      </w:r>
    </w:p>
    <w:p>
      <w:pPr>
        <w:spacing w:after="0" w:line="82" w:lineRule="exact"/>
        <w:rPr>
          <w:sz w:val="20"/>
          <w:szCs w:val="20"/>
          <w:color w:val="auto"/>
        </w:rPr>
      </w:pPr>
    </w:p>
    <w:p>
      <w:pPr>
        <w:ind w:right="20" w:firstLine="592"/>
        <w:spacing w:after="0" w:line="279" w:lineRule="auto"/>
        <w:rPr>
          <w:sz w:val="20"/>
          <w:szCs w:val="20"/>
          <w:color w:val="auto"/>
        </w:rPr>
      </w:pPr>
      <w:r>
        <w:rPr>
          <w:rFonts w:ascii="Times New Roman" w:cs="Times New Roman" w:eastAsia="Times New Roman" w:hAnsi="Times New Roman"/>
          <w:sz w:val="12"/>
          <w:szCs w:val="12"/>
          <w:color w:val="auto"/>
        </w:rPr>
        <w:t>Except for the information relating to our Executive Officers set forth in Part I of this Annual Report on Form 10-K, we incorporate by reference the information responsive to this Item appearing in our Proxy Statement, which will be filed no later than 120 days after December 31, 2020.</w:t>
      </w:r>
    </w:p>
    <w:p>
      <w:pPr>
        <w:spacing w:after="0" w:line="111" w:lineRule="exact"/>
        <w:rPr>
          <w:sz w:val="20"/>
          <w:szCs w:val="20"/>
          <w:color w:val="auto"/>
        </w:rPr>
      </w:pPr>
    </w:p>
    <w:p>
      <w:pPr>
        <w:ind w:firstLine="592"/>
        <w:spacing w:after="0" w:line="260" w:lineRule="auto"/>
        <w:rPr>
          <w:sz w:val="20"/>
          <w:szCs w:val="20"/>
          <w:color w:val="auto"/>
        </w:rPr>
      </w:pPr>
      <w:r>
        <w:rPr>
          <w:rFonts w:ascii="Times New Roman" w:cs="Times New Roman" w:eastAsia="Times New Roman" w:hAnsi="Times New Roman"/>
          <w:sz w:val="12"/>
          <w:szCs w:val="12"/>
          <w:color w:val="auto"/>
        </w:rPr>
        <w:t xml:space="preserve">Information regarding our Code of Ethics and Business Conduct and Corporate Governance Policies is incorporated herein by reference from our Proxy Statement, which will be filed no later than 120 days after December 31, 2020. Any amendments to, or waivers from, a provision of our Code of Ethics that apply to our principal executive officer, principal financial officer, principal accounting officer or controller, or persons performing similar functions and that relates to any element of the Code of Ethics enumerated in paragraph (b) of Item 406 of Regulation S-K shall be disclosed by posting such information on our website at </w:t>
      </w:r>
      <w:r>
        <w:rPr>
          <w:rFonts w:ascii="Times New Roman" w:cs="Times New Roman" w:eastAsia="Times New Roman" w:hAnsi="Times New Roman"/>
          <w:sz w:val="12"/>
          <w:szCs w:val="12"/>
          <w:u w:val="single" w:color="auto"/>
          <w:color w:val="auto"/>
        </w:rPr>
        <w:t>www.msci.com</w:t>
      </w:r>
      <w:r>
        <w:rPr>
          <w:rFonts w:ascii="Times New Roman" w:cs="Times New Roman" w:eastAsia="Times New Roman" w:hAnsi="Times New Roman"/>
          <w:sz w:val="12"/>
          <w:szCs w:val="12"/>
          <w:color w:val="auto"/>
        </w:rPr>
        <w:t>. The information on our website is not and should not be considered a part of this Annual Report on Form 10-K.</w:t>
      </w:r>
    </w:p>
    <w:p>
      <w:pPr>
        <w:spacing w:after="0" w:line="24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i w:val="1"/>
          <w:iCs w:val="1"/>
          <w:color w:val="auto"/>
        </w:rPr>
        <w:t>Executive Compensation</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We incorporate by reference the information responsive to this Item appearing in our Proxy Statement, which will be filed no later than 120 days after December 31, 2020.</w:t>
      </w:r>
    </w:p>
    <w:p>
      <w:pPr>
        <w:spacing w:after="0" w:line="2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i w:val="1"/>
          <w:iCs w:val="1"/>
          <w:color w:val="auto"/>
        </w:rPr>
        <w:t>Security Ownership of Certain Beneficial Owners and Management and Related Stockholder Matters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We incorporate by reference the information responsive to this Item appearing in our Proxy Statement, which will be filed no later than 120 days after December 31, 2020. The information provided under Part II, Item 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“Market for Registrant’s Common Equity, Related Stockholder Matters And Issuer Purchases of Equity Securities” of this Annual Report on Form 10-K is incorporated by reference herein.</w:t>
      </w:r>
    </w:p>
    <w:p>
      <w:pPr>
        <w:spacing w:after="0" w:line="26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i w:val="1"/>
          <w:iCs w:val="1"/>
          <w:color w:val="auto"/>
        </w:rPr>
        <w:t>Certain Relationships and Related Transactions, and Director Independence</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We incorporate by reference the information responsive to this Item appearing in our Proxy Statement, which will be filed no later than 120 days after December 31, 2020.</w:t>
      </w:r>
    </w:p>
    <w:p>
      <w:pPr>
        <w:spacing w:after="0" w:line="2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i w:val="1"/>
          <w:iCs w:val="1"/>
          <w:color w:val="auto"/>
        </w:rPr>
        <w:t>Principal Accountant Fees and Services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We incorporate by reference the information responsive to this Item appearing in our Proxy Statement, which will be filed no later than 120 days after December 31, 2020.</w:t>
      </w: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20"/>
          </w:cols>
          <w:pgMar w:left="300" w:top="269" w:right="47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3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i w:val="1"/>
          <w:iCs w:val="1"/>
          <w:color w:val="auto"/>
        </w:rPr>
        <w:t>Exhibit and Financial Statement Schedules</w:t>
      </w:r>
    </w:p>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b w:val="1"/>
          <w:bCs w:val="1"/>
          <w:color w:val="auto"/>
        </w:rPr>
        <w:t xml:space="preserve">(a)(1) </w:t>
      </w:r>
      <w:r>
        <w:rPr>
          <w:rFonts w:ascii="Times New Roman" w:cs="Times New Roman" w:eastAsia="Times New Roman" w:hAnsi="Times New Roman"/>
          <w:sz w:val="12"/>
          <w:szCs w:val="12"/>
          <w:b w:val="1"/>
          <w:bCs w:val="1"/>
          <w:i w:val="1"/>
          <w:iCs w:val="1"/>
          <w:color w:val="auto"/>
        </w:rPr>
        <w:t>Financial Statements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financial statements are provided under Part II, Item 8. “Financial Statements and Supplementary Data” of this Annual Report on Form 10-K.</w:t>
      </w:r>
    </w:p>
    <w:p>
      <w:pPr>
        <w:spacing w:after="0" w:line="2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b w:val="1"/>
          <w:bCs w:val="1"/>
          <w:color w:val="auto"/>
        </w:rPr>
        <w:t xml:space="preserve">(a)(2) </w:t>
      </w:r>
      <w:r>
        <w:rPr>
          <w:rFonts w:ascii="Times New Roman" w:cs="Times New Roman" w:eastAsia="Times New Roman" w:hAnsi="Times New Roman"/>
          <w:sz w:val="12"/>
          <w:szCs w:val="12"/>
          <w:b w:val="1"/>
          <w:bCs w:val="1"/>
          <w:i w:val="1"/>
          <w:iCs w:val="1"/>
          <w:color w:val="auto"/>
        </w:rPr>
        <w:t>Financial Statement Schedules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No financial statement schedules are provided because the information called for is not applicable or not required or is included in the consolidated financial statements or the notes thereto provided under Part II, Item 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Statements and Supplementary Data” of this Annual Report on Form 10-K.</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b w:val="1"/>
          <w:bCs w:val="1"/>
          <w:color w:val="auto"/>
        </w:rPr>
        <w:t xml:space="preserve">(a)(3) </w:t>
      </w:r>
      <w:r>
        <w:rPr>
          <w:rFonts w:ascii="Times New Roman" w:cs="Times New Roman" w:eastAsia="Times New Roman" w:hAnsi="Times New Roman"/>
          <w:sz w:val="12"/>
          <w:szCs w:val="12"/>
          <w:b w:val="1"/>
          <w:bCs w:val="1"/>
          <w:i w:val="1"/>
          <w:iCs w:val="1"/>
          <w:color w:val="auto"/>
        </w:rPr>
        <w:t>Exhibits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The information required by this Item is set forth below.</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80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2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01"/>
        </w:trPr>
        <w:tc>
          <w:tcPr>
            <w:tcW w:w="80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5140" w:type="dxa"/>
            <w:vAlign w:val="bottom"/>
            <w:gridSpan w:val="9"/>
          </w:tcPr>
          <w:p>
            <w:pPr>
              <w:ind w:left="22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c>
          <w:tcPr>
            <w:tcW w:w="220" w:type="dxa"/>
            <w:vAlign w:val="bottom"/>
          </w:tcPr>
          <w:p>
            <w:pPr>
              <w:spacing w:after="0"/>
              <w:rPr>
                <w:sz w:val="8"/>
                <w:szCs w:val="8"/>
                <w:color w:val="auto"/>
              </w:rPr>
            </w:pPr>
          </w:p>
        </w:tc>
        <w:tc>
          <w:tcPr>
            <w:tcW w:w="580" w:type="dxa"/>
            <w:vAlign w:val="bottom"/>
            <w:gridSpan w:val="2"/>
          </w:tcPr>
          <w:p>
            <w:pPr>
              <w:jc w:val="center"/>
              <w:ind w:right="360"/>
              <w:spacing w:after="0" w:line="101" w:lineRule="exact"/>
              <w:rPr>
                <w:sz w:val="20"/>
                <w:szCs w:val="20"/>
                <w:color w:val="auto"/>
              </w:rPr>
            </w:pPr>
            <w:r>
              <w:rPr>
                <w:rFonts w:ascii="Times New Roman" w:cs="Times New Roman" w:eastAsia="Times New Roman" w:hAnsi="Times New Roman"/>
                <w:sz w:val="9"/>
                <w:szCs w:val="9"/>
                <w:b w:val="1"/>
                <w:bCs w:val="1"/>
                <w:color w:val="auto"/>
              </w:rPr>
              <w:t>Form</w:t>
            </w:r>
          </w:p>
        </w:tc>
        <w:tc>
          <w:tcPr>
            <w:tcW w:w="1420" w:type="dxa"/>
            <w:vAlign w:val="bottom"/>
            <w:gridSpan w:val="3"/>
          </w:tcPr>
          <w:p>
            <w:pPr>
              <w:ind w:left="460"/>
              <w:spacing w:after="0" w:line="101" w:lineRule="exact"/>
              <w:rPr>
                <w:sz w:val="20"/>
                <w:szCs w:val="20"/>
                <w:color w:val="auto"/>
              </w:rPr>
            </w:pPr>
            <w:r>
              <w:rPr>
                <w:rFonts w:ascii="Times New Roman" w:cs="Times New Roman" w:eastAsia="Times New Roman" w:hAnsi="Times New Roman"/>
                <w:sz w:val="9"/>
                <w:szCs w:val="9"/>
                <w:b w:val="1"/>
                <w:bCs w:val="1"/>
                <w:color w:val="auto"/>
              </w:rPr>
              <w:t>File No.</w:t>
            </w:r>
          </w:p>
        </w:tc>
        <w:tc>
          <w:tcPr>
            <w:tcW w:w="760" w:type="dxa"/>
            <w:vAlign w:val="bottom"/>
            <w:gridSpan w:val="2"/>
          </w:tcPr>
          <w:p>
            <w:pPr>
              <w:jc w:val="center"/>
              <w:ind w:right="320"/>
              <w:spacing w:after="0" w:line="101" w:lineRule="exact"/>
              <w:rPr>
                <w:sz w:val="20"/>
                <w:szCs w:val="20"/>
                <w:color w:val="auto"/>
              </w:rPr>
            </w:pPr>
            <w:r>
              <w:rPr>
                <w:rFonts w:ascii="Times New Roman" w:cs="Times New Roman" w:eastAsia="Times New Roman" w:hAnsi="Times New Roman"/>
                <w:sz w:val="9"/>
                <w:szCs w:val="9"/>
                <w:b w:val="1"/>
                <w:bCs w:val="1"/>
                <w:color w:val="auto"/>
                <w:w w:val="99"/>
              </w:rPr>
              <w:t>Exhibit No.</w:t>
            </w:r>
          </w:p>
        </w:tc>
        <w:tc>
          <w:tcPr>
            <w:tcW w:w="360" w:type="dxa"/>
            <w:vAlign w:val="bottom"/>
          </w:tcPr>
          <w:p>
            <w:pPr>
              <w:spacing w:after="0"/>
              <w:rPr>
                <w:sz w:val="8"/>
                <w:szCs w:val="8"/>
                <w:color w:val="auto"/>
              </w:rPr>
            </w:pPr>
          </w:p>
        </w:tc>
        <w:tc>
          <w:tcPr>
            <w:tcW w:w="900" w:type="dxa"/>
            <w:vAlign w:val="bottom"/>
            <w:gridSpan w:val="2"/>
          </w:tcPr>
          <w:p>
            <w:pPr>
              <w:spacing w:after="0" w:line="101" w:lineRule="exact"/>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8"/>
        </w:trPr>
        <w:tc>
          <w:tcPr>
            <w:tcW w:w="8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w:t>
            </w:r>
          </w:p>
        </w:tc>
        <w:tc>
          <w:tcPr>
            <w:tcW w:w="800" w:type="dxa"/>
            <w:vAlign w:val="bottom"/>
          </w:tcPr>
          <w:p>
            <w:pPr>
              <w:spacing w:after="0"/>
              <w:rPr>
                <w:sz w:val="13"/>
                <w:szCs w:val="13"/>
                <w:color w:val="auto"/>
              </w:rPr>
            </w:pPr>
          </w:p>
        </w:tc>
        <w:tc>
          <w:tcPr>
            <w:tcW w:w="5140" w:type="dxa"/>
            <w:vAlign w:val="bottom"/>
            <w:gridSpan w:val="9"/>
          </w:tcPr>
          <w:p>
            <w:pPr>
              <w:spacing w:after="0"/>
              <w:rPr>
                <w:rFonts w:ascii="Times New Roman" w:cs="Times New Roman" w:eastAsia="Times New Roman" w:hAnsi="Times New Roman"/>
                <w:sz w:val="12"/>
                <w:szCs w:val="12"/>
                <w:u w:val="single" w:color="auto"/>
                <w:color w:val="0000EE"/>
              </w:rPr>
            </w:pPr>
            <w:hyperlink r:id="rId143">
              <w:r>
                <w:rPr>
                  <w:rFonts w:ascii="Times New Roman" w:cs="Times New Roman" w:eastAsia="Times New Roman" w:hAnsi="Times New Roman"/>
                  <w:sz w:val="12"/>
                  <w:szCs w:val="12"/>
                  <w:u w:val="single" w:color="auto"/>
                  <w:color w:val="0000EE"/>
                </w:rPr>
                <w:t>Third Amended and Restated Certificate of Incorporation</w:t>
              </w:r>
            </w:hyperlink>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w:t>
            </w:r>
          </w:p>
        </w:tc>
        <w:tc>
          <w:tcPr>
            <w:tcW w:w="320" w:type="dxa"/>
            <w:vAlign w:val="bottom"/>
          </w:tcPr>
          <w:p>
            <w:pPr>
              <w:spacing w:after="0"/>
              <w:rPr>
                <w:sz w:val="13"/>
                <w:szCs w:val="13"/>
                <w:color w:val="auto"/>
              </w:rPr>
            </w:pPr>
          </w:p>
        </w:tc>
        <w:tc>
          <w:tcPr>
            <w:tcW w:w="8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8"/>
              </w:rPr>
              <w:t>5/4/2012</w:t>
            </w:r>
          </w:p>
        </w:tc>
        <w:tc>
          <w:tcPr>
            <w:tcW w:w="460" w:type="dxa"/>
            <w:vAlign w:val="bottom"/>
          </w:tcPr>
          <w:p>
            <w:pPr>
              <w:spacing w:after="0"/>
              <w:rPr>
                <w:sz w:val="13"/>
                <w:szCs w:val="13"/>
                <w:color w:val="auto"/>
              </w:rPr>
            </w:pPr>
          </w:p>
        </w:tc>
      </w:tr>
      <w:tr>
        <w:trPr>
          <w:trHeight w:val="144"/>
        </w:trPr>
        <w:tc>
          <w:tcPr>
            <w:tcW w:w="11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rPr>
              <w:t>3.2</w:t>
            </w:r>
          </w:p>
        </w:tc>
        <w:tc>
          <w:tcPr>
            <w:tcW w:w="800" w:type="dxa"/>
            <w:vAlign w:val="bottom"/>
          </w:tcPr>
          <w:p>
            <w:pPr>
              <w:spacing w:after="0"/>
              <w:rPr>
                <w:sz w:val="12"/>
                <w:szCs w:val="12"/>
                <w:color w:val="auto"/>
              </w:rPr>
            </w:pPr>
          </w:p>
        </w:tc>
        <w:tc>
          <w:tcPr>
            <w:tcW w:w="5140" w:type="dxa"/>
            <w:vAlign w:val="bottom"/>
            <w:gridSpan w:val="9"/>
          </w:tcPr>
          <w:p>
            <w:pPr>
              <w:spacing w:after="0"/>
              <w:rPr>
                <w:rFonts w:ascii="Times New Roman" w:cs="Times New Roman" w:eastAsia="Times New Roman" w:hAnsi="Times New Roman"/>
                <w:sz w:val="12"/>
                <w:szCs w:val="12"/>
                <w:u w:val="single" w:color="auto"/>
                <w:color w:val="0000EE"/>
              </w:rPr>
            </w:pPr>
            <w:hyperlink r:id="rId144">
              <w:r>
                <w:rPr>
                  <w:rFonts w:ascii="Times New Roman" w:cs="Times New Roman" w:eastAsia="Times New Roman" w:hAnsi="Times New Roman"/>
                  <w:sz w:val="12"/>
                  <w:szCs w:val="12"/>
                  <w:u w:val="single" w:color="auto"/>
                  <w:color w:val="0000EE"/>
                </w:rPr>
                <w:t>Amended and Restated By-laws</w:t>
              </w:r>
            </w:hyperlink>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w w:val="97"/>
              </w:rPr>
              <w:t>8-K/A</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w:t>
            </w:r>
          </w:p>
        </w:tc>
        <w:tc>
          <w:tcPr>
            <w:tcW w:w="320" w:type="dxa"/>
            <w:vAlign w:val="bottom"/>
          </w:tcPr>
          <w:p>
            <w:pPr>
              <w:spacing w:after="0"/>
              <w:rPr>
                <w:sz w:val="12"/>
                <w:szCs w:val="12"/>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8"/>
              </w:rPr>
              <w:t>1/11/2021</w:t>
            </w:r>
          </w:p>
        </w:tc>
      </w:tr>
      <w:tr>
        <w:trPr>
          <w:trHeight w:val="144"/>
        </w:trPr>
        <w:tc>
          <w:tcPr>
            <w:tcW w:w="11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rPr>
              <w:t>4.1</w:t>
            </w:r>
          </w:p>
        </w:tc>
        <w:tc>
          <w:tcPr>
            <w:tcW w:w="800" w:type="dxa"/>
            <w:vAlign w:val="bottom"/>
          </w:tcPr>
          <w:p>
            <w:pPr>
              <w:spacing w:after="0"/>
              <w:rPr>
                <w:sz w:val="12"/>
                <w:szCs w:val="12"/>
                <w:color w:val="auto"/>
              </w:rPr>
            </w:pPr>
          </w:p>
        </w:tc>
        <w:tc>
          <w:tcPr>
            <w:tcW w:w="5140" w:type="dxa"/>
            <w:vAlign w:val="bottom"/>
            <w:gridSpan w:val="9"/>
          </w:tcPr>
          <w:p>
            <w:pPr>
              <w:spacing w:after="0"/>
              <w:rPr>
                <w:rFonts w:ascii="Times New Roman" w:cs="Times New Roman" w:eastAsia="Times New Roman" w:hAnsi="Times New Roman"/>
                <w:sz w:val="12"/>
                <w:szCs w:val="12"/>
                <w:u w:val="single" w:color="auto"/>
                <w:color w:val="0000EE"/>
              </w:rPr>
            </w:pPr>
            <w:hyperlink r:id="rId145">
              <w:r>
                <w:rPr>
                  <w:rFonts w:ascii="Times New Roman" w:cs="Times New Roman" w:eastAsia="Times New Roman" w:hAnsi="Times New Roman"/>
                  <w:sz w:val="12"/>
                  <w:szCs w:val="12"/>
                  <w:u w:val="single" w:color="auto"/>
                  <w:color w:val="0000EE"/>
                </w:rPr>
                <w:t>Form of Senior Indenture</w:t>
              </w:r>
            </w:hyperlink>
          </w:p>
        </w:tc>
        <w:tc>
          <w:tcPr>
            <w:tcW w:w="220" w:type="dxa"/>
            <w:vAlign w:val="bottom"/>
          </w:tcPr>
          <w:p>
            <w:pPr>
              <w:spacing w:after="0"/>
              <w:rPr>
                <w:sz w:val="12"/>
                <w:szCs w:val="12"/>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S-3</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color w:val="auto"/>
                <w:w w:val="99"/>
              </w:rPr>
              <w:t>333-206232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4.1</w:t>
            </w:r>
          </w:p>
        </w:tc>
        <w:tc>
          <w:tcPr>
            <w:tcW w:w="320" w:type="dxa"/>
            <w:vAlign w:val="bottom"/>
          </w:tcPr>
          <w:p>
            <w:pPr>
              <w:spacing w:after="0"/>
              <w:rPr>
                <w:sz w:val="12"/>
                <w:szCs w:val="12"/>
                <w:color w:val="auto"/>
              </w:rPr>
            </w:pPr>
          </w:p>
        </w:tc>
        <w:tc>
          <w:tcPr>
            <w:tcW w:w="8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8"/>
              </w:rPr>
              <w:t>8/7/2015</w:t>
            </w:r>
          </w:p>
        </w:tc>
        <w:tc>
          <w:tcPr>
            <w:tcW w:w="460" w:type="dxa"/>
            <w:vAlign w:val="bottom"/>
          </w:tcPr>
          <w:p>
            <w:pPr>
              <w:spacing w:after="0"/>
              <w:rPr>
                <w:sz w:val="12"/>
                <w:szCs w:val="12"/>
                <w:color w:val="auto"/>
              </w:rPr>
            </w:pPr>
          </w:p>
        </w:tc>
      </w:tr>
      <w:tr>
        <w:trPr>
          <w:trHeight w:val="144"/>
        </w:trPr>
        <w:tc>
          <w:tcPr>
            <w:tcW w:w="11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rPr>
              <w:t>4.2</w:t>
            </w:r>
          </w:p>
        </w:tc>
        <w:tc>
          <w:tcPr>
            <w:tcW w:w="800" w:type="dxa"/>
            <w:vAlign w:val="bottom"/>
          </w:tcPr>
          <w:p>
            <w:pPr>
              <w:spacing w:after="0"/>
              <w:rPr>
                <w:sz w:val="12"/>
                <w:szCs w:val="12"/>
                <w:color w:val="auto"/>
              </w:rPr>
            </w:pPr>
          </w:p>
        </w:tc>
        <w:tc>
          <w:tcPr>
            <w:tcW w:w="5140" w:type="dxa"/>
            <w:vAlign w:val="bottom"/>
            <w:gridSpan w:val="9"/>
          </w:tcPr>
          <w:p>
            <w:pPr>
              <w:spacing w:after="0"/>
              <w:rPr>
                <w:rFonts w:ascii="Times New Roman" w:cs="Times New Roman" w:eastAsia="Times New Roman" w:hAnsi="Times New Roman"/>
                <w:sz w:val="12"/>
                <w:szCs w:val="12"/>
                <w:u w:val="single" w:color="auto"/>
                <w:color w:val="0000EE"/>
              </w:rPr>
            </w:pPr>
            <w:hyperlink r:id="rId146">
              <w:r>
                <w:rPr>
                  <w:rFonts w:ascii="Times New Roman" w:cs="Times New Roman" w:eastAsia="Times New Roman" w:hAnsi="Times New Roman"/>
                  <w:sz w:val="12"/>
                  <w:szCs w:val="12"/>
                  <w:u w:val="single" w:color="auto"/>
                  <w:color w:val="0000EE"/>
                </w:rPr>
                <w:t>Form of Subordinated Indenture</w:t>
              </w:r>
            </w:hyperlink>
          </w:p>
        </w:tc>
        <w:tc>
          <w:tcPr>
            <w:tcW w:w="220" w:type="dxa"/>
            <w:vAlign w:val="bottom"/>
          </w:tcPr>
          <w:p>
            <w:pPr>
              <w:spacing w:after="0"/>
              <w:rPr>
                <w:sz w:val="12"/>
                <w:szCs w:val="12"/>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S-3</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color w:val="auto"/>
                <w:w w:val="99"/>
              </w:rPr>
              <w:t>333-206232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4.2</w:t>
            </w:r>
          </w:p>
        </w:tc>
        <w:tc>
          <w:tcPr>
            <w:tcW w:w="320" w:type="dxa"/>
            <w:vAlign w:val="bottom"/>
          </w:tcPr>
          <w:p>
            <w:pPr>
              <w:spacing w:after="0"/>
              <w:rPr>
                <w:sz w:val="12"/>
                <w:szCs w:val="12"/>
                <w:color w:val="auto"/>
              </w:rPr>
            </w:pPr>
          </w:p>
        </w:tc>
        <w:tc>
          <w:tcPr>
            <w:tcW w:w="8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8"/>
              </w:rPr>
              <w:t>8/7/2015</w:t>
            </w:r>
          </w:p>
        </w:tc>
        <w:tc>
          <w:tcPr>
            <w:tcW w:w="460" w:type="dxa"/>
            <w:vAlign w:val="bottom"/>
          </w:tcPr>
          <w:p>
            <w:pPr>
              <w:spacing w:after="0"/>
              <w:rPr>
                <w:sz w:val="12"/>
                <w:szCs w:val="12"/>
                <w:color w:val="auto"/>
              </w:rPr>
            </w:pPr>
          </w:p>
        </w:tc>
      </w:tr>
      <w:tr>
        <w:trPr>
          <w:trHeight w:val="144"/>
        </w:trPr>
        <w:tc>
          <w:tcPr>
            <w:tcW w:w="11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rPr>
              <w:t>4.3</w:t>
            </w:r>
          </w:p>
        </w:tc>
        <w:tc>
          <w:tcPr>
            <w:tcW w:w="800" w:type="dxa"/>
            <w:vAlign w:val="bottom"/>
          </w:tcPr>
          <w:p>
            <w:pPr>
              <w:spacing w:after="0"/>
              <w:rPr>
                <w:sz w:val="12"/>
                <w:szCs w:val="12"/>
                <w:color w:val="auto"/>
              </w:rPr>
            </w:pPr>
          </w:p>
        </w:tc>
        <w:tc>
          <w:tcPr>
            <w:tcW w:w="5140" w:type="dxa"/>
            <w:vAlign w:val="bottom"/>
            <w:gridSpan w:val="9"/>
          </w:tcPr>
          <w:p>
            <w:pPr>
              <w:spacing w:after="0"/>
              <w:rPr>
                <w:rFonts w:ascii="Times New Roman" w:cs="Times New Roman" w:eastAsia="Times New Roman" w:hAnsi="Times New Roman"/>
                <w:sz w:val="12"/>
                <w:szCs w:val="12"/>
                <w:u w:val="single" w:color="auto"/>
                <w:color w:val="0000EE"/>
              </w:rPr>
            </w:pPr>
            <w:hyperlink r:id="rId147">
              <w:r>
                <w:rPr>
                  <w:rFonts w:ascii="Times New Roman" w:cs="Times New Roman" w:eastAsia="Times New Roman" w:hAnsi="Times New Roman"/>
                  <w:sz w:val="12"/>
                  <w:szCs w:val="12"/>
                  <w:u w:val="single" w:color="auto"/>
                  <w:color w:val="0000EE"/>
                </w:rPr>
                <w:t>Form of Common Stock Certificate</w:t>
              </w:r>
            </w:hyperlink>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4.1</w:t>
            </w:r>
          </w:p>
        </w:tc>
        <w:tc>
          <w:tcPr>
            <w:tcW w:w="320" w:type="dxa"/>
            <w:vAlign w:val="bottom"/>
          </w:tcPr>
          <w:p>
            <w:pPr>
              <w:spacing w:after="0"/>
              <w:rPr>
                <w:sz w:val="12"/>
                <w:szCs w:val="12"/>
                <w:color w:val="auto"/>
              </w:rPr>
            </w:pPr>
          </w:p>
        </w:tc>
        <w:tc>
          <w:tcPr>
            <w:tcW w:w="8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8"/>
              </w:rPr>
              <w:t>5/4/2012</w:t>
            </w:r>
          </w:p>
        </w:tc>
        <w:tc>
          <w:tcPr>
            <w:tcW w:w="460" w:type="dxa"/>
            <w:vAlign w:val="bottom"/>
          </w:tcPr>
          <w:p>
            <w:pPr>
              <w:spacing w:after="0"/>
              <w:rPr>
                <w:sz w:val="12"/>
                <w:szCs w:val="12"/>
                <w:color w:val="auto"/>
              </w:rPr>
            </w:pPr>
          </w:p>
        </w:tc>
      </w:tr>
      <w:tr>
        <w:trPr>
          <w:trHeight w:val="128"/>
        </w:trPr>
        <w:tc>
          <w:tcPr>
            <w:tcW w:w="1120" w:type="dxa"/>
            <w:vAlign w:val="bottom"/>
            <w:gridSpan w:val="2"/>
          </w:tcPr>
          <w:p>
            <w:pPr>
              <w:jc w:val="center"/>
              <w:ind w:left="740"/>
              <w:spacing w:after="0" w:line="128" w:lineRule="exact"/>
              <w:rPr>
                <w:sz w:val="20"/>
                <w:szCs w:val="20"/>
                <w:color w:val="auto"/>
              </w:rPr>
            </w:pPr>
            <w:r>
              <w:rPr>
                <w:rFonts w:ascii="Times New Roman" w:cs="Times New Roman" w:eastAsia="Times New Roman" w:hAnsi="Times New Roman"/>
                <w:sz w:val="12"/>
                <w:szCs w:val="12"/>
                <w:color w:val="auto"/>
              </w:rPr>
              <w:t>4.4</w:t>
            </w:r>
          </w:p>
        </w:tc>
        <w:tc>
          <w:tcPr>
            <w:tcW w:w="800" w:type="dxa"/>
            <w:vAlign w:val="bottom"/>
          </w:tcPr>
          <w:p>
            <w:pPr>
              <w:spacing w:after="0"/>
              <w:rPr>
                <w:sz w:val="11"/>
                <w:szCs w:val="11"/>
                <w:color w:val="auto"/>
              </w:rPr>
            </w:pPr>
          </w:p>
        </w:tc>
        <w:tc>
          <w:tcPr>
            <w:tcW w:w="4700" w:type="dxa"/>
            <w:vAlign w:val="bottom"/>
            <w:tcBorders>
              <w:bottom w:val="single" w:sz="8" w:color="0000EE"/>
            </w:tcBorders>
            <w:gridSpan w:val="6"/>
          </w:tcPr>
          <w:p>
            <w:pPr>
              <w:spacing w:after="0" w:line="128" w:lineRule="exact"/>
              <w:rPr>
                <w:rFonts w:ascii="Times New Roman" w:cs="Times New Roman" w:eastAsia="Times New Roman" w:hAnsi="Times New Roman"/>
                <w:sz w:val="12"/>
                <w:szCs w:val="12"/>
                <w:color w:val="0000EE"/>
                <w:w w:val="99"/>
              </w:rPr>
            </w:pPr>
            <w:hyperlink r:id="rId148">
              <w:r>
                <w:rPr>
                  <w:rFonts w:ascii="Times New Roman" w:cs="Times New Roman" w:eastAsia="Times New Roman" w:hAnsi="Times New Roman"/>
                  <w:sz w:val="12"/>
                  <w:szCs w:val="12"/>
                  <w:color w:val="0000EE"/>
                  <w:w w:val="99"/>
                </w:rPr>
                <w:t>Indenture, dated as of August 4, 2016, among MSCI Inc., each of the Subsidiary Guarantors party</w:t>
              </w:r>
            </w:hyperlink>
          </w:p>
        </w:tc>
        <w:tc>
          <w:tcPr>
            <w:tcW w:w="44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4.1</w:t>
            </w:r>
          </w:p>
        </w:tc>
        <w:tc>
          <w:tcPr>
            <w:tcW w:w="320" w:type="dxa"/>
            <w:vAlign w:val="bottom"/>
          </w:tcPr>
          <w:p>
            <w:pPr>
              <w:spacing w:after="0"/>
              <w:rPr>
                <w:sz w:val="11"/>
                <w:szCs w:val="11"/>
                <w:color w:val="auto"/>
              </w:rPr>
            </w:pPr>
          </w:p>
        </w:tc>
        <w:tc>
          <w:tcPr>
            <w:tcW w:w="800" w:type="dxa"/>
            <w:vAlign w:val="bottom"/>
            <w:gridSpan w:val="2"/>
          </w:tcPr>
          <w:p>
            <w:pPr>
              <w:jc w:val="center"/>
              <w:ind w:left="280"/>
              <w:spacing w:after="0" w:line="128" w:lineRule="exact"/>
              <w:rPr>
                <w:sz w:val="20"/>
                <w:szCs w:val="20"/>
                <w:color w:val="auto"/>
              </w:rPr>
            </w:pPr>
            <w:r>
              <w:rPr>
                <w:rFonts w:ascii="Times New Roman" w:cs="Times New Roman" w:eastAsia="Times New Roman" w:hAnsi="Times New Roman"/>
                <w:sz w:val="12"/>
                <w:szCs w:val="12"/>
                <w:color w:val="auto"/>
                <w:w w:val="98"/>
              </w:rPr>
              <w:t>8/5/2016</w:t>
            </w:r>
          </w:p>
        </w:tc>
        <w:tc>
          <w:tcPr>
            <w:tcW w:w="460" w:type="dxa"/>
            <w:vAlign w:val="bottom"/>
          </w:tcPr>
          <w:p>
            <w:pPr>
              <w:spacing w:after="0"/>
              <w:rPr>
                <w:sz w:val="11"/>
                <w:szCs w:val="11"/>
                <w:color w:val="auto"/>
              </w:rPr>
            </w:pPr>
          </w:p>
        </w:tc>
      </w:tr>
      <w:tr>
        <w:trPr>
          <w:trHeight w:val="124"/>
        </w:trPr>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4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8"/>
              </w:rPr>
            </w:pPr>
            <w:hyperlink r:id="rId148">
              <w:r>
                <w:rPr>
                  <w:rFonts w:ascii="Times New Roman" w:cs="Times New Roman" w:eastAsia="Times New Roman" w:hAnsi="Times New Roman"/>
                  <w:sz w:val="12"/>
                  <w:szCs w:val="12"/>
                  <w:color w:val="0000EE"/>
                  <w:w w:val="98"/>
                </w:rPr>
                <w:t>thereto and Wells Fargo Bank, National Association, as Trustee</w:t>
              </w:r>
            </w:hyperlink>
          </w:p>
        </w:tc>
        <w:tc>
          <w:tcPr>
            <w:tcW w:w="2100" w:type="dxa"/>
            <w:vAlign w:val="bottom"/>
            <w:gridSpan w:val="6"/>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0"/>
        </w:trPr>
        <w:tc>
          <w:tcPr>
            <w:tcW w:w="11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rPr>
              <w:t>4.5</w:t>
            </w:r>
          </w:p>
        </w:tc>
        <w:tc>
          <w:tcPr>
            <w:tcW w:w="800" w:type="dxa"/>
            <w:vAlign w:val="bottom"/>
          </w:tcPr>
          <w:p>
            <w:pPr>
              <w:spacing w:after="0"/>
              <w:rPr>
                <w:sz w:val="12"/>
                <w:szCs w:val="12"/>
                <w:color w:val="auto"/>
              </w:rPr>
            </w:pPr>
          </w:p>
        </w:tc>
        <w:tc>
          <w:tcPr>
            <w:tcW w:w="5140" w:type="dxa"/>
            <w:vAlign w:val="bottom"/>
            <w:gridSpan w:val="9"/>
          </w:tcPr>
          <w:p>
            <w:pPr>
              <w:spacing w:after="0"/>
              <w:rPr>
                <w:rFonts w:ascii="Times New Roman" w:cs="Times New Roman" w:eastAsia="Times New Roman" w:hAnsi="Times New Roman"/>
                <w:sz w:val="12"/>
                <w:szCs w:val="12"/>
                <w:u w:val="single" w:color="auto"/>
                <w:color w:val="0000EE"/>
              </w:rPr>
            </w:pPr>
            <w:hyperlink r:id="rId148">
              <w:r>
                <w:rPr>
                  <w:rFonts w:ascii="Times New Roman" w:cs="Times New Roman" w:eastAsia="Times New Roman" w:hAnsi="Times New Roman"/>
                  <w:sz w:val="12"/>
                  <w:szCs w:val="12"/>
                  <w:u w:val="single" w:color="auto"/>
                  <w:color w:val="0000EE"/>
                </w:rPr>
                <w:t>Form of Note for MSCI Inc. 4.750% Senior Notes due August 1, 2026 (included in Exhibit 4.4)</w:t>
              </w:r>
            </w:hyperlink>
          </w:p>
        </w:tc>
        <w:tc>
          <w:tcPr>
            <w:tcW w:w="220" w:type="dxa"/>
            <w:vAlign w:val="bottom"/>
          </w:tcPr>
          <w:p>
            <w:pPr>
              <w:spacing w:after="0"/>
              <w:rPr>
                <w:sz w:val="12"/>
                <w:szCs w:val="12"/>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4.2</w:t>
            </w:r>
          </w:p>
        </w:tc>
        <w:tc>
          <w:tcPr>
            <w:tcW w:w="320" w:type="dxa"/>
            <w:vAlign w:val="bottom"/>
          </w:tcPr>
          <w:p>
            <w:pPr>
              <w:spacing w:after="0"/>
              <w:rPr>
                <w:sz w:val="12"/>
                <w:szCs w:val="12"/>
                <w:color w:val="auto"/>
              </w:rPr>
            </w:pPr>
          </w:p>
        </w:tc>
        <w:tc>
          <w:tcPr>
            <w:tcW w:w="8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8"/>
              </w:rPr>
              <w:t>8/5/2016</w:t>
            </w:r>
          </w:p>
        </w:tc>
        <w:tc>
          <w:tcPr>
            <w:tcW w:w="460" w:type="dxa"/>
            <w:vAlign w:val="bottom"/>
          </w:tcPr>
          <w:p>
            <w:pPr>
              <w:spacing w:after="0"/>
              <w:rPr>
                <w:sz w:val="12"/>
                <w:szCs w:val="12"/>
                <w:color w:val="auto"/>
              </w:rPr>
            </w:pPr>
          </w:p>
        </w:tc>
      </w:tr>
      <w:tr>
        <w:trPr>
          <w:trHeight w:val="128"/>
        </w:trPr>
        <w:tc>
          <w:tcPr>
            <w:tcW w:w="1120" w:type="dxa"/>
            <w:vAlign w:val="bottom"/>
            <w:gridSpan w:val="2"/>
          </w:tcPr>
          <w:p>
            <w:pPr>
              <w:jc w:val="center"/>
              <w:ind w:left="740"/>
              <w:spacing w:after="0" w:line="128" w:lineRule="exact"/>
              <w:rPr>
                <w:sz w:val="20"/>
                <w:szCs w:val="20"/>
                <w:color w:val="auto"/>
              </w:rPr>
            </w:pPr>
            <w:r>
              <w:rPr>
                <w:rFonts w:ascii="Times New Roman" w:cs="Times New Roman" w:eastAsia="Times New Roman" w:hAnsi="Times New Roman"/>
                <w:sz w:val="12"/>
                <w:szCs w:val="12"/>
                <w:color w:val="auto"/>
              </w:rPr>
              <w:t>4.6</w:t>
            </w:r>
          </w:p>
        </w:tc>
        <w:tc>
          <w:tcPr>
            <w:tcW w:w="800" w:type="dxa"/>
            <w:vAlign w:val="bottom"/>
          </w:tcPr>
          <w:p>
            <w:pPr>
              <w:spacing w:after="0"/>
              <w:rPr>
                <w:sz w:val="11"/>
                <w:szCs w:val="11"/>
                <w:color w:val="auto"/>
              </w:rPr>
            </w:pPr>
          </w:p>
        </w:tc>
        <w:tc>
          <w:tcPr>
            <w:tcW w:w="5140" w:type="dxa"/>
            <w:vAlign w:val="bottom"/>
            <w:gridSpan w:val="9"/>
          </w:tcPr>
          <w:p>
            <w:pPr>
              <w:spacing w:after="0" w:line="128" w:lineRule="exact"/>
              <w:rPr>
                <w:rFonts w:ascii="Times New Roman" w:cs="Times New Roman" w:eastAsia="Times New Roman" w:hAnsi="Times New Roman"/>
                <w:sz w:val="12"/>
                <w:szCs w:val="12"/>
                <w:color w:val="0000EE"/>
              </w:rPr>
            </w:pPr>
            <w:hyperlink r:id="rId149">
              <w:r>
                <w:rPr>
                  <w:rFonts w:ascii="Times New Roman" w:cs="Times New Roman" w:eastAsia="Times New Roman" w:hAnsi="Times New Roman"/>
                  <w:sz w:val="12"/>
                  <w:szCs w:val="12"/>
                  <w:color w:val="0000EE"/>
                </w:rPr>
                <w:t>Indenture, dated as of May 18, 2018, among MSCI Inc., each of the subsidiary guarantors party thereto</w:t>
              </w:r>
            </w:hyperlink>
          </w:p>
        </w:tc>
        <w:tc>
          <w:tcPr>
            <w:tcW w:w="220" w:type="dxa"/>
            <w:vAlign w:val="bottom"/>
          </w:tcPr>
          <w:p>
            <w:pPr>
              <w:spacing w:after="0"/>
              <w:rPr>
                <w:sz w:val="11"/>
                <w:szCs w:val="11"/>
                <w:color w:val="auto"/>
              </w:rPr>
            </w:pPr>
          </w:p>
        </w:tc>
        <w:tc>
          <w:tcPr>
            <w:tcW w:w="58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4.1</w:t>
            </w:r>
          </w:p>
        </w:tc>
        <w:tc>
          <w:tcPr>
            <w:tcW w:w="320" w:type="dxa"/>
            <w:vAlign w:val="bottom"/>
          </w:tcPr>
          <w:p>
            <w:pPr>
              <w:spacing w:after="0"/>
              <w:rPr>
                <w:sz w:val="11"/>
                <w:szCs w:val="11"/>
                <w:color w:val="auto"/>
              </w:rPr>
            </w:pPr>
          </w:p>
        </w:tc>
        <w:tc>
          <w:tcPr>
            <w:tcW w:w="126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w w:val="98"/>
              </w:rPr>
              <w:t>5/18/2018</w:t>
            </w:r>
          </w:p>
        </w:tc>
      </w:tr>
      <w:tr>
        <w:trPr>
          <w:trHeight w:val="124"/>
        </w:trPr>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7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8"/>
              </w:rPr>
            </w:pPr>
            <w:hyperlink r:id="rId149">
              <w:r>
                <w:rPr>
                  <w:rFonts w:ascii="Times New Roman" w:cs="Times New Roman" w:eastAsia="Times New Roman" w:hAnsi="Times New Roman"/>
                  <w:sz w:val="12"/>
                  <w:szCs w:val="12"/>
                  <w:color w:val="0000EE"/>
                  <w:w w:val="98"/>
                </w:rPr>
                <w:t>and Wells Fargo Bank, National Association, as Trustee</w:t>
              </w:r>
            </w:hyperlink>
          </w:p>
        </w:tc>
        <w:tc>
          <w:tcPr>
            <w:tcW w:w="2240" w:type="dxa"/>
            <w:vAlign w:val="bottom"/>
            <w:tcBorders>
              <w:top w:val="single" w:sz="8" w:color="0000EE"/>
            </w:tcBorders>
            <w:gridSpan w:val="6"/>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0"/>
        </w:trPr>
        <w:tc>
          <w:tcPr>
            <w:tcW w:w="11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rPr>
              <w:t>4.7</w:t>
            </w:r>
          </w:p>
        </w:tc>
        <w:tc>
          <w:tcPr>
            <w:tcW w:w="800" w:type="dxa"/>
            <w:vAlign w:val="bottom"/>
          </w:tcPr>
          <w:p>
            <w:pPr>
              <w:spacing w:after="0"/>
              <w:rPr>
                <w:sz w:val="12"/>
                <w:szCs w:val="12"/>
                <w:color w:val="auto"/>
              </w:rPr>
            </w:pPr>
          </w:p>
        </w:tc>
        <w:tc>
          <w:tcPr>
            <w:tcW w:w="5140" w:type="dxa"/>
            <w:vAlign w:val="bottom"/>
            <w:gridSpan w:val="9"/>
          </w:tcPr>
          <w:p>
            <w:pPr>
              <w:spacing w:after="0"/>
              <w:rPr>
                <w:rFonts w:ascii="Times New Roman" w:cs="Times New Roman" w:eastAsia="Times New Roman" w:hAnsi="Times New Roman"/>
                <w:sz w:val="12"/>
                <w:szCs w:val="12"/>
                <w:u w:val="single" w:color="auto"/>
                <w:color w:val="0000EE"/>
              </w:rPr>
            </w:pPr>
            <w:hyperlink r:id="rId149">
              <w:r>
                <w:rPr>
                  <w:rFonts w:ascii="Times New Roman" w:cs="Times New Roman" w:eastAsia="Times New Roman" w:hAnsi="Times New Roman"/>
                  <w:sz w:val="12"/>
                  <w:szCs w:val="12"/>
                  <w:u w:val="single" w:color="auto"/>
                  <w:color w:val="0000EE"/>
                </w:rPr>
                <w:t>Form of Note for MSCI Inc. 5.375% Senior Notes due May 15, 2027 (included in Exhibit 4.6)</w:t>
              </w:r>
            </w:hyperlink>
          </w:p>
        </w:tc>
        <w:tc>
          <w:tcPr>
            <w:tcW w:w="220" w:type="dxa"/>
            <w:vAlign w:val="bottom"/>
          </w:tcPr>
          <w:p>
            <w:pPr>
              <w:spacing w:after="0"/>
              <w:rPr>
                <w:sz w:val="12"/>
                <w:szCs w:val="12"/>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4.2</w:t>
            </w:r>
          </w:p>
        </w:tc>
        <w:tc>
          <w:tcPr>
            <w:tcW w:w="320" w:type="dxa"/>
            <w:vAlign w:val="bottom"/>
          </w:tcPr>
          <w:p>
            <w:pPr>
              <w:spacing w:after="0"/>
              <w:rPr>
                <w:sz w:val="12"/>
                <w:szCs w:val="12"/>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8"/>
              </w:rPr>
              <w:t>5/18/2018</w:t>
            </w:r>
          </w:p>
        </w:tc>
      </w:tr>
      <w:tr>
        <w:trPr>
          <w:trHeight w:val="128"/>
        </w:trPr>
        <w:tc>
          <w:tcPr>
            <w:tcW w:w="1120" w:type="dxa"/>
            <w:vAlign w:val="bottom"/>
            <w:gridSpan w:val="2"/>
          </w:tcPr>
          <w:p>
            <w:pPr>
              <w:jc w:val="center"/>
              <w:ind w:left="740"/>
              <w:spacing w:after="0" w:line="128" w:lineRule="exact"/>
              <w:rPr>
                <w:sz w:val="20"/>
                <w:szCs w:val="20"/>
                <w:color w:val="auto"/>
              </w:rPr>
            </w:pPr>
            <w:r>
              <w:rPr>
                <w:rFonts w:ascii="Times New Roman" w:cs="Times New Roman" w:eastAsia="Times New Roman" w:hAnsi="Times New Roman"/>
                <w:sz w:val="12"/>
                <w:szCs w:val="12"/>
                <w:color w:val="auto"/>
              </w:rPr>
              <w:t>4.8</w:t>
            </w:r>
          </w:p>
        </w:tc>
        <w:tc>
          <w:tcPr>
            <w:tcW w:w="800" w:type="dxa"/>
            <w:vAlign w:val="bottom"/>
          </w:tcPr>
          <w:p>
            <w:pPr>
              <w:spacing w:after="0"/>
              <w:rPr>
                <w:sz w:val="11"/>
                <w:szCs w:val="11"/>
                <w:color w:val="auto"/>
              </w:rPr>
            </w:pPr>
          </w:p>
        </w:tc>
        <w:tc>
          <w:tcPr>
            <w:tcW w:w="5140" w:type="dxa"/>
            <w:vAlign w:val="bottom"/>
            <w:gridSpan w:val="9"/>
          </w:tcPr>
          <w:p>
            <w:pPr>
              <w:spacing w:after="0" w:line="128" w:lineRule="exact"/>
              <w:rPr>
                <w:rFonts w:ascii="Times New Roman" w:cs="Times New Roman" w:eastAsia="Times New Roman" w:hAnsi="Times New Roman"/>
                <w:sz w:val="12"/>
                <w:szCs w:val="12"/>
                <w:color w:val="0000EE"/>
              </w:rPr>
            </w:pPr>
            <w:hyperlink r:id="rId150">
              <w:r>
                <w:rPr>
                  <w:rFonts w:ascii="Times New Roman" w:cs="Times New Roman" w:eastAsia="Times New Roman" w:hAnsi="Times New Roman"/>
                  <w:sz w:val="12"/>
                  <w:szCs w:val="12"/>
                  <w:color w:val="0000EE"/>
                </w:rPr>
                <w:t>Indenture, dated as of November 7, 2019, among MSCI Inc., each of the subsidiary guarantors party</w:t>
              </w:r>
            </w:hyperlink>
          </w:p>
        </w:tc>
        <w:tc>
          <w:tcPr>
            <w:tcW w:w="220" w:type="dxa"/>
            <w:vAlign w:val="bottom"/>
          </w:tcPr>
          <w:p>
            <w:pPr>
              <w:spacing w:after="0"/>
              <w:rPr>
                <w:sz w:val="11"/>
                <w:szCs w:val="11"/>
                <w:color w:val="auto"/>
              </w:rPr>
            </w:pPr>
          </w:p>
        </w:tc>
        <w:tc>
          <w:tcPr>
            <w:tcW w:w="58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4.1</w:t>
            </w:r>
          </w:p>
        </w:tc>
        <w:tc>
          <w:tcPr>
            <w:tcW w:w="320" w:type="dxa"/>
            <w:vAlign w:val="bottom"/>
          </w:tcPr>
          <w:p>
            <w:pPr>
              <w:spacing w:after="0"/>
              <w:rPr>
                <w:sz w:val="11"/>
                <w:szCs w:val="11"/>
                <w:color w:val="auto"/>
              </w:rPr>
            </w:pPr>
          </w:p>
        </w:tc>
        <w:tc>
          <w:tcPr>
            <w:tcW w:w="126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w w:val="98"/>
              </w:rPr>
              <w:t>11/7/2019</w:t>
            </w:r>
          </w:p>
        </w:tc>
      </w:tr>
      <w:tr>
        <w:trPr>
          <w:trHeight w:val="124"/>
        </w:trPr>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4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8"/>
              </w:rPr>
            </w:pPr>
            <w:hyperlink r:id="rId150">
              <w:r>
                <w:rPr>
                  <w:rFonts w:ascii="Times New Roman" w:cs="Times New Roman" w:eastAsia="Times New Roman" w:hAnsi="Times New Roman"/>
                  <w:sz w:val="12"/>
                  <w:szCs w:val="12"/>
                  <w:color w:val="0000EE"/>
                  <w:w w:val="98"/>
                </w:rPr>
                <w:t>thereto and Wells Fargo Bank, National Association, as Trustee</w:t>
              </w:r>
            </w:hyperlink>
          </w:p>
        </w:tc>
        <w:tc>
          <w:tcPr>
            <w:tcW w:w="1760" w:type="dxa"/>
            <w:vAlign w:val="bottom"/>
            <w:tcBorders>
              <w:top w:val="single" w:sz="8" w:color="0000EE"/>
            </w:tcBorders>
            <w:gridSpan w:val="4"/>
          </w:tcPr>
          <w:p>
            <w:pPr>
              <w:spacing w:after="0"/>
              <w:rPr>
                <w:sz w:val="10"/>
                <w:szCs w:val="10"/>
                <w:color w:val="auto"/>
              </w:rPr>
            </w:pPr>
          </w:p>
        </w:tc>
        <w:tc>
          <w:tcPr>
            <w:tcW w:w="34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0"/>
        </w:trPr>
        <w:tc>
          <w:tcPr>
            <w:tcW w:w="11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rPr>
              <w:t>4.9</w:t>
            </w:r>
          </w:p>
        </w:tc>
        <w:tc>
          <w:tcPr>
            <w:tcW w:w="800" w:type="dxa"/>
            <w:vAlign w:val="bottom"/>
          </w:tcPr>
          <w:p>
            <w:pPr>
              <w:spacing w:after="0"/>
              <w:rPr>
                <w:sz w:val="12"/>
                <w:szCs w:val="12"/>
                <w:color w:val="auto"/>
              </w:rPr>
            </w:pPr>
          </w:p>
        </w:tc>
        <w:tc>
          <w:tcPr>
            <w:tcW w:w="5140" w:type="dxa"/>
            <w:vAlign w:val="bottom"/>
            <w:gridSpan w:val="9"/>
          </w:tcPr>
          <w:p>
            <w:pPr>
              <w:spacing w:after="0"/>
              <w:rPr>
                <w:rFonts w:ascii="Times New Roman" w:cs="Times New Roman" w:eastAsia="Times New Roman" w:hAnsi="Times New Roman"/>
                <w:sz w:val="12"/>
                <w:szCs w:val="12"/>
                <w:u w:val="single" w:color="auto"/>
                <w:color w:val="0000EE"/>
              </w:rPr>
            </w:pPr>
            <w:hyperlink r:id="rId150">
              <w:r>
                <w:rPr>
                  <w:rFonts w:ascii="Times New Roman" w:cs="Times New Roman" w:eastAsia="Times New Roman" w:hAnsi="Times New Roman"/>
                  <w:sz w:val="12"/>
                  <w:szCs w:val="12"/>
                  <w:u w:val="single" w:color="auto"/>
                  <w:color w:val="0000EE"/>
                </w:rPr>
                <w:t>Form of Note for MSCI Inc. 4.000% Senior Notes due November 15, 2029 (included in Exhibit 4.8)</w:t>
              </w:r>
            </w:hyperlink>
          </w:p>
        </w:tc>
        <w:tc>
          <w:tcPr>
            <w:tcW w:w="220" w:type="dxa"/>
            <w:vAlign w:val="bottom"/>
          </w:tcPr>
          <w:p>
            <w:pPr>
              <w:spacing w:after="0"/>
              <w:rPr>
                <w:sz w:val="12"/>
                <w:szCs w:val="12"/>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4.2</w:t>
            </w:r>
          </w:p>
        </w:tc>
        <w:tc>
          <w:tcPr>
            <w:tcW w:w="320" w:type="dxa"/>
            <w:vAlign w:val="bottom"/>
          </w:tcPr>
          <w:p>
            <w:pPr>
              <w:spacing w:after="0"/>
              <w:rPr>
                <w:sz w:val="12"/>
                <w:szCs w:val="12"/>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8"/>
              </w:rPr>
              <w:t>11/7/2019</w:t>
            </w:r>
          </w:p>
        </w:tc>
      </w:tr>
      <w:tr>
        <w:trPr>
          <w:trHeight w:val="128"/>
        </w:trPr>
        <w:tc>
          <w:tcPr>
            <w:tcW w:w="1120" w:type="dxa"/>
            <w:vAlign w:val="bottom"/>
            <w:gridSpan w:val="2"/>
          </w:tcPr>
          <w:p>
            <w:pPr>
              <w:jc w:val="center"/>
              <w:ind w:left="740"/>
              <w:spacing w:after="0" w:line="128" w:lineRule="exact"/>
              <w:rPr>
                <w:sz w:val="20"/>
                <w:szCs w:val="20"/>
                <w:color w:val="auto"/>
              </w:rPr>
            </w:pPr>
            <w:r>
              <w:rPr>
                <w:rFonts w:ascii="Times New Roman" w:cs="Times New Roman" w:eastAsia="Times New Roman" w:hAnsi="Times New Roman"/>
                <w:sz w:val="12"/>
                <w:szCs w:val="12"/>
                <w:color w:val="auto"/>
                <w:w w:val="95"/>
              </w:rPr>
              <w:t>4.10</w:t>
            </w:r>
          </w:p>
        </w:tc>
        <w:tc>
          <w:tcPr>
            <w:tcW w:w="800" w:type="dxa"/>
            <w:vAlign w:val="bottom"/>
          </w:tcPr>
          <w:p>
            <w:pPr>
              <w:spacing w:after="0"/>
              <w:rPr>
                <w:sz w:val="11"/>
                <w:szCs w:val="11"/>
                <w:color w:val="auto"/>
              </w:rPr>
            </w:pPr>
          </w:p>
        </w:tc>
        <w:tc>
          <w:tcPr>
            <w:tcW w:w="4620" w:type="dxa"/>
            <w:vAlign w:val="bottom"/>
            <w:tcBorders>
              <w:bottom w:val="single" w:sz="8" w:color="0000EE"/>
            </w:tcBorders>
            <w:gridSpan w:val="5"/>
          </w:tcPr>
          <w:p>
            <w:pPr>
              <w:spacing w:after="0" w:line="128" w:lineRule="exact"/>
              <w:rPr>
                <w:rFonts w:ascii="Times New Roman" w:cs="Times New Roman" w:eastAsia="Times New Roman" w:hAnsi="Times New Roman"/>
                <w:sz w:val="12"/>
                <w:szCs w:val="12"/>
                <w:color w:val="0000EE"/>
                <w:w w:val="99"/>
              </w:rPr>
            </w:pPr>
            <w:hyperlink r:id="rId151">
              <w:r>
                <w:rPr>
                  <w:rFonts w:ascii="Times New Roman" w:cs="Times New Roman" w:eastAsia="Times New Roman" w:hAnsi="Times New Roman"/>
                  <w:sz w:val="12"/>
                  <w:szCs w:val="12"/>
                  <w:color w:val="0000EE"/>
                  <w:w w:val="99"/>
                </w:rPr>
                <w:t>Indenture, dated as of March 4, 2020, among MSCI Inc., each of the subsidiary guarantors party</w:t>
              </w:r>
            </w:hyperlink>
          </w:p>
        </w:tc>
        <w:tc>
          <w:tcPr>
            <w:tcW w:w="520" w:type="dxa"/>
            <w:vAlign w:val="bottom"/>
            <w:gridSpan w:val="4"/>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4.1</w:t>
            </w:r>
          </w:p>
        </w:tc>
        <w:tc>
          <w:tcPr>
            <w:tcW w:w="320" w:type="dxa"/>
            <w:vAlign w:val="bottom"/>
          </w:tcPr>
          <w:p>
            <w:pPr>
              <w:spacing w:after="0"/>
              <w:rPr>
                <w:sz w:val="11"/>
                <w:szCs w:val="11"/>
                <w:color w:val="auto"/>
              </w:rPr>
            </w:pPr>
          </w:p>
        </w:tc>
        <w:tc>
          <w:tcPr>
            <w:tcW w:w="126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w w:val="98"/>
              </w:rPr>
              <w:t>3/04/2020</w:t>
            </w:r>
          </w:p>
        </w:tc>
      </w:tr>
      <w:tr>
        <w:trPr>
          <w:trHeight w:val="124"/>
        </w:trPr>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8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151">
              <w:r>
                <w:rPr>
                  <w:rFonts w:ascii="Times New Roman" w:cs="Times New Roman" w:eastAsia="Times New Roman" w:hAnsi="Times New Roman"/>
                  <w:sz w:val="12"/>
                  <w:szCs w:val="12"/>
                  <w:color w:val="0000EE"/>
                  <w:w w:val="99"/>
                </w:rPr>
                <w:t>thereto and Wells Fargo Bank, National Association, as Trustee.</w:t>
              </w:r>
            </w:hyperlink>
          </w:p>
        </w:tc>
        <w:tc>
          <w:tcPr>
            <w:tcW w:w="2060" w:type="dxa"/>
            <w:vAlign w:val="bottom"/>
            <w:gridSpan w:val="5"/>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0"/>
        </w:trPr>
        <w:tc>
          <w:tcPr>
            <w:tcW w:w="11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5"/>
              </w:rPr>
              <w:t>4.11</w:t>
            </w:r>
          </w:p>
        </w:tc>
        <w:tc>
          <w:tcPr>
            <w:tcW w:w="800" w:type="dxa"/>
            <w:vAlign w:val="bottom"/>
          </w:tcPr>
          <w:p>
            <w:pPr>
              <w:spacing w:after="0"/>
              <w:rPr>
                <w:sz w:val="12"/>
                <w:szCs w:val="12"/>
                <w:color w:val="auto"/>
              </w:rPr>
            </w:pPr>
          </w:p>
        </w:tc>
        <w:tc>
          <w:tcPr>
            <w:tcW w:w="5140" w:type="dxa"/>
            <w:vAlign w:val="bottom"/>
            <w:gridSpan w:val="9"/>
          </w:tcPr>
          <w:p>
            <w:pPr>
              <w:spacing w:after="0"/>
              <w:rPr>
                <w:rFonts w:ascii="Times New Roman" w:cs="Times New Roman" w:eastAsia="Times New Roman" w:hAnsi="Times New Roman"/>
                <w:sz w:val="12"/>
                <w:szCs w:val="12"/>
                <w:u w:val="single" w:color="auto"/>
                <w:color w:val="0000EE"/>
              </w:rPr>
            </w:pPr>
            <w:hyperlink r:id="rId151">
              <w:r>
                <w:rPr>
                  <w:rFonts w:ascii="Times New Roman" w:cs="Times New Roman" w:eastAsia="Times New Roman" w:hAnsi="Times New Roman"/>
                  <w:sz w:val="12"/>
                  <w:szCs w:val="12"/>
                  <w:u w:val="single" w:color="auto"/>
                  <w:color w:val="0000EE"/>
                </w:rPr>
                <w:t>Form of Note for MSCI Inc. 3.625% Senior Notes due September 1, 2030 (included in Exhibit 4.10).</w:t>
              </w:r>
            </w:hyperlink>
          </w:p>
        </w:tc>
        <w:tc>
          <w:tcPr>
            <w:tcW w:w="220" w:type="dxa"/>
            <w:vAlign w:val="bottom"/>
          </w:tcPr>
          <w:p>
            <w:pPr>
              <w:spacing w:after="0"/>
              <w:rPr>
                <w:sz w:val="12"/>
                <w:szCs w:val="12"/>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4.2</w:t>
            </w:r>
          </w:p>
        </w:tc>
        <w:tc>
          <w:tcPr>
            <w:tcW w:w="320" w:type="dxa"/>
            <w:vAlign w:val="bottom"/>
          </w:tcPr>
          <w:p>
            <w:pPr>
              <w:spacing w:after="0"/>
              <w:rPr>
                <w:sz w:val="12"/>
                <w:szCs w:val="12"/>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8"/>
              </w:rPr>
              <w:t>3/04/2020</w:t>
            </w:r>
          </w:p>
        </w:tc>
      </w:tr>
      <w:tr>
        <w:trPr>
          <w:trHeight w:val="128"/>
        </w:trPr>
        <w:tc>
          <w:tcPr>
            <w:tcW w:w="1120" w:type="dxa"/>
            <w:vAlign w:val="bottom"/>
            <w:gridSpan w:val="2"/>
          </w:tcPr>
          <w:p>
            <w:pPr>
              <w:jc w:val="center"/>
              <w:ind w:left="740"/>
              <w:spacing w:after="0" w:line="128" w:lineRule="exact"/>
              <w:rPr>
                <w:sz w:val="20"/>
                <w:szCs w:val="20"/>
                <w:color w:val="auto"/>
              </w:rPr>
            </w:pPr>
            <w:r>
              <w:rPr>
                <w:rFonts w:ascii="Times New Roman" w:cs="Times New Roman" w:eastAsia="Times New Roman" w:hAnsi="Times New Roman"/>
                <w:sz w:val="12"/>
                <w:szCs w:val="12"/>
                <w:color w:val="auto"/>
                <w:w w:val="95"/>
              </w:rPr>
              <w:t>4.12</w:t>
            </w:r>
          </w:p>
        </w:tc>
        <w:tc>
          <w:tcPr>
            <w:tcW w:w="800" w:type="dxa"/>
            <w:vAlign w:val="bottom"/>
          </w:tcPr>
          <w:p>
            <w:pPr>
              <w:spacing w:after="0"/>
              <w:rPr>
                <w:sz w:val="11"/>
                <w:szCs w:val="11"/>
                <w:color w:val="auto"/>
              </w:rPr>
            </w:pPr>
          </w:p>
        </w:tc>
        <w:tc>
          <w:tcPr>
            <w:tcW w:w="5140" w:type="dxa"/>
            <w:vAlign w:val="bottom"/>
            <w:gridSpan w:val="9"/>
          </w:tcPr>
          <w:p>
            <w:pPr>
              <w:spacing w:after="0" w:line="128" w:lineRule="exact"/>
              <w:rPr>
                <w:rFonts w:ascii="Times New Roman" w:cs="Times New Roman" w:eastAsia="Times New Roman" w:hAnsi="Times New Roman"/>
                <w:sz w:val="12"/>
                <w:szCs w:val="12"/>
                <w:color w:val="0000EE"/>
              </w:rPr>
            </w:pPr>
            <w:hyperlink r:id="rId152">
              <w:r>
                <w:rPr>
                  <w:rFonts w:ascii="Times New Roman" w:cs="Times New Roman" w:eastAsia="Times New Roman" w:hAnsi="Times New Roman"/>
                  <w:sz w:val="12"/>
                  <w:szCs w:val="12"/>
                  <w:color w:val="0000EE"/>
                </w:rPr>
                <w:t>Indenture, dated as of May 26, 2020, among MSCI Inc., each of the subsidiary guarantors party thereto</w:t>
              </w:r>
            </w:hyperlink>
          </w:p>
        </w:tc>
        <w:tc>
          <w:tcPr>
            <w:tcW w:w="220" w:type="dxa"/>
            <w:vAlign w:val="bottom"/>
          </w:tcPr>
          <w:p>
            <w:pPr>
              <w:spacing w:after="0"/>
              <w:rPr>
                <w:sz w:val="11"/>
                <w:szCs w:val="11"/>
                <w:color w:val="auto"/>
              </w:rPr>
            </w:pPr>
          </w:p>
        </w:tc>
        <w:tc>
          <w:tcPr>
            <w:tcW w:w="58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4.1</w:t>
            </w:r>
          </w:p>
        </w:tc>
        <w:tc>
          <w:tcPr>
            <w:tcW w:w="320" w:type="dxa"/>
            <w:vAlign w:val="bottom"/>
          </w:tcPr>
          <w:p>
            <w:pPr>
              <w:spacing w:after="0"/>
              <w:rPr>
                <w:sz w:val="11"/>
                <w:szCs w:val="11"/>
                <w:color w:val="auto"/>
              </w:rPr>
            </w:pPr>
          </w:p>
        </w:tc>
        <w:tc>
          <w:tcPr>
            <w:tcW w:w="126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w w:val="98"/>
              </w:rPr>
              <w:t>5/26/2020</w:t>
            </w:r>
          </w:p>
        </w:tc>
      </w:tr>
      <w:tr>
        <w:trPr>
          <w:trHeight w:val="124"/>
        </w:trPr>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tcBorders>
              <w:top w:val="single" w:sz="8" w:color="0000EE"/>
            </w:tcBorders>
            <w:gridSpan w:val="8"/>
          </w:tcPr>
          <w:p>
            <w:pPr>
              <w:spacing w:after="0" w:line="124" w:lineRule="exact"/>
              <w:rPr>
                <w:rFonts w:ascii="Times New Roman" w:cs="Times New Roman" w:eastAsia="Times New Roman" w:hAnsi="Times New Roman"/>
                <w:sz w:val="12"/>
                <w:szCs w:val="12"/>
                <w:color w:val="0000EE"/>
              </w:rPr>
            </w:pPr>
            <w:hyperlink r:id="rId152">
              <w:r>
                <w:rPr>
                  <w:rFonts w:ascii="Times New Roman" w:cs="Times New Roman" w:eastAsia="Times New Roman" w:hAnsi="Times New Roman"/>
                  <w:sz w:val="12"/>
                  <w:szCs w:val="12"/>
                  <w:color w:val="0000EE"/>
                </w:rPr>
                <w:t>and Wells Fargo Bank, National Association, as Trustee.</w:t>
              </w:r>
            </w:hyperlink>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295"/>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00" w:type="dxa"/>
            <w:vAlign w:val="bottom"/>
            <w:tcBorders>
              <w:top w:val="single" w:sz="8" w:color="0000EE"/>
            </w:tcBorders>
            <w:gridSpan w:val="2"/>
          </w:tcPr>
          <w:p>
            <w:pPr>
              <w:spacing w:after="0"/>
              <w:rPr>
                <w:sz w:val="24"/>
                <w:szCs w:val="24"/>
                <w:color w:val="auto"/>
              </w:rPr>
            </w:pPr>
          </w:p>
        </w:tc>
        <w:tc>
          <w:tcPr>
            <w:tcW w:w="1920" w:type="dxa"/>
            <w:vAlign w:val="bottom"/>
            <w:gridSpan w:val="3"/>
          </w:tcPr>
          <w:p>
            <w:pPr>
              <w:jc w:val="right"/>
              <w:ind w:right="840"/>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2"/>
        </w:trPr>
        <w:tc>
          <w:tcPr>
            <w:tcW w:w="8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2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03"/>
        </w:trPr>
        <w:tc>
          <w:tcPr>
            <w:tcW w:w="6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1"/>
        </w:trPr>
        <w:tc>
          <w:tcPr>
            <w:tcW w:w="6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0" w:type="dxa"/>
            <w:vAlign w:val="bottom"/>
            <w:gridSpan w:val="18"/>
          </w:tcPr>
          <w:p>
            <w:pPr>
              <w:ind w:left="30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6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4.13</w:t>
            </w:r>
          </w:p>
        </w:tc>
        <w:tc>
          <w:tcPr>
            <w:tcW w:w="800" w:type="dxa"/>
            <w:vAlign w:val="bottom"/>
          </w:tcPr>
          <w:p>
            <w:pPr>
              <w:spacing w:after="0"/>
              <w:rPr>
                <w:sz w:val="13"/>
                <w:szCs w:val="13"/>
                <w:color w:val="auto"/>
              </w:rPr>
            </w:pPr>
          </w:p>
        </w:tc>
        <w:tc>
          <w:tcPr>
            <w:tcW w:w="4960" w:type="dxa"/>
            <w:vAlign w:val="bottom"/>
            <w:gridSpan w:val="21"/>
          </w:tcPr>
          <w:p>
            <w:pPr>
              <w:spacing w:after="0"/>
              <w:rPr>
                <w:rFonts w:ascii="Times New Roman" w:cs="Times New Roman" w:eastAsia="Times New Roman" w:hAnsi="Times New Roman"/>
                <w:sz w:val="12"/>
                <w:szCs w:val="12"/>
                <w:color w:val="0000EE"/>
              </w:rPr>
            </w:pPr>
            <w:hyperlink r:id="rId152">
              <w:r>
                <w:rPr>
                  <w:rFonts w:ascii="Times New Roman" w:cs="Times New Roman" w:eastAsia="Times New Roman" w:hAnsi="Times New Roman"/>
                  <w:sz w:val="12"/>
                  <w:szCs w:val="12"/>
                  <w:u w:val="single" w:color="auto"/>
                  <w:color w:val="0000EE"/>
                </w:rPr>
                <w:t>Form of Note for MSCI Inc. 3.875% Senior Notes due February 15, 2031 (included in Exhibit 4.12)</w:t>
              </w:r>
              <w:r>
                <w:rPr>
                  <w:rFonts w:ascii="Times New Roman" w:cs="Times New Roman" w:eastAsia="Times New Roman" w:hAnsi="Times New Roman"/>
                  <w:sz w:val="12"/>
                  <w:szCs w:val="12"/>
                  <w:color w:val="0000EE"/>
                </w:rPr>
                <w:t>.</w:t>
              </w:r>
            </w:hyperlink>
          </w:p>
        </w:tc>
      </w:tr>
      <w:tr>
        <w:trPr>
          <w:trHeight w:val="144"/>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4.14</w:t>
            </w:r>
          </w:p>
        </w:tc>
        <w:tc>
          <w:tcPr>
            <w:tcW w:w="800" w:type="dxa"/>
            <w:vAlign w:val="bottom"/>
          </w:tcPr>
          <w:p>
            <w:pPr>
              <w:spacing w:after="0"/>
              <w:rPr>
                <w:sz w:val="12"/>
                <w:szCs w:val="12"/>
                <w:color w:val="auto"/>
              </w:rPr>
            </w:pPr>
          </w:p>
        </w:tc>
        <w:tc>
          <w:tcPr>
            <w:tcW w:w="4960" w:type="dxa"/>
            <w:vAlign w:val="bottom"/>
            <w:gridSpan w:val="21"/>
          </w:tcPr>
          <w:p>
            <w:pPr>
              <w:spacing w:after="0"/>
              <w:rPr>
                <w:rFonts w:ascii="Times New Roman" w:cs="Times New Roman" w:eastAsia="Times New Roman" w:hAnsi="Times New Roman"/>
                <w:sz w:val="12"/>
                <w:szCs w:val="12"/>
                <w:u w:val="single" w:color="auto"/>
                <w:color w:val="0000EE"/>
              </w:rPr>
            </w:pPr>
            <w:hyperlink w:anchor="page117">
              <w:r>
                <w:rPr>
                  <w:rFonts w:ascii="Times New Roman" w:cs="Times New Roman" w:eastAsia="Times New Roman" w:hAnsi="Times New Roman"/>
                  <w:sz w:val="12"/>
                  <w:szCs w:val="12"/>
                  <w:u w:val="single" w:color="auto"/>
                  <w:color w:val="0000EE"/>
                </w:rPr>
                <w:t>Description of Securities</w:t>
              </w:r>
            </w:hyperlink>
          </w:p>
        </w:tc>
      </w:tr>
      <w:tr>
        <w:trPr>
          <w:trHeight w:val="128"/>
        </w:trPr>
        <w:tc>
          <w:tcPr>
            <w:tcW w:w="1180" w:type="dxa"/>
            <w:vAlign w:val="bottom"/>
            <w:gridSpan w:val="3"/>
          </w:tcPr>
          <w:p>
            <w:pPr>
              <w:jc w:val="center"/>
              <w:ind w:right="740"/>
              <w:spacing w:after="0" w:line="128" w:lineRule="exact"/>
              <w:rPr>
                <w:sz w:val="20"/>
                <w:szCs w:val="20"/>
                <w:color w:val="auto"/>
              </w:rPr>
            </w:pPr>
            <w:r>
              <w:rPr>
                <w:rFonts w:ascii="Times New Roman" w:cs="Times New Roman" w:eastAsia="Times New Roman" w:hAnsi="Times New Roman"/>
                <w:sz w:val="12"/>
                <w:szCs w:val="12"/>
                <w:color w:val="auto"/>
              </w:rPr>
              <w:t>10.1††#</w:t>
            </w:r>
          </w:p>
        </w:tc>
        <w:tc>
          <w:tcPr>
            <w:tcW w:w="4740" w:type="dxa"/>
            <w:vAlign w:val="bottom"/>
            <w:tcBorders>
              <w:bottom w:val="single" w:sz="8" w:color="0000EE"/>
            </w:tcBorders>
            <w:gridSpan w:val="14"/>
          </w:tcPr>
          <w:p>
            <w:pPr>
              <w:spacing w:after="0" w:line="128" w:lineRule="exact"/>
              <w:rPr>
                <w:rFonts w:ascii="Times New Roman" w:cs="Times New Roman" w:eastAsia="Times New Roman" w:hAnsi="Times New Roman"/>
                <w:sz w:val="12"/>
                <w:szCs w:val="12"/>
                <w:color w:val="0000EE"/>
                <w:w w:val="99"/>
              </w:rPr>
            </w:pPr>
            <w:hyperlink w:anchor="page120">
              <w:r>
                <w:rPr>
                  <w:rFonts w:ascii="Times New Roman" w:cs="Times New Roman" w:eastAsia="Times New Roman" w:hAnsi="Times New Roman"/>
                  <w:sz w:val="12"/>
                  <w:szCs w:val="12"/>
                  <w:color w:val="0000EE"/>
                  <w:w w:val="99"/>
                </w:rPr>
                <w:t>Index License Agreement for Funds, dated as of March 18, 2000, between Morgan Stanley Capital</w:t>
              </w:r>
            </w:hyperlink>
          </w:p>
        </w:tc>
        <w:tc>
          <w:tcPr>
            <w:tcW w:w="220" w:type="dxa"/>
            <w:vAlign w:val="bottom"/>
            <w:gridSpan w:val="7"/>
          </w:tcPr>
          <w:p>
            <w:pPr>
              <w:spacing w:after="0"/>
              <w:rPr>
                <w:sz w:val="11"/>
                <w:szCs w:val="1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w:anchor="page120">
              <w:r>
                <w:rPr>
                  <w:rFonts w:ascii="Times New Roman" w:cs="Times New Roman" w:eastAsia="Times New Roman" w:hAnsi="Times New Roman"/>
                  <w:sz w:val="12"/>
                  <w:szCs w:val="12"/>
                  <w:color w:val="0000EE"/>
                </w:rPr>
                <w:t>International and Barclays Global Investors, N.A.</w:t>
              </w:r>
            </w:hyperlink>
          </w:p>
        </w:tc>
      </w:tr>
      <w:tr>
        <w:trPr>
          <w:trHeight w:val="20"/>
        </w:trPr>
        <w:tc>
          <w:tcPr>
            <w:tcW w:w="1180" w:type="dxa"/>
            <w:vAlign w:val="bottom"/>
            <w:gridSpan w:val="3"/>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rPr>
              <w:t>10.2††#</w:t>
            </w: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w:anchor="page131">
              <w:r>
                <w:rPr>
                  <w:rFonts w:ascii="Times New Roman" w:cs="Times New Roman" w:eastAsia="Times New Roman" w:hAnsi="Times New Roman"/>
                  <w:sz w:val="12"/>
                  <w:szCs w:val="12"/>
                  <w:color w:val="0000EE"/>
                </w:rPr>
                <w:t>Amendment to Index License Agreement for Funds between Morgan Stanley Capital International and</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4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8"/>
              </w:rPr>
            </w:pPr>
            <w:hyperlink w:anchor="page131">
              <w:r>
                <w:rPr>
                  <w:rFonts w:ascii="Times New Roman" w:cs="Times New Roman" w:eastAsia="Times New Roman" w:hAnsi="Times New Roman"/>
                  <w:sz w:val="12"/>
                  <w:szCs w:val="12"/>
                  <w:color w:val="0000EE"/>
                  <w:w w:val="98"/>
                </w:rPr>
                <w:t>Barclays Global Investors, N.A.</w:t>
              </w:r>
            </w:hyperlink>
          </w:p>
        </w:tc>
        <w:tc>
          <w:tcPr>
            <w:tcW w:w="3380" w:type="dxa"/>
            <w:vAlign w:val="bottom"/>
            <w:tcBorders>
              <w:top w:val="single" w:sz="8" w:color="0000EE"/>
            </w:tcBorders>
            <w:gridSpan w:val="19"/>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rPr>
              <w:t>10.3††#</w:t>
            </w:r>
          </w:p>
        </w:tc>
        <w:tc>
          <w:tcPr>
            <w:tcW w:w="480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w:anchor="page132">
              <w:r>
                <w:rPr>
                  <w:rFonts w:ascii="Times New Roman" w:cs="Times New Roman" w:eastAsia="Times New Roman" w:hAnsi="Times New Roman"/>
                  <w:sz w:val="12"/>
                  <w:szCs w:val="12"/>
                  <w:color w:val="0000EE"/>
                  <w:w w:val="99"/>
                </w:rPr>
                <w:t>Letter Agreement to Amend MSCI-BGI Fund Index License Agreement, dated as of June 21, 2001,</w:t>
              </w:r>
            </w:hyperlink>
          </w:p>
        </w:tc>
        <w:tc>
          <w:tcPr>
            <w:tcW w:w="160" w:type="dxa"/>
            <w:vAlign w:val="bottom"/>
            <w:gridSpan w:val="4"/>
          </w:tcPr>
          <w:p>
            <w:pPr>
              <w:spacing w:after="0"/>
              <w:rPr>
                <w:sz w:val="10"/>
                <w:szCs w:val="10"/>
                <w:color w:val="auto"/>
              </w:rPr>
            </w:pPr>
          </w:p>
        </w:tc>
      </w:tr>
      <w:tr>
        <w:trPr>
          <w:trHeight w:val="151"/>
        </w:trPr>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960" w:type="dxa"/>
            <w:vAlign w:val="bottom"/>
            <w:gridSpan w:val="21"/>
          </w:tcPr>
          <w:p>
            <w:pPr>
              <w:spacing w:after="0"/>
              <w:rPr>
                <w:rFonts w:ascii="Times New Roman" w:cs="Times New Roman" w:eastAsia="Times New Roman" w:hAnsi="Times New Roman"/>
                <w:sz w:val="12"/>
                <w:szCs w:val="12"/>
                <w:u w:val="single" w:color="auto"/>
                <w:color w:val="0000EE"/>
              </w:rPr>
            </w:pPr>
            <w:hyperlink w:anchor="page132">
              <w:r>
                <w:rPr>
                  <w:rFonts w:ascii="Times New Roman" w:cs="Times New Roman" w:eastAsia="Times New Roman" w:hAnsi="Times New Roman"/>
                  <w:sz w:val="12"/>
                  <w:szCs w:val="12"/>
                  <w:u w:val="single" w:color="auto"/>
                  <w:color w:val="0000EE"/>
                </w:rPr>
                <w:t>between Morgan Stanley Capital International Inc. and Barclays Global Investors, N.A.</w:t>
              </w:r>
            </w:hyperlink>
          </w:p>
        </w:tc>
      </w:tr>
      <w:tr>
        <w:trPr>
          <w:trHeight w:val="135"/>
        </w:trPr>
        <w:tc>
          <w:tcPr>
            <w:tcW w:w="1180" w:type="dxa"/>
            <w:vAlign w:val="bottom"/>
            <w:gridSpan w:val="3"/>
          </w:tcPr>
          <w:p>
            <w:pPr>
              <w:jc w:val="center"/>
              <w:ind w:right="740"/>
              <w:spacing w:after="0" w:line="135" w:lineRule="exact"/>
              <w:rPr>
                <w:sz w:val="20"/>
                <w:szCs w:val="20"/>
                <w:color w:val="auto"/>
              </w:rPr>
            </w:pPr>
            <w:r>
              <w:rPr>
                <w:rFonts w:ascii="Times New Roman" w:cs="Times New Roman" w:eastAsia="Times New Roman" w:hAnsi="Times New Roman"/>
                <w:sz w:val="12"/>
                <w:szCs w:val="12"/>
                <w:color w:val="auto"/>
              </w:rPr>
              <w:t>10.4††#</w:t>
            </w:r>
          </w:p>
        </w:tc>
        <w:tc>
          <w:tcPr>
            <w:tcW w:w="4960" w:type="dxa"/>
            <w:vAlign w:val="bottom"/>
            <w:gridSpan w:val="21"/>
          </w:tcPr>
          <w:p>
            <w:pPr>
              <w:spacing w:after="0" w:line="135" w:lineRule="exact"/>
              <w:rPr>
                <w:rFonts w:ascii="Times New Roman" w:cs="Times New Roman" w:eastAsia="Times New Roman" w:hAnsi="Times New Roman"/>
                <w:sz w:val="12"/>
                <w:szCs w:val="12"/>
                <w:color w:val="0000EE"/>
              </w:rPr>
            </w:pPr>
            <w:hyperlink w:anchor="page134">
              <w:r>
                <w:rPr>
                  <w:rFonts w:ascii="Times New Roman" w:cs="Times New Roman" w:eastAsia="Times New Roman" w:hAnsi="Times New Roman"/>
                  <w:sz w:val="12"/>
                  <w:szCs w:val="12"/>
                  <w:color w:val="0000EE"/>
                </w:rPr>
                <w:t>Addendum to the Index License Agreement for Funds, dated as of September 18, 2002, between</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20" w:type="dxa"/>
            <w:vAlign w:val="bottom"/>
            <w:tcBorders>
              <w:top w:val="single" w:sz="8" w:color="0000EE"/>
            </w:tcBorders>
            <w:gridSpan w:val="12"/>
          </w:tcPr>
          <w:p>
            <w:pPr>
              <w:spacing w:after="0" w:line="124" w:lineRule="exact"/>
              <w:rPr>
                <w:rFonts w:ascii="Times New Roman" w:cs="Times New Roman" w:eastAsia="Times New Roman" w:hAnsi="Times New Roman"/>
                <w:sz w:val="12"/>
                <w:szCs w:val="12"/>
                <w:color w:val="0000EE"/>
              </w:rPr>
            </w:pPr>
            <w:hyperlink w:anchor="page134">
              <w:r>
                <w:rPr>
                  <w:rFonts w:ascii="Times New Roman" w:cs="Times New Roman" w:eastAsia="Times New Roman" w:hAnsi="Times New Roman"/>
                  <w:sz w:val="12"/>
                  <w:szCs w:val="12"/>
                  <w:color w:val="0000EE"/>
                </w:rPr>
                <w:t>Morgan Stanley Capital International Inc. and Barclays Global Investors, N.A.</w:t>
              </w:r>
            </w:hyperlink>
          </w:p>
        </w:tc>
        <w:tc>
          <w:tcPr>
            <w:tcW w:w="340" w:type="dxa"/>
            <w:vAlign w:val="bottom"/>
            <w:gridSpan w:val="9"/>
          </w:tcPr>
          <w:p>
            <w:pPr>
              <w:spacing w:after="0"/>
              <w:rPr>
                <w:sz w:val="10"/>
                <w:szCs w:val="10"/>
                <w:color w:val="auto"/>
              </w:rPr>
            </w:pPr>
          </w:p>
        </w:tc>
      </w:tr>
      <w:tr>
        <w:trPr>
          <w:trHeight w:val="20"/>
        </w:trPr>
        <w:tc>
          <w:tcPr>
            <w:tcW w:w="1180" w:type="dxa"/>
            <w:vAlign w:val="bottom"/>
            <w:gridSpan w:val="3"/>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rPr>
              <w:t>10.5††#</w:t>
            </w: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w:anchor="page135">
              <w:r>
                <w:rPr>
                  <w:rFonts w:ascii="Times New Roman" w:cs="Times New Roman" w:eastAsia="Times New Roman" w:hAnsi="Times New Roman"/>
                  <w:sz w:val="12"/>
                  <w:szCs w:val="12"/>
                  <w:color w:val="0000EE"/>
                </w:rPr>
                <w:t>Amendment to the Index License Agreement for Funds, dated as of December 3, 2004, between</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780" w:type="dxa"/>
            <w:vAlign w:val="bottom"/>
            <w:tcBorders>
              <w:top w:val="single" w:sz="8" w:color="0000EE"/>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w:anchor="page135">
              <w:r>
                <w:rPr>
                  <w:rFonts w:ascii="Times New Roman" w:cs="Times New Roman" w:eastAsia="Times New Roman" w:hAnsi="Times New Roman"/>
                  <w:sz w:val="12"/>
                  <w:szCs w:val="12"/>
                  <w:color w:val="0000EE"/>
                  <w:w w:val="99"/>
                </w:rPr>
                <w:t>Morgan Stanley Capital International Inc. and Barclays Global Investors, N.A.</w:t>
              </w:r>
            </w:hyperlink>
          </w:p>
        </w:tc>
        <w:tc>
          <w:tcPr>
            <w:tcW w:w="820" w:type="dxa"/>
            <w:vAlign w:val="bottom"/>
            <w:tcBorders>
              <w:top w:val="single" w:sz="8" w:color="0000EE"/>
            </w:tcBorders>
          </w:tcPr>
          <w:p>
            <w:pPr>
              <w:spacing w:after="0"/>
              <w:rPr>
                <w:sz w:val="10"/>
                <w:szCs w:val="10"/>
                <w:color w:val="auto"/>
              </w:rPr>
            </w:pPr>
          </w:p>
        </w:tc>
        <w:tc>
          <w:tcPr>
            <w:tcW w:w="360" w:type="dxa"/>
            <w:vAlign w:val="bottom"/>
            <w:gridSpan w:val="10"/>
          </w:tcPr>
          <w:p>
            <w:pPr>
              <w:spacing w:after="0"/>
              <w:rPr>
                <w:sz w:val="10"/>
                <w:szCs w:val="10"/>
                <w:color w:val="auto"/>
              </w:rPr>
            </w:pPr>
          </w:p>
        </w:tc>
      </w:tr>
      <w:tr>
        <w:trPr>
          <w:trHeight w:val="142"/>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10.6††#</w:t>
            </w:r>
          </w:p>
        </w:tc>
        <w:tc>
          <w:tcPr>
            <w:tcW w:w="4740" w:type="dxa"/>
            <w:vAlign w:val="bottom"/>
            <w:tcBorders>
              <w:bottom w:val="single" w:sz="8" w:color="0000EE"/>
            </w:tcBorders>
            <w:gridSpan w:val="14"/>
          </w:tcPr>
          <w:p>
            <w:pPr>
              <w:spacing w:after="0"/>
              <w:rPr>
                <w:rFonts w:ascii="Times New Roman" w:cs="Times New Roman" w:eastAsia="Times New Roman" w:hAnsi="Times New Roman"/>
                <w:sz w:val="12"/>
                <w:szCs w:val="12"/>
                <w:color w:val="0000EE"/>
                <w:w w:val="99"/>
              </w:rPr>
            </w:pPr>
            <w:hyperlink w:anchor="page138">
              <w:r>
                <w:rPr>
                  <w:rFonts w:ascii="Times New Roman" w:cs="Times New Roman" w:eastAsia="Times New Roman" w:hAnsi="Times New Roman"/>
                  <w:sz w:val="12"/>
                  <w:szCs w:val="12"/>
                  <w:color w:val="0000EE"/>
                  <w:w w:val="99"/>
                </w:rPr>
                <w:t>Amendment to the Index License Agreement for Funds, dated as of May 1, 2005, between Morgan</w:t>
              </w:r>
            </w:hyperlink>
          </w:p>
        </w:tc>
        <w:tc>
          <w:tcPr>
            <w:tcW w:w="220" w:type="dxa"/>
            <w:vAlign w:val="bottom"/>
            <w:gridSpan w:val="7"/>
          </w:tcPr>
          <w:p>
            <w:pPr>
              <w:spacing w:after="0"/>
              <w:rPr>
                <w:sz w:val="12"/>
                <w:szCs w:val="12"/>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w:anchor="page138">
              <w:r>
                <w:rPr>
                  <w:rFonts w:ascii="Times New Roman" w:cs="Times New Roman" w:eastAsia="Times New Roman" w:hAnsi="Times New Roman"/>
                  <w:sz w:val="12"/>
                  <w:szCs w:val="12"/>
                  <w:color w:val="0000EE"/>
                </w:rPr>
                <w:t>Stanley Capital International Inc. and Barclays Global Investors, N.A.</w:t>
              </w:r>
            </w:hyperlink>
          </w:p>
        </w:tc>
      </w:tr>
      <w:tr>
        <w:trPr>
          <w:trHeight w:val="20"/>
        </w:trPr>
        <w:tc>
          <w:tcPr>
            <w:tcW w:w="1180" w:type="dxa"/>
            <w:vAlign w:val="bottom"/>
            <w:gridSpan w:val="3"/>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rPr>
              <w:t>10.7††#</w:t>
            </w:r>
          </w:p>
        </w:tc>
        <w:tc>
          <w:tcPr>
            <w:tcW w:w="472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40">
              <w:r>
                <w:rPr>
                  <w:rFonts w:ascii="Times New Roman" w:cs="Times New Roman" w:eastAsia="Times New Roman" w:hAnsi="Times New Roman"/>
                  <w:sz w:val="12"/>
                  <w:szCs w:val="12"/>
                  <w:color w:val="0000EE"/>
                  <w:w w:val="99"/>
                </w:rPr>
                <w:t>Amendment to the Index License Agreement for Funds, dated as of July 1, 2006, between Morgan</w:t>
              </w:r>
            </w:hyperlink>
          </w:p>
        </w:tc>
        <w:tc>
          <w:tcPr>
            <w:tcW w:w="240" w:type="dxa"/>
            <w:vAlign w:val="bottom"/>
            <w:gridSpan w:val="8"/>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w:anchor="page140">
              <w:r>
                <w:rPr>
                  <w:rFonts w:ascii="Times New Roman" w:cs="Times New Roman" w:eastAsia="Times New Roman" w:hAnsi="Times New Roman"/>
                  <w:sz w:val="12"/>
                  <w:szCs w:val="12"/>
                  <w:color w:val="0000EE"/>
                </w:rPr>
                <w:t>Stanley Capital International Inc. and Barclays Global Investors, N.A.</w:t>
              </w:r>
            </w:hyperlink>
          </w:p>
        </w:tc>
      </w:tr>
      <w:tr>
        <w:trPr>
          <w:trHeight w:val="20"/>
        </w:trPr>
        <w:tc>
          <w:tcPr>
            <w:tcW w:w="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10.8</w:t>
            </w:r>
          </w:p>
        </w:tc>
        <w:tc>
          <w:tcPr>
            <w:tcW w:w="800" w:type="dxa"/>
            <w:vAlign w:val="bottom"/>
          </w:tcPr>
          <w:p>
            <w:pPr>
              <w:spacing w:after="0"/>
              <w:rPr>
                <w:sz w:val="13"/>
                <w:szCs w:val="13"/>
                <w:color w:val="auto"/>
              </w:rPr>
            </w:pPr>
          </w:p>
        </w:tc>
        <w:tc>
          <w:tcPr>
            <w:tcW w:w="4960" w:type="dxa"/>
            <w:vAlign w:val="bottom"/>
            <w:tcBorders>
              <w:bottom w:val="single" w:sz="8" w:color="0000EE"/>
            </w:tcBorders>
            <w:gridSpan w:val="21"/>
          </w:tcPr>
          <w:p>
            <w:pPr>
              <w:spacing w:after="0"/>
              <w:rPr>
                <w:rFonts w:ascii="Times New Roman" w:cs="Times New Roman" w:eastAsia="Times New Roman" w:hAnsi="Times New Roman"/>
                <w:sz w:val="12"/>
                <w:szCs w:val="12"/>
                <w:color w:val="0000EE"/>
                <w:w w:val="99"/>
              </w:rPr>
            </w:pPr>
            <w:hyperlink r:id="rId155">
              <w:r>
                <w:rPr>
                  <w:rFonts w:ascii="Times New Roman" w:cs="Times New Roman" w:eastAsia="Times New Roman" w:hAnsi="Times New Roman"/>
                  <w:sz w:val="12"/>
                  <w:szCs w:val="12"/>
                  <w:color w:val="0000EE"/>
                  <w:w w:val="99"/>
                </w:rPr>
                <w:t>Amendment to Index License Agreement for Funds, dated as of June 5, 2007, between Morgan Stanley</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98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155">
              <w:r>
                <w:rPr>
                  <w:rFonts w:ascii="Times New Roman" w:cs="Times New Roman" w:eastAsia="Times New Roman" w:hAnsi="Times New Roman"/>
                  <w:sz w:val="12"/>
                  <w:szCs w:val="12"/>
                  <w:color w:val="0000EE"/>
                  <w:w w:val="99"/>
                </w:rPr>
                <w:t>Capital International Inc. and Barclays Global Investors, N.A.</w:t>
              </w:r>
            </w:hyperlink>
          </w:p>
        </w:tc>
        <w:tc>
          <w:tcPr>
            <w:tcW w:w="1980" w:type="dxa"/>
            <w:vAlign w:val="bottom"/>
            <w:gridSpan w:val="14"/>
          </w:tcPr>
          <w:p>
            <w:pPr>
              <w:spacing w:after="0"/>
              <w:rPr>
                <w:sz w:val="10"/>
                <w:szCs w:val="10"/>
                <w:color w:val="auto"/>
              </w:rPr>
            </w:pPr>
          </w:p>
        </w:tc>
      </w:tr>
      <w:tr>
        <w:trPr>
          <w:trHeight w:val="160"/>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10.9</w:t>
            </w:r>
          </w:p>
        </w:tc>
        <w:tc>
          <w:tcPr>
            <w:tcW w:w="800" w:type="dxa"/>
            <w:vAlign w:val="bottom"/>
          </w:tcPr>
          <w:p>
            <w:pPr>
              <w:spacing w:after="0"/>
              <w:rPr>
                <w:sz w:val="13"/>
                <w:szCs w:val="13"/>
                <w:color w:val="auto"/>
              </w:rPr>
            </w:pPr>
          </w:p>
        </w:tc>
        <w:tc>
          <w:tcPr>
            <w:tcW w:w="4780" w:type="dxa"/>
            <w:vAlign w:val="bottom"/>
            <w:tcBorders>
              <w:bottom w:val="single" w:sz="8" w:color="0000EE"/>
            </w:tcBorders>
            <w:gridSpan w:val="16"/>
          </w:tcPr>
          <w:p>
            <w:pPr>
              <w:spacing w:after="0"/>
              <w:rPr>
                <w:rFonts w:ascii="Times New Roman" w:cs="Times New Roman" w:eastAsia="Times New Roman" w:hAnsi="Times New Roman"/>
                <w:sz w:val="12"/>
                <w:szCs w:val="12"/>
                <w:color w:val="0000EE"/>
                <w:w w:val="99"/>
              </w:rPr>
            </w:pPr>
            <w:hyperlink r:id="rId156">
              <w:r>
                <w:rPr>
                  <w:rFonts w:ascii="Times New Roman" w:cs="Times New Roman" w:eastAsia="Times New Roman" w:hAnsi="Times New Roman"/>
                  <w:sz w:val="12"/>
                  <w:szCs w:val="12"/>
                  <w:color w:val="0000EE"/>
                  <w:w w:val="99"/>
                </w:rPr>
                <w:t>Amendment to Index License Agreement for Funds, dated as of November 7, 2008, between MSCI</w:t>
              </w:r>
            </w:hyperlink>
          </w:p>
        </w:tc>
        <w:tc>
          <w:tcPr>
            <w:tcW w:w="180" w:type="dxa"/>
            <w:vAlign w:val="bottom"/>
            <w:gridSpan w:val="5"/>
          </w:tcPr>
          <w:p>
            <w:pPr>
              <w:spacing w:after="0"/>
              <w:rPr>
                <w:sz w:val="13"/>
                <w:szCs w:val="13"/>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6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56">
              <w:r>
                <w:rPr>
                  <w:rFonts w:ascii="Times New Roman" w:cs="Times New Roman" w:eastAsia="Times New Roman" w:hAnsi="Times New Roman"/>
                  <w:sz w:val="12"/>
                  <w:szCs w:val="12"/>
                  <w:color w:val="0000EE"/>
                  <w:w w:val="99"/>
                </w:rPr>
                <w:t>Inc. and Barclays Global Investors, N.A.</w:t>
              </w:r>
            </w:hyperlink>
          </w:p>
        </w:tc>
        <w:tc>
          <w:tcPr>
            <w:tcW w:w="3000" w:type="dxa"/>
            <w:vAlign w:val="bottom"/>
            <w:gridSpan w:val="18"/>
          </w:tcPr>
          <w:p>
            <w:pPr>
              <w:spacing w:after="0"/>
              <w:rPr>
                <w:sz w:val="10"/>
                <w:szCs w:val="10"/>
                <w:color w:val="auto"/>
              </w:rPr>
            </w:pPr>
          </w:p>
        </w:tc>
      </w:tr>
      <w:tr>
        <w:trPr>
          <w:trHeight w:val="160"/>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7"/>
              </w:rPr>
              <w:t>10.10††#</w:t>
            </w:r>
          </w:p>
        </w:tc>
        <w:tc>
          <w:tcPr>
            <w:tcW w:w="476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w:anchor="page143">
              <w:r>
                <w:rPr>
                  <w:rFonts w:ascii="Times New Roman" w:cs="Times New Roman" w:eastAsia="Times New Roman" w:hAnsi="Times New Roman"/>
                  <w:sz w:val="12"/>
                  <w:szCs w:val="12"/>
                  <w:color w:val="0000EE"/>
                  <w:w w:val="99"/>
                </w:rPr>
                <w:t>Amendment to Index License Agreement for Funds, dated as of December 9, 2008, between MSCI</w:t>
              </w:r>
            </w:hyperlink>
          </w:p>
        </w:tc>
        <w:tc>
          <w:tcPr>
            <w:tcW w:w="200" w:type="dxa"/>
            <w:vAlign w:val="bottom"/>
            <w:gridSpan w:val="6"/>
          </w:tcPr>
          <w:p>
            <w:pPr>
              <w:spacing w:after="0"/>
              <w:rPr>
                <w:sz w:val="13"/>
                <w:szCs w:val="13"/>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6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w:anchor="page143">
              <w:r>
                <w:rPr>
                  <w:rFonts w:ascii="Times New Roman" w:cs="Times New Roman" w:eastAsia="Times New Roman" w:hAnsi="Times New Roman"/>
                  <w:sz w:val="12"/>
                  <w:szCs w:val="12"/>
                  <w:color w:val="0000EE"/>
                  <w:w w:val="99"/>
                </w:rPr>
                <w:t>Inc. and Barclays Global Investors, N.A.</w:t>
              </w:r>
            </w:hyperlink>
          </w:p>
        </w:tc>
        <w:tc>
          <w:tcPr>
            <w:tcW w:w="3000" w:type="dxa"/>
            <w:vAlign w:val="bottom"/>
            <w:gridSpan w:val="18"/>
          </w:tcPr>
          <w:p>
            <w:pPr>
              <w:spacing w:after="0"/>
              <w:rPr>
                <w:sz w:val="10"/>
                <w:szCs w:val="10"/>
                <w:color w:val="auto"/>
              </w:rPr>
            </w:pPr>
          </w:p>
        </w:tc>
      </w:tr>
      <w:tr>
        <w:trPr>
          <w:trHeight w:val="142"/>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10.11</w:t>
            </w:r>
          </w:p>
        </w:tc>
        <w:tc>
          <w:tcPr>
            <w:tcW w:w="800" w:type="dxa"/>
            <w:vAlign w:val="bottom"/>
          </w:tcPr>
          <w:p>
            <w:pPr>
              <w:spacing w:after="0"/>
              <w:rPr>
                <w:sz w:val="12"/>
                <w:szCs w:val="12"/>
                <w:color w:val="auto"/>
              </w:rPr>
            </w:pPr>
          </w:p>
        </w:tc>
        <w:tc>
          <w:tcPr>
            <w:tcW w:w="4960" w:type="dxa"/>
            <w:vAlign w:val="bottom"/>
            <w:gridSpan w:val="21"/>
          </w:tcPr>
          <w:p>
            <w:pPr>
              <w:spacing w:after="0"/>
              <w:rPr>
                <w:rFonts w:ascii="Times New Roman" w:cs="Times New Roman" w:eastAsia="Times New Roman" w:hAnsi="Times New Roman"/>
                <w:sz w:val="12"/>
                <w:szCs w:val="12"/>
                <w:color w:val="0000EE"/>
              </w:rPr>
            </w:pPr>
            <w:hyperlink r:id="rId157">
              <w:r>
                <w:rPr>
                  <w:rFonts w:ascii="Times New Roman" w:cs="Times New Roman" w:eastAsia="Times New Roman" w:hAnsi="Times New Roman"/>
                  <w:sz w:val="12"/>
                  <w:szCs w:val="12"/>
                  <w:color w:val="0000EE"/>
                </w:rPr>
                <w:t>Amendment to Index License Agreement for Funds, dated as of April 1, 2009, between MSCI Inc. and</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4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8"/>
              </w:rPr>
            </w:pPr>
            <w:hyperlink r:id="rId157">
              <w:r>
                <w:rPr>
                  <w:rFonts w:ascii="Times New Roman" w:cs="Times New Roman" w:eastAsia="Times New Roman" w:hAnsi="Times New Roman"/>
                  <w:sz w:val="12"/>
                  <w:szCs w:val="12"/>
                  <w:color w:val="0000EE"/>
                  <w:w w:val="98"/>
                </w:rPr>
                <w:t>Barclays Global Investors, N.A.</w:t>
              </w:r>
            </w:hyperlink>
          </w:p>
        </w:tc>
        <w:tc>
          <w:tcPr>
            <w:tcW w:w="3380" w:type="dxa"/>
            <w:vAlign w:val="bottom"/>
            <w:tcBorders>
              <w:top w:val="single" w:sz="8" w:color="0000EE"/>
            </w:tcBorders>
            <w:gridSpan w:val="19"/>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10.12††#</w:t>
            </w:r>
          </w:p>
        </w:tc>
        <w:tc>
          <w:tcPr>
            <w:tcW w:w="4960" w:type="dxa"/>
            <w:vAlign w:val="bottom"/>
            <w:tcBorders>
              <w:bottom w:val="single" w:sz="8" w:color="0000EE"/>
            </w:tcBorders>
            <w:gridSpan w:val="21"/>
          </w:tcPr>
          <w:p>
            <w:pPr>
              <w:spacing w:after="0" w:line="124" w:lineRule="exact"/>
              <w:rPr>
                <w:rFonts w:ascii="Times New Roman" w:cs="Times New Roman" w:eastAsia="Times New Roman" w:hAnsi="Times New Roman"/>
                <w:sz w:val="12"/>
                <w:szCs w:val="12"/>
                <w:color w:val="0000EE"/>
                <w:w w:val="99"/>
              </w:rPr>
            </w:pPr>
            <w:hyperlink w:anchor="page144">
              <w:r>
                <w:rPr>
                  <w:rFonts w:ascii="Times New Roman" w:cs="Times New Roman" w:eastAsia="Times New Roman" w:hAnsi="Times New Roman"/>
                  <w:sz w:val="12"/>
                  <w:szCs w:val="12"/>
                  <w:color w:val="0000EE"/>
                  <w:w w:val="99"/>
                </w:rPr>
                <w:t>Amendment to Index License Agreement for Funds, dated as of May 21, 2009, between MSCI Inc. and</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4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8"/>
              </w:rPr>
            </w:pPr>
            <w:hyperlink w:anchor="page144">
              <w:r>
                <w:rPr>
                  <w:rFonts w:ascii="Times New Roman" w:cs="Times New Roman" w:eastAsia="Times New Roman" w:hAnsi="Times New Roman"/>
                  <w:sz w:val="12"/>
                  <w:szCs w:val="12"/>
                  <w:color w:val="0000EE"/>
                  <w:w w:val="98"/>
                </w:rPr>
                <w:t>Barclays Global Investors, N.A.</w:t>
              </w:r>
            </w:hyperlink>
          </w:p>
        </w:tc>
        <w:tc>
          <w:tcPr>
            <w:tcW w:w="3420" w:type="dxa"/>
            <w:vAlign w:val="bottom"/>
            <w:gridSpan w:val="20"/>
          </w:tcPr>
          <w:p>
            <w:pPr>
              <w:spacing w:after="0"/>
              <w:rPr>
                <w:sz w:val="10"/>
                <w:szCs w:val="10"/>
                <w:color w:val="auto"/>
              </w:rPr>
            </w:pPr>
          </w:p>
        </w:tc>
      </w:tr>
      <w:tr>
        <w:trPr>
          <w:trHeight w:val="142"/>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10.13</w:t>
            </w:r>
          </w:p>
        </w:tc>
        <w:tc>
          <w:tcPr>
            <w:tcW w:w="800" w:type="dxa"/>
            <w:vAlign w:val="bottom"/>
          </w:tcPr>
          <w:p>
            <w:pPr>
              <w:spacing w:after="0"/>
              <w:rPr>
                <w:sz w:val="12"/>
                <w:szCs w:val="12"/>
                <w:color w:val="auto"/>
              </w:rPr>
            </w:pPr>
          </w:p>
        </w:tc>
        <w:tc>
          <w:tcPr>
            <w:tcW w:w="484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9"/>
              </w:rPr>
            </w:pPr>
            <w:hyperlink r:id="rId158">
              <w:r>
                <w:rPr>
                  <w:rFonts w:ascii="Times New Roman" w:cs="Times New Roman" w:eastAsia="Times New Roman" w:hAnsi="Times New Roman"/>
                  <w:sz w:val="12"/>
                  <w:szCs w:val="12"/>
                  <w:color w:val="0000EE"/>
                  <w:w w:val="99"/>
                </w:rPr>
                <w:t>Amendment to Index License Agreement for Funds, dated as of September 30, 2009, between MSCI</w:t>
              </w:r>
            </w:hyperlink>
          </w:p>
        </w:tc>
        <w:tc>
          <w:tcPr>
            <w:tcW w:w="120" w:type="dxa"/>
            <w:vAlign w:val="bottom"/>
            <w:gridSpan w:val="3"/>
          </w:tcPr>
          <w:p>
            <w:pPr>
              <w:spacing w:after="0"/>
              <w:rPr>
                <w:sz w:val="12"/>
                <w:szCs w:val="12"/>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6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58">
              <w:r>
                <w:rPr>
                  <w:rFonts w:ascii="Times New Roman" w:cs="Times New Roman" w:eastAsia="Times New Roman" w:hAnsi="Times New Roman"/>
                  <w:sz w:val="12"/>
                  <w:szCs w:val="12"/>
                  <w:color w:val="0000EE"/>
                  <w:w w:val="99"/>
                </w:rPr>
                <w:t>Inc. and Barclays Global Investors, N.A.</w:t>
              </w:r>
            </w:hyperlink>
          </w:p>
        </w:tc>
        <w:tc>
          <w:tcPr>
            <w:tcW w:w="3000" w:type="dxa"/>
            <w:vAlign w:val="bottom"/>
            <w:gridSpan w:val="18"/>
          </w:tcPr>
          <w:p>
            <w:pPr>
              <w:spacing w:after="0"/>
              <w:rPr>
                <w:sz w:val="10"/>
                <w:szCs w:val="10"/>
                <w:color w:val="auto"/>
              </w:rPr>
            </w:pPr>
          </w:p>
        </w:tc>
      </w:tr>
      <w:tr>
        <w:trPr>
          <w:trHeight w:val="124"/>
        </w:trPr>
        <w:tc>
          <w:tcPr>
            <w:tcW w:w="3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color w:val="auto"/>
              </w:rPr>
              <w:t>10.14</w:t>
            </w:r>
          </w:p>
        </w:tc>
        <w:tc>
          <w:tcPr>
            <w:tcW w:w="800" w:type="dxa"/>
            <w:vAlign w:val="bottom"/>
          </w:tcPr>
          <w:p>
            <w:pPr>
              <w:spacing w:after="0"/>
              <w:rPr>
                <w:sz w:val="10"/>
                <w:szCs w:val="10"/>
                <w:color w:val="auto"/>
              </w:rPr>
            </w:pPr>
          </w:p>
        </w:tc>
        <w:tc>
          <w:tcPr>
            <w:tcW w:w="486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159">
              <w:r>
                <w:rPr>
                  <w:rFonts w:ascii="Times New Roman" w:cs="Times New Roman" w:eastAsia="Times New Roman" w:hAnsi="Times New Roman"/>
                  <w:sz w:val="12"/>
                  <w:szCs w:val="12"/>
                  <w:color w:val="0000EE"/>
                  <w:w w:val="99"/>
                </w:rPr>
                <w:t>Amendment to Index License Agreement for Funds, dated as of October 6, 2009, between MSCI Inc.</w:t>
              </w:r>
            </w:hyperlink>
          </w:p>
        </w:tc>
        <w:tc>
          <w:tcPr>
            <w:tcW w:w="10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r:id="rId159">
              <w:r>
                <w:rPr>
                  <w:rFonts w:ascii="Times New Roman" w:cs="Times New Roman" w:eastAsia="Times New Roman" w:hAnsi="Times New Roman"/>
                  <w:sz w:val="12"/>
                  <w:szCs w:val="12"/>
                  <w:color w:val="0000EE"/>
                </w:rPr>
                <w:t>and Barclays Global Investors, N.A.</w:t>
              </w:r>
            </w:hyperlink>
          </w:p>
        </w:tc>
      </w:tr>
      <w:tr>
        <w:trPr>
          <w:trHeight w:val="313"/>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Borders>
              <w:top w:val="single" w:sz="8" w:color="0000EE"/>
            </w:tcBorders>
            <w:gridSpan w:val="2"/>
          </w:tcPr>
          <w:p>
            <w:pPr>
              <w:spacing w:after="0"/>
              <w:rPr>
                <w:sz w:val="24"/>
                <w:szCs w:val="24"/>
                <w:color w:val="auto"/>
              </w:rPr>
            </w:pPr>
          </w:p>
        </w:tc>
        <w:tc>
          <w:tcPr>
            <w:tcW w:w="2860" w:type="dxa"/>
            <w:vAlign w:val="bottom"/>
            <w:gridSpan w:val="9"/>
          </w:tcPr>
          <w:p>
            <w:pPr>
              <w:jc w:val="right"/>
              <w:ind w:right="820"/>
              <w:spacing w:after="0"/>
              <w:rPr>
                <w:sz w:val="20"/>
                <w:szCs w:val="20"/>
                <w:color w:val="auto"/>
              </w:rPr>
            </w:pPr>
            <w:r>
              <w:rPr>
                <w:rFonts w:ascii="Times New Roman" w:cs="Times New Roman" w:eastAsia="Times New Roman" w:hAnsi="Times New Roman"/>
                <w:sz w:val="12"/>
                <w:szCs w:val="12"/>
                <w:color w:val="auto"/>
              </w:rPr>
              <w:t>97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717804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60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Exhibit No.</w:t>
            </w:r>
          </w:p>
        </w:tc>
        <w:tc>
          <w:tcPr>
            <w:tcW w:w="360" w:type="dxa"/>
            <w:vAlign w:val="bottom"/>
          </w:tcPr>
          <w:p>
            <w:pPr>
              <w:spacing w:after="0"/>
              <w:rPr>
                <w:sz w:val="8"/>
                <w:szCs w:val="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360" w:type="dxa"/>
            <w:vAlign w:val="bottom"/>
          </w:tcPr>
          <w:p>
            <w:pPr>
              <w:spacing w:after="0"/>
              <w:rPr>
                <w:sz w:val="13"/>
                <w:szCs w:val="13"/>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4.2</w:t>
            </w:r>
          </w:p>
        </w:tc>
        <w:tc>
          <w:tcPr>
            <w:tcW w:w="320" w:type="dxa"/>
            <w:vAlign w:val="bottom"/>
          </w:tcPr>
          <w:p>
            <w:pPr>
              <w:spacing w:after="0"/>
              <w:rPr>
                <w:sz w:val="13"/>
                <w:szCs w:val="13"/>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5/26/2020</w:t>
            </w: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10.8</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1/31/2011</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10.9</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2/29/2012</w:t>
            </w:r>
          </w:p>
        </w:tc>
      </w:tr>
      <w:tr>
        <w:trPr>
          <w:trHeight w:val="32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1/29/2010</w:t>
            </w:r>
          </w:p>
        </w:tc>
      </w:tr>
      <w:tr>
        <w:trPr>
          <w:trHeight w:val="28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10.4</w:t>
            </w:r>
          </w:p>
        </w:tc>
        <w:tc>
          <w:tcPr>
            <w:tcW w:w="320" w:type="dxa"/>
            <w:vAlign w:val="bottom"/>
          </w:tcPr>
          <w:p>
            <w:pPr>
              <w:spacing w:after="0"/>
              <w:rPr>
                <w:sz w:val="24"/>
                <w:szCs w:val="24"/>
                <w:color w:val="auto"/>
              </w:rPr>
            </w:pPr>
          </w:p>
        </w:tc>
        <w:tc>
          <w:tcPr>
            <w:tcW w:w="8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8"/>
              </w:rPr>
              <w:t>7/2/2010</w:t>
            </w:r>
          </w:p>
        </w:tc>
        <w:tc>
          <w:tcPr>
            <w:tcW w:w="20" w:type="dxa"/>
            <w:vAlign w:val="bottom"/>
          </w:tcPr>
          <w:p>
            <w:pPr>
              <w:spacing w:after="0"/>
              <w:rPr>
                <w:sz w:val="24"/>
                <w:szCs w:val="24"/>
                <w:color w:val="auto"/>
              </w:rPr>
            </w:pPr>
          </w:p>
        </w:tc>
      </w:tr>
      <w:tr>
        <w:trPr>
          <w:trHeight w:val="288"/>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10.14</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1/29/2010</w:t>
            </w:r>
          </w:p>
        </w:tc>
      </w:tr>
    </w:tbl>
    <w:p>
      <w:pPr>
        <w:sectPr>
          <w:pgSz w:w="11900" w:h="16838" w:orient="portrait"/>
          <w:cols w:equalWidth="0" w:num="2">
            <w:col w:w="6140" w:space="380"/>
            <w:col w:w="3600"/>
          </w:cols>
          <w:pgMar w:left="1040" w:top="268" w:right="7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6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760" w:type="dxa"/>
            <w:vAlign w:val="bottom"/>
            <w:gridSpan w:val="16"/>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7"/>
              </w:rPr>
              <w:t>10.15††#</w:t>
            </w:r>
          </w:p>
        </w:tc>
        <w:tc>
          <w:tcPr>
            <w:tcW w:w="4960" w:type="dxa"/>
            <w:vAlign w:val="bottom"/>
            <w:gridSpan w:val="21"/>
          </w:tcPr>
          <w:p>
            <w:pPr>
              <w:spacing w:after="0"/>
              <w:rPr>
                <w:rFonts w:ascii="Times New Roman" w:cs="Times New Roman" w:eastAsia="Times New Roman" w:hAnsi="Times New Roman"/>
                <w:sz w:val="12"/>
                <w:szCs w:val="12"/>
                <w:color w:val="0000EE"/>
              </w:rPr>
            </w:pPr>
            <w:hyperlink w:anchor="page145">
              <w:r>
                <w:rPr>
                  <w:rFonts w:ascii="Times New Roman" w:cs="Times New Roman" w:eastAsia="Times New Roman" w:hAnsi="Times New Roman"/>
                  <w:sz w:val="12"/>
                  <w:szCs w:val="12"/>
                  <w:color w:val="0000EE"/>
                </w:rPr>
                <w:t>Amendment to the Index License Agreement for Funds, dated as of October 4, 2011, by and between</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80" w:type="dxa"/>
            <w:vAlign w:val="bottom"/>
            <w:tcBorders>
              <w:top w:val="single" w:sz="8" w:color="0000EE"/>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w:anchor="page145">
              <w:r>
                <w:rPr>
                  <w:rFonts w:ascii="Times New Roman" w:cs="Times New Roman" w:eastAsia="Times New Roman" w:hAnsi="Times New Roman"/>
                  <w:sz w:val="12"/>
                  <w:szCs w:val="12"/>
                  <w:color w:val="0000EE"/>
                  <w:w w:val="99"/>
                </w:rPr>
                <w:t>MSCI Inc. and BlackRock Institutional Trust Company, N.A. (formerly, Barclays Global Investors,</w:t>
              </w:r>
            </w:hyperlink>
          </w:p>
        </w:tc>
        <w:tc>
          <w:tcPr>
            <w:tcW w:w="60" w:type="dxa"/>
            <w:vAlign w:val="bottom"/>
            <w:tcBorders>
              <w:top w:val="single" w:sz="8" w:color="0000EE"/>
            </w:tcBorders>
            <w:gridSpan w:val="3"/>
          </w:tcPr>
          <w:p>
            <w:pPr>
              <w:spacing w:after="0"/>
              <w:rPr>
                <w:sz w:val="10"/>
                <w:szCs w:val="10"/>
                <w:color w:val="auto"/>
              </w:rPr>
            </w:pPr>
          </w:p>
        </w:tc>
        <w:tc>
          <w:tcPr>
            <w:tcW w:w="12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0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w:anchor="page145">
              <w:r>
                <w:rPr>
                  <w:rFonts w:ascii="Times New Roman" w:cs="Times New Roman" w:eastAsia="Times New Roman" w:hAnsi="Times New Roman"/>
                  <w:sz w:val="12"/>
                  <w:szCs w:val="12"/>
                  <w:color w:val="0000EE"/>
                  <w:w w:val="99"/>
                </w:rPr>
                <w:t>N.A.). Replaces in its entirety the Amendment to Index License Agreement for Funds, dated as of</w:t>
              </w:r>
            </w:hyperlink>
          </w:p>
        </w:tc>
        <w:tc>
          <w:tcPr>
            <w:tcW w:w="260" w:type="dxa"/>
            <w:vAlign w:val="bottom"/>
            <w:gridSpan w:val="9"/>
          </w:tcPr>
          <w:p>
            <w:pPr>
              <w:spacing w:after="0"/>
              <w:rPr>
                <w:sz w:val="10"/>
                <w:szCs w:val="10"/>
                <w:color w:val="auto"/>
              </w:rPr>
            </w:pPr>
          </w:p>
        </w:tc>
      </w:tr>
      <w:tr>
        <w:trPr>
          <w:trHeight w:val="140"/>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60" w:type="dxa"/>
            <w:vAlign w:val="bottom"/>
            <w:gridSpan w:val="21"/>
          </w:tcPr>
          <w:p>
            <w:pPr>
              <w:spacing w:after="0"/>
              <w:rPr>
                <w:rFonts w:ascii="Times New Roman" w:cs="Times New Roman" w:eastAsia="Times New Roman" w:hAnsi="Times New Roman"/>
                <w:sz w:val="12"/>
                <w:szCs w:val="12"/>
                <w:u w:val="single" w:color="auto"/>
                <w:color w:val="0000EE"/>
              </w:rPr>
            </w:pPr>
            <w:hyperlink w:anchor="page145">
              <w:r>
                <w:rPr>
                  <w:rFonts w:ascii="Times New Roman" w:cs="Times New Roman" w:eastAsia="Times New Roman" w:hAnsi="Times New Roman"/>
                  <w:sz w:val="12"/>
                  <w:szCs w:val="12"/>
                  <w:u w:val="single" w:color="auto"/>
                  <w:color w:val="0000EE"/>
                </w:rPr>
                <w:t>October 27, 2009, between MSCI Inc. and Barclays Global Investors, N.A. filed as Exhibit 10.15 to</w:t>
              </w:r>
            </w:hyperlink>
          </w:p>
        </w:tc>
      </w:tr>
      <w:tr>
        <w:trPr>
          <w:trHeight w:val="144"/>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60" w:type="dxa"/>
            <w:vAlign w:val="bottom"/>
            <w:gridSpan w:val="21"/>
          </w:tcPr>
          <w:p>
            <w:pPr>
              <w:spacing w:after="0"/>
              <w:rPr>
                <w:rFonts w:ascii="Times New Roman" w:cs="Times New Roman" w:eastAsia="Times New Roman" w:hAnsi="Times New Roman"/>
                <w:sz w:val="12"/>
                <w:szCs w:val="12"/>
                <w:u w:val="single" w:color="auto"/>
                <w:color w:val="0000EE"/>
              </w:rPr>
            </w:pPr>
            <w:hyperlink w:anchor="page145">
              <w:r>
                <w:rPr>
                  <w:rFonts w:ascii="Times New Roman" w:cs="Times New Roman" w:eastAsia="Times New Roman" w:hAnsi="Times New Roman"/>
                  <w:sz w:val="12"/>
                  <w:szCs w:val="12"/>
                  <w:u w:val="single" w:color="auto"/>
                  <w:color w:val="0000EE"/>
                </w:rPr>
                <w:t>Form 10-K (001-33812) filed with the SEC on February 29, 2012</w:t>
              </w:r>
            </w:hyperlink>
          </w:p>
        </w:tc>
      </w:tr>
      <w:tr>
        <w:trPr>
          <w:trHeight w:val="144"/>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6"/>
              </w:rPr>
              <w:t>10.31*</w:t>
            </w:r>
          </w:p>
        </w:tc>
        <w:tc>
          <w:tcPr>
            <w:tcW w:w="4960" w:type="dxa"/>
            <w:vAlign w:val="bottom"/>
            <w:gridSpan w:val="21"/>
          </w:tcPr>
          <w:p>
            <w:pPr>
              <w:spacing w:after="0"/>
              <w:rPr>
                <w:rFonts w:ascii="Times New Roman" w:cs="Times New Roman" w:eastAsia="Times New Roman" w:hAnsi="Times New Roman"/>
                <w:sz w:val="12"/>
                <w:szCs w:val="12"/>
                <w:u w:val="single" w:color="auto"/>
                <w:color w:val="0000EE"/>
              </w:rPr>
            </w:pPr>
            <w:hyperlink r:id="rId161">
              <w:r>
                <w:rPr>
                  <w:rFonts w:ascii="Times New Roman" w:cs="Times New Roman" w:eastAsia="Times New Roman" w:hAnsi="Times New Roman"/>
                  <w:sz w:val="12"/>
                  <w:szCs w:val="12"/>
                  <w:u w:val="single" w:color="auto"/>
                  <w:color w:val="0000EE"/>
                </w:rPr>
                <w:t>MSCI Inc. Performance Formula and Incentive Plan</w:t>
              </w:r>
            </w:hyperlink>
          </w:p>
        </w:tc>
      </w:tr>
      <w:tr>
        <w:trPr>
          <w:trHeight w:val="128"/>
        </w:trPr>
        <w:tc>
          <w:tcPr>
            <w:tcW w:w="1180" w:type="dxa"/>
            <w:vAlign w:val="bottom"/>
            <w:gridSpan w:val="3"/>
          </w:tcPr>
          <w:p>
            <w:pPr>
              <w:jc w:val="center"/>
              <w:ind w:right="740"/>
              <w:spacing w:after="0" w:line="128" w:lineRule="exact"/>
              <w:rPr>
                <w:sz w:val="20"/>
                <w:szCs w:val="20"/>
                <w:color w:val="auto"/>
              </w:rPr>
            </w:pPr>
            <w:r>
              <w:rPr>
                <w:rFonts w:ascii="Times New Roman" w:cs="Times New Roman" w:eastAsia="Times New Roman" w:hAnsi="Times New Roman"/>
                <w:sz w:val="12"/>
                <w:szCs w:val="12"/>
                <w:color w:val="auto"/>
                <w:w w:val="97"/>
              </w:rPr>
              <w:t>10.46††#</w:t>
            </w:r>
          </w:p>
        </w:tc>
        <w:tc>
          <w:tcPr>
            <w:tcW w:w="4840" w:type="dxa"/>
            <w:vAlign w:val="bottom"/>
            <w:tcBorders>
              <w:bottom w:val="single" w:sz="8" w:color="0000EE"/>
            </w:tcBorders>
            <w:gridSpan w:val="19"/>
          </w:tcPr>
          <w:p>
            <w:pPr>
              <w:spacing w:after="0" w:line="128" w:lineRule="exact"/>
              <w:rPr>
                <w:rFonts w:ascii="Times New Roman" w:cs="Times New Roman" w:eastAsia="Times New Roman" w:hAnsi="Times New Roman"/>
                <w:sz w:val="12"/>
                <w:szCs w:val="12"/>
                <w:color w:val="0000EE"/>
              </w:rPr>
            </w:pPr>
            <w:hyperlink w:anchor="page147">
              <w:r>
                <w:rPr>
                  <w:rFonts w:ascii="Times New Roman" w:cs="Times New Roman" w:eastAsia="Times New Roman" w:hAnsi="Times New Roman"/>
                  <w:sz w:val="12"/>
                  <w:szCs w:val="12"/>
                  <w:color w:val="0000EE"/>
                </w:rPr>
                <w:t>Amendment to Index License Agreement for Funds, dated as of December 15, 2009, between MSCI</w:t>
              </w:r>
            </w:hyperlink>
          </w:p>
        </w:tc>
        <w:tc>
          <w:tcPr>
            <w:tcW w:w="120" w:type="dxa"/>
            <w:vAlign w:val="bottom"/>
            <w:gridSpan w:val="2"/>
          </w:tcPr>
          <w:p>
            <w:pPr>
              <w:spacing w:after="0"/>
              <w:rPr>
                <w:sz w:val="11"/>
                <w:szCs w:val="1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8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8"/>
              </w:rPr>
            </w:pPr>
            <w:hyperlink w:anchor="page147">
              <w:r>
                <w:rPr>
                  <w:rFonts w:ascii="Times New Roman" w:cs="Times New Roman" w:eastAsia="Times New Roman" w:hAnsi="Times New Roman"/>
                  <w:sz w:val="12"/>
                  <w:szCs w:val="12"/>
                  <w:color w:val="0000EE"/>
                  <w:w w:val="98"/>
                </w:rPr>
                <w:t>Inc. and Blackrock Institutional Trust Company, N.A.</w:t>
              </w:r>
            </w:hyperlink>
          </w:p>
        </w:tc>
        <w:tc>
          <w:tcPr>
            <w:tcW w:w="2380" w:type="dxa"/>
            <w:vAlign w:val="bottom"/>
            <w:gridSpan w:val="14"/>
          </w:tcPr>
          <w:p>
            <w:pPr>
              <w:spacing w:after="0"/>
              <w:rPr>
                <w:sz w:val="10"/>
                <w:szCs w:val="10"/>
                <w:color w:val="auto"/>
              </w:rPr>
            </w:pPr>
          </w:p>
        </w:tc>
      </w:tr>
      <w:tr>
        <w:trPr>
          <w:trHeight w:val="142"/>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10.47</w:t>
            </w:r>
          </w:p>
        </w:tc>
        <w:tc>
          <w:tcPr>
            <w:tcW w:w="800" w:type="dxa"/>
            <w:vAlign w:val="bottom"/>
          </w:tcPr>
          <w:p>
            <w:pPr>
              <w:spacing w:after="0"/>
              <w:rPr>
                <w:sz w:val="12"/>
                <w:szCs w:val="12"/>
                <w:color w:val="auto"/>
              </w:rPr>
            </w:pPr>
          </w:p>
        </w:tc>
        <w:tc>
          <w:tcPr>
            <w:tcW w:w="4960" w:type="dxa"/>
            <w:vAlign w:val="bottom"/>
            <w:tcBorders>
              <w:bottom w:val="single" w:sz="8" w:color="0000EE"/>
            </w:tcBorders>
            <w:gridSpan w:val="21"/>
          </w:tcPr>
          <w:p>
            <w:pPr>
              <w:spacing w:after="0"/>
              <w:rPr>
                <w:rFonts w:ascii="Times New Roman" w:cs="Times New Roman" w:eastAsia="Times New Roman" w:hAnsi="Times New Roman"/>
                <w:sz w:val="12"/>
                <w:szCs w:val="12"/>
                <w:color w:val="0000EE"/>
                <w:w w:val="99"/>
              </w:rPr>
            </w:pPr>
            <w:hyperlink r:id="rId162">
              <w:r>
                <w:rPr>
                  <w:rFonts w:ascii="Times New Roman" w:cs="Times New Roman" w:eastAsia="Times New Roman" w:hAnsi="Times New Roman"/>
                  <w:sz w:val="12"/>
                  <w:szCs w:val="12"/>
                  <w:color w:val="0000EE"/>
                  <w:w w:val="99"/>
                </w:rPr>
                <w:t>Amendment to Index License Agreement for Funds, dated as of June 13, 2011, between MSCI Inc. and</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r:id="rId162">
              <w:r>
                <w:rPr>
                  <w:rFonts w:ascii="Times New Roman" w:cs="Times New Roman" w:eastAsia="Times New Roman" w:hAnsi="Times New Roman"/>
                  <w:sz w:val="12"/>
                  <w:szCs w:val="12"/>
                  <w:color w:val="0000EE"/>
                </w:rPr>
                <w:t>BlackRock Institutional Trust Company, N.A.</w:t>
              </w:r>
            </w:hyperlink>
          </w:p>
        </w:tc>
      </w:tr>
      <w:tr>
        <w:trPr>
          <w:trHeight w:val="20"/>
        </w:trPr>
        <w:tc>
          <w:tcPr>
            <w:tcW w:w="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0"/>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10.48</w:t>
            </w:r>
          </w:p>
        </w:tc>
        <w:tc>
          <w:tcPr>
            <w:tcW w:w="800" w:type="dxa"/>
            <w:vAlign w:val="bottom"/>
          </w:tcPr>
          <w:p>
            <w:pPr>
              <w:spacing w:after="0"/>
              <w:rPr>
                <w:sz w:val="12"/>
                <w:szCs w:val="12"/>
                <w:color w:val="auto"/>
              </w:rPr>
            </w:pPr>
          </w:p>
        </w:tc>
        <w:tc>
          <w:tcPr>
            <w:tcW w:w="4960" w:type="dxa"/>
            <w:vAlign w:val="bottom"/>
            <w:gridSpan w:val="21"/>
          </w:tcPr>
          <w:p>
            <w:pPr>
              <w:spacing w:after="0"/>
              <w:rPr>
                <w:rFonts w:ascii="Times New Roman" w:cs="Times New Roman" w:eastAsia="Times New Roman" w:hAnsi="Times New Roman"/>
                <w:sz w:val="12"/>
                <w:szCs w:val="12"/>
                <w:u w:val="single" w:color="auto"/>
                <w:color w:val="0000EE"/>
              </w:rPr>
            </w:pPr>
            <w:hyperlink r:id="rId163">
              <w:r>
                <w:rPr>
                  <w:rFonts w:ascii="Times New Roman" w:cs="Times New Roman" w:eastAsia="Times New Roman" w:hAnsi="Times New Roman"/>
                  <w:sz w:val="12"/>
                  <w:szCs w:val="12"/>
                  <w:u w:val="single" w:color="auto"/>
                  <w:color w:val="0000EE"/>
                </w:rPr>
                <w:t>Amendment to Index License Agreement for Funds, dated as of May 20, 2010</w:t>
              </w:r>
            </w:hyperlink>
          </w:p>
        </w:tc>
      </w:tr>
      <w:tr>
        <w:trPr>
          <w:trHeight w:val="128"/>
        </w:trPr>
        <w:tc>
          <w:tcPr>
            <w:tcW w:w="1180" w:type="dxa"/>
            <w:vAlign w:val="bottom"/>
            <w:gridSpan w:val="3"/>
          </w:tcPr>
          <w:p>
            <w:pPr>
              <w:jc w:val="center"/>
              <w:ind w:right="740"/>
              <w:spacing w:after="0" w:line="128" w:lineRule="exact"/>
              <w:rPr>
                <w:sz w:val="20"/>
                <w:szCs w:val="20"/>
                <w:color w:val="auto"/>
              </w:rPr>
            </w:pPr>
            <w:r>
              <w:rPr>
                <w:rFonts w:ascii="Times New Roman" w:cs="Times New Roman" w:eastAsia="Times New Roman" w:hAnsi="Times New Roman"/>
                <w:sz w:val="12"/>
                <w:szCs w:val="12"/>
                <w:color w:val="auto"/>
                <w:w w:val="97"/>
              </w:rPr>
              <w:t>10.49††#</w:t>
            </w:r>
          </w:p>
        </w:tc>
        <w:tc>
          <w:tcPr>
            <w:tcW w:w="4820" w:type="dxa"/>
            <w:vAlign w:val="bottom"/>
            <w:tcBorders>
              <w:bottom w:val="single" w:sz="8" w:color="0000EE"/>
            </w:tcBorders>
            <w:gridSpan w:val="18"/>
          </w:tcPr>
          <w:p>
            <w:pPr>
              <w:spacing w:after="0" w:line="128" w:lineRule="exact"/>
              <w:rPr>
                <w:rFonts w:ascii="Times New Roman" w:cs="Times New Roman" w:eastAsia="Times New Roman" w:hAnsi="Times New Roman"/>
                <w:sz w:val="12"/>
                <w:szCs w:val="12"/>
                <w:color w:val="0000EE"/>
                <w:w w:val="99"/>
              </w:rPr>
            </w:pPr>
            <w:hyperlink w:anchor="page148">
              <w:r>
                <w:rPr>
                  <w:rFonts w:ascii="Times New Roman" w:cs="Times New Roman" w:eastAsia="Times New Roman" w:hAnsi="Times New Roman"/>
                  <w:sz w:val="12"/>
                  <w:szCs w:val="12"/>
                  <w:color w:val="0000EE"/>
                  <w:w w:val="99"/>
                </w:rPr>
                <w:t>Schedule No. 11043 to the Master Index License Agreement for Index Based Funds, between MSCI</w:t>
              </w:r>
            </w:hyperlink>
          </w:p>
        </w:tc>
        <w:tc>
          <w:tcPr>
            <w:tcW w:w="140" w:type="dxa"/>
            <w:vAlign w:val="bottom"/>
            <w:gridSpan w:val="3"/>
          </w:tcPr>
          <w:p>
            <w:pPr>
              <w:spacing w:after="0"/>
              <w:rPr>
                <w:sz w:val="11"/>
                <w:szCs w:val="1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w:anchor="page148">
              <w:r>
                <w:rPr>
                  <w:rFonts w:ascii="Times New Roman" w:cs="Times New Roman" w:eastAsia="Times New Roman" w:hAnsi="Times New Roman"/>
                  <w:sz w:val="12"/>
                  <w:szCs w:val="12"/>
                  <w:color w:val="0000EE"/>
                  <w:w w:val="99"/>
                </w:rPr>
                <w:t>Inc. and BlackRock Institutional Trust Company, N.A. (formerly, Barclays Global Investors, N.A.),</w:t>
              </w:r>
            </w:hyperlink>
          </w:p>
        </w:tc>
        <w:tc>
          <w:tcPr>
            <w:tcW w:w="160" w:type="dxa"/>
            <w:vAlign w:val="bottom"/>
            <w:gridSpan w:val="4"/>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6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w:anchor="page148">
              <w:r>
                <w:rPr>
                  <w:rFonts w:ascii="Times New Roman" w:cs="Times New Roman" w:eastAsia="Times New Roman" w:hAnsi="Times New Roman"/>
                  <w:sz w:val="12"/>
                  <w:szCs w:val="12"/>
                  <w:color w:val="0000EE"/>
                  <w:w w:val="99"/>
                </w:rPr>
                <w:t>dated as of September 1, 2010</w:t>
              </w:r>
            </w:hyperlink>
          </w:p>
        </w:tc>
        <w:tc>
          <w:tcPr>
            <w:tcW w:w="3500" w:type="dxa"/>
            <w:vAlign w:val="bottom"/>
            <w:gridSpan w:val="17"/>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10.50††#</w:t>
            </w:r>
          </w:p>
        </w:tc>
        <w:tc>
          <w:tcPr>
            <w:tcW w:w="468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w:anchor="page153">
              <w:r>
                <w:rPr>
                  <w:rFonts w:ascii="Times New Roman" w:cs="Times New Roman" w:eastAsia="Times New Roman" w:hAnsi="Times New Roman"/>
                  <w:sz w:val="12"/>
                  <w:szCs w:val="12"/>
                  <w:color w:val="0000EE"/>
                  <w:w w:val="99"/>
                </w:rPr>
                <w:t>Amendment to the Index License Agreement for Funds, dated as of November 19, 2010, between</w:t>
              </w:r>
            </w:hyperlink>
          </w:p>
        </w:tc>
        <w:tc>
          <w:tcPr>
            <w:tcW w:w="280" w:type="dxa"/>
            <w:vAlign w:val="bottom"/>
            <w:gridSpan w:val="10"/>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8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8"/>
              </w:rPr>
            </w:pPr>
            <w:hyperlink w:anchor="page153">
              <w:r>
                <w:rPr>
                  <w:rFonts w:ascii="Times New Roman" w:cs="Times New Roman" w:eastAsia="Times New Roman" w:hAnsi="Times New Roman"/>
                  <w:sz w:val="12"/>
                  <w:szCs w:val="12"/>
                  <w:color w:val="0000EE"/>
                  <w:w w:val="98"/>
                </w:rPr>
                <w:t>MSCI Inc. and Barclays Global Investors, N.A.</w:t>
              </w:r>
            </w:hyperlink>
          </w:p>
        </w:tc>
        <w:tc>
          <w:tcPr>
            <w:tcW w:w="2680" w:type="dxa"/>
            <w:vAlign w:val="bottom"/>
            <w:gridSpan w:val="15"/>
          </w:tcPr>
          <w:p>
            <w:pPr>
              <w:spacing w:after="0"/>
              <w:rPr>
                <w:sz w:val="10"/>
                <w:szCs w:val="10"/>
                <w:color w:val="auto"/>
              </w:rPr>
            </w:pPr>
          </w:p>
        </w:tc>
      </w:tr>
      <w:tr>
        <w:trPr>
          <w:trHeight w:val="142"/>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10.51</w:t>
            </w:r>
          </w:p>
        </w:tc>
        <w:tc>
          <w:tcPr>
            <w:tcW w:w="800" w:type="dxa"/>
            <w:vAlign w:val="bottom"/>
          </w:tcPr>
          <w:p>
            <w:pPr>
              <w:spacing w:after="0"/>
              <w:rPr>
                <w:sz w:val="12"/>
                <w:szCs w:val="12"/>
                <w:color w:val="auto"/>
              </w:rPr>
            </w:pPr>
          </w:p>
        </w:tc>
        <w:tc>
          <w:tcPr>
            <w:tcW w:w="476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r:id="rId164">
              <w:r>
                <w:rPr>
                  <w:rFonts w:ascii="Times New Roman" w:cs="Times New Roman" w:eastAsia="Times New Roman" w:hAnsi="Times New Roman"/>
                  <w:sz w:val="12"/>
                  <w:szCs w:val="12"/>
                  <w:color w:val="0000EE"/>
                  <w:w w:val="99"/>
                </w:rPr>
                <w:t>Amendment to the Index License Agreement for Funds, dated as of June 21, 2011, by and between</w:t>
              </w:r>
            </w:hyperlink>
          </w:p>
        </w:tc>
        <w:tc>
          <w:tcPr>
            <w:tcW w:w="200" w:type="dxa"/>
            <w:vAlign w:val="bottom"/>
            <w:gridSpan w:val="6"/>
          </w:tcPr>
          <w:p>
            <w:pPr>
              <w:spacing w:after="0"/>
              <w:rPr>
                <w:sz w:val="12"/>
                <w:szCs w:val="12"/>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4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64">
              <w:r>
                <w:rPr>
                  <w:rFonts w:ascii="Times New Roman" w:cs="Times New Roman" w:eastAsia="Times New Roman" w:hAnsi="Times New Roman"/>
                  <w:sz w:val="12"/>
                  <w:szCs w:val="12"/>
                  <w:color w:val="0000EE"/>
                  <w:w w:val="99"/>
                </w:rPr>
                <w:t>MSCI Inc. and BlackRock Institutional Trust Company, N.A. (formerly known as Barclays Global</w:t>
              </w:r>
            </w:hyperlink>
          </w:p>
        </w:tc>
        <w:tc>
          <w:tcPr>
            <w:tcW w:w="220" w:type="dxa"/>
            <w:vAlign w:val="bottom"/>
            <w:gridSpan w:val="7"/>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8"/>
              </w:rPr>
            </w:pPr>
            <w:hyperlink r:id="rId164">
              <w:r>
                <w:rPr>
                  <w:rFonts w:ascii="Times New Roman" w:cs="Times New Roman" w:eastAsia="Times New Roman" w:hAnsi="Times New Roman"/>
                  <w:sz w:val="12"/>
                  <w:szCs w:val="12"/>
                  <w:color w:val="0000EE"/>
                  <w:w w:val="98"/>
                </w:rPr>
                <w:t>Investors, N.A.)</w:t>
              </w:r>
            </w:hyperlink>
          </w:p>
        </w:tc>
        <w:tc>
          <w:tcPr>
            <w:tcW w:w="4180" w:type="dxa"/>
            <w:vAlign w:val="bottom"/>
            <w:gridSpan w:val="18"/>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10.52††#</w:t>
            </w: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w:anchor="page155">
              <w:r>
                <w:rPr>
                  <w:rFonts w:ascii="Times New Roman" w:cs="Times New Roman" w:eastAsia="Times New Roman" w:hAnsi="Times New Roman"/>
                  <w:sz w:val="12"/>
                  <w:szCs w:val="12"/>
                  <w:color w:val="0000EE"/>
                </w:rPr>
                <w:t>Amendment to the Index License Agreement for Funds, dated as of July 1, 2011, by and between</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w:anchor="page155">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9"/>
          </w:tcPr>
          <w:p>
            <w:pPr>
              <w:spacing w:after="0" w:line="124" w:lineRule="exact"/>
              <w:rPr>
                <w:rFonts w:ascii="Times New Roman" w:cs="Times New Roman" w:eastAsia="Times New Roman" w:hAnsi="Times New Roman"/>
                <w:sz w:val="12"/>
                <w:szCs w:val="12"/>
                <w:color w:val="0000EE"/>
                <w:w w:val="98"/>
              </w:rPr>
            </w:pPr>
            <w:hyperlink w:anchor="page155">
              <w:r>
                <w:rPr>
                  <w:rFonts w:ascii="Times New Roman" w:cs="Times New Roman" w:eastAsia="Times New Roman" w:hAnsi="Times New Roman"/>
                  <w:sz w:val="12"/>
                  <w:szCs w:val="12"/>
                  <w:color w:val="0000EE"/>
                  <w:w w:val="98"/>
                </w:rPr>
                <w:t>Company, N.A. (formerly, Barclays Global Investors, N.A.)</w:t>
              </w:r>
            </w:hyperlink>
          </w:p>
        </w:tc>
        <w:tc>
          <w:tcPr>
            <w:tcW w:w="1820" w:type="dxa"/>
            <w:vAlign w:val="bottom"/>
            <w:tcBorders>
              <w:top w:val="single" w:sz="8" w:color="0000EE"/>
            </w:tcBorders>
            <w:gridSpan w:val="3"/>
          </w:tcPr>
          <w:p>
            <w:pPr>
              <w:spacing w:after="0"/>
              <w:rPr>
                <w:sz w:val="10"/>
                <w:szCs w:val="10"/>
                <w:color w:val="auto"/>
              </w:rPr>
            </w:pPr>
          </w:p>
        </w:tc>
        <w:tc>
          <w:tcPr>
            <w:tcW w:w="260" w:type="dxa"/>
            <w:vAlign w:val="bottom"/>
            <w:gridSpan w:val="9"/>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10.53††#</w:t>
            </w: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w:anchor="page158">
              <w:r>
                <w:rPr>
                  <w:rFonts w:ascii="Times New Roman" w:cs="Times New Roman" w:eastAsia="Times New Roman" w:hAnsi="Times New Roman"/>
                  <w:sz w:val="12"/>
                  <w:szCs w:val="12"/>
                  <w:color w:val="0000EE"/>
                </w:rPr>
                <w:t>Amendment to the Index License Agreement for Funds, dated as of August 23, 2011, by and between</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20" w:type="dxa"/>
            <w:vAlign w:val="bottom"/>
            <w:tcBorders>
              <w:top w:val="single" w:sz="8" w:color="0000EE"/>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58">
              <w:r>
                <w:rPr>
                  <w:rFonts w:ascii="Times New Roman" w:cs="Times New Roman" w:eastAsia="Times New Roman" w:hAnsi="Times New Roman"/>
                  <w:sz w:val="12"/>
                  <w:szCs w:val="12"/>
                  <w:color w:val="0000EE"/>
                  <w:w w:val="99"/>
                </w:rPr>
                <w:t>MSCI Inc. and Blackrock Institutional Trust Company, N.A. (formerly, Barclays Global Investors,</w:t>
              </w:r>
            </w:hyperlink>
          </w:p>
        </w:tc>
        <w:tc>
          <w:tcPr>
            <w:tcW w:w="140" w:type="dxa"/>
            <w:vAlign w:val="bottom"/>
            <w:tcBorders>
              <w:top w:val="single" w:sz="8" w:color="0000EE"/>
            </w:tcBorders>
            <w:gridSpan w:val="7"/>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rPr>
            </w:pPr>
            <w:hyperlink w:anchor="page158">
              <w:r>
                <w:rPr>
                  <w:rFonts w:ascii="Times New Roman" w:cs="Times New Roman" w:eastAsia="Times New Roman" w:hAnsi="Times New Roman"/>
                  <w:sz w:val="12"/>
                  <w:szCs w:val="12"/>
                  <w:color w:val="0000EE"/>
                </w:rPr>
                <w:t>N.A.)</w:t>
              </w:r>
            </w:hyperlink>
          </w:p>
        </w:tc>
        <w:tc>
          <w:tcPr>
            <w:tcW w:w="4660" w:type="dxa"/>
            <w:vAlign w:val="bottom"/>
            <w:gridSpan w:val="19"/>
          </w:tcPr>
          <w:p>
            <w:pPr>
              <w:spacing w:after="0"/>
              <w:rPr>
                <w:sz w:val="10"/>
                <w:szCs w:val="10"/>
                <w:color w:val="auto"/>
              </w:rPr>
            </w:pPr>
          </w:p>
        </w:tc>
      </w:tr>
      <w:tr>
        <w:trPr>
          <w:trHeight w:val="124"/>
        </w:trPr>
        <w:tc>
          <w:tcPr>
            <w:tcW w:w="3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color w:val="auto"/>
              </w:rPr>
              <w:t>10.54</w:t>
            </w:r>
          </w:p>
        </w:tc>
        <w:tc>
          <w:tcPr>
            <w:tcW w:w="800" w:type="dxa"/>
            <w:vAlign w:val="bottom"/>
          </w:tcPr>
          <w:p>
            <w:pPr>
              <w:spacing w:after="0"/>
              <w:rPr>
                <w:sz w:val="10"/>
                <w:szCs w:val="10"/>
                <w:color w:val="auto"/>
              </w:rPr>
            </w:pP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r:id="rId165">
              <w:r>
                <w:rPr>
                  <w:rFonts w:ascii="Times New Roman" w:cs="Times New Roman" w:eastAsia="Times New Roman" w:hAnsi="Times New Roman"/>
                  <w:sz w:val="12"/>
                  <w:szCs w:val="12"/>
                  <w:color w:val="0000EE"/>
                </w:rPr>
                <w:t>Amendment to the Index License Agreement for Funds, dated as of October 4, 2011, by and between</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40" w:type="dxa"/>
            <w:vAlign w:val="bottom"/>
            <w:tcBorders>
              <w:top w:val="single" w:sz="8" w:color="0000EE"/>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65">
              <w:r>
                <w:rPr>
                  <w:rFonts w:ascii="Times New Roman" w:cs="Times New Roman" w:eastAsia="Times New Roman" w:hAnsi="Times New Roman"/>
                  <w:sz w:val="12"/>
                  <w:szCs w:val="12"/>
                  <w:color w:val="0000EE"/>
                  <w:w w:val="99"/>
                </w:rPr>
                <w:t>MSCI Inc. and BlackRock Institutional Trust Company, N.A. (formerly known as Barclays Global</w:t>
              </w:r>
            </w:hyperlink>
          </w:p>
        </w:tc>
        <w:tc>
          <w:tcPr>
            <w:tcW w:w="100" w:type="dxa"/>
            <w:vAlign w:val="bottom"/>
            <w:tcBorders>
              <w:top w:val="single" w:sz="8" w:color="0000EE"/>
            </w:tcBorders>
            <w:gridSpan w:val="5"/>
          </w:tcPr>
          <w:p>
            <w:pPr>
              <w:spacing w:after="0"/>
              <w:rPr>
                <w:sz w:val="10"/>
                <w:szCs w:val="10"/>
                <w:color w:val="auto"/>
              </w:rPr>
            </w:pPr>
          </w:p>
        </w:tc>
        <w:tc>
          <w:tcPr>
            <w:tcW w:w="12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8"/>
              </w:rPr>
            </w:pPr>
            <w:hyperlink r:id="rId165">
              <w:r>
                <w:rPr>
                  <w:rFonts w:ascii="Times New Roman" w:cs="Times New Roman" w:eastAsia="Times New Roman" w:hAnsi="Times New Roman"/>
                  <w:sz w:val="12"/>
                  <w:szCs w:val="12"/>
                  <w:color w:val="0000EE"/>
                  <w:w w:val="98"/>
                </w:rPr>
                <w:t>Investors, N.A.)</w:t>
              </w:r>
            </w:hyperlink>
          </w:p>
        </w:tc>
        <w:tc>
          <w:tcPr>
            <w:tcW w:w="4180" w:type="dxa"/>
            <w:vAlign w:val="bottom"/>
            <w:gridSpan w:val="18"/>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10.55††#</w:t>
            </w:r>
          </w:p>
        </w:tc>
        <w:tc>
          <w:tcPr>
            <w:tcW w:w="4960" w:type="dxa"/>
            <w:vAlign w:val="bottom"/>
            <w:gridSpan w:val="21"/>
          </w:tcPr>
          <w:p>
            <w:pPr>
              <w:spacing w:after="0" w:line="124" w:lineRule="exact"/>
              <w:rPr>
                <w:rFonts w:ascii="Times New Roman" w:cs="Times New Roman" w:eastAsia="Times New Roman" w:hAnsi="Times New Roman"/>
                <w:sz w:val="12"/>
                <w:szCs w:val="12"/>
                <w:color w:val="0000EE"/>
              </w:rPr>
            </w:pPr>
            <w:hyperlink w:anchor="page162">
              <w:r>
                <w:rPr>
                  <w:rFonts w:ascii="Times New Roman" w:cs="Times New Roman" w:eastAsia="Times New Roman" w:hAnsi="Times New Roman"/>
                  <w:sz w:val="12"/>
                  <w:szCs w:val="12"/>
                  <w:color w:val="0000EE"/>
                </w:rPr>
                <w:t>Amendment to the Index License Agreement for Funds, dated as of October 4, 2011, by and between</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80" w:type="dxa"/>
            <w:vAlign w:val="bottom"/>
            <w:tcBorders>
              <w:top w:val="single" w:sz="8" w:color="0000EE"/>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w:anchor="page162">
              <w:r>
                <w:rPr>
                  <w:rFonts w:ascii="Times New Roman" w:cs="Times New Roman" w:eastAsia="Times New Roman" w:hAnsi="Times New Roman"/>
                  <w:sz w:val="12"/>
                  <w:szCs w:val="12"/>
                  <w:color w:val="0000EE"/>
                  <w:w w:val="99"/>
                </w:rPr>
                <w:t>MSCI Inc. and BlackRock Institutional Trust Company, N.A. (formerly, Barclays Global Investors,</w:t>
              </w:r>
            </w:hyperlink>
          </w:p>
        </w:tc>
        <w:tc>
          <w:tcPr>
            <w:tcW w:w="60" w:type="dxa"/>
            <w:vAlign w:val="bottom"/>
            <w:tcBorders>
              <w:top w:val="single" w:sz="8" w:color="0000EE"/>
            </w:tcBorders>
            <w:gridSpan w:val="3"/>
          </w:tcPr>
          <w:p>
            <w:pPr>
              <w:spacing w:after="0"/>
              <w:rPr>
                <w:sz w:val="10"/>
                <w:szCs w:val="10"/>
                <w:color w:val="auto"/>
              </w:rPr>
            </w:pPr>
          </w:p>
        </w:tc>
        <w:tc>
          <w:tcPr>
            <w:tcW w:w="12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4"/>
              </w:rPr>
            </w:pPr>
            <w:hyperlink w:anchor="page162">
              <w:r>
                <w:rPr>
                  <w:rFonts w:ascii="Times New Roman" w:cs="Times New Roman" w:eastAsia="Times New Roman" w:hAnsi="Times New Roman"/>
                  <w:sz w:val="12"/>
                  <w:szCs w:val="12"/>
                  <w:color w:val="0000EE"/>
                  <w:w w:val="94"/>
                </w:rPr>
                <w:t>N.A.)</w:t>
              </w:r>
            </w:hyperlink>
          </w:p>
        </w:tc>
        <w:tc>
          <w:tcPr>
            <w:tcW w:w="4680" w:type="dxa"/>
            <w:vAlign w:val="bottom"/>
            <w:gridSpan w:val="20"/>
          </w:tcPr>
          <w:p>
            <w:pPr>
              <w:spacing w:after="0"/>
              <w:rPr>
                <w:sz w:val="10"/>
                <w:szCs w:val="10"/>
                <w:color w:val="auto"/>
              </w:rPr>
            </w:pPr>
          </w:p>
        </w:tc>
      </w:tr>
      <w:tr>
        <w:trPr>
          <w:trHeight w:val="295"/>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60" w:type="dxa"/>
            <w:vAlign w:val="bottom"/>
            <w:gridSpan w:val="10"/>
          </w:tcPr>
          <w:p>
            <w:pPr>
              <w:ind w:left="3660"/>
              <w:spacing w:after="0"/>
              <w:rPr>
                <w:sz w:val="20"/>
                <w:szCs w:val="20"/>
                <w:color w:val="auto"/>
              </w:rPr>
            </w:pPr>
            <w:r>
              <w:rPr>
                <w:rFonts w:ascii="Times New Roman" w:cs="Times New Roman" w:eastAsia="Times New Roman" w:hAnsi="Times New Roman"/>
                <w:sz w:val="12"/>
                <w:szCs w:val="12"/>
                <w:color w:val="auto"/>
              </w:rPr>
              <w:t>98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717804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4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jc w:val="center"/>
              <w:ind w:right="60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9"/>
              </w:rPr>
              <w:t>Exhibit No.</w:t>
            </w:r>
          </w:p>
        </w:tc>
        <w:tc>
          <w:tcPr>
            <w:tcW w:w="360" w:type="dxa"/>
            <w:vAlign w:val="bottom"/>
          </w:tcPr>
          <w:p>
            <w:pPr>
              <w:spacing w:after="0"/>
              <w:rPr>
                <w:sz w:val="8"/>
                <w:szCs w:val="8"/>
                <w:color w:val="auto"/>
              </w:rPr>
            </w:pP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09"/>
        </w:trPr>
        <w:tc>
          <w:tcPr>
            <w:tcW w:w="6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Proxy</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w w:val="99"/>
              </w:rPr>
              <w:t>001-33812</w:t>
            </w: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Annex C</w:t>
            </w: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2/28/2008</w:t>
            </w: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6"/>
        </w:trPr>
        <w:tc>
          <w:tcPr>
            <w:tcW w:w="6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10.58</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2/29/2012</w:t>
            </w:r>
          </w:p>
        </w:tc>
      </w:tr>
      <w:tr>
        <w:trPr>
          <w:trHeight w:val="277"/>
        </w:trPr>
        <w:tc>
          <w:tcPr>
            <w:tcW w:w="6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10.59</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1/31/2011</w:t>
            </w: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3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6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10.62</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2/29/2012</w:t>
            </w:r>
          </w:p>
        </w:tc>
      </w:tr>
      <w:tr>
        <w:trPr>
          <w:trHeight w:val="43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10.65</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2/29/2012</w:t>
            </w:r>
          </w:p>
        </w:tc>
      </w:tr>
      <w:tr>
        <w:trPr>
          <w:trHeight w:val="43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2">
            <w:col w:w="6140" w:space="360"/>
            <w:col w:w="3620"/>
          </w:cols>
          <w:pgMar w:left="1040" w:top="268" w:right="7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0" w:type="dxa"/>
            <w:vAlign w:val="bottom"/>
          </w:tcPr>
          <w:p>
            <w:pPr>
              <w:spacing w:after="0"/>
              <w:rPr>
                <w:sz w:val="8"/>
                <w:szCs w:val="8"/>
                <w:color w:val="auto"/>
              </w:rPr>
            </w:pPr>
          </w:p>
        </w:tc>
        <w:tc>
          <w:tcPr>
            <w:tcW w:w="1120" w:type="dxa"/>
            <w:vAlign w:val="bottom"/>
            <w:gridSpan w:val="2"/>
          </w:tcPr>
          <w:p>
            <w:pPr>
              <w:jc w:val="center"/>
              <w:ind w:right="800"/>
              <w:spacing w:after="0"/>
              <w:rPr>
                <w:sz w:val="20"/>
                <w:szCs w:val="20"/>
                <w:color w:val="auto"/>
              </w:rPr>
            </w:pPr>
            <w:r>
              <w:rPr>
                <w:rFonts w:ascii="Times New Roman" w:cs="Times New Roman" w:eastAsia="Times New Roman" w:hAnsi="Times New Roman"/>
                <w:sz w:val="9"/>
                <w:szCs w:val="9"/>
                <w:b w:val="1"/>
                <w:bCs w:val="1"/>
                <w:color w:val="auto"/>
                <w:w w:val="98"/>
              </w:rPr>
              <w:t>Exhibit</w:t>
            </w:r>
          </w:p>
        </w:tc>
        <w:tc>
          <w:tcPr>
            <w:tcW w:w="1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60" w:type="dxa"/>
            <w:vAlign w:val="bottom"/>
          </w:tcPr>
          <w:p>
            <w:pPr>
              <w:spacing w:after="0"/>
              <w:rPr>
                <w:sz w:val="8"/>
                <w:szCs w:val="8"/>
                <w:color w:val="auto"/>
              </w:rPr>
            </w:pPr>
          </w:p>
        </w:tc>
        <w:tc>
          <w:tcPr>
            <w:tcW w:w="320" w:type="dxa"/>
            <w:vAlign w:val="bottom"/>
          </w:tcPr>
          <w:p>
            <w:pPr>
              <w:jc w:val="center"/>
              <w:spacing w:after="0" w:line="101" w:lineRule="exact"/>
              <w:rPr>
                <w:sz w:val="20"/>
                <w:szCs w:val="20"/>
                <w:color w:val="auto"/>
              </w:rPr>
            </w:pPr>
            <w:r>
              <w:rPr>
                <w:rFonts w:ascii="Times New Roman" w:cs="Times New Roman" w:eastAsia="Times New Roman" w:hAnsi="Times New Roman"/>
                <w:sz w:val="9"/>
                <w:szCs w:val="9"/>
                <w:b w:val="1"/>
                <w:bCs w:val="1"/>
                <w:color w:val="auto"/>
                <w:w w:val="99"/>
              </w:rPr>
              <w:t>Number</w:t>
            </w: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760" w:type="dxa"/>
            <w:vAlign w:val="bottom"/>
            <w:gridSpan w:val="15"/>
          </w:tcPr>
          <w:p>
            <w:pPr>
              <w:ind w:left="208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10.56</w:t>
            </w:r>
          </w:p>
        </w:tc>
        <w:tc>
          <w:tcPr>
            <w:tcW w:w="800" w:type="dxa"/>
            <w:vAlign w:val="bottom"/>
          </w:tcPr>
          <w:p>
            <w:pPr>
              <w:spacing w:after="0"/>
              <w:rPr>
                <w:sz w:val="12"/>
                <w:szCs w:val="12"/>
                <w:color w:val="auto"/>
              </w:rPr>
            </w:pPr>
          </w:p>
        </w:tc>
        <w:tc>
          <w:tcPr>
            <w:tcW w:w="4940" w:type="dxa"/>
            <w:vAlign w:val="bottom"/>
            <w:gridSpan w:val="16"/>
          </w:tcPr>
          <w:p>
            <w:pPr>
              <w:spacing w:after="0"/>
              <w:rPr>
                <w:rFonts w:ascii="Times New Roman" w:cs="Times New Roman" w:eastAsia="Times New Roman" w:hAnsi="Times New Roman"/>
                <w:sz w:val="12"/>
                <w:szCs w:val="12"/>
                <w:color w:val="0000EE"/>
              </w:rPr>
            </w:pPr>
            <w:hyperlink r:id="rId167">
              <w:r>
                <w:rPr>
                  <w:rFonts w:ascii="Times New Roman" w:cs="Times New Roman" w:eastAsia="Times New Roman" w:hAnsi="Times New Roman"/>
                  <w:sz w:val="12"/>
                  <w:szCs w:val="12"/>
                  <w:color w:val="0000EE"/>
                </w:rPr>
                <w:t>Amendment to the Index License Agreement for Funds, dated as of December 16, 2011, by and</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w w:val="99"/>
              </w:rPr>
            </w:pPr>
            <w:hyperlink r:id="rId167">
              <w:r>
                <w:rPr>
                  <w:rFonts w:ascii="Times New Roman" w:cs="Times New Roman" w:eastAsia="Times New Roman" w:hAnsi="Times New Roman"/>
                  <w:sz w:val="12"/>
                  <w:szCs w:val="12"/>
                  <w:color w:val="0000EE"/>
                  <w:w w:val="99"/>
                </w:rPr>
                <w:t>between MSCI Inc. (formerly, Morgan Stanley Capital International, Inc.) and BlackRock Institutional</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60" w:type="dxa"/>
            <w:vAlign w:val="bottom"/>
            <w:tcBorders>
              <w:top w:val="single" w:sz="8" w:color="0000EE"/>
              <w:bottom w:val="single" w:sz="8" w:color="0000EE"/>
            </w:tcBorders>
            <w:gridSpan w:val="6"/>
          </w:tcPr>
          <w:p>
            <w:pPr>
              <w:spacing w:after="0" w:line="124" w:lineRule="exact"/>
              <w:rPr>
                <w:rFonts w:ascii="Times New Roman" w:cs="Times New Roman" w:eastAsia="Times New Roman" w:hAnsi="Times New Roman"/>
                <w:sz w:val="12"/>
                <w:szCs w:val="12"/>
                <w:color w:val="0000EE"/>
                <w:w w:val="98"/>
              </w:rPr>
            </w:pPr>
            <w:hyperlink r:id="rId167">
              <w:r>
                <w:rPr>
                  <w:rFonts w:ascii="Times New Roman" w:cs="Times New Roman" w:eastAsia="Times New Roman" w:hAnsi="Times New Roman"/>
                  <w:sz w:val="12"/>
                  <w:szCs w:val="12"/>
                  <w:color w:val="0000EE"/>
                  <w:w w:val="98"/>
                </w:rPr>
                <w:t>Trust Company, N.A. (formerly, Barclays Global Investors, N.A.)</w:t>
              </w:r>
            </w:hyperlink>
          </w:p>
        </w:tc>
        <w:tc>
          <w:tcPr>
            <w:tcW w:w="1760" w:type="dxa"/>
            <w:vAlign w:val="bottom"/>
            <w:tcBorders>
              <w:top w:val="single" w:sz="8" w:color="0000EE"/>
            </w:tcBorders>
            <w:gridSpan w:val="9"/>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3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color w:val="auto"/>
              </w:rPr>
              <w:t>10.57</w:t>
            </w:r>
          </w:p>
        </w:tc>
        <w:tc>
          <w:tcPr>
            <w:tcW w:w="800" w:type="dxa"/>
            <w:vAlign w:val="bottom"/>
          </w:tcPr>
          <w:p>
            <w:pPr>
              <w:spacing w:after="0"/>
              <w:rPr>
                <w:sz w:val="10"/>
                <w:szCs w:val="10"/>
                <w:color w:val="auto"/>
              </w:rPr>
            </w:pPr>
          </w:p>
        </w:tc>
        <w:tc>
          <w:tcPr>
            <w:tcW w:w="494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r:id="rId168">
              <w:r>
                <w:rPr>
                  <w:rFonts w:ascii="Times New Roman" w:cs="Times New Roman" w:eastAsia="Times New Roman" w:hAnsi="Times New Roman"/>
                  <w:sz w:val="12"/>
                  <w:szCs w:val="12"/>
                  <w:color w:val="0000EE"/>
                  <w:w w:val="99"/>
                </w:rPr>
                <w:t>Agreement of Lease dated September 16, 2011, by and between 7 World Trade Center, LLC and MSCI</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r:id="rId168">
              <w:r>
                <w:rPr>
                  <w:rFonts w:ascii="Times New Roman" w:cs="Times New Roman" w:eastAsia="Times New Roman" w:hAnsi="Times New Roman"/>
                  <w:sz w:val="12"/>
                  <w:szCs w:val="12"/>
                  <w:color w:val="0000EE"/>
                </w:rPr>
                <w:t>Inc.</w:t>
              </w:r>
            </w:hyperlink>
          </w:p>
        </w:tc>
      </w:tr>
      <w:tr>
        <w:trPr>
          <w:trHeight w:val="20"/>
        </w:trPr>
        <w:tc>
          <w:tcPr>
            <w:tcW w:w="118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10.62††#</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64">
              <w:r>
                <w:rPr>
                  <w:rFonts w:ascii="Times New Roman" w:cs="Times New Roman" w:eastAsia="Times New Roman" w:hAnsi="Times New Roman"/>
                  <w:sz w:val="12"/>
                  <w:szCs w:val="12"/>
                  <w:color w:val="0000EE"/>
                </w:rPr>
                <w:t>Amendment to the Index License Agreement for Funds, dated as of February 16, 2012, by and</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w:anchor="page164">
              <w:r>
                <w:rPr>
                  <w:rFonts w:ascii="Times New Roman" w:cs="Times New Roman" w:eastAsia="Times New Roman" w:hAnsi="Times New Roman"/>
                  <w:sz w:val="12"/>
                  <w:szCs w:val="12"/>
                  <w:color w:val="0000EE"/>
                  <w:w w:val="99"/>
                </w:rPr>
                <w:t>between MSCI Inc. (formerly, Morgan Stanley Capital International Inc.) and BlackRock Institutional</w:t>
              </w:r>
            </w:hyperlink>
          </w:p>
        </w:tc>
        <w:tc>
          <w:tcPr>
            <w:tcW w:w="4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6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8"/>
              </w:rPr>
            </w:pPr>
            <w:hyperlink w:anchor="page164">
              <w:r>
                <w:rPr>
                  <w:rFonts w:ascii="Times New Roman" w:cs="Times New Roman" w:eastAsia="Times New Roman" w:hAnsi="Times New Roman"/>
                  <w:sz w:val="12"/>
                  <w:szCs w:val="12"/>
                  <w:color w:val="0000EE"/>
                  <w:w w:val="98"/>
                </w:rPr>
                <w:t>Trust Company, N.A. (formerly, Barclays Global Investors, N.A.)</w:t>
              </w:r>
            </w:hyperlink>
          </w:p>
        </w:tc>
        <w:tc>
          <w:tcPr>
            <w:tcW w:w="1780" w:type="dxa"/>
            <w:vAlign w:val="bottom"/>
            <w:gridSpan w:val="10"/>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10.63††#</w:t>
            </w:r>
          </w:p>
        </w:tc>
        <w:tc>
          <w:tcPr>
            <w:tcW w:w="472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w:anchor="page165">
              <w:r>
                <w:rPr>
                  <w:rFonts w:ascii="Times New Roman" w:cs="Times New Roman" w:eastAsia="Times New Roman" w:hAnsi="Times New Roman"/>
                  <w:sz w:val="12"/>
                  <w:szCs w:val="12"/>
                  <w:color w:val="0000EE"/>
                  <w:w w:val="99"/>
                </w:rPr>
                <w:t>Amendment to the Index License Agreement for Funds, dated as of April 9, 2012, by and between</w:t>
              </w:r>
            </w:hyperlink>
          </w:p>
        </w:tc>
        <w:tc>
          <w:tcPr>
            <w:tcW w:w="220" w:type="dxa"/>
            <w:vAlign w:val="bottom"/>
            <w:gridSpan w:val="5"/>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65">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8"/>
              </w:rPr>
            </w:pPr>
            <w:hyperlink w:anchor="page165">
              <w:r>
                <w:rPr>
                  <w:rFonts w:ascii="Times New Roman" w:cs="Times New Roman" w:eastAsia="Times New Roman" w:hAnsi="Times New Roman"/>
                  <w:sz w:val="12"/>
                  <w:szCs w:val="12"/>
                  <w:color w:val="0000EE"/>
                  <w:w w:val="98"/>
                </w:rPr>
                <w:t>Company, N.A. (formerly, Barclays Global Investors, N.A.)</w:t>
              </w:r>
            </w:hyperlink>
          </w:p>
        </w:tc>
        <w:tc>
          <w:tcPr>
            <w:tcW w:w="1860" w:type="dxa"/>
            <w:vAlign w:val="bottom"/>
            <w:tcBorders>
              <w:top w:val="single" w:sz="8" w:color="0000EE"/>
            </w:tcBorders>
            <w:gridSpan w:val="8"/>
          </w:tcPr>
          <w:p>
            <w:pPr>
              <w:spacing w:after="0"/>
              <w:rPr>
                <w:sz w:val="10"/>
                <w:szCs w:val="10"/>
                <w:color w:val="auto"/>
              </w:rPr>
            </w:pPr>
          </w:p>
        </w:tc>
        <w:tc>
          <w:tcPr>
            <w:tcW w:w="200" w:type="dxa"/>
            <w:vAlign w:val="bottom"/>
            <w:gridSpan w:val="4"/>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10.64††#</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69">
              <w:r>
                <w:rPr>
                  <w:rFonts w:ascii="Times New Roman" w:cs="Times New Roman" w:eastAsia="Times New Roman" w:hAnsi="Times New Roman"/>
                  <w:sz w:val="12"/>
                  <w:szCs w:val="12"/>
                  <w:color w:val="0000EE"/>
                </w:rPr>
                <w:t>Amendment to the Index License Agreement for Funds, dated as of June 1, 2012, by and between</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69">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8"/>
              </w:rPr>
            </w:pPr>
            <w:hyperlink w:anchor="page169">
              <w:r>
                <w:rPr>
                  <w:rFonts w:ascii="Times New Roman" w:cs="Times New Roman" w:eastAsia="Times New Roman" w:hAnsi="Times New Roman"/>
                  <w:sz w:val="12"/>
                  <w:szCs w:val="12"/>
                  <w:color w:val="0000EE"/>
                  <w:w w:val="98"/>
                </w:rPr>
                <w:t>Company, N.A. (formerly, Barclays Global Investors, N.A.)</w:t>
              </w:r>
            </w:hyperlink>
          </w:p>
        </w:tc>
        <w:tc>
          <w:tcPr>
            <w:tcW w:w="1860" w:type="dxa"/>
            <w:vAlign w:val="bottom"/>
            <w:tcBorders>
              <w:top w:val="single" w:sz="8" w:color="0000EE"/>
            </w:tcBorders>
            <w:gridSpan w:val="8"/>
          </w:tcPr>
          <w:p>
            <w:pPr>
              <w:spacing w:after="0"/>
              <w:rPr>
                <w:sz w:val="10"/>
                <w:szCs w:val="10"/>
                <w:color w:val="auto"/>
              </w:rPr>
            </w:pPr>
          </w:p>
        </w:tc>
        <w:tc>
          <w:tcPr>
            <w:tcW w:w="200" w:type="dxa"/>
            <w:vAlign w:val="bottom"/>
            <w:gridSpan w:val="4"/>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10.65††#</w:t>
            </w:r>
          </w:p>
        </w:tc>
        <w:tc>
          <w:tcPr>
            <w:tcW w:w="488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70">
              <w:r>
                <w:rPr>
                  <w:rFonts w:ascii="Times New Roman" w:cs="Times New Roman" w:eastAsia="Times New Roman" w:hAnsi="Times New Roman"/>
                  <w:sz w:val="12"/>
                  <w:szCs w:val="12"/>
                  <w:color w:val="0000EE"/>
                  <w:w w:val="99"/>
                </w:rPr>
                <w:t>Amendment to the Index License Agreement for Funds, dated as of August 17, 2012, by and between</w:t>
              </w:r>
            </w:hyperlink>
          </w:p>
        </w:tc>
        <w:tc>
          <w:tcPr>
            <w:tcW w:w="60" w:type="dxa"/>
            <w:vAlign w:val="bottom"/>
            <w:gridSpan w:val="3"/>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70">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8"/>
              </w:rPr>
            </w:pPr>
            <w:hyperlink w:anchor="page170">
              <w:r>
                <w:rPr>
                  <w:rFonts w:ascii="Times New Roman" w:cs="Times New Roman" w:eastAsia="Times New Roman" w:hAnsi="Times New Roman"/>
                  <w:sz w:val="12"/>
                  <w:szCs w:val="12"/>
                  <w:color w:val="0000EE"/>
                  <w:w w:val="98"/>
                </w:rPr>
                <w:t>Company, N.A. (formerly, Barclays Global Investors, N.A.)</w:t>
              </w:r>
            </w:hyperlink>
          </w:p>
        </w:tc>
        <w:tc>
          <w:tcPr>
            <w:tcW w:w="1860" w:type="dxa"/>
            <w:vAlign w:val="bottom"/>
            <w:tcBorders>
              <w:top w:val="single" w:sz="8" w:color="0000EE"/>
            </w:tcBorders>
            <w:gridSpan w:val="8"/>
          </w:tcPr>
          <w:p>
            <w:pPr>
              <w:spacing w:after="0"/>
              <w:rPr>
                <w:sz w:val="10"/>
                <w:szCs w:val="10"/>
                <w:color w:val="auto"/>
              </w:rPr>
            </w:pPr>
          </w:p>
        </w:tc>
        <w:tc>
          <w:tcPr>
            <w:tcW w:w="200" w:type="dxa"/>
            <w:vAlign w:val="bottom"/>
            <w:gridSpan w:val="4"/>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10.66††#</w:t>
            </w:r>
          </w:p>
        </w:tc>
        <w:tc>
          <w:tcPr>
            <w:tcW w:w="488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71">
              <w:r>
                <w:rPr>
                  <w:rFonts w:ascii="Times New Roman" w:cs="Times New Roman" w:eastAsia="Times New Roman" w:hAnsi="Times New Roman"/>
                  <w:sz w:val="12"/>
                  <w:szCs w:val="12"/>
                  <w:color w:val="0000EE"/>
                  <w:w w:val="99"/>
                </w:rPr>
                <w:t>Amendment to the Index License Agreement for Funds, dated as of August 20, 2012, by and between</w:t>
              </w:r>
            </w:hyperlink>
          </w:p>
        </w:tc>
        <w:tc>
          <w:tcPr>
            <w:tcW w:w="60" w:type="dxa"/>
            <w:vAlign w:val="bottom"/>
            <w:gridSpan w:val="3"/>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71">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8"/>
              </w:rPr>
            </w:pPr>
            <w:hyperlink w:anchor="page171">
              <w:r>
                <w:rPr>
                  <w:rFonts w:ascii="Times New Roman" w:cs="Times New Roman" w:eastAsia="Times New Roman" w:hAnsi="Times New Roman"/>
                  <w:sz w:val="12"/>
                  <w:szCs w:val="12"/>
                  <w:color w:val="0000EE"/>
                  <w:w w:val="98"/>
                </w:rPr>
                <w:t>Company, N.A. (formerly, Barclays Global Investors, N.A.)</w:t>
              </w:r>
            </w:hyperlink>
          </w:p>
        </w:tc>
        <w:tc>
          <w:tcPr>
            <w:tcW w:w="1860" w:type="dxa"/>
            <w:vAlign w:val="bottom"/>
            <w:tcBorders>
              <w:top w:val="single" w:sz="8" w:color="0000EE"/>
            </w:tcBorders>
            <w:gridSpan w:val="8"/>
          </w:tcPr>
          <w:p>
            <w:pPr>
              <w:spacing w:after="0"/>
              <w:rPr>
                <w:sz w:val="10"/>
                <w:szCs w:val="10"/>
                <w:color w:val="auto"/>
              </w:rPr>
            </w:pPr>
          </w:p>
        </w:tc>
        <w:tc>
          <w:tcPr>
            <w:tcW w:w="200" w:type="dxa"/>
            <w:vAlign w:val="bottom"/>
            <w:gridSpan w:val="4"/>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10.67††#</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72">
              <w:r>
                <w:rPr>
                  <w:rFonts w:ascii="Times New Roman" w:cs="Times New Roman" w:eastAsia="Times New Roman" w:hAnsi="Times New Roman"/>
                  <w:sz w:val="12"/>
                  <w:szCs w:val="12"/>
                  <w:color w:val="0000EE"/>
                </w:rPr>
                <w:t>Amendment to the Index License Agreement for Funds, dated as of November 6, 2012, by and</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w:anchor="page172">
              <w:r>
                <w:rPr>
                  <w:rFonts w:ascii="Times New Roman" w:cs="Times New Roman" w:eastAsia="Times New Roman" w:hAnsi="Times New Roman"/>
                  <w:sz w:val="12"/>
                  <w:szCs w:val="12"/>
                  <w:color w:val="0000EE"/>
                  <w:w w:val="99"/>
                </w:rPr>
                <w:t>between MSCI Inc. (formerly, Morgan Stanley Capital International Inc.) and BlackRock Institutional</w:t>
              </w:r>
            </w:hyperlink>
          </w:p>
        </w:tc>
        <w:tc>
          <w:tcPr>
            <w:tcW w:w="4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6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8"/>
              </w:rPr>
            </w:pPr>
            <w:hyperlink w:anchor="page172">
              <w:r>
                <w:rPr>
                  <w:rFonts w:ascii="Times New Roman" w:cs="Times New Roman" w:eastAsia="Times New Roman" w:hAnsi="Times New Roman"/>
                  <w:sz w:val="12"/>
                  <w:szCs w:val="12"/>
                  <w:color w:val="0000EE"/>
                  <w:w w:val="98"/>
                </w:rPr>
                <w:t>Trust Company, N.A. (formerly, Barclays Global Investors, N.A.)</w:t>
              </w:r>
            </w:hyperlink>
          </w:p>
        </w:tc>
        <w:tc>
          <w:tcPr>
            <w:tcW w:w="1780" w:type="dxa"/>
            <w:vAlign w:val="bottom"/>
            <w:gridSpan w:val="10"/>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10.68††#</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74">
              <w:r>
                <w:rPr>
                  <w:rFonts w:ascii="Times New Roman" w:cs="Times New Roman" w:eastAsia="Times New Roman" w:hAnsi="Times New Roman"/>
                  <w:sz w:val="12"/>
                  <w:szCs w:val="12"/>
                  <w:color w:val="0000EE"/>
                </w:rPr>
                <w:t>Amendment to the Index License Agreement for Funds, dated as of November 15, 2012, by and</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w:anchor="page174">
              <w:r>
                <w:rPr>
                  <w:rFonts w:ascii="Times New Roman" w:cs="Times New Roman" w:eastAsia="Times New Roman" w:hAnsi="Times New Roman"/>
                  <w:sz w:val="12"/>
                  <w:szCs w:val="12"/>
                  <w:color w:val="0000EE"/>
                  <w:w w:val="99"/>
                </w:rPr>
                <w:t>between MSCI Inc. (formerly, Morgan Stanley Capital International Inc.) and BlackRock Institutional</w:t>
              </w:r>
            </w:hyperlink>
          </w:p>
        </w:tc>
        <w:tc>
          <w:tcPr>
            <w:tcW w:w="4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6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8"/>
              </w:rPr>
            </w:pPr>
            <w:hyperlink w:anchor="page174">
              <w:r>
                <w:rPr>
                  <w:rFonts w:ascii="Times New Roman" w:cs="Times New Roman" w:eastAsia="Times New Roman" w:hAnsi="Times New Roman"/>
                  <w:sz w:val="12"/>
                  <w:szCs w:val="12"/>
                  <w:color w:val="0000EE"/>
                  <w:w w:val="98"/>
                </w:rPr>
                <w:t>Trust Company, N.A. (formerly, Barclays Global Investors, N.A.)</w:t>
              </w:r>
            </w:hyperlink>
          </w:p>
        </w:tc>
        <w:tc>
          <w:tcPr>
            <w:tcW w:w="1780" w:type="dxa"/>
            <w:vAlign w:val="bottom"/>
            <w:gridSpan w:val="10"/>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10.69††#</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76">
              <w:r>
                <w:rPr>
                  <w:rFonts w:ascii="Times New Roman" w:cs="Times New Roman" w:eastAsia="Times New Roman" w:hAnsi="Times New Roman"/>
                  <w:sz w:val="12"/>
                  <w:szCs w:val="12"/>
                  <w:color w:val="0000EE"/>
                </w:rPr>
                <w:t>Amendment to the Index License Agreement for Funds, dated as of February 21, 2013, by and</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w:anchor="page176">
              <w:r>
                <w:rPr>
                  <w:rFonts w:ascii="Times New Roman" w:cs="Times New Roman" w:eastAsia="Times New Roman" w:hAnsi="Times New Roman"/>
                  <w:sz w:val="12"/>
                  <w:szCs w:val="12"/>
                  <w:color w:val="0000EE"/>
                  <w:w w:val="99"/>
                </w:rPr>
                <w:t>between MSCI Inc. (formerly, Morgan Stanley Capital International Inc.) and BlackRock Institutional</w:t>
              </w:r>
            </w:hyperlink>
          </w:p>
        </w:tc>
        <w:tc>
          <w:tcPr>
            <w:tcW w:w="4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176">
              <w:r>
                <w:rPr>
                  <w:rFonts w:ascii="Times New Roman" w:cs="Times New Roman" w:eastAsia="Times New Roman" w:hAnsi="Times New Roman"/>
                  <w:sz w:val="12"/>
                  <w:szCs w:val="12"/>
                  <w:color w:val="0000EE"/>
                </w:rPr>
                <w:t>Trust Company, N.A. (formerly, Barclays Global Investors, N.A.)</w:t>
              </w:r>
            </w:hyperlink>
          </w:p>
        </w:tc>
      </w:tr>
      <w:tr>
        <w:trPr>
          <w:trHeight w:val="295"/>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99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717804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66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Exhibit No.</w:t>
            </w:r>
          </w:p>
        </w:tc>
        <w:tc>
          <w:tcPr>
            <w:tcW w:w="360" w:type="dxa"/>
            <w:vAlign w:val="bottom"/>
          </w:tcPr>
          <w:p>
            <w:pPr>
              <w:spacing w:after="0"/>
              <w:rPr>
                <w:sz w:val="8"/>
                <w:szCs w:val="8"/>
                <w:color w:val="auto"/>
              </w:rPr>
            </w:pP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right"/>
              <w:ind w:right="25"/>
              <w:spacing w:after="0"/>
              <w:rPr>
                <w:sz w:val="20"/>
                <w:szCs w:val="20"/>
                <w:color w:val="auto"/>
              </w:rPr>
            </w:pPr>
            <w:r>
              <w:rPr>
                <w:rFonts w:ascii="Times New Roman" w:cs="Times New Roman" w:eastAsia="Times New Roman" w:hAnsi="Times New Roman"/>
                <w:sz w:val="12"/>
                <w:szCs w:val="12"/>
                <w:color w:val="auto"/>
              </w:rPr>
              <w:t>10.67</w:t>
            </w:r>
          </w:p>
        </w:tc>
        <w:tc>
          <w:tcPr>
            <w:tcW w:w="320" w:type="dxa"/>
            <w:vAlign w:val="bottom"/>
          </w:tcPr>
          <w:p>
            <w:pPr>
              <w:spacing w:after="0"/>
              <w:rPr>
                <w:sz w:val="14"/>
                <w:szCs w:val="1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2/29/2012</w:t>
            </w:r>
          </w:p>
        </w:tc>
      </w:tr>
      <w:tr>
        <w:trPr>
          <w:trHeight w:val="432"/>
        </w:trPr>
        <w:tc>
          <w:tcPr>
            <w:tcW w:w="20" w:type="dxa"/>
            <w:vAlign w:val="bottom"/>
          </w:tcPr>
          <w:p>
            <w:pPr>
              <w:spacing w:after="0"/>
              <w:rPr>
                <w:sz w:val="24"/>
                <w:szCs w:val="24"/>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right"/>
              <w:ind w:right="65"/>
              <w:spacing w:after="0"/>
              <w:rPr>
                <w:sz w:val="20"/>
                <w:szCs w:val="20"/>
                <w:color w:val="auto"/>
              </w:rPr>
            </w:pPr>
            <w:r>
              <w:rPr>
                <w:rFonts w:ascii="Times New Roman" w:cs="Times New Roman" w:eastAsia="Times New Roman" w:hAnsi="Times New Roman"/>
                <w:sz w:val="12"/>
                <w:szCs w:val="12"/>
                <w:color w:val="auto"/>
              </w:rPr>
              <w:t>10.1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9/22/2011</w:t>
            </w:r>
          </w:p>
        </w:tc>
      </w:tr>
    </w:tbl>
    <w:p>
      <w:pPr>
        <w:spacing w:after="0" w:line="1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ectPr>
          <w:pgSz w:w="11900" w:h="16838" w:orient="portrait"/>
          <w:cols w:equalWidth="0" w:num="2">
            <w:col w:w="6120" w:space="400"/>
            <w:col w:w="3600"/>
          </w:cols>
          <w:pgMar w:left="1040" w:top="268" w:right="7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03"/>
        </w:trPr>
        <w:tc>
          <w:tcPr>
            <w:tcW w:w="60" w:type="dxa"/>
            <w:vAlign w:val="bottom"/>
          </w:tcPr>
          <w:p>
            <w:pPr>
              <w:spacing w:after="0"/>
              <w:rPr>
                <w:sz w:val="8"/>
                <w:szCs w:val="8"/>
                <w:color w:val="auto"/>
              </w:rPr>
            </w:pPr>
          </w:p>
        </w:tc>
        <w:tc>
          <w:tcPr>
            <w:tcW w:w="1120" w:type="dxa"/>
            <w:vAlign w:val="bottom"/>
            <w:gridSpan w:val="2"/>
          </w:tcPr>
          <w:p>
            <w:pPr>
              <w:jc w:val="center"/>
              <w:ind w:right="800"/>
              <w:spacing w:after="0"/>
              <w:rPr>
                <w:sz w:val="20"/>
                <w:szCs w:val="20"/>
                <w:color w:val="auto"/>
              </w:rPr>
            </w:pPr>
            <w:r>
              <w:rPr>
                <w:rFonts w:ascii="Times New Roman" w:cs="Times New Roman" w:eastAsia="Times New Roman" w:hAnsi="Times New Roman"/>
                <w:sz w:val="9"/>
                <w:szCs w:val="9"/>
                <w:b w:val="1"/>
                <w:bCs w:val="1"/>
                <w:color w:val="auto"/>
                <w:w w:val="98"/>
              </w:rPr>
              <w:t>Exhibit</w:t>
            </w: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1"/>
        </w:trPr>
        <w:tc>
          <w:tcPr>
            <w:tcW w:w="60" w:type="dxa"/>
            <w:vAlign w:val="bottom"/>
          </w:tcPr>
          <w:p>
            <w:pPr>
              <w:spacing w:after="0"/>
              <w:rPr>
                <w:sz w:val="8"/>
                <w:szCs w:val="8"/>
                <w:color w:val="auto"/>
              </w:rPr>
            </w:pPr>
          </w:p>
        </w:tc>
        <w:tc>
          <w:tcPr>
            <w:tcW w:w="320" w:type="dxa"/>
            <w:vAlign w:val="bottom"/>
          </w:tcPr>
          <w:p>
            <w:pPr>
              <w:jc w:val="center"/>
              <w:spacing w:after="0" w:line="101" w:lineRule="exact"/>
              <w:rPr>
                <w:sz w:val="20"/>
                <w:szCs w:val="20"/>
                <w:color w:val="auto"/>
              </w:rPr>
            </w:pPr>
            <w:r>
              <w:rPr>
                <w:rFonts w:ascii="Times New Roman" w:cs="Times New Roman" w:eastAsia="Times New Roman" w:hAnsi="Times New Roman"/>
                <w:sz w:val="9"/>
                <w:szCs w:val="9"/>
                <w:b w:val="1"/>
                <w:bCs w:val="1"/>
                <w:color w:val="auto"/>
                <w:w w:val="99"/>
              </w:rPr>
              <w:t>Number</w:t>
            </w:r>
          </w:p>
        </w:tc>
        <w:tc>
          <w:tcPr>
            <w:tcW w:w="8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11"/>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7"/>
              </w:rPr>
              <w:t>10.70††#</w:t>
            </w:r>
          </w:p>
        </w:tc>
        <w:tc>
          <w:tcPr>
            <w:tcW w:w="484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9"/>
              </w:rPr>
            </w:pPr>
            <w:hyperlink w:anchor="page178">
              <w:r>
                <w:rPr>
                  <w:rFonts w:ascii="Times New Roman" w:cs="Times New Roman" w:eastAsia="Times New Roman" w:hAnsi="Times New Roman"/>
                  <w:sz w:val="12"/>
                  <w:szCs w:val="12"/>
                  <w:color w:val="0000EE"/>
                  <w:w w:val="99"/>
                </w:rPr>
                <w:t>Amendment to the Index License Agreement for Funds, dated as of March 20, 2013, by and between</w:t>
              </w:r>
            </w:hyperlink>
          </w:p>
        </w:tc>
        <w:tc>
          <w:tcPr>
            <w:tcW w:w="60" w:type="dxa"/>
            <w:vAlign w:val="bottom"/>
          </w:tcPr>
          <w:p>
            <w:pPr>
              <w:spacing w:after="0"/>
              <w:rPr>
                <w:sz w:val="12"/>
                <w:szCs w:val="12"/>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78">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8"/>
              </w:rPr>
            </w:pPr>
            <w:hyperlink w:anchor="page178">
              <w:r>
                <w:rPr>
                  <w:rFonts w:ascii="Times New Roman" w:cs="Times New Roman" w:eastAsia="Times New Roman" w:hAnsi="Times New Roman"/>
                  <w:sz w:val="12"/>
                  <w:szCs w:val="12"/>
                  <w:color w:val="0000EE"/>
                  <w:w w:val="98"/>
                </w:rPr>
                <w:t>Company, N.A. (formerly, Barclays Global Investors, N.A.)</w:t>
              </w:r>
            </w:hyperlink>
          </w:p>
        </w:tc>
        <w:tc>
          <w:tcPr>
            <w:tcW w:w="1860" w:type="dxa"/>
            <w:vAlign w:val="bottom"/>
            <w:tcBorders>
              <w:top w:val="single" w:sz="8" w:color="0000EE"/>
            </w:tcBorders>
            <w:gridSpan w:val="5"/>
          </w:tcPr>
          <w:p>
            <w:pPr>
              <w:spacing w:after="0"/>
              <w:rPr>
                <w:sz w:val="10"/>
                <w:szCs w:val="10"/>
                <w:color w:val="auto"/>
              </w:rPr>
            </w:pPr>
          </w:p>
        </w:tc>
        <w:tc>
          <w:tcPr>
            <w:tcW w:w="16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10.71††#</w:t>
            </w: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79">
              <w:r>
                <w:rPr>
                  <w:rFonts w:ascii="Times New Roman" w:cs="Times New Roman" w:eastAsia="Times New Roman" w:hAnsi="Times New Roman"/>
                  <w:sz w:val="12"/>
                  <w:szCs w:val="12"/>
                  <w:color w:val="0000EE"/>
                </w:rPr>
                <w:t>Amendment to the Index License Agreement for Funds, dated as of September 11, 2013, by and</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79">
              <w:r>
                <w:rPr>
                  <w:rFonts w:ascii="Times New Roman" w:cs="Times New Roman" w:eastAsia="Times New Roman" w:hAnsi="Times New Roman"/>
                  <w:sz w:val="12"/>
                  <w:szCs w:val="12"/>
                  <w:color w:val="0000EE"/>
                  <w:w w:val="99"/>
                </w:rPr>
                <w:t>between MSCI Inc. (formerly, Morgan Stanley Capital International Inc.) and BlackRock Institutional</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79">
              <w:r>
                <w:rPr>
                  <w:rFonts w:ascii="Times New Roman" w:cs="Times New Roman" w:eastAsia="Times New Roman" w:hAnsi="Times New Roman"/>
                  <w:sz w:val="12"/>
                  <w:szCs w:val="12"/>
                  <w:color w:val="0000EE"/>
                </w:rPr>
                <w:t>Trust Company, N.A. (formerly, Barclays Global Investors, N.A.)</w:t>
              </w:r>
            </w:hyperlink>
          </w:p>
        </w:tc>
      </w:tr>
      <w:tr>
        <w:trPr>
          <w:trHeight w:val="20"/>
        </w:trPr>
        <w:tc>
          <w:tcPr>
            <w:tcW w:w="1180" w:type="dxa"/>
            <w:vAlign w:val="bottom"/>
            <w:gridSpan w:val="3"/>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10.72††#</w:t>
            </w: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81">
              <w:r>
                <w:rPr>
                  <w:rFonts w:ascii="Times New Roman" w:cs="Times New Roman" w:eastAsia="Times New Roman" w:hAnsi="Times New Roman"/>
                  <w:sz w:val="12"/>
                  <w:szCs w:val="12"/>
                  <w:color w:val="0000EE"/>
                </w:rPr>
                <w:t>Amendment to the Index License Agreement for Funds, dated as of December 10, 2013, by and</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81">
              <w:r>
                <w:rPr>
                  <w:rFonts w:ascii="Times New Roman" w:cs="Times New Roman" w:eastAsia="Times New Roman" w:hAnsi="Times New Roman"/>
                  <w:sz w:val="12"/>
                  <w:szCs w:val="12"/>
                  <w:color w:val="0000EE"/>
                  <w:w w:val="99"/>
                </w:rPr>
                <w:t>between MSCI Inc. (formerly, Morgan Stanley Capital International Inc.) and BlackRock Institutional</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81">
              <w:r>
                <w:rPr>
                  <w:rFonts w:ascii="Times New Roman" w:cs="Times New Roman" w:eastAsia="Times New Roman" w:hAnsi="Times New Roman"/>
                  <w:sz w:val="12"/>
                  <w:szCs w:val="12"/>
                  <w:color w:val="0000EE"/>
                </w:rPr>
                <w:t>Trust Company, N.A. (formerly, Barclays Global Investors, N.A.)</w:t>
              </w:r>
            </w:hyperlink>
          </w:p>
        </w:tc>
      </w:tr>
      <w:tr>
        <w:trPr>
          <w:trHeight w:val="20"/>
        </w:trPr>
        <w:tc>
          <w:tcPr>
            <w:tcW w:w="1180" w:type="dxa"/>
            <w:vAlign w:val="bottom"/>
            <w:gridSpan w:val="3"/>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10.73††#</w:t>
            </w: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83">
              <w:r>
                <w:rPr>
                  <w:rFonts w:ascii="Times New Roman" w:cs="Times New Roman" w:eastAsia="Times New Roman" w:hAnsi="Times New Roman"/>
                  <w:sz w:val="12"/>
                  <w:szCs w:val="12"/>
                  <w:color w:val="0000EE"/>
                </w:rPr>
                <w:t>Amendment to the Index License Agreement for Funds, dated as of December 16, 2013, by and</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83">
              <w:r>
                <w:rPr>
                  <w:rFonts w:ascii="Times New Roman" w:cs="Times New Roman" w:eastAsia="Times New Roman" w:hAnsi="Times New Roman"/>
                  <w:sz w:val="12"/>
                  <w:szCs w:val="12"/>
                  <w:color w:val="0000EE"/>
                  <w:w w:val="99"/>
                </w:rPr>
                <w:t>between MSCI Inc. (formerly, Morgan Stanley Capital International Inc.) and BlackRock Institutional</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83">
              <w:r>
                <w:rPr>
                  <w:rFonts w:ascii="Times New Roman" w:cs="Times New Roman" w:eastAsia="Times New Roman" w:hAnsi="Times New Roman"/>
                  <w:sz w:val="12"/>
                  <w:szCs w:val="12"/>
                  <w:color w:val="0000EE"/>
                </w:rPr>
                <w:t>Trust Company, N.A. (formerly, Barclays Global Investors, N.A.)</w:t>
              </w:r>
            </w:hyperlink>
          </w:p>
        </w:tc>
      </w:tr>
      <w:tr>
        <w:trPr>
          <w:trHeight w:val="20"/>
        </w:trPr>
        <w:tc>
          <w:tcPr>
            <w:tcW w:w="1180" w:type="dxa"/>
            <w:vAlign w:val="bottom"/>
            <w:gridSpan w:val="3"/>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10.82††#</w:t>
            </w:r>
          </w:p>
        </w:tc>
        <w:tc>
          <w:tcPr>
            <w:tcW w:w="490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85">
              <w:r>
                <w:rPr>
                  <w:rFonts w:ascii="Times New Roman" w:cs="Times New Roman" w:eastAsia="Times New Roman" w:hAnsi="Times New Roman"/>
                  <w:sz w:val="12"/>
                  <w:szCs w:val="12"/>
                  <w:color w:val="0000EE"/>
                  <w:w w:val="99"/>
                </w:rPr>
                <w:t>Amendment to the Index License Agreement for Funds, dated as of January 23, 2014, by and between</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85">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8"/>
              </w:rPr>
            </w:pPr>
            <w:hyperlink w:anchor="page185">
              <w:r>
                <w:rPr>
                  <w:rFonts w:ascii="Times New Roman" w:cs="Times New Roman" w:eastAsia="Times New Roman" w:hAnsi="Times New Roman"/>
                  <w:sz w:val="12"/>
                  <w:szCs w:val="12"/>
                  <w:color w:val="0000EE"/>
                  <w:w w:val="98"/>
                </w:rPr>
                <w:t>Company, N.A. (formerly, Barclays Global Investors, N.A.)</w:t>
              </w:r>
            </w:hyperlink>
          </w:p>
        </w:tc>
        <w:tc>
          <w:tcPr>
            <w:tcW w:w="1860" w:type="dxa"/>
            <w:vAlign w:val="bottom"/>
            <w:tcBorders>
              <w:top w:val="single" w:sz="8" w:color="0000EE"/>
            </w:tcBorders>
            <w:gridSpan w:val="5"/>
          </w:tcPr>
          <w:p>
            <w:pPr>
              <w:spacing w:after="0"/>
              <w:rPr>
                <w:sz w:val="10"/>
                <w:szCs w:val="10"/>
                <w:color w:val="auto"/>
              </w:rPr>
            </w:pPr>
          </w:p>
        </w:tc>
        <w:tc>
          <w:tcPr>
            <w:tcW w:w="16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10.83††#</w:t>
            </w:r>
          </w:p>
        </w:tc>
        <w:tc>
          <w:tcPr>
            <w:tcW w:w="490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87">
              <w:r>
                <w:rPr>
                  <w:rFonts w:ascii="Times New Roman" w:cs="Times New Roman" w:eastAsia="Times New Roman" w:hAnsi="Times New Roman"/>
                  <w:sz w:val="12"/>
                  <w:szCs w:val="12"/>
                  <w:color w:val="0000EE"/>
                  <w:w w:val="99"/>
                </w:rPr>
                <w:t>Amendment to the Index License Agreement for Funds, dated as of January 23, 2014, by and between</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87">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8"/>
              </w:rPr>
            </w:pPr>
            <w:hyperlink w:anchor="page187">
              <w:r>
                <w:rPr>
                  <w:rFonts w:ascii="Times New Roman" w:cs="Times New Roman" w:eastAsia="Times New Roman" w:hAnsi="Times New Roman"/>
                  <w:sz w:val="12"/>
                  <w:szCs w:val="12"/>
                  <w:color w:val="0000EE"/>
                  <w:w w:val="98"/>
                </w:rPr>
                <w:t>Company, N.A. (formerly, Barclays Global Investors, N.A.)</w:t>
              </w:r>
            </w:hyperlink>
          </w:p>
        </w:tc>
        <w:tc>
          <w:tcPr>
            <w:tcW w:w="1860" w:type="dxa"/>
            <w:vAlign w:val="bottom"/>
            <w:tcBorders>
              <w:top w:val="single" w:sz="8" w:color="0000EE"/>
            </w:tcBorders>
            <w:gridSpan w:val="5"/>
          </w:tcPr>
          <w:p>
            <w:pPr>
              <w:spacing w:after="0"/>
              <w:rPr>
                <w:sz w:val="10"/>
                <w:szCs w:val="10"/>
                <w:color w:val="auto"/>
              </w:rPr>
            </w:pPr>
          </w:p>
        </w:tc>
        <w:tc>
          <w:tcPr>
            <w:tcW w:w="16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10.85††#</w:t>
            </w: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89">
              <w:r>
                <w:rPr>
                  <w:rFonts w:ascii="Times New Roman" w:cs="Times New Roman" w:eastAsia="Times New Roman" w:hAnsi="Times New Roman"/>
                  <w:sz w:val="12"/>
                  <w:szCs w:val="12"/>
                  <w:color w:val="0000EE"/>
                </w:rPr>
                <w:t>Letter Agreement to amend the Amendment to the Index License Agreement for Funds, dated as of</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189">
              <w:r>
                <w:rPr>
                  <w:rFonts w:ascii="Times New Roman" w:cs="Times New Roman" w:eastAsia="Times New Roman" w:hAnsi="Times New Roman"/>
                  <w:sz w:val="12"/>
                  <w:szCs w:val="12"/>
                  <w:color w:val="0000EE"/>
                  <w:w w:val="99"/>
                </w:rPr>
                <w:t>March 18, 2014, by and between MSCI Inc. (formerly, Morgan Stanley Capital International Inc.) and</w:t>
              </w:r>
            </w:hyperlink>
          </w:p>
        </w:tc>
      </w:tr>
      <w:tr>
        <w:trPr>
          <w:trHeight w:val="140"/>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00" w:type="dxa"/>
            <w:vAlign w:val="bottom"/>
            <w:gridSpan w:val="13"/>
          </w:tcPr>
          <w:p>
            <w:pPr>
              <w:spacing w:after="0"/>
              <w:rPr>
                <w:rFonts w:ascii="Times New Roman" w:cs="Times New Roman" w:eastAsia="Times New Roman" w:hAnsi="Times New Roman"/>
                <w:sz w:val="12"/>
                <w:szCs w:val="12"/>
                <w:u w:val="single" w:color="auto"/>
                <w:color w:val="0000EE"/>
              </w:rPr>
            </w:pPr>
            <w:hyperlink w:anchor="page189">
              <w:r>
                <w:rPr>
                  <w:rFonts w:ascii="Times New Roman" w:cs="Times New Roman" w:eastAsia="Times New Roman" w:hAnsi="Times New Roman"/>
                  <w:sz w:val="12"/>
                  <w:szCs w:val="12"/>
                  <w:u w:val="single" w:color="auto"/>
                  <w:color w:val="0000EE"/>
                </w:rPr>
                <w:t>BlackRock Institutional Trust Company, N.A. (formerly, Barclays Global Investors, N.A.)</w:t>
              </w:r>
            </w:hyperlink>
          </w:p>
        </w:tc>
      </w:tr>
      <w:tr>
        <w:trPr>
          <w:trHeight w:val="144"/>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6"/>
              </w:rPr>
              <w:t>10.88*</w:t>
            </w:r>
          </w:p>
        </w:tc>
        <w:tc>
          <w:tcPr>
            <w:tcW w:w="4900" w:type="dxa"/>
            <w:vAlign w:val="bottom"/>
            <w:gridSpan w:val="13"/>
          </w:tcPr>
          <w:p>
            <w:pPr>
              <w:spacing w:after="0"/>
              <w:rPr>
                <w:rFonts w:ascii="Times New Roman" w:cs="Times New Roman" w:eastAsia="Times New Roman" w:hAnsi="Times New Roman"/>
                <w:sz w:val="12"/>
                <w:szCs w:val="12"/>
                <w:u w:val="single" w:color="auto"/>
                <w:color w:val="0000EE"/>
              </w:rPr>
            </w:pPr>
            <w:hyperlink w:anchor="page190">
              <w:r>
                <w:rPr>
                  <w:rFonts w:ascii="Times New Roman" w:cs="Times New Roman" w:eastAsia="Times New Roman" w:hAnsi="Times New Roman"/>
                  <w:sz w:val="12"/>
                  <w:szCs w:val="12"/>
                  <w:u w:val="single" w:color="auto"/>
                  <w:color w:val="0000EE"/>
                </w:rPr>
                <w:t>Summary of Non-Employee Director Compensation</w:t>
              </w:r>
            </w:hyperlink>
          </w:p>
        </w:tc>
      </w:tr>
      <w:tr>
        <w:trPr>
          <w:trHeight w:val="128"/>
        </w:trPr>
        <w:tc>
          <w:tcPr>
            <w:tcW w:w="1180" w:type="dxa"/>
            <w:vAlign w:val="bottom"/>
            <w:gridSpan w:val="3"/>
          </w:tcPr>
          <w:p>
            <w:pPr>
              <w:jc w:val="center"/>
              <w:ind w:right="740"/>
              <w:spacing w:after="0" w:line="128" w:lineRule="exact"/>
              <w:rPr>
                <w:sz w:val="20"/>
                <w:szCs w:val="20"/>
                <w:color w:val="auto"/>
              </w:rPr>
            </w:pPr>
            <w:r>
              <w:rPr>
                <w:rFonts w:ascii="Times New Roman" w:cs="Times New Roman" w:eastAsia="Times New Roman" w:hAnsi="Times New Roman"/>
                <w:sz w:val="12"/>
                <w:szCs w:val="12"/>
                <w:color w:val="auto"/>
                <w:w w:val="97"/>
              </w:rPr>
              <w:t>10.89††#</w:t>
            </w:r>
          </w:p>
        </w:tc>
        <w:tc>
          <w:tcPr>
            <w:tcW w:w="4900" w:type="dxa"/>
            <w:vAlign w:val="bottom"/>
            <w:gridSpan w:val="13"/>
          </w:tcPr>
          <w:p>
            <w:pPr>
              <w:spacing w:after="0" w:line="128" w:lineRule="exact"/>
              <w:rPr>
                <w:rFonts w:ascii="Times New Roman" w:cs="Times New Roman" w:eastAsia="Times New Roman" w:hAnsi="Times New Roman"/>
                <w:sz w:val="12"/>
                <w:szCs w:val="12"/>
                <w:color w:val="0000EE"/>
              </w:rPr>
            </w:pPr>
            <w:hyperlink w:anchor="page191">
              <w:r>
                <w:rPr>
                  <w:rFonts w:ascii="Times New Roman" w:cs="Times New Roman" w:eastAsia="Times New Roman" w:hAnsi="Times New Roman"/>
                  <w:sz w:val="12"/>
                  <w:szCs w:val="12"/>
                  <w:color w:val="0000EE"/>
                </w:rPr>
                <w:t>Amendment to the Index License Agreement for Funds, dated as of July 9, 2014, by and between</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91">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w:anchor="page191">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9"/>
          </w:tcPr>
          <w:p>
            <w:pPr>
              <w:spacing w:after="0"/>
              <w:rPr>
                <w:sz w:val="10"/>
                <w:szCs w:val="10"/>
                <w:color w:val="auto"/>
              </w:rPr>
            </w:pPr>
          </w:p>
        </w:tc>
        <w:tc>
          <w:tcPr>
            <w:tcW w:w="140" w:type="dxa"/>
            <w:vAlign w:val="bottom"/>
            <w:gridSpan w:val="2"/>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10.90††#</w:t>
            </w: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93">
              <w:r>
                <w:rPr>
                  <w:rFonts w:ascii="Times New Roman" w:cs="Times New Roman" w:eastAsia="Times New Roman" w:hAnsi="Times New Roman"/>
                  <w:sz w:val="12"/>
                  <w:szCs w:val="12"/>
                  <w:color w:val="0000EE"/>
                </w:rPr>
                <w:t>Amendment to the Index License Agreement for Funds, dated as of July 16, 2014, by and between</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gridSpan w:val="13"/>
          </w:tcPr>
          <w:p>
            <w:pPr>
              <w:spacing w:after="0" w:line="124" w:lineRule="exact"/>
              <w:rPr>
                <w:rFonts w:ascii="Times New Roman" w:cs="Times New Roman" w:eastAsia="Times New Roman" w:hAnsi="Times New Roman"/>
                <w:sz w:val="12"/>
                <w:szCs w:val="12"/>
                <w:color w:val="0000EE"/>
              </w:rPr>
            </w:pPr>
            <w:hyperlink w:anchor="page193">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60" w:type="dxa"/>
            <w:vAlign w:val="bottom"/>
            <w:tcBorders>
              <w:top w:val="single" w:sz="8" w:color="0000EE"/>
            </w:tcBorders>
            <w:gridSpan w:val="11"/>
          </w:tcPr>
          <w:p>
            <w:pPr>
              <w:spacing w:after="0" w:line="124" w:lineRule="exact"/>
              <w:rPr>
                <w:rFonts w:ascii="Times New Roman" w:cs="Times New Roman" w:eastAsia="Times New Roman" w:hAnsi="Times New Roman"/>
                <w:sz w:val="12"/>
                <w:szCs w:val="12"/>
                <w:color w:val="0000EE"/>
              </w:rPr>
            </w:pPr>
            <w:hyperlink w:anchor="page193">
              <w:r>
                <w:rPr>
                  <w:rFonts w:ascii="Times New Roman" w:cs="Times New Roman" w:eastAsia="Times New Roman" w:hAnsi="Times New Roman"/>
                  <w:sz w:val="12"/>
                  <w:szCs w:val="12"/>
                  <w:color w:val="0000EE"/>
                </w:rPr>
                <w:t>successor to Barclays Global Investors, N.A.)</w:t>
              </w:r>
            </w:hyperlink>
          </w:p>
        </w:tc>
        <w:tc>
          <w:tcPr>
            <w:tcW w:w="140" w:type="dxa"/>
            <w:vAlign w:val="bottom"/>
            <w:gridSpan w:val="2"/>
          </w:tcPr>
          <w:p>
            <w:pPr>
              <w:spacing w:after="0"/>
              <w:rPr>
                <w:sz w:val="10"/>
                <w:szCs w:val="10"/>
                <w:color w:val="auto"/>
              </w:rPr>
            </w:pPr>
          </w:p>
        </w:tc>
      </w:tr>
      <w:tr>
        <w:trPr>
          <w:trHeight w:val="295"/>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Borders>
              <w:top w:val="single" w:sz="8" w:color="0000EE"/>
            </w:tcBorders>
          </w:tcPr>
          <w:p>
            <w:pPr>
              <w:spacing w:after="0"/>
              <w:rPr>
                <w:sz w:val="24"/>
                <w:szCs w:val="24"/>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717804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tabs>
          <w:tab w:leader="none" w:pos="1020" w:val="left"/>
          <w:tab w:leader="none" w:pos="1980" w:val="left"/>
          <w:tab w:leader="none" w:pos="3100" w:val="left"/>
        </w:tabs>
        <w:rPr>
          <w:sz w:val="20"/>
          <w:szCs w:val="20"/>
          <w:color w:val="auto"/>
        </w:rPr>
      </w:pPr>
      <w:r>
        <w:rPr>
          <w:rFonts w:ascii="Times New Roman" w:cs="Times New Roman" w:eastAsia="Times New Roman" w:hAnsi="Times New Roman"/>
          <w:sz w:val="9"/>
          <w:szCs w:val="9"/>
          <w:b w:val="1"/>
          <w:bCs w:val="1"/>
          <w:u w:val="single" w:color="auto"/>
          <w:color w:val="auto"/>
        </w:rPr>
        <w:t>Form</w:t>
      </w:r>
      <w:r>
        <w:rPr>
          <w:sz w:val="20"/>
          <w:szCs w:val="20"/>
          <w:color w:val="auto"/>
        </w:rPr>
        <w:tab/>
      </w:r>
      <w:r>
        <w:rPr>
          <w:rFonts w:ascii="Times New Roman" w:cs="Times New Roman" w:eastAsia="Times New Roman" w:hAnsi="Times New Roman"/>
          <w:sz w:val="9"/>
          <w:szCs w:val="9"/>
          <w:b w:val="1"/>
          <w:bCs w:val="1"/>
          <w:u w:val="single" w:color="auto"/>
          <w:color w:val="auto"/>
        </w:rPr>
        <w:t>File No.</w:t>
      </w:r>
      <w:r>
        <w:rPr>
          <w:sz w:val="20"/>
          <w:szCs w:val="20"/>
          <w:color w:val="auto"/>
        </w:rPr>
        <w:tab/>
      </w:r>
      <w:r>
        <w:rPr>
          <w:rFonts w:ascii="Times New Roman" w:cs="Times New Roman" w:eastAsia="Times New Roman" w:hAnsi="Times New Roman"/>
          <w:sz w:val="9"/>
          <w:szCs w:val="9"/>
          <w:b w:val="1"/>
          <w:bCs w:val="1"/>
          <w:u w:val="single" w:color="auto"/>
          <w:color w:val="auto"/>
        </w:rPr>
        <w:t>Exhibit No.</w:t>
      </w:r>
      <w:r>
        <w:rPr>
          <w:sz w:val="20"/>
          <w:szCs w:val="20"/>
          <w:color w:val="auto"/>
        </w:rPr>
        <w:tab/>
      </w:r>
      <w:r>
        <w:rPr>
          <w:rFonts w:ascii="Times New Roman" w:cs="Times New Roman" w:eastAsia="Times New Roman" w:hAnsi="Times New Roman"/>
          <w:sz w:val="9"/>
          <w:szCs w:val="9"/>
          <w:b w:val="1"/>
          <w:bCs w:val="1"/>
          <w:u w:val="single" w:color="auto"/>
          <w:color w:val="auto"/>
        </w:rPr>
        <w:t>Filing Date</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ectPr>
          <w:pgSz w:w="11900" w:h="16838" w:orient="portrait"/>
          <w:cols w:equalWidth="0" w:num="2">
            <w:col w:w="6080" w:space="460"/>
            <w:col w:w="3560"/>
          </w:cols>
          <w:pgMar w:left="1040" w:top="268" w:right="7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03"/>
        </w:trPr>
        <w:tc>
          <w:tcPr>
            <w:tcW w:w="10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10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gridSpan w:val="15"/>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7"/>
              </w:rPr>
              <w:t>10.91††#</w:t>
            </w:r>
          </w:p>
        </w:tc>
        <w:tc>
          <w:tcPr>
            <w:tcW w:w="4880" w:type="dxa"/>
            <w:vAlign w:val="bottom"/>
            <w:tcBorders>
              <w:bottom w:val="single" w:sz="8" w:color="0000EE"/>
            </w:tcBorders>
            <w:gridSpan w:val="16"/>
          </w:tcPr>
          <w:p>
            <w:pPr>
              <w:spacing w:after="0"/>
              <w:rPr>
                <w:rFonts w:ascii="Times New Roman" w:cs="Times New Roman" w:eastAsia="Times New Roman" w:hAnsi="Times New Roman"/>
                <w:sz w:val="12"/>
                <w:szCs w:val="12"/>
                <w:color w:val="0000EE"/>
                <w:w w:val="99"/>
              </w:rPr>
            </w:pPr>
            <w:hyperlink w:anchor="page195">
              <w:r>
                <w:rPr>
                  <w:rFonts w:ascii="Times New Roman" w:cs="Times New Roman" w:eastAsia="Times New Roman" w:hAnsi="Times New Roman"/>
                  <w:sz w:val="12"/>
                  <w:szCs w:val="12"/>
                  <w:color w:val="0000EE"/>
                  <w:w w:val="99"/>
                </w:rPr>
                <w:t>Amendment to the Index License Agreement for Funds, dated as of August 15, 2014, by and between</w:t>
              </w:r>
            </w:hyperlink>
          </w:p>
        </w:tc>
        <w:tc>
          <w:tcPr>
            <w:tcW w:w="40" w:type="dxa"/>
            <w:vAlign w:val="bottom"/>
            <w:gridSpan w:val="2"/>
          </w:tcPr>
          <w:p>
            <w:pPr>
              <w:spacing w:after="0"/>
              <w:rPr>
                <w:sz w:val="12"/>
                <w:szCs w:val="12"/>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195">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w:anchor="page195">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0"/>
          </w:tcPr>
          <w:p>
            <w:pPr>
              <w:spacing w:after="0"/>
              <w:rPr>
                <w:sz w:val="10"/>
                <w:szCs w:val="10"/>
                <w:color w:val="auto"/>
              </w:rPr>
            </w:pPr>
          </w:p>
        </w:tc>
        <w:tc>
          <w:tcPr>
            <w:tcW w:w="160" w:type="dxa"/>
            <w:vAlign w:val="bottom"/>
            <w:gridSpan w:val="5"/>
          </w:tcPr>
          <w:p>
            <w:pPr>
              <w:spacing w:after="0"/>
              <w:rPr>
                <w:sz w:val="10"/>
                <w:szCs w:val="10"/>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7"/>
              </w:rPr>
              <w:t>10.92††#</w:t>
            </w: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197">
              <w:r>
                <w:rPr>
                  <w:rFonts w:ascii="Times New Roman" w:cs="Times New Roman" w:eastAsia="Times New Roman" w:hAnsi="Times New Roman"/>
                  <w:sz w:val="12"/>
                  <w:szCs w:val="12"/>
                  <w:color w:val="0000EE"/>
                </w:rPr>
                <w:t>Amendment to the Index License Agreement for Funds, dated as of September 9, 2014, by and</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6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w:anchor="page197">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360" w:type="dxa"/>
            <w:vAlign w:val="bottom"/>
            <w:gridSpan w:val="9"/>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197">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220" w:type="dxa"/>
            <w:vAlign w:val="bottom"/>
            <w:gridSpan w:val="3"/>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7"/>
              </w:rPr>
              <w:t>10.96††#</w:t>
            </w:r>
          </w:p>
        </w:tc>
        <w:tc>
          <w:tcPr>
            <w:tcW w:w="4920" w:type="dxa"/>
            <w:vAlign w:val="bottom"/>
            <w:tcBorders>
              <w:bottom w:val="single" w:sz="8" w:color="0000EE"/>
            </w:tcBorders>
            <w:gridSpan w:val="18"/>
          </w:tcPr>
          <w:p>
            <w:pPr>
              <w:spacing w:after="0" w:line="124" w:lineRule="exact"/>
              <w:rPr>
                <w:rFonts w:ascii="Times New Roman" w:cs="Times New Roman" w:eastAsia="Times New Roman" w:hAnsi="Times New Roman"/>
                <w:sz w:val="12"/>
                <w:szCs w:val="12"/>
                <w:color w:val="0000EE"/>
                <w:w w:val="99"/>
              </w:rPr>
            </w:pPr>
            <w:hyperlink w:anchor="page199">
              <w:r>
                <w:rPr>
                  <w:rFonts w:ascii="Times New Roman" w:cs="Times New Roman" w:eastAsia="Times New Roman" w:hAnsi="Times New Roman"/>
                  <w:sz w:val="12"/>
                  <w:szCs w:val="12"/>
                  <w:color w:val="0000EE"/>
                  <w:w w:val="99"/>
                </w:rPr>
                <w:t>Amendment to the Index License Agreement for Funds, dated as of October 30, 2014, by and between</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199">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w:anchor="page199">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0"/>
          </w:tcPr>
          <w:p>
            <w:pPr>
              <w:spacing w:after="0"/>
              <w:rPr>
                <w:sz w:val="10"/>
                <w:szCs w:val="10"/>
                <w:color w:val="auto"/>
              </w:rPr>
            </w:pPr>
          </w:p>
        </w:tc>
        <w:tc>
          <w:tcPr>
            <w:tcW w:w="160" w:type="dxa"/>
            <w:vAlign w:val="bottom"/>
            <w:gridSpan w:val="5"/>
          </w:tcPr>
          <w:p>
            <w:pPr>
              <w:spacing w:after="0"/>
              <w:rPr>
                <w:sz w:val="10"/>
                <w:szCs w:val="10"/>
                <w:color w:val="auto"/>
              </w:rPr>
            </w:pPr>
          </w:p>
        </w:tc>
      </w:tr>
      <w:tr>
        <w:trPr>
          <w:trHeight w:val="124"/>
        </w:trPr>
        <w:tc>
          <w:tcPr>
            <w:tcW w:w="420" w:type="dxa"/>
            <w:vAlign w:val="bottom"/>
            <w:gridSpan w:val="2"/>
          </w:tcPr>
          <w:p>
            <w:pPr>
              <w:jc w:val="center"/>
              <w:ind w:left="40"/>
              <w:spacing w:after="0" w:line="124" w:lineRule="exact"/>
              <w:rPr>
                <w:sz w:val="20"/>
                <w:szCs w:val="20"/>
                <w:color w:val="auto"/>
              </w:rPr>
            </w:pPr>
            <w:r>
              <w:rPr>
                <w:rFonts w:ascii="Times New Roman" w:cs="Times New Roman" w:eastAsia="Times New Roman" w:hAnsi="Times New Roman"/>
                <w:sz w:val="12"/>
                <w:szCs w:val="12"/>
                <w:color w:val="auto"/>
              </w:rPr>
              <w:t>10.97</w:t>
            </w:r>
          </w:p>
        </w:tc>
        <w:tc>
          <w:tcPr>
            <w:tcW w:w="800" w:type="dxa"/>
            <w:vAlign w:val="bottom"/>
          </w:tcPr>
          <w:p>
            <w:pPr>
              <w:spacing w:after="0"/>
              <w:rPr>
                <w:sz w:val="10"/>
                <w:szCs w:val="10"/>
                <w:color w:val="auto"/>
              </w:rPr>
            </w:pPr>
          </w:p>
        </w:tc>
        <w:tc>
          <w:tcPr>
            <w:tcW w:w="474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171">
              <w:r>
                <w:rPr>
                  <w:rFonts w:ascii="Times New Roman" w:cs="Times New Roman" w:eastAsia="Times New Roman" w:hAnsi="Times New Roman"/>
                  <w:sz w:val="12"/>
                  <w:szCs w:val="12"/>
                  <w:color w:val="0000EE"/>
                  <w:w w:val="99"/>
                </w:rPr>
                <w:t>Revolving Credit Agreement, dated as of November 20, 2014, among MSCI Inc., as the Borrower,</w:t>
              </w:r>
            </w:hyperlink>
          </w:p>
        </w:tc>
        <w:tc>
          <w:tcPr>
            <w:tcW w:w="180" w:type="dxa"/>
            <w:vAlign w:val="bottom"/>
            <w:gridSpan w:val="6"/>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171">
              <w:r>
                <w:rPr>
                  <w:rFonts w:ascii="Times New Roman" w:cs="Times New Roman" w:eastAsia="Times New Roman" w:hAnsi="Times New Roman"/>
                  <w:sz w:val="12"/>
                  <w:szCs w:val="12"/>
                  <w:color w:val="0000EE"/>
                </w:rPr>
                <w:t>each of the Subsidiary Guarantors party thereto, JPMorgan Chase Bank, N.A., as the Administrative</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0" w:type="dxa"/>
            <w:vAlign w:val="bottom"/>
            <w:tcBorders>
              <w:top w:val="single" w:sz="8" w:color="0000EE"/>
            </w:tcBorders>
            <w:gridSpan w:val="15"/>
          </w:tcPr>
          <w:p>
            <w:pPr>
              <w:spacing w:after="0" w:line="124" w:lineRule="exact"/>
              <w:rPr>
                <w:rFonts w:ascii="Times New Roman" w:cs="Times New Roman" w:eastAsia="Times New Roman" w:hAnsi="Times New Roman"/>
                <w:sz w:val="12"/>
                <w:szCs w:val="12"/>
                <w:color w:val="0000EE"/>
              </w:rPr>
            </w:pPr>
            <w:hyperlink r:id="rId171">
              <w:r>
                <w:rPr>
                  <w:rFonts w:ascii="Times New Roman" w:cs="Times New Roman" w:eastAsia="Times New Roman" w:hAnsi="Times New Roman"/>
                  <w:sz w:val="12"/>
                  <w:szCs w:val="12"/>
                  <w:color w:val="0000EE"/>
                </w:rPr>
                <w:t>Agent and L/C Issuer, the Other Lenders Party Thereto and JPMorgan Chase Bank, N.A., as Lead</w:t>
              </w:r>
            </w:hyperlink>
          </w:p>
        </w:tc>
        <w:tc>
          <w:tcPr>
            <w:tcW w:w="120" w:type="dxa"/>
            <w:vAlign w:val="bottom"/>
            <w:gridSpan w:val="3"/>
          </w:tcPr>
          <w:p>
            <w:pPr>
              <w:spacing w:after="0"/>
              <w:rPr>
                <w:sz w:val="10"/>
                <w:szCs w:val="10"/>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20" w:type="dxa"/>
            <w:vAlign w:val="bottom"/>
            <w:gridSpan w:val="18"/>
          </w:tcPr>
          <w:p>
            <w:pPr>
              <w:spacing w:after="0"/>
              <w:rPr>
                <w:rFonts w:ascii="Times New Roman" w:cs="Times New Roman" w:eastAsia="Times New Roman" w:hAnsi="Times New Roman"/>
                <w:sz w:val="12"/>
                <w:szCs w:val="12"/>
                <w:u w:val="single" w:color="auto"/>
                <w:color w:val="0000EE"/>
                <w:w w:val="99"/>
              </w:rPr>
            </w:pPr>
            <w:hyperlink r:id="rId171">
              <w:r>
                <w:rPr>
                  <w:rFonts w:ascii="Times New Roman" w:cs="Times New Roman" w:eastAsia="Times New Roman" w:hAnsi="Times New Roman"/>
                  <w:sz w:val="12"/>
                  <w:szCs w:val="12"/>
                  <w:u w:val="single" w:color="auto"/>
                  <w:color w:val="0000EE"/>
                  <w:w w:val="99"/>
                </w:rPr>
                <w:t>Arranger and Bookrunner (as amended as of May 18, 2018 by Amendment No. 2 (See Exhibit 10.174)</w:t>
              </w:r>
            </w:hyperlink>
          </w:p>
        </w:tc>
      </w:tr>
      <w:tr>
        <w:trPr>
          <w:trHeight w:val="144"/>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20" w:type="dxa"/>
            <w:vAlign w:val="bottom"/>
            <w:gridSpan w:val="18"/>
          </w:tcPr>
          <w:p>
            <w:pPr>
              <w:spacing w:after="0"/>
              <w:rPr>
                <w:rFonts w:ascii="Times New Roman" w:cs="Times New Roman" w:eastAsia="Times New Roman" w:hAnsi="Times New Roman"/>
                <w:sz w:val="12"/>
                <w:szCs w:val="12"/>
                <w:u w:val="single" w:color="auto"/>
                <w:color w:val="0000EE"/>
              </w:rPr>
            </w:pPr>
            <w:hyperlink r:id="rId171">
              <w:r>
                <w:rPr>
                  <w:rFonts w:ascii="Times New Roman" w:cs="Times New Roman" w:eastAsia="Times New Roman" w:hAnsi="Times New Roman"/>
                  <w:sz w:val="12"/>
                  <w:szCs w:val="12"/>
                  <w:u w:val="single" w:color="auto"/>
                  <w:color w:val="0000EE"/>
                </w:rPr>
                <w:t>and as of November 15, 2019 by Amendment No. 3 (See Exhibit 10.200))</w:t>
              </w:r>
            </w:hyperlink>
          </w:p>
        </w:tc>
      </w:tr>
      <w:tr>
        <w:trPr>
          <w:trHeight w:val="128"/>
        </w:trPr>
        <w:tc>
          <w:tcPr>
            <w:tcW w:w="1220" w:type="dxa"/>
            <w:vAlign w:val="bottom"/>
            <w:gridSpan w:val="3"/>
          </w:tcPr>
          <w:p>
            <w:pPr>
              <w:jc w:val="center"/>
              <w:ind w:right="720"/>
              <w:spacing w:after="0" w:line="128" w:lineRule="exact"/>
              <w:rPr>
                <w:sz w:val="20"/>
                <w:szCs w:val="20"/>
                <w:color w:val="auto"/>
              </w:rPr>
            </w:pPr>
            <w:r>
              <w:rPr>
                <w:rFonts w:ascii="Times New Roman" w:cs="Times New Roman" w:eastAsia="Times New Roman" w:hAnsi="Times New Roman"/>
                <w:sz w:val="12"/>
                <w:szCs w:val="12"/>
                <w:color w:val="auto"/>
                <w:w w:val="97"/>
              </w:rPr>
              <w:t>10.102††#</w:t>
            </w:r>
          </w:p>
        </w:tc>
        <w:tc>
          <w:tcPr>
            <w:tcW w:w="4900" w:type="dxa"/>
            <w:vAlign w:val="bottom"/>
            <w:tcBorders>
              <w:bottom w:val="single" w:sz="8" w:color="0000EE"/>
            </w:tcBorders>
            <w:gridSpan w:val="17"/>
          </w:tcPr>
          <w:p>
            <w:pPr>
              <w:spacing w:after="0" w:line="128" w:lineRule="exact"/>
              <w:rPr>
                <w:rFonts w:ascii="Times New Roman" w:cs="Times New Roman" w:eastAsia="Times New Roman" w:hAnsi="Times New Roman"/>
                <w:sz w:val="12"/>
                <w:szCs w:val="12"/>
                <w:color w:val="0000EE"/>
                <w:w w:val="99"/>
              </w:rPr>
            </w:pPr>
            <w:hyperlink w:anchor="page201">
              <w:r>
                <w:rPr>
                  <w:rFonts w:ascii="Times New Roman" w:cs="Times New Roman" w:eastAsia="Times New Roman" w:hAnsi="Times New Roman"/>
                  <w:sz w:val="12"/>
                  <w:szCs w:val="12"/>
                  <w:color w:val="0000EE"/>
                  <w:w w:val="99"/>
                </w:rPr>
                <w:t>Amendment to the Index License Agreement for Funds, dated as of February 4, 2015, by and between</w:t>
              </w:r>
            </w:hyperlink>
          </w:p>
        </w:tc>
        <w:tc>
          <w:tcPr>
            <w:tcW w:w="20" w:type="dxa"/>
            <w:vAlign w:val="bottom"/>
          </w:tcPr>
          <w:p>
            <w:pPr>
              <w:spacing w:after="0"/>
              <w:rPr>
                <w:sz w:val="11"/>
                <w:szCs w:val="1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201">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w:anchor="page201">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0"/>
          </w:tcPr>
          <w:p>
            <w:pPr>
              <w:spacing w:after="0"/>
              <w:rPr>
                <w:sz w:val="10"/>
                <w:szCs w:val="10"/>
                <w:color w:val="auto"/>
              </w:rPr>
            </w:pPr>
          </w:p>
        </w:tc>
        <w:tc>
          <w:tcPr>
            <w:tcW w:w="160" w:type="dxa"/>
            <w:vAlign w:val="bottom"/>
            <w:gridSpan w:val="5"/>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10.103††#</w:t>
            </w: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203">
              <w:r>
                <w:rPr>
                  <w:rFonts w:ascii="Times New Roman" w:cs="Times New Roman" w:eastAsia="Times New Roman" w:hAnsi="Times New Roman"/>
                  <w:sz w:val="12"/>
                  <w:szCs w:val="12"/>
                  <w:color w:val="0000EE"/>
                </w:rPr>
                <w:t>Amendment to the Index License Agreement for Funds, dated as of February 25, 2015, by and</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6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w:anchor="page203">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360" w:type="dxa"/>
            <w:vAlign w:val="bottom"/>
            <w:gridSpan w:val="9"/>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203">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220" w:type="dxa"/>
            <w:vAlign w:val="bottom"/>
            <w:gridSpan w:val="3"/>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10.104††#</w:t>
            </w: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205">
              <w:r>
                <w:rPr>
                  <w:rFonts w:ascii="Times New Roman" w:cs="Times New Roman" w:eastAsia="Times New Roman" w:hAnsi="Times New Roman"/>
                  <w:sz w:val="12"/>
                  <w:szCs w:val="12"/>
                  <w:color w:val="0000EE"/>
                </w:rPr>
                <w:t>Letter Agreement (to amend the Amendment dated December 10, 2013) to the Index License</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205">
              <w:r>
                <w:rPr>
                  <w:rFonts w:ascii="Times New Roman" w:cs="Times New Roman" w:eastAsia="Times New Roman" w:hAnsi="Times New Roman"/>
                  <w:sz w:val="12"/>
                  <w:szCs w:val="12"/>
                  <w:color w:val="0000EE"/>
                </w:rPr>
                <w:t>Agreement for Funds, dated as of March 17, 2015, by and between MSCI Inc. (formerly, Morgan</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80" w:type="dxa"/>
            <w:vAlign w:val="bottom"/>
            <w:tcBorders>
              <w:top w:val="single" w:sz="8" w:color="0000EE"/>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w:anchor="page205">
              <w:r>
                <w:rPr>
                  <w:rFonts w:ascii="Times New Roman" w:cs="Times New Roman" w:eastAsia="Times New Roman" w:hAnsi="Times New Roman"/>
                  <w:sz w:val="12"/>
                  <w:szCs w:val="12"/>
                  <w:color w:val="0000EE"/>
                  <w:w w:val="99"/>
                </w:rPr>
                <w:t>Stanley Capital International Inc.) and BlackRock Institutional Trust Company, N.A. (formerly,</w:t>
              </w:r>
            </w:hyperlink>
          </w:p>
        </w:tc>
        <w:tc>
          <w:tcPr>
            <w:tcW w:w="100" w:type="dxa"/>
            <w:vAlign w:val="bottom"/>
            <w:tcBorders>
              <w:top w:val="single" w:sz="8" w:color="0000EE"/>
            </w:tcBorders>
          </w:tcPr>
          <w:p>
            <w:pPr>
              <w:spacing w:after="0"/>
              <w:rPr>
                <w:sz w:val="10"/>
                <w:szCs w:val="10"/>
                <w:color w:val="auto"/>
              </w:rPr>
            </w:pPr>
          </w:p>
        </w:tc>
        <w:tc>
          <w:tcPr>
            <w:tcW w:w="240" w:type="dxa"/>
            <w:vAlign w:val="bottom"/>
            <w:gridSpan w:val="7"/>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8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8"/>
              </w:rPr>
            </w:pPr>
            <w:hyperlink w:anchor="page205">
              <w:r>
                <w:rPr>
                  <w:rFonts w:ascii="Times New Roman" w:cs="Times New Roman" w:eastAsia="Times New Roman" w:hAnsi="Times New Roman"/>
                  <w:sz w:val="12"/>
                  <w:szCs w:val="12"/>
                  <w:color w:val="0000EE"/>
                  <w:w w:val="98"/>
                </w:rPr>
                <w:t>Barclays Global Investors, N.A.)</w:t>
              </w:r>
            </w:hyperlink>
          </w:p>
        </w:tc>
        <w:tc>
          <w:tcPr>
            <w:tcW w:w="3340" w:type="dxa"/>
            <w:vAlign w:val="bottom"/>
            <w:gridSpan w:val="17"/>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10.105††#</w:t>
            </w:r>
          </w:p>
        </w:tc>
        <w:tc>
          <w:tcPr>
            <w:tcW w:w="478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w:anchor="page207">
              <w:r>
                <w:rPr>
                  <w:rFonts w:ascii="Times New Roman" w:cs="Times New Roman" w:eastAsia="Times New Roman" w:hAnsi="Times New Roman"/>
                  <w:sz w:val="12"/>
                  <w:szCs w:val="12"/>
                  <w:color w:val="0000EE"/>
                  <w:w w:val="99"/>
                </w:rPr>
                <w:t>Amendment to the Index License Agreement for Funds, dated as of April 20, 2015, by and between</w:t>
              </w:r>
            </w:hyperlink>
          </w:p>
        </w:tc>
        <w:tc>
          <w:tcPr>
            <w:tcW w:w="140" w:type="dxa"/>
            <w:vAlign w:val="bottom"/>
            <w:gridSpan w:val="4"/>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207">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w:anchor="page207">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0"/>
          </w:tcPr>
          <w:p>
            <w:pPr>
              <w:spacing w:after="0"/>
              <w:rPr>
                <w:sz w:val="10"/>
                <w:szCs w:val="10"/>
                <w:color w:val="auto"/>
              </w:rPr>
            </w:pPr>
          </w:p>
        </w:tc>
        <w:tc>
          <w:tcPr>
            <w:tcW w:w="160" w:type="dxa"/>
            <w:vAlign w:val="bottom"/>
            <w:gridSpan w:val="5"/>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10.106††#</w:t>
            </w:r>
          </w:p>
        </w:tc>
        <w:tc>
          <w:tcPr>
            <w:tcW w:w="478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w:anchor="page211">
              <w:r>
                <w:rPr>
                  <w:rFonts w:ascii="Times New Roman" w:cs="Times New Roman" w:eastAsia="Times New Roman" w:hAnsi="Times New Roman"/>
                  <w:sz w:val="12"/>
                  <w:szCs w:val="12"/>
                  <w:color w:val="0000EE"/>
                  <w:w w:val="99"/>
                </w:rPr>
                <w:t>Amendment to the Index License Agreement for Funds, dated as of April 20, 2015, by and between</w:t>
              </w:r>
            </w:hyperlink>
          </w:p>
        </w:tc>
        <w:tc>
          <w:tcPr>
            <w:tcW w:w="140" w:type="dxa"/>
            <w:vAlign w:val="bottom"/>
            <w:gridSpan w:val="4"/>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w:anchor="page211">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60" w:type="dxa"/>
            <w:vAlign w:val="bottom"/>
            <w:tcBorders>
              <w:top w:val="single" w:sz="8" w:color="0000EE"/>
            </w:tcBorders>
            <w:gridSpan w:val="13"/>
          </w:tcPr>
          <w:p>
            <w:pPr>
              <w:spacing w:after="0" w:line="124" w:lineRule="exact"/>
              <w:rPr>
                <w:rFonts w:ascii="Times New Roman" w:cs="Times New Roman" w:eastAsia="Times New Roman" w:hAnsi="Times New Roman"/>
                <w:sz w:val="12"/>
                <w:szCs w:val="12"/>
                <w:color w:val="0000EE"/>
              </w:rPr>
            </w:pPr>
            <w:hyperlink w:anchor="page211">
              <w:r>
                <w:rPr>
                  <w:rFonts w:ascii="Times New Roman" w:cs="Times New Roman" w:eastAsia="Times New Roman" w:hAnsi="Times New Roman"/>
                  <w:sz w:val="12"/>
                  <w:szCs w:val="12"/>
                  <w:color w:val="0000EE"/>
                </w:rPr>
                <w:t>successor to Barclays Global Investors, N.A.)</w:t>
              </w:r>
            </w:hyperlink>
          </w:p>
        </w:tc>
        <w:tc>
          <w:tcPr>
            <w:tcW w:w="160" w:type="dxa"/>
            <w:vAlign w:val="bottom"/>
            <w:gridSpan w:val="5"/>
          </w:tcPr>
          <w:p>
            <w:pPr>
              <w:spacing w:after="0"/>
              <w:rPr>
                <w:sz w:val="10"/>
                <w:szCs w:val="10"/>
                <w:color w:val="auto"/>
              </w:rPr>
            </w:pPr>
          </w:p>
        </w:tc>
      </w:tr>
      <w:tr>
        <w:trPr>
          <w:trHeight w:val="295"/>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Borders>
              <w:top w:val="single" w:sz="8" w:color="0000EE"/>
            </w:tcBorders>
            <w:gridSpan w:val="2"/>
          </w:tcPr>
          <w:p>
            <w:pPr>
              <w:spacing w:after="0"/>
              <w:rPr>
                <w:sz w:val="24"/>
                <w:szCs w:val="24"/>
                <w:color w:val="auto"/>
              </w:rPr>
            </w:pPr>
          </w:p>
        </w:tc>
        <w:tc>
          <w:tcPr>
            <w:tcW w:w="2280" w:type="dxa"/>
            <w:vAlign w:val="bottom"/>
            <w:gridSpan w:val="5"/>
          </w:tcPr>
          <w:p>
            <w:pPr>
              <w:jc w:val="right"/>
              <w:ind w:right="640"/>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45720</wp:posOffset>
            </wp:positionV>
            <wp:extent cx="717804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w w:val="92"/>
              </w:rPr>
              <w:t>Form</w:t>
            </w:r>
          </w:p>
        </w:tc>
        <w:tc>
          <w:tcPr>
            <w:tcW w:w="820" w:type="dxa"/>
            <w:vAlign w:val="bottom"/>
          </w:tcPr>
          <w:p>
            <w:pPr>
              <w:spacing w:after="0"/>
              <w:rPr>
                <w:sz w:val="8"/>
                <w:szCs w:val="8"/>
                <w:color w:val="auto"/>
              </w:rPr>
            </w:pPr>
          </w:p>
        </w:tc>
        <w:tc>
          <w:tcPr>
            <w:tcW w:w="960" w:type="dxa"/>
            <w:vAlign w:val="bottom"/>
            <w:gridSpan w:val="2"/>
          </w:tcPr>
          <w:p>
            <w:pPr>
              <w:jc w:val="center"/>
              <w:ind w:right="60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9"/>
              </w:rPr>
              <w:t>Exhibit No.</w:t>
            </w:r>
          </w:p>
        </w:tc>
        <w:tc>
          <w:tcPr>
            <w:tcW w:w="360" w:type="dxa"/>
            <w:vAlign w:val="bottom"/>
          </w:tcPr>
          <w:p>
            <w:pPr>
              <w:spacing w:after="0"/>
              <w:rPr>
                <w:sz w:val="8"/>
                <w:szCs w:val="8"/>
                <w:color w:val="auto"/>
              </w:rPr>
            </w:pP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2"/>
        </w:trPr>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6"/>
              </w:rPr>
              <w:t>8-K</w:t>
            </w:r>
          </w:p>
        </w:tc>
        <w:tc>
          <w:tcPr>
            <w:tcW w:w="17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auto"/>
              </w:rPr>
              <w:t>001-33812</w:t>
            </w:r>
          </w:p>
        </w:tc>
        <w:tc>
          <w:tcPr>
            <w:tcW w:w="440" w:type="dxa"/>
            <w:vAlign w:val="bottom"/>
          </w:tcPr>
          <w:p>
            <w:pPr>
              <w:jc w:val="right"/>
              <w:ind w:right="68"/>
              <w:spacing w:after="0"/>
              <w:rPr>
                <w:sz w:val="20"/>
                <w:szCs w:val="20"/>
                <w:color w:val="auto"/>
              </w:rPr>
            </w:pPr>
            <w:r>
              <w:rPr>
                <w:rFonts w:ascii="Times New Roman" w:cs="Times New Roman" w:eastAsia="Times New Roman" w:hAnsi="Times New Roman"/>
                <w:sz w:val="12"/>
                <w:szCs w:val="12"/>
                <w:color w:val="auto"/>
              </w:rPr>
              <w:t>10.1</w:t>
            </w: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5/18/2018</w:t>
            </w:r>
          </w:p>
        </w:tc>
      </w:tr>
    </w:tbl>
    <w:p>
      <w:pPr>
        <w:spacing w:after="0" w:line="200" w:lineRule="exact"/>
        <w:rPr>
          <w:sz w:val="20"/>
          <w:szCs w:val="20"/>
          <w:color w:val="auto"/>
        </w:rPr>
      </w:pPr>
    </w:p>
    <w:p>
      <w:pPr>
        <w:spacing w:after="0" w:line="36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00" w:lineRule="exact"/>
        <w:rPr>
          <w:sz w:val="20"/>
          <w:szCs w:val="20"/>
          <w:color w:val="auto"/>
        </w:rPr>
      </w:pPr>
    </w:p>
    <w:p>
      <w:pPr>
        <w:spacing w:after="0" w:line="23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ectPr>
          <w:pgSz w:w="11900" w:h="16838" w:orient="portrait"/>
          <w:cols w:equalWidth="0" w:num="2">
            <w:col w:w="6140" w:space="440"/>
            <w:col w:w="3580"/>
          </w:cols>
          <w:pgMar w:left="1000" w:top="268" w:right="7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03"/>
        </w:trPr>
        <w:tc>
          <w:tcPr>
            <w:tcW w:w="100" w:type="dxa"/>
            <w:vAlign w:val="bottom"/>
          </w:tcPr>
          <w:p>
            <w:pPr>
              <w:spacing w:after="0"/>
              <w:rPr>
                <w:sz w:val="8"/>
                <w:szCs w:val="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10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20" w:type="dxa"/>
            <w:vAlign w:val="bottom"/>
            <w:gridSpan w:val="10"/>
          </w:tcPr>
          <w:p>
            <w:pPr>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00" w:type="dxa"/>
            <w:vAlign w:val="bottom"/>
            <w:gridSpan w:val="3"/>
          </w:tcPr>
          <w:p>
            <w:pPr>
              <w:jc w:val="center"/>
              <w:ind w:right="680"/>
              <w:spacing w:after="0"/>
              <w:rPr>
                <w:sz w:val="20"/>
                <w:szCs w:val="20"/>
                <w:color w:val="auto"/>
              </w:rPr>
            </w:pPr>
            <w:r>
              <w:rPr>
                <w:rFonts w:ascii="Times New Roman" w:cs="Times New Roman" w:eastAsia="Times New Roman" w:hAnsi="Times New Roman"/>
                <w:sz w:val="12"/>
                <w:szCs w:val="12"/>
                <w:color w:val="auto"/>
              </w:rPr>
              <w:t>10.109*</w:t>
            </w:r>
          </w:p>
        </w:tc>
        <w:tc>
          <w:tcPr>
            <w:tcW w:w="4820" w:type="dxa"/>
            <w:vAlign w:val="bottom"/>
            <w:gridSpan w:val="12"/>
          </w:tcPr>
          <w:p>
            <w:pPr>
              <w:spacing w:after="0"/>
              <w:rPr>
                <w:rFonts w:ascii="Times New Roman" w:cs="Times New Roman" w:eastAsia="Times New Roman" w:hAnsi="Times New Roman"/>
                <w:sz w:val="12"/>
                <w:szCs w:val="12"/>
                <w:u w:val="single" w:color="auto"/>
                <w:color w:val="0000EE"/>
              </w:rPr>
            </w:pPr>
            <w:hyperlink r:id="rId173">
              <w:r>
                <w:rPr>
                  <w:rFonts w:ascii="Times New Roman" w:cs="Times New Roman" w:eastAsia="Times New Roman" w:hAnsi="Times New Roman"/>
                  <w:sz w:val="12"/>
                  <w:szCs w:val="12"/>
                  <w:u w:val="single" w:color="auto"/>
                  <w:color w:val="0000EE"/>
                </w:rPr>
                <w:t>MSCI Inc. Change in Control Severance Plan, adopted May 28, 2015</w:t>
              </w:r>
            </w:hyperlink>
          </w:p>
        </w:tc>
      </w:tr>
      <w:tr>
        <w:trPr>
          <w:trHeight w:val="297"/>
        </w:trPr>
        <w:tc>
          <w:tcPr>
            <w:tcW w:w="120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7"/>
              </w:rPr>
              <w:t>10.110††#</w:t>
            </w:r>
          </w:p>
        </w:tc>
        <w:tc>
          <w:tcPr>
            <w:tcW w:w="4720" w:type="dxa"/>
            <w:vAlign w:val="bottom"/>
            <w:tcBorders>
              <w:bottom w:val="single" w:sz="8" w:color="0000EE"/>
            </w:tcBorders>
            <w:gridSpan w:val="7"/>
          </w:tcPr>
          <w:p>
            <w:pPr>
              <w:spacing w:after="0"/>
              <w:rPr>
                <w:rFonts w:ascii="Times New Roman" w:cs="Times New Roman" w:eastAsia="Times New Roman" w:hAnsi="Times New Roman"/>
                <w:sz w:val="12"/>
                <w:szCs w:val="12"/>
                <w:color w:val="0000EE"/>
                <w:w w:val="99"/>
              </w:rPr>
            </w:pPr>
            <w:hyperlink w:anchor="page213">
              <w:r>
                <w:rPr>
                  <w:rFonts w:ascii="Times New Roman" w:cs="Times New Roman" w:eastAsia="Times New Roman" w:hAnsi="Times New Roman"/>
                  <w:sz w:val="12"/>
                  <w:szCs w:val="12"/>
                  <w:color w:val="0000EE"/>
                  <w:w w:val="99"/>
                </w:rPr>
                <w:t>Amendment (to amend the Amendment dated February 21, 2013) to the Index License Agreement</w:t>
              </w:r>
            </w:hyperlink>
          </w:p>
        </w:tc>
        <w:tc>
          <w:tcPr>
            <w:tcW w:w="100" w:type="dxa"/>
            <w:vAlign w:val="bottom"/>
            <w:gridSpan w:val="5"/>
          </w:tcPr>
          <w:p>
            <w:pPr>
              <w:spacing w:after="0"/>
              <w:rPr>
                <w:sz w:val="24"/>
                <w:szCs w:val="24"/>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72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w:anchor="page213">
              <w:r>
                <w:rPr>
                  <w:rFonts w:ascii="Times New Roman" w:cs="Times New Roman" w:eastAsia="Times New Roman" w:hAnsi="Times New Roman"/>
                  <w:sz w:val="12"/>
                  <w:szCs w:val="12"/>
                  <w:color w:val="0000EE"/>
                  <w:w w:val="99"/>
                </w:rPr>
                <w:t>for Funds, dated as of June 1, 2015, by and between MSCI Inc. (formerly, Morgan Stanley Capital</w:t>
              </w:r>
            </w:hyperlink>
          </w:p>
        </w:tc>
        <w:tc>
          <w:tcPr>
            <w:tcW w:w="100" w:type="dxa"/>
            <w:vAlign w:val="bottom"/>
            <w:gridSpan w:val="5"/>
          </w:tcPr>
          <w:p>
            <w:pPr>
              <w:spacing w:after="0"/>
              <w:rPr>
                <w:sz w:val="10"/>
                <w:szCs w:val="10"/>
                <w:color w:val="auto"/>
              </w:rPr>
            </w:pPr>
          </w:p>
        </w:tc>
      </w:tr>
      <w:tr>
        <w:trPr>
          <w:trHeight w:val="140"/>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20" w:type="dxa"/>
            <w:vAlign w:val="bottom"/>
            <w:gridSpan w:val="12"/>
          </w:tcPr>
          <w:p>
            <w:pPr>
              <w:spacing w:after="0"/>
              <w:rPr>
                <w:rFonts w:ascii="Times New Roman" w:cs="Times New Roman" w:eastAsia="Times New Roman" w:hAnsi="Times New Roman"/>
                <w:sz w:val="12"/>
                <w:szCs w:val="12"/>
                <w:u w:val="single" w:color="auto"/>
                <w:color w:val="0000EE"/>
              </w:rPr>
            </w:pPr>
            <w:hyperlink w:anchor="page213">
              <w:r>
                <w:rPr>
                  <w:rFonts w:ascii="Times New Roman" w:cs="Times New Roman" w:eastAsia="Times New Roman" w:hAnsi="Times New Roman"/>
                  <w:sz w:val="12"/>
                  <w:szCs w:val="12"/>
                  <w:u w:val="single" w:color="auto"/>
                  <w:color w:val="0000EE"/>
                </w:rPr>
                <w:t>International Inc.) and BlackRock Fund Advisors (as successor to Barclays Global Investors, N.A.)</w:t>
              </w:r>
            </w:hyperlink>
          </w:p>
        </w:tc>
      </w:tr>
      <w:tr>
        <w:trPr>
          <w:trHeight w:val="128"/>
        </w:trPr>
        <w:tc>
          <w:tcPr>
            <w:tcW w:w="1200" w:type="dxa"/>
            <w:vAlign w:val="bottom"/>
            <w:gridSpan w:val="3"/>
          </w:tcPr>
          <w:p>
            <w:pPr>
              <w:jc w:val="center"/>
              <w:ind w:right="700"/>
              <w:spacing w:after="0" w:line="128" w:lineRule="exact"/>
              <w:rPr>
                <w:sz w:val="20"/>
                <w:szCs w:val="20"/>
                <w:color w:val="auto"/>
              </w:rPr>
            </w:pPr>
            <w:r>
              <w:rPr>
                <w:rFonts w:ascii="Times New Roman" w:cs="Times New Roman" w:eastAsia="Times New Roman" w:hAnsi="Times New Roman"/>
                <w:sz w:val="12"/>
                <w:szCs w:val="12"/>
                <w:color w:val="auto"/>
                <w:w w:val="97"/>
              </w:rPr>
              <w:t>10.111††#</w:t>
            </w:r>
          </w:p>
        </w:tc>
        <w:tc>
          <w:tcPr>
            <w:tcW w:w="4700" w:type="dxa"/>
            <w:vAlign w:val="bottom"/>
            <w:tcBorders>
              <w:bottom w:val="single" w:sz="8" w:color="0000EE"/>
            </w:tcBorders>
            <w:gridSpan w:val="6"/>
          </w:tcPr>
          <w:p>
            <w:pPr>
              <w:spacing w:after="0" w:line="128" w:lineRule="exact"/>
              <w:rPr>
                <w:rFonts w:ascii="Times New Roman" w:cs="Times New Roman" w:eastAsia="Times New Roman" w:hAnsi="Times New Roman"/>
                <w:sz w:val="12"/>
                <w:szCs w:val="12"/>
                <w:color w:val="0000EE"/>
                <w:w w:val="99"/>
              </w:rPr>
            </w:pPr>
            <w:hyperlink w:anchor="page214">
              <w:r>
                <w:rPr>
                  <w:rFonts w:ascii="Times New Roman" w:cs="Times New Roman" w:eastAsia="Times New Roman" w:hAnsi="Times New Roman"/>
                  <w:sz w:val="12"/>
                  <w:szCs w:val="12"/>
                  <w:color w:val="0000EE"/>
                  <w:w w:val="99"/>
                </w:rPr>
                <w:t>Amendment to the Index License Agreement for Funds, dated as of June 1, 2015, by and between</w:t>
              </w:r>
            </w:hyperlink>
          </w:p>
        </w:tc>
        <w:tc>
          <w:tcPr>
            <w:tcW w:w="120" w:type="dxa"/>
            <w:vAlign w:val="bottom"/>
            <w:gridSpan w:val="6"/>
          </w:tcPr>
          <w:p>
            <w:pPr>
              <w:spacing w:after="0"/>
              <w:rPr>
                <w:sz w:val="11"/>
                <w:szCs w:val="1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20" w:type="dxa"/>
            <w:vAlign w:val="bottom"/>
            <w:gridSpan w:val="12"/>
          </w:tcPr>
          <w:p>
            <w:pPr>
              <w:spacing w:after="0" w:line="124" w:lineRule="exact"/>
              <w:rPr>
                <w:rFonts w:ascii="Times New Roman" w:cs="Times New Roman" w:eastAsia="Times New Roman" w:hAnsi="Times New Roman"/>
                <w:sz w:val="12"/>
                <w:szCs w:val="12"/>
                <w:color w:val="0000EE"/>
              </w:rPr>
            </w:pPr>
            <w:hyperlink w:anchor="page214">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w:anchor="page214">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7"/>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24"/>
        </w:trPr>
        <w:tc>
          <w:tcPr>
            <w:tcW w:w="120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7"/>
              </w:rPr>
              <w:t>10.112††#</w:t>
            </w:r>
          </w:p>
        </w:tc>
        <w:tc>
          <w:tcPr>
            <w:tcW w:w="474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w:anchor="page216">
              <w:r>
                <w:rPr>
                  <w:rFonts w:ascii="Times New Roman" w:cs="Times New Roman" w:eastAsia="Times New Roman" w:hAnsi="Times New Roman"/>
                  <w:sz w:val="12"/>
                  <w:szCs w:val="12"/>
                  <w:color w:val="0000EE"/>
                  <w:w w:val="99"/>
                </w:rPr>
                <w:t>Amendment (to amend the Amendment dated November 6, 2012) to the Index License Agreement</w:t>
              </w:r>
            </w:hyperlink>
          </w:p>
        </w:tc>
        <w:tc>
          <w:tcPr>
            <w:tcW w:w="80" w:type="dxa"/>
            <w:vAlign w:val="bottom"/>
            <w:gridSpan w:val="4"/>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72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w:anchor="page216">
              <w:r>
                <w:rPr>
                  <w:rFonts w:ascii="Times New Roman" w:cs="Times New Roman" w:eastAsia="Times New Roman" w:hAnsi="Times New Roman"/>
                  <w:sz w:val="12"/>
                  <w:szCs w:val="12"/>
                  <w:color w:val="0000EE"/>
                  <w:w w:val="99"/>
                </w:rPr>
                <w:t>for Funds, dated as of June 4, 2015, by and between MSCI Inc. (formerly, Morgan Stanley Capital</w:t>
              </w:r>
            </w:hyperlink>
          </w:p>
        </w:tc>
        <w:tc>
          <w:tcPr>
            <w:tcW w:w="100" w:type="dxa"/>
            <w:vAlign w:val="bottom"/>
            <w:gridSpan w:val="5"/>
          </w:tcPr>
          <w:p>
            <w:pPr>
              <w:spacing w:after="0"/>
              <w:rPr>
                <w:sz w:val="10"/>
                <w:szCs w:val="10"/>
                <w:color w:val="auto"/>
              </w:rPr>
            </w:pPr>
          </w:p>
        </w:tc>
      </w:tr>
      <w:tr>
        <w:trPr>
          <w:trHeight w:val="140"/>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20" w:type="dxa"/>
            <w:vAlign w:val="bottom"/>
            <w:gridSpan w:val="12"/>
          </w:tcPr>
          <w:p>
            <w:pPr>
              <w:spacing w:after="0"/>
              <w:rPr>
                <w:rFonts w:ascii="Times New Roman" w:cs="Times New Roman" w:eastAsia="Times New Roman" w:hAnsi="Times New Roman"/>
                <w:sz w:val="12"/>
                <w:szCs w:val="12"/>
                <w:u w:val="single" w:color="auto"/>
                <w:color w:val="0000EE"/>
              </w:rPr>
            </w:pPr>
            <w:hyperlink w:anchor="page216">
              <w:r>
                <w:rPr>
                  <w:rFonts w:ascii="Times New Roman" w:cs="Times New Roman" w:eastAsia="Times New Roman" w:hAnsi="Times New Roman"/>
                  <w:sz w:val="12"/>
                  <w:szCs w:val="12"/>
                  <w:u w:val="single" w:color="auto"/>
                  <w:color w:val="0000EE"/>
                </w:rPr>
                <w:t>International Inc.) and BlackRock Fund Advisors (as successor to Barclays Global Investors, N.A.)</w:t>
              </w:r>
            </w:hyperlink>
          </w:p>
        </w:tc>
      </w:tr>
      <w:tr>
        <w:trPr>
          <w:trHeight w:val="128"/>
        </w:trPr>
        <w:tc>
          <w:tcPr>
            <w:tcW w:w="1200" w:type="dxa"/>
            <w:vAlign w:val="bottom"/>
            <w:gridSpan w:val="3"/>
          </w:tcPr>
          <w:p>
            <w:pPr>
              <w:jc w:val="center"/>
              <w:ind w:right="700"/>
              <w:spacing w:after="0" w:line="128" w:lineRule="exact"/>
              <w:rPr>
                <w:sz w:val="20"/>
                <w:szCs w:val="20"/>
                <w:color w:val="auto"/>
              </w:rPr>
            </w:pPr>
            <w:r>
              <w:rPr>
                <w:rFonts w:ascii="Times New Roman" w:cs="Times New Roman" w:eastAsia="Times New Roman" w:hAnsi="Times New Roman"/>
                <w:sz w:val="12"/>
                <w:szCs w:val="12"/>
                <w:color w:val="auto"/>
                <w:w w:val="97"/>
              </w:rPr>
              <w:t>10.113†</w:t>
            </w:r>
          </w:p>
        </w:tc>
        <w:tc>
          <w:tcPr>
            <w:tcW w:w="4680" w:type="dxa"/>
            <w:vAlign w:val="bottom"/>
            <w:tcBorders>
              <w:bottom w:val="single" w:sz="8" w:color="0000EE"/>
            </w:tcBorders>
            <w:gridSpan w:val="5"/>
          </w:tcPr>
          <w:p>
            <w:pPr>
              <w:spacing w:after="0" w:line="128" w:lineRule="exact"/>
              <w:rPr>
                <w:rFonts w:ascii="Times New Roman" w:cs="Times New Roman" w:eastAsia="Times New Roman" w:hAnsi="Times New Roman"/>
                <w:sz w:val="12"/>
                <w:szCs w:val="12"/>
                <w:color w:val="0000EE"/>
                <w:w w:val="99"/>
              </w:rPr>
            </w:pPr>
            <w:hyperlink r:id="rId174">
              <w:r>
                <w:rPr>
                  <w:rFonts w:ascii="Times New Roman" w:cs="Times New Roman" w:eastAsia="Times New Roman" w:hAnsi="Times New Roman"/>
                  <w:sz w:val="12"/>
                  <w:szCs w:val="12"/>
                  <w:color w:val="0000EE"/>
                  <w:w w:val="99"/>
                </w:rPr>
                <w:t>Amendment (to amend the Amendments dated January 23, 2014 and April 15, 2014) to the Index</w:t>
              </w:r>
            </w:hyperlink>
          </w:p>
        </w:tc>
        <w:tc>
          <w:tcPr>
            <w:tcW w:w="140" w:type="dxa"/>
            <w:vAlign w:val="bottom"/>
            <w:gridSpan w:val="7"/>
          </w:tcPr>
          <w:p>
            <w:pPr>
              <w:spacing w:after="0"/>
              <w:rPr>
                <w:sz w:val="11"/>
                <w:szCs w:val="1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52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174">
              <w:r>
                <w:rPr>
                  <w:rFonts w:ascii="Times New Roman" w:cs="Times New Roman" w:eastAsia="Times New Roman" w:hAnsi="Times New Roman"/>
                  <w:sz w:val="12"/>
                  <w:szCs w:val="12"/>
                  <w:color w:val="0000EE"/>
                  <w:w w:val="99"/>
                </w:rPr>
                <w:t>License Agreement for Funds, dated as of June 4, 2015, by and between MSCI Inc. (formerly,</w:t>
              </w:r>
            </w:hyperlink>
          </w:p>
        </w:tc>
        <w:tc>
          <w:tcPr>
            <w:tcW w:w="300" w:type="dxa"/>
            <w:vAlign w:val="bottom"/>
            <w:gridSpan w:val="8"/>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174">
              <w:r>
                <w:rPr>
                  <w:rFonts w:ascii="Times New Roman" w:cs="Times New Roman" w:eastAsia="Times New Roman" w:hAnsi="Times New Roman"/>
                  <w:sz w:val="12"/>
                  <w:szCs w:val="12"/>
                  <w:color w:val="0000EE"/>
                  <w:w w:val="99"/>
                </w:rPr>
                <w:t>Morgan Stanley Capital International Inc.) and BlackRock Fund Advisors (as successor to Barclays</w:t>
              </w:r>
            </w:hyperlink>
          </w:p>
        </w:tc>
        <w:tc>
          <w:tcPr>
            <w:tcW w:w="20" w:type="dxa"/>
            <w:vAlign w:val="bottom"/>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174">
              <w:r>
                <w:rPr>
                  <w:rFonts w:ascii="Times New Roman" w:cs="Times New Roman" w:eastAsia="Times New Roman" w:hAnsi="Times New Roman"/>
                  <w:sz w:val="12"/>
                  <w:szCs w:val="12"/>
                  <w:color w:val="0000EE"/>
                  <w:w w:val="99"/>
                </w:rPr>
                <w:t>Global Investors, N.A.)</w:t>
              </w:r>
            </w:hyperlink>
          </w:p>
        </w:tc>
        <w:tc>
          <w:tcPr>
            <w:tcW w:w="3680" w:type="dxa"/>
            <w:vAlign w:val="bottom"/>
            <w:gridSpan w:val="11"/>
          </w:tcPr>
          <w:p>
            <w:pPr>
              <w:spacing w:after="0"/>
              <w:rPr>
                <w:sz w:val="10"/>
                <w:szCs w:val="10"/>
                <w:color w:val="auto"/>
              </w:rPr>
            </w:pPr>
          </w:p>
        </w:tc>
      </w:tr>
      <w:tr>
        <w:trPr>
          <w:trHeight w:val="124"/>
        </w:trPr>
        <w:tc>
          <w:tcPr>
            <w:tcW w:w="120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7"/>
              </w:rPr>
              <w:t>10.116††#</w:t>
            </w:r>
          </w:p>
        </w:tc>
        <w:tc>
          <w:tcPr>
            <w:tcW w:w="482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w:anchor="page220">
              <w:r>
                <w:rPr>
                  <w:rFonts w:ascii="Times New Roman" w:cs="Times New Roman" w:eastAsia="Times New Roman" w:hAnsi="Times New Roman"/>
                  <w:sz w:val="12"/>
                  <w:szCs w:val="12"/>
                  <w:color w:val="0000EE"/>
                  <w:w w:val="99"/>
                </w:rPr>
                <w:t>Amendment to the Index License Agreement for Funds, dated as of August 1, 2015, by and between</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20" w:type="dxa"/>
            <w:vAlign w:val="bottom"/>
            <w:gridSpan w:val="12"/>
          </w:tcPr>
          <w:p>
            <w:pPr>
              <w:spacing w:after="0" w:line="124" w:lineRule="exact"/>
              <w:rPr>
                <w:rFonts w:ascii="Times New Roman" w:cs="Times New Roman" w:eastAsia="Times New Roman" w:hAnsi="Times New Roman"/>
                <w:sz w:val="12"/>
                <w:szCs w:val="12"/>
                <w:color w:val="0000EE"/>
              </w:rPr>
            </w:pPr>
            <w:hyperlink w:anchor="page220">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w:anchor="page220">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7"/>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24"/>
        </w:trPr>
        <w:tc>
          <w:tcPr>
            <w:tcW w:w="120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7"/>
              </w:rPr>
              <w:t>10.117††#</w:t>
            </w:r>
          </w:p>
        </w:tc>
        <w:tc>
          <w:tcPr>
            <w:tcW w:w="478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w:anchor="page223">
              <w:r>
                <w:rPr>
                  <w:rFonts w:ascii="Times New Roman" w:cs="Times New Roman" w:eastAsia="Times New Roman" w:hAnsi="Times New Roman"/>
                  <w:sz w:val="12"/>
                  <w:szCs w:val="12"/>
                  <w:color w:val="0000EE"/>
                  <w:w w:val="99"/>
                </w:rPr>
                <w:t>Amendment (to amend the Amendment dated October 4, 2011) to the Index License Agreement for</w:t>
              </w:r>
            </w:hyperlink>
          </w:p>
        </w:tc>
        <w:tc>
          <w:tcPr>
            <w:tcW w:w="40" w:type="dxa"/>
            <w:vAlign w:val="bottom"/>
            <w:gridSpan w:val="2"/>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80" w:type="dxa"/>
            <w:vAlign w:val="bottom"/>
            <w:tcBorders>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w:anchor="page223">
              <w:r>
                <w:rPr>
                  <w:rFonts w:ascii="Times New Roman" w:cs="Times New Roman" w:eastAsia="Times New Roman" w:hAnsi="Times New Roman"/>
                  <w:sz w:val="12"/>
                  <w:szCs w:val="12"/>
                  <w:color w:val="0000EE"/>
                  <w:w w:val="99"/>
                </w:rPr>
                <w:t>Funds, dated as of August 3, 2015, by and between MSCI Inc. (formerly, Morgan Stanley Capital</w:t>
              </w:r>
            </w:hyperlink>
          </w:p>
        </w:tc>
        <w:tc>
          <w:tcPr>
            <w:tcW w:w="140" w:type="dxa"/>
            <w:vAlign w:val="bottom"/>
            <w:gridSpan w:val="7"/>
          </w:tcPr>
          <w:p>
            <w:pPr>
              <w:spacing w:after="0"/>
              <w:rPr>
                <w:sz w:val="10"/>
                <w:szCs w:val="10"/>
                <w:color w:val="auto"/>
              </w:rPr>
            </w:pPr>
          </w:p>
        </w:tc>
      </w:tr>
      <w:tr>
        <w:trPr>
          <w:trHeight w:val="140"/>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20" w:type="dxa"/>
            <w:vAlign w:val="bottom"/>
            <w:gridSpan w:val="12"/>
          </w:tcPr>
          <w:p>
            <w:pPr>
              <w:spacing w:after="0"/>
              <w:rPr>
                <w:rFonts w:ascii="Times New Roman" w:cs="Times New Roman" w:eastAsia="Times New Roman" w:hAnsi="Times New Roman"/>
                <w:sz w:val="12"/>
                <w:szCs w:val="12"/>
                <w:u w:val="single" w:color="auto"/>
                <w:color w:val="0000EE"/>
              </w:rPr>
            </w:pPr>
            <w:hyperlink w:anchor="page223">
              <w:r>
                <w:rPr>
                  <w:rFonts w:ascii="Times New Roman" w:cs="Times New Roman" w:eastAsia="Times New Roman" w:hAnsi="Times New Roman"/>
                  <w:sz w:val="12"/>
                  <w:szCs w:val="12"/>
                  <w:u w:val="single" w:color="auto"/>
                  <w:color w:val="0000EE"/>
                </w:rPr>
                <w:t>International Inc.) and BlackRock Fund Advisors (as successor to Barclays Global Investors, N.A.)</w:t>
              </w:r>
            </w:hyperlink>
          </w:p>
        </w:tc>
      </w:tr>
      <w:tr>
        <w:trPr>
          <w:trHeight w:val="128"/>
        </w:trPr>
        <w:tc>
          <w:tcPr>
            <w:tcW w:w="1200" w:type="dxa"/>
            <w:vAlign w:val="bottom"/>
            <w:gridSpan w:val="3"/>
          </w:tcPr>
          <w:p>
            <w:pPr>
              <w:jc w:val="center"/>
              <w:ind w:right="700"/>
              <w:spacing w:after="0" w:line="128" w:lineRule="exact"/>
              <w:rPr>
                <w:sz w:val="20"/>
                <w:szCs w:val="20"/>
                <w:color w:val="auto"/>
              </w:rPr>
            </w:pPr>
            <w:r>
              <w:rPr>
                <w:rFonts w:ascii="Times New Roman" w:cs="Times New Roman" w:eastAsia="Times New Roman" w:hAnsi="Times New Roman"/>
                <w:sz w:val="12"/>
                <w:szCs w:val="12"/>
                <w:color w:val="auto"/>
                <w:w w:val="97"/>
              </w:rPr>
              <w:t>10.118††#</w:t>
            </w:r>
          </w:p>
        </w:tc>
        <w:tc>
          <w:tcPr>
            <w:tcW w:w="4820" w:type="dxa"/>
            <w:vAlign w:val="bottom"/>
            <w:tcBorders>
              <w:bottom w:val="single" w:sz="8" w:color="0000EE"/>
            </w:tcBorders>
            <w:gridSpan w:val="12"/>
          </w:tcPr>
          <w:p>
            <w:pPr>
              <w:spacing w:after="0" w:line="128" w:lineRule="exact"/>
              <w:rPr>
                <w:rFonts w:ascii="Times New Roman" w:cs="Times New Roman" w:eastAsia="Times New Roman" w:hAnsi="Times New Roman"/>
                <w:sz w:val="12"/>
                <w:szCs w:val="12"/>
                <w:color w:val="0000EE"/>
                <w:w w:val="99"/>
              </w:rPr>
            </w:pPr>
            <w:hyperlink w:anchor="page226">
              <w:r>
                <w:rPr>
                  <w:rFonts w:ascii="Times New Roman" w:cs="Times New Roman" w:eastAsia="Times New Roman" w:hAnsi="Times New Roman"/>
                  <w:sz w:val="12"/>
                  <w:szCs w:val="12"/>
                  <w:color w:val="0000EE"/>
                  <w:w w:val="99"/>
                </w:rPr>
                <w:t>Amendment (to amend the Amendment dated January 23, 2014) to the Index License Agreement for</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80" w:type="dxa"/>
            <w:vAlign w:val="bottom"/>
            <w:tcBorders>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w:anchor="page226">
              <w:r>
                <w:rPr>
                  <w:rFonts w:ascii="Times New Roman" w:cs="Times New Roman" w:eastAsia="Times New Roman" w:hAnsi="Times New Roman"/>
                  <w:sz w:val="12"/>
                  <w:szCs w:val="12"/>
                  <w:color w:val="0000EE"/>
                  <w:w w:val="99"/>
                </w:rPr>
                <w:t>Funds, dated as of August 3, 2015, by and between MSCI Inc. (formerly, Morgan Stanley Capital</w:t>
              </w:r>
            </w:hyperlink>
          </w:p>
        </w:tc>
        <w:tc>
          <w:tcPr>
            <w:tcW w:w="140" w:type="dxa"/>
            <w:vAlign w:val="bottom"/>
            <w:gridSpan w:val="7"/>
          </w:tcPr>
          <w:p>
            <w:pPr>
              <w:spacing w:after="0"/>
              <w:rPr>
                <w:sz w:val="10"/>
                <w:szCs w:val="10"/>
                <w:color w:val="auto"/>
              </w:rPr>
            </w:pPr>
          </w:p>
        </w:tc>
      </w:tr>
      <w:tr>
        <w:trPr>
          <w:trHeight w:val="140"/>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20" w:type="dxa"/>
            <w:vAlign w:val="bottom"/>
            <w:gridSpan w:val="12"/>
          </w:tcPr>
          <w:p>
            <w:pPr>
              <w:spacing w:after="0"/>
              <w:rPr>
                <w:rFonts w:ascii="Times New Roman" w:cs="Times New Roman" w:eastAsia="Times New Roman" w:hAnsi="Times New Roman"/>
                <w:sz w:val="12"/>
                <w:szCs w:val="12"/>
                <w:u w:val="single" w:color="auto"/>
                <w:color w:val="0000EE"/>
              </w:rPr>
            </w:pPr>
            <w:hyperlink w:anchor="page226">
              <w:r>
                <w:rPr>
                  <w:rFonts w:ascii="Times New Roman" w:cs="Times New Roman" w:eastAsia="Times New Roman" w:hAnsi="Times New Roman"/>
                  <w:sz w:val="12"/>
                  <w:szCs w:val="12"/>
                  <w:u w:val="single" w:color="auto"/>
                  <w:color w:val="0000EE"/>
                </w:rPr>
                <w:t>International Inc.) and BlackRock Fund Advisors (as successor to Barclays Global Investors, N.A.)</w:t>
              </w:r>
            </w:hyperlink>
          </w:p>
        </w:tc>
      </w:tr>
      <w:tr>
        <w:trPr>
          <w:trHeight w:val="128"/>
        </w:trPr>
        <w:tc>
          <w:tcPr>
            <w:tcW w:w="1200" w:type="dxa"/>
            <w:vAlign w:val="bottom"/>
            <w:gridSpan w:val="3"/>
          </w:tcPr>
          <w:p>
            <w:pPr>
              <w:jc w:val="center"/>
              <w:ind w:right="700"/>
              <w:spacing w:after="0" w:line="128" w:lineRule="exact"/>
              <w:rPr>
                <w:sz w:val="20"/>
                <w:szCs w:val="20"/>
                <w:color w:val="auto"/>
              </w:rPr>
            </w:pPr>
            <w:r>
              <w:rPr>
                <w:rFonts w:ascii="Times New Roman" w:cs="Times New Roman" w:eastAsia="Times New Roman" w:hAnsi="Times New Roman"/>
                <w:sz w:val="12"/>
                <w:szCs w:val="12"/>
                <w:color w:val="auto"/>
                <w:w w:val="97"/>
              </w:rPr>
              <w:t>10.119††#</w:t>
            </w:r>
          </w:p>
        </w:tc>
        <w:tc>
          <w:tcPr>
            <w:tcW w:w="4820" w:type="dxa"/>
            <w:vAlign w:val="bottom"/>
            <w:gridSpan w:val="12"/>
          </w:tcPr>
          <w:p>
            <w:pPr>
              <w:spacing w:after="0" w:line="128" w:lineRule="exact"/>
              <w:rPr>
                <w:rFonts w:ascii="Times New Roman" w:cs="Times New Roman" w:eastAsia="Times New Roman" w:hAnsi="Times New Roman"/>
                <w:sz w:val="12"/>
                <w:szCs w:val="12"/>
                <w:color w:val="0000EE"/>
                <w:w w:val="99"/>
              </w:rPr>
            </w:pPr>
            <w:hyperlink w:anchor="page229">
              <w:r>
                <w:rPr>
                  <w:rFonts w:ascii="Times New Roman" w:cs="Times New Roman" w:eastAsia="Times New Roman" w:hAnsi="Times New Roman"/>
                  <w:sz w:val="12"/>
                  <w:szCs w:val="12"/>
                  <w:color w:val="0000EE"/>
                  <w:w w:val="99"/>
                </w:rPr>
                <w:t>Amendment (to amend the Amendment dated August 15, 2014) to the Index License Agreement for</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8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w:anchor="page229">
              <w:r>
                <w:rPr>
                  <w:rFonts w:ascii="Times New Roman" w:cs="Times New Roman" w:eastAsia="Times New Roman" w:hAnsi="Times New Roman"/>
                  <w:sz w:val="12"/>
                  <w:szCs w:val="12"/>
                  <w:color w:val="0000EE"/>
                  <w:w w:val="99"/>
                </w:rPr>
                <w:t>Funds, dated as of August 3, 2015, by and between MSCI Inc. (formerly, Morgan Stanley Capital</w:t>
              </w:r>
            </w:hyperlink>
          </w:p>
        </w:tc>
        <w:tc>
          <w:tcPr>
            <w:tcW w:w="120" w:type="dxa"/>
            <w:vAlign w:val="bottom"/>
            <w:tcBorders>
              <w:top w:val="single" w:sz="8" w:color="0000EE"/>
            </w:tcBorders>
            <w:gridSpan w:val="6"/>
          </w:tcPr>
          <w:p>
            <w:pPr>
              <w:spacing w:after="0"/>
              <w:rPr>
                <w:sz w:val="10"/>
                <w:szCs w:val="10"/>
                <w:color w:val="auto"/>
              </w:rPr>
            </w:pPr>
          </w:p>
        </w:tc>
        <w:tc>
          <w:tcPr>
            <w:tcW w:w="20" w:type="dxa"/>
            <w:vAlign w:val="bottom"/>
          </w:tcPr>
          <w:p>
            <w:pPr>
              <w:spacing w:after="0"/>
              <w:rPr>
                <w:sz w:val="10"/>
                <w:szCs w:val="10"/>
                <w:color w:val="auto"/>
              </w:rPr>
            </w:pPr>
          </w:p>
        </w:tc>
      </w:tr>
      <w:tr>
        <w:trPr>
          <w:trHeight w:val="151"/>
        </w:trPr>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20" w:type="dxa"/>
            <w:vAlign w:val="bottom"/>
            <w:gridSpan w:val="12"/>
          </w:tcPr>
          <w:p>
            <w:pPr>
              <w:spacing w:after="0"/>
              <w:rPr>
                <w:rFonts w:ascii="Times New Roman" w:cs="Times New Roman" w:eastAsia="Times New Roman" w:hAnsi="Times New Roman"/>
                <w:sz w:val="12"/>
                <w:szCs w:val="12"/>
                <w:u w:val="single" w:color="auto"/>
                <w:color w:val="0000EE"/>
              </w:rPr>
            </w:pPr>
            <w:hyperlink w:anchor="page229">
              <w:r>
                <w:rPr>
                  <w:rFonts w:ascii="Times New Roman" w:cs="Times New Roman" w:eastAsia="Times New Roman" w:hAnsi="Times New Roman"/>
                  <w:sz w:val="12"/>
                  <w:szCs w:val="12"/>
                  <w:u w:val="single" w:color="auto"/>
                  <w:color w:val="0000EE"/>
                </w:rPr>
                <w:t>International Inc.) and BlackRock Fund Advisors (as successor to Barclays Global Investors, N.A.)</w:t>
              </w:r>
            </w:hyperlink>
          </w:p>
        </w:tc>
      </w:tr>
      <w:tr>
        <w:trPr>
          <w:trHeight w:val="288"/>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20" w:type="dxa"/>
            <w:vAlign w:val="bottom"/>
            <w:gridSpan w:val="4"/>
          </w:tcPr>
          <w:p>
            <w:pPr>
              <w:ind w:left="3680"/>
              <w:spacing w:after="0"/>
              <w:rPr>
                <w:sz w:val="20"/>
                <w:szCs w:val="20"/>
                <w:color w:val="auto"/>
              </w:rPr>
            </w:pPr>
            <w:r>
              <w:rPr>
                <w:rFonts w:ascii="Times New Roman" w:cs="Times New Roman" w:eastAsia="Times New Roman" w:hAnsi="Times New Roman"/>
                <w:sz w:val="12"/>
                <w:szCs w:val="12"/>
                <w:color w:val="auto"/>
              </w:rPr>
              <w:t>102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45720</wp:posOffset>
            </wp:positionV>
            <wp:extent cx="717804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62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w w:val="92"/>
              </w:rPr>
              <w:t>Form</w:t>
            </w:r>
          </w:p>
        </w:tc>
        <w:tc>
          <w:tcPr>
            <w:tcW w:w="440" w:type="dxa"/>
            <w:vAlign w:val="bottom"/>
          </w:tcPr>
          <w:p>
            <w:pPr>
              <w:spacing w:after="0"/>
              <w:rPr>
                <w:sz w:val="8"/>
                <w:szCs w:val="8"/>
                <w:color w:val="auto"/>
              </w:rPr>
            </w:pPr>
          </w:p>
        </w:tc>
        <w:tc>
          <w:tcPr>
            <w:tcW w:w="1040" w:type="dxa"/>
            <w:vAlign w:val="bottom"/>
            <w:gridSpan w:val="2"/>
          </w:tcPr>
          <w:p>
            <w:pPr>
              <w:jc w:val="center"/>
              <w:ind w:right="68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9"/>
                <w:szCs w:val="9"/>
                <w:b w:val="1"/>
                <w:bCs w:val="1"/>
                <w:color w:val="auto"/>
                <w:w w:val="99"/>
              </w:rPr>
              <w:t>Exhibit No.</w:t>
            </w:r>
          </w:p>
        </w:tc>
        <w:tc>
          <w:tcPr>
            <w:tcW w:w="300" w:type="dxa"/>
            <w:vAlign w:val="bottom"/>
          </w:tcPr>
          <w:p>
            <w:pPr>
              <w:spacing w:after="0"/>
              <w:rPr>
                <w:sz w:val="8"/>
                <w:szCs w:val="8"/>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8"/>
              </w:rPr>
              <w:t>Filing Date</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64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color w:val="auto"/>
                <w:w w:val="97"/>
              </w:rPr>
              <w:t>10-K</w:t>
            </w:r>
          </w:p>
        </w:tc>
        <w:tc>
          <w:tcPr>
            <w:tcW w:w="148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color w:val="auto"/>
              </w:rPr>
              <w:t>001-33812</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10.109</w:t>
            </w:r>
          </w:p>
        </w:tc>
        <w:tc>
          <w:tcPr>
            <w:tcW w:w="44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2/24/2017</w:t>
            </w: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Filed Herewith</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Filed Herewith</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Filed Herewith</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10-K</w:t>
            </w: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2"/>
                <w:szCs w:val="12"/>
                <w:color w:val="auto"/>
              </w:rPr>
              <w:t>011-33812</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10.113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2/22/2019</w:t>
            </w:r>
          </w:p>
        </w:tc>
      </w:tr>
    </w:tbl>
    <w:p>
      <w:pPr>
        <w:spacing w:after="0" w:line="200" w:lineRule="exact"/>
        <w:rPr>
          <w:sz w:val="20"/>
          <w:szCs w:val="20"/>
          <w:color w:val="auto"/>
        </w:rPr>
      </w:pP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Filed Herewith</w:t>
      </w:r>
    </w:p>
    <w:p>
      <w:pPr>
        <w:sectPr>
          <w:pgSz w:w="11900" w:h="16838" w:orient="portrait"/>
          <w:cols w:equalWidth="0" w:num="2">
            <w:col w:w="6020" w:space="420"/>
            <w:col w:w="3880"/>
          </w:cols>
          <w:pgMar w:left="980" w:top="268" w:right="5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03"/>
        </w:trPr>
        <w:tc>
          <w:tcPr>
            <w:tcW w:w="10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1"/>
        </w:trPr>
        <w:tc>
          <w:tcPr>
            <w:tcW w:w="10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gridSpan w:val="17"/>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220" w:type="dxa"/>
            <w:vAlign w:val="bottom"/>
            <w:gridSpan w:val="3"/>
          </w:tcPr>
          <w:p>
            <w:pPr>
              <w:jc w:val="center"/>
              <w:ind w:right="720"/>
              <w:spacing w:after="0"/>
              <w:rPr>
                <w:sz w:val="20"/>
                <w:szCs w:val="20"/>
                <w:color w:val="auto"/>
              </w:rPr>
            </w:pPr>
            <w:r>
              <w:rPr>
                <w:rFonts w:ascii="Times New Roman" w:cs="Times New Roman" w:eastAsia="Times New Roman" w:hAnsi="Times New Roman"/>
                <w:sz w:val="12"/>
                <w:szCs w:val="12"/>
                <w:color w:val="auto"/>
                <w:w w:val="97"/>
              </w:rPr>
              <w:t>10.120††#</w:t>
            </w:r>
          </w:p>
        </w:tc>
        <w:tc>
          <w:tcPr>
            <w:tcW w:w="4900" w:type="dxa"/>
            <w:vAlign w:val="bottom"/>
            <w:tcBorders>
              <w:bottom w:val="single" w:sz="8" w:color="0000EE"/>
            </w:tcBorders>
            <w:gridSpan w:val="19"/>
          </w:tcPr>
          <w:p>
            <w:pPr>
              <w:spacing w:after="0"/>
              <w:rPr>
                <w:rFonts w:ascii="Times New Roman" w:cs="Times New Roman" w:eastAsia="Times New Roman" w:hAnsi="Times New Roman"/>
                <w:sz w:val="12"/>
                <w:szCs w:val="12"/>
                <w:color w:val="0000EE"/>
                <w:w w:val="99"/>
              </w:rPr>
            </w:pPr>
            <w:hyperlink w:anchor="page232">
              <w:r>
                <w:rPr>
                  <w:rFonts w:ascii="Times New Roman" w:cs="Times New Roman" w:eastAsia="Times New Roman" w:hAnsi="Times New Roman"/>
                  <w:sz w:val="12"/>
                  <w:szCs w:val="12"/>
                  <w:color w:val="0000EE"/>
                  <w:w w:val="99"/>
                </w:rPr>
                <w:t>Letter Agreement (to amend the Amendment dated August 15, 2014) to the Index License Agreement</w:t>
              </w:r>
            </w:hyperlink>
          </w:p>
        </w:tc>
        <w:tc>
          <w:tcPr>
            <w:tcW w:w="40" w:type="dxa"/>
            <w:vAlign w:val="bottom"/>
          </w:tcPr>
          <w:p>
            <w:pPr>
              <w:spacing w:after="0"/>
              <w:rPr>
                <w:sz w:val="12"/>
                <w:szCs w:val="12"/>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0"/>
          </w:tcPr>
          <w:p>
            <w:pPr>
              <w:spacing w:after="0" w:line="124" w:lineRule="exact"/>
              <w:rPr>
                <w:rFonts w:ascii="Times New Roman" w:cs="Times New Roman" w:eastAsia="Times New Roman" w:hAnsi="Times New Roman"/>
                <w:sz w:val="12"/>
                <w:szCs w:val="12"/>
                <w:color w:val="0000EE"/>
              </w:rPr>
            </w:pPr>
            <w:hyperlink w:anchor="page232">
              <w:r>
                <w:rPr>
                  <w:rFonts w:ascii="Times New Roman" w:cs="Times New Roman" w:eastAsia="Times New Roman" w:hAnsi="Times New Roman"/>
                  <w:sz w:val="12"/>
                  <w:szCs w:val="12"/>
                  <w:color w:val="0000EE"/>
                </w:rPr>
                <w:t>for Funds, dated as of August 3, 2015, by and between MSCI Inc. (formerly, Morgan Stanley Capital</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20" w:type="dxa"/>
            <w:vAlign w:val="bottom"/>
            <w:tcBorders>
              <w:top w:val="single" w:sz="8" w:color="0000EE"/>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w:anchor="page232">
              <w:r>
                <w:rPr>
                  <w:rFonts w:ascii="Times New Roman" w:cs="Times New Roman" w:eastAsia="Times New Roman" w:hAnsi="Times New Roman"/>
                  <w:sz w:val="12"/>
                  <w:szCs w:val="12"/>
                  <w:color w:val="0000EE"/>
                  <w:w w:val="99"/>
                </w:rPr>
                <w:t>International Inc.) and BlackRock Institutional Trust Company, N.A. (formerly, Barclays Global</w:t>
              </w:r>
            </w:hyperlink>
          </w:p>
        </w:tc>
        <w:tc>
          <w:tcPr>
            <w:tcW w:w="220" w:type="dxa"/>
            <w:vAlign w:val="bottom"/>
            <w:tcBorders>
              <w:top w:val="single" w:sz="8" w:color="0000EE"/>
            </w:tcBorders>
            <w:gridSpan w:val="6"/>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8"/>
              </w:rPr>
            </w:pPr>
            <w:hyperlink w:anchor="page232">
              <w:r>
                <w:rPr>
                  <w:rFonts w:ascii="Times New Roman" w:cs="Times New Roman" w:eastAsia="Times New Roman" w:hAnsi="Times New Roman"/>
                  <w:sz w:val="12"/>
                  <w:szCs w:val="12"/>
                  <w:color w:val="0000EE"/>
                  <w:w w:val="98"/>
                </w:rPr>
                <w:t>Investors, N.A.)</w:t>
              </w:r>
            </w:hyperlink>
          </w:p>
        </w:tc>
        <w:tc>
          <w:tcPr>
            <w:tcW w:w="4160" w:type="dxa"/>
            <w:vAlign w:val="bottom"/>
            <w:gridSpan w:val="19"/>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10.121††#</w:t>
            </w:r>
          </w:p>
        </w:tc>
        <w:tc>
          <w:tcPr>
            <w:tcW w:w="480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w:anchor="page234">
              <w:r>
                <w:rPr>
                  <w:rFonts w:ascii="Times New Roman" w:cs="Times New Roman" w:eastAsia="Times New Roman" w:hAnsi="Times New Roman"/>
                  <w:sz w:val="12"/>
                  <w:szCs w:val="12"/>
                  <w:color w:val="0000EE"/>
                  <w:w w:val="99"/>
                </w:rPr>
                <w:t>Letter Agreement (to amend the Amendment dated April 20, 2015) to the Index License Agreement</w:t>
              </w:r>
            </w:hyperlink>
          </w:p>
        </w:tc>
        <w:tc>
          <w:tcPr>
            <w:tcW w:w="140" w:type="dxa"/>
            <w:vAlign w:val="bottom"/>
            <w:gridSpan w:val="5"/>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0"/>
          </w:tcPr>
          <w:p>
            <w:pPr>
              <w:spacing w:after="0" w:line="124" w:lineRule="exact"/>
              <w:rPr>
                <w:rFonts w:ascii="Times New Roman" w:cs="Times New Roman" w:eastAsia="Times New Roman" w:hAnsi="Times New Roman"/>
                <w:sz w:val="12"/>
                <w:szCs w:val="12"/>
                <w:color w:val="0000EE"/>
              </w:rPr>
            </w:pPr>
            <w:hyperlink w:anchor="page234">
              <w:r>
                <w:rPr>
                  <w:rFonts w:ascii="Times New Roman" w:cs="Times New Roman" w:eastAsia="Times New Roman" w:hAnsi="Times New Roman"/>
                  <w:sz w:val="12"/>
                  <w:szCs w:val="12"/>
                  <w:color w:val="0000EE"/>
                </w:rPr>
                <w:t>for Funds, dated as of October 9, 2015, by and between MSCI Inc. (formerly, Morgan Stanley Capital</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20" w:type="dxa"/>
            <w:vAlign w:val="bottom"/>
            <w:tcBorders>
              <w:top w:val="single" w:sz="8" w:color="0000EE"/>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w:anchor="page234">
              <w:r>
                <w:rPr>
                  <w:rFonts w:ascii="Times New Roman" w:cs="Times New Roman" w:eastAsia="Times New Roman" w:hAnsi="Times New Roman"/>
                  <w:sz w:val="12"/>
                  <w:szCs w:val="12"/>
                  <w:color w:val="0000EE"/>
                  <w:w w:val="99"/>
                </w:rPr>
                <w:t>International Inc.) and BlackRock Institutional Trust Company, N.A. (formerly, Barclays Global</w:t>
              </w:r>
            </w:hyperlink>
          </w:p>
        </w:tc>
        <w:tc>
          <w:tcPr>
            <w:tcW w:w="260" w:type="dxa"/>
            <w:vAlign w:val="bottom"/>
            <w:tcBorders>
              <w:top w:val="single" w:sz="8" w:color="0000EE"/>
            </w:tcBorders>
            <w:gridSpan w:val="7"/>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8"/>
              </w:rPr>
            </w:pPr>
            <w:hyperlink w:anchor="page234">
              <w:r>
                <w:rPr>
                  <w:rFonts w:ascii="Times New Roman" w:cs="Times New Roman" w:eastAsia="Times New Roman" w:hAnsi="Times New Roman"/>
                  <w:sz w:val="12"/>
                  <w:szCs w:val="12"/>
                  <w:color w:val="0000EE"/>
                  <w:w w:val="98"/>
                </w:rPr>
                <w:t>Investors, N.A.)</w:t>
              </w:r>
            </w:hyperlink>
          </w:p>
        </w:tc>
        <w:tc>
          <w:tcPr>
            <w:tcW w:w="4160" w:type="dxa"/>
            <w:vAlign w:val="bottom"/>
            <w:gridSpan w:val="19"/>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10.122††#</w:t>
            </w:r>
          </w:p>
        </w:tc>
        <w:tc>
          <w:tcPr>
            <w:tcW w:w="4940" w:type="dxa"/>
            <w:vAlign w:val="bottom"/>
            <w:gridSpan w:val="20"/>
          </w:tcPr>
          <w:p>
            <w:pPr>
              <w:spacing w:after="0" w:line="124" w:lineRule="exact"/>
              <w:rPr>
                <w:rFonts w:ascii="Times New Roman" w:cs="Times New Roman" w:eastAsia="Times New Roman" w:hAnsi="Times New Roman"/>
                <w:sz w:val="12"/>
                <w:szCs w:val="12"/>
                <w:color w:val="0000EE"/>
              </w:rPr>
            </w:pPr>
            <w:hyperlink w:anchor="page241">
              <w:r>
                <w:rPr>
                  <w:rFonts w:ascii="Times New Roman" w:cs="Times New Roman" w:eastAsia="Times New Roman" w:hAnsi="Times New Roman"/>
                  <w:sz w:val="12"/>
                  <w:szCs w:val="12"/>
                  <w:color w:val="0000EE"/>
                </w:rPr>
                <w:t>Letter Agreement (to amend the Amendment dated December 10, 2013) to the Index License</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0"/>
          </w:tcPr>
          <w:p>
            <w:pPr>
              <w:spacing w:after="0" w:line="124" w:lineRule="exact"/>
              <w:rPr>
                <w:rFonts w:ascii="Times New Roman" w:cs="Times New Roman" w:eastAsia="Times New Roman" w:hAnsi="Times New Roman"/>
                <w:sz w:val="12"/>
                <w:szCs w:val="12"/>
                <w:color w:val="0000EE"/>
              </w:rPr>
            </w:pPr>
            <w:hyperlink w:anchor="page241">
              <w:r>
                <w:rPr>
                  <w:rFonts w:ascii="Times New Roman" w:cs="Times New Roman" w:eastAsia="Times New Roman" w:hAnsi="Times New Roman"/>
                  <w:sz w:val="12"/>
                  <w:szCs w:val="12"/>
                  <w:color w:val="0000EE"/>
                </w:rPr>
                <w:t>Agreement for Funds, dated as of December 17, 2015, by and between MSCI Inc. (formerly, Morgan</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80" w:type="dxa"/>
            <w:vAlign w:val="bottom"/>
            <w:tcBorders>
              <w:top w:val="single" w:sz="8" w:color="0000EE"/>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w:anchor="page241">
              <w:r>
                <w:rPr>
                  <w:rFonts w:ascii="Times New Roman" w:cs="Times New Roman" w:eastAsia="Times New Roman" w:hAnsi="Times New Roman"/>
                  <w:sz w:val="12"/>
                  <w:szCs w:val="12"/>
                  <w:color w:val="0000EE"/>
                  <w:w w:val="99"/>
                </w:rPr>
                <w:t>Stanley Capital International Inc.) and BlackRock Institutional Trust Company, N.A. (formerly,</w:t>
              </w:r>
            </w:hyperlink>
          </w:p>
        </w:tc>
        <w:tc>
          <w:tcPr>
            <w:tcW w:w="260" w:type="dxa"/>
            <w:vAlign w:val="bottom"/>
            <w:tcBorders>
              <w:top w:val="single" w:sz="8" w:color="0000EE"/>
            </w:tcBorders>
            <w:gridSpan w:val="7"/>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8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8"/>
              </w:rPr>
            </w:pPr>
            <w:hyperlink w:anchor="page241">
              <w:r>
                <w:rPr>
                  <w:rFonts w:ascii="Times New Roman" w:cs="Times New Roman" w:eastAsia="Times New Roman" w:hAnsi="Times New Roman"/>
                  <w:sz w:val="12"/>
                  <w:szCs w:val="12"/>
                  <w:color w:val="0000EE"/>
                  <w:w w:val="98"/>
                </w:rPr>
                <w:t>Barclays Global Investors, N.A.)</w:t>
              </w:r>
            </w:hyperlink>
          </w:p>
        </w:tc>
        <w:tc>
          <w:tcPr>
            <w:tcW w:w="3360" w:type="dxa"/>
            <w:vAlign w:val="bottom"/>
            <w:gridSpan w:val="18"/>
          </w:tcPr>
          <w:p>
            <w:pPr>
              <w:spacing w:after="0"/>
              <w:rPr>
                <w:sz w:val="10"/>
                <w:szCs w:val="10"/>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6"/>
              </w:rPr>
              <w:t>10.126</w:t>
            </w:r>
          </w:p>
        </w:tc>
        <w:tc>
          <w:tcPr>
            <w:tcW w:w="4940" w:type="dxa"/>
            <w:vAlign w:val="bottom"/>
            <w:gridSpan w:val="20"/>
          </w:tcPr>
          <w:p>
            <w:pPr>
              <w:spacing w:after="0" w:line="124" w:lineRule="exact"/>
              <w:rPr>
                <w:rFonts w:ascii="Times New Roman" w:cs="Times New Roman" w:eastAsia="Times New Roman" w:hAnsi="Times New Roman"/>
                <w:sz w:val="12"/>
                <w:szCs w:val="12"/>
                <w:color w:val="0000EE"/>
              </w:rPr>
            </w:pPr>
            <w:hyperlink r:id="rId176">
              <w:r>
                <w:rPr>
                  <w:rFonts w:ascii="Times New Roman" w:cs="Times New Roman" w:eastAsia="Times New Roman" w:hAnsi="Times New Roman"/>
                  <w:sz w:val="12"/>
                  <w:szCs w:val="12"/>
                  <w:color w:val="0000EE"/>
                </w:rPr>
                <w:t>Amendment (to amend the Amendment dated January 23, 2014) to the Index License Agreement for</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40" w:type="dxa"/>
            <w:vAlign w:val="bottom"/>
            <w:tcBorders>
              <w:top w:val="single" w:sz="8" w:color="0000EE"/>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176">
              <w:r>
                <w:rPr>
                  <w:rFonts w:ascii="Times New Roman" w:cs="Times New Roman" w:eastAsia="Times New Roman" w:hAnsi="Times New Roman"/>
                  <w:sz w:val="12"/>
                  <w:szCs w:val="12"/>
                  <w:color w:val="0000EE"/>
                  <w:w w:val="99"/>
                </w:rPr>
                <w:t>Funds, dated as of April 15, 2014, by and between MSCI Inc. (formerly, Morgan Stanley Capital</w:t>
              </w:r>
            </w:hyperlink>
          </w:p>
        </w:tc>
        <w:tc>
          <w:tcPr>
            <w:tcW w:w="180" w:type="dxa"/>
            <w:vAlign w:val="bottom"/>
            <w:tcBorders>
              <w:top w:val="single" w:sz="8" w:color="0000EE"/>
            </w:tcBorders>
            <w:gridSpan w:val="4"/>
          </w:tcPr>
          <w:p>
            <w:pPr>
              <w:spacing w:after="0"/>
              <w:rPr>
                <w:sz w:val="10"/>
                <w:szCs w:val="10"/>
                <w:color w:val="auto"/>
              </w:rPr>
            </w:pPr>
          </w:p>
        </w:tc>
        <w:tc>
          <w:tcPr>
            <w:tcW w:w="120" w:type="dxa"/>
            <w:vAlign w:val="bottom"/>
            <w:gridSpan w:val="4"/>
          </w:tcPr>
          <w:p>
            <w:pPr>
              <w:spacing w:after="0"/>
              <w:rPr>
                <w:sz w:val="10"/>
                <w:szCs w:val="10"/>
                <w:color w:val="auto"/>
              </w:rPr>
            </w:pPr>
          </w:p>
        </w:tc>
      </w:tr>
      <w:tr>
        <w:trPr>
          <w:trHeight w:val="140"/>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40" w:type="dxa"/>
            <w:vAlign w:val="bottom"/>
            <w:gridSpan w:val="20"/>
          </w:tcPr>
          <w:p>
            <w:pPr>
              <w:spacing w:after="0"/>
              <w:rPr>
                <w:rFonts w:ascii="Times New Roman" w:cs="Times New Roman" w:eastAsia="Times New Roman" w:hAnsi="Times New Roman"/>
                <w:sz w:val="12"/>
                <w:szCs w:val="12"/>
                <w:u w:val="single" w:color="auto"/>
                <w:color w:val="0000EE"/>
              </w:rPr>
            </w:pPr>
            <w:hyperlink r:id="rId176">
              <w:r>
                <w:rPr>
                  <w:rFonts w:ascii="Times New Roman" w:cs="Times New Roman" w:eastAsia="Times New Roman" w:hAnsi="Times New Roman"/>
                  <w:sz w:val="12"/>
                  <w:szCs w:val="12"/>
                  <w:u w:val="single" w:color="auto"/>
                  <w:color w:val="0000EE"/>
                </w:rPr>
                <w:t>International Inc.) and BlackRock Fund Advisors (as successor to Barclays Global Investors, N.A.)</w:t>
              </w:r>
            </w:hyperlink>
          </w:p>
        </w:tc>
      </w:tr>
      <w:tr>
        <w:trPr>
          <w:trHeight w:val="128"/>
        </w:trPr>
        <w:tc>
          <w:tcPr>
            <w:tcW w:w="1220" w:type="dxa"/>
            <w:vAlign w:val="bottom"/>
            <w:gridSpan w:val="3"/>
          </w:tcPr>
          <w:p>
            <w:pPr>
              <w:jc w:val="center"/>
              <w:ind w:right="720"/>
              <w:spacing w:after="0" w:line="128" w:lineRule="exact"/>
              <w:rPr>
                <w:sz w:val="20"/>
                <w:szCs w:val="20"/>
                <w:color w:val="auto"/>
              </w:rPr>
            </w:pPr>
            <w:r>
              <w:rPr>
                <w:rFonts w:ascii="Times New Roman" w:cs="Times New Roman" w:eastAsia="Times New Roman" w:hAnsi="Times New Roman"/>
                <w:sz w:val="12"/>
                <w:szCs w:val="12"/>
                <w:color w:val="auto"/>
                <w:w w:val="97"/>
              </w:rPr>
              <w:t>10.127††#</w:t>
            </w:r>
          </w:p>
        </w:tc>
        <w:tc>
          <w:tcPr>
            <w:tcW w:w="4900" w:type="dxa"/>
            <w:vAlign w:val="bottom"/>
            <w:tcBorders>
              <w:bottom w:val="single" w:sz="8" w:color="0000EE"/>
            </w:tcBorders>
            <w:gridSpan w:val="19"/>
          </w:tcPr>
          <w:p>
            <w:pPr>
              <w:spacing w:after="0" w:line="128" w:lineRule="exact"/>
              <w:rPr>
                <w:rFonts w:ascii="Times New Roman" w:cs="Times New Roman" w:eastAsia="Times New Roman" w:hAnsi="Times New Roman"/>
                <w:sz w:val="12"/>
                <w:szCs w:val="12"/>
                <w:color w:val="0000EE"/>
                <w:w w:val="99"/>
              </w:rPr>
            </w:pPr>
            <w:hyperlink w:anchor="page243">
              <w:r>
                <w:rPr>
                  <w:rFonts w:ascii="Times New Roman" w:cs="Times New Roman" w:eastAsia="Times New Roman" w:hAnsi="Times New Roman"/>
                  <w:sz w:val="12"/>
                  <w:szCs w:val="12"/>
                  <w:color w:val="0000EE"/>
                  <w:w w:val="99"/>
                </w:rPr>
                <w:t>Amendment to the Index License Agreement for Funds, dated as of January 28, 2016, by and between</w:t>
              </w:r>
            </w:hyperlink>
          </w:p>
        </w:tc>
        <w:tc>
          <w:tcPr>
            <w:tcW w:w="40" w:type="dxa"/>
            <w:vAlign w:val="bottom"/>
          </w:tcPr>
          <w:p>
            <w:pPr>
              <w:spacing w:after="0"/>
              <w:rPr>
                <w:sz w:val="11"/>
                <w:szCs w:val="1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0"/>
          </w:tcPr>
          <w:p>
            <w:pPr>
              <w:spacing w:after="0" w:line="124" w:lineRule="exact"/>
              <w:rPr>
                <w:rFonts w:ascii="Times New Roman" w:cs="Times New Roman" w:eastAsia="Times New Roman" w:hAnsi="Times New Roman"/>
                <w:sz w:val="12"/>
                <w:szCs w:val="12"/>
                <w:color w:val="0000EE"/>
              </w:rPr>
            </w:pPr>
            <w:hyperlink w:anchor="page243">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w:anchor="page243">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1"/>
          </w:tcPr>
          <w:p>
            <w:pPr>
              <w:spacing w:after="0"/>
              <w:rPr>
                <w:sz w:val="10"/>
                <w:szCs w:val="10"/>
                <w:color w:val="auto"/>
              </w:rPr>
            </w:pPr>
          </w:p>
        </w:tc>
        <w:tc>
          <w:tcPr>
            <w:tcW w:w="180" w:type="dxa"/>
            <w:vAlign w:val="bottom"/>
            <w:gridSpan w:val="6"/>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10.129††#</w:t>
            </w:r>
          </w:p>
        </w:tc>
        <w:tc>
          <w:tcPr>
            <w:tcW w:w="4940" w:type="dxa"/>
            <w:vAlign w:val="bottom"/>
            <w:gridSpan w:val="20"/>
          </w:tcPr>
          <w:p>
            <w:pPr>
              <w:spacing w:after="0" w:line="124" w:lineRule="exact"/>
              <w:rPr>
                <w:rFonts w:ascii="Times New Roman" w:cs="Times New Roman" w:eastAsia="Times New Roman" w:hAnsi="Times New Roman"/>
                <w:sz w:val="12"/>
                <w:szCs w:val="12"/>
                <w:color w:val="0000EE"/>
              </w:rPr>
            </w:pPr>
            <w:hyperlink w:anchor="page245">
              <w:r>
                <w:rPr>
                  <w:rFonts w:ascii="Times New Roman" w:cs="Times New Roman" w:eastAsia="Times New Roman" w:hAnsi="Times New Roman"/>
                  <w:sz w:val="12"/>
                  <w:szCs w:val="12"/>
                  <w:color w:val="0000EE"/>
                </w:rPr>
                <w:t>Amendment to the Index License Agreement for Funds, dated as of February 29, 2016, by and</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6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w:anchor="page245">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380" w:type="dxa"/>
            <w:vAlign w:val="bottom"/>
            <w:gridSpan w:val="11"/>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0"/>
          </w:tcPr>
          <w:p>
            <w:pPr>
              <w:spacing w:after="0" w:line="124" w:lineRule="exact"/>
              <w:rPr>
                <w:rFonts w:ascii="Times New Roman" w:cs="Times New Roman" w:eastAsia="Times New Roman" w:hAnsi="Times New Roman"/>
                <w:sz w:val="12"/>
                <w:szCs w:val="12"/>
                <w:color w:val="0000EE"/>
              </w:rPr>
            </w:pPr>
            <w:hyperlink w:anchor="page245">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220" w:type="dxa"/>
            <w:vAlign w:val="bottom"/>
            <w:gridSpan w:val="3"/>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10.130††#</w:t>
            </w:r>
          </w:p>
        </w:tc>
        <w:tc>
          <w:tcPr>
            <w:tcW w:w="472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w:anchor="page247">
              <w:r>
                <w:rPr>
                  <w:rFonts w:ascii="Times New Roman" w:cs="Times New Roman" w:eastAsia="Times New Roman" w:hAnsi="Times New Roman"/>
                  <w:sz w:val="12"/>
                  <w:szCs w:val="12"/>
                  <w:color w:val="0000EE"/>
                  <w:w w:val="99"/>
                </w:rPr>
                <w:t>Amendment to the Index License Agreement for Funds, dated as of April 8, 2016, by and between</w:t>
              </w:r>
            </w:hyperlink>
          </w:p>
        </w:tc>
        <w:tc>
          <w:tcPr>
            <w:tcW w:w="220" w:type="dxa"/>
            <w:vAlign w:val="bottom"/>
            <w:gridSpan w:val="7"/>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0"/>
          </w:tcPr>
          <w:p>
            <w:pPr>
              <w:spacing w:after="0" w:line="124" w:lineRule="exact"/>
              <w:rPr>
                <w:rFonts w:ascii="Times New Roman" w:cs="Times New Roman" w:eastAsia="Times New Roman" w:hAnsi="Times New Roman"/>
                <w:sz w:val="12"/>
                <w:szCs w:val="12"/>
                <w:color w:val="0000EE"/>
              </w:rPr>
            </w:pPr>
            <w:hyperlink w:anchor="page247">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w:anchor="page247">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1"/>
          </w:tcPr>
          <w:p>
            <w:pPr>
              <w:spacing w:after="0"/>
              <w:rPr>
                <w:sz w:val="10"/>
                <w:szCs w:val="10"/>
                <w:color w:val="auto"/>
              </w:rPr>
            </w:pPr>
          </w:p>
        </w:tc>
        <w:tc>
          <w:tcPr>
            <w:tcW w:w="180" w:type="dxa"/>
            <w:vAlign w:val="bottom"/>
            <w:gridSpan w:val="6"/>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10.131††#</w:t>
            </w:r>
          </w:p>
        </w:tc>
        <w:tc>
          <w:tcPr>
            <w:tcW w:w="494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w:anchor="page249">
              <w:r>
                <w:rPr>
                  <w:rFonts w:ascii="Times New Roman" w:cs="Times New Roman" w:eastAsia="Times New Roman" w:hAnsi="Times New Roman"/>
                  <w:sz w:val="12"/>
                  <w:szCs w:val="12"/>
                  <w:color w:val="0000EE"/>
                  <w:w w:val="99"/>
                </w:rPr>
                <w:t>Amendment (to amend the Amendment dated December 16, 2011) to the Index License Agreement for</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4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w:anchor="page249">
              <w:r>
                <w:rPr>
                  <w:rFonts w:ascii="Times New Roman" w:cs="Times New Roman" w:eastAsia="Times New Roman" w:hAnsi="Times New Roman"/>
                  <w:sz w:val="12"/>
                  <w:szCs w:val="12"/>
                  <w:color w:val="0000EE"/>
                  <w:w w:val="99"/>
                </w:rPr>
                <w:t>Funds, dated as of April 12, 2016, by and between MSCI Inc. (formerly, Morgan Stanley Capital</w:t>
              </w:r>
            </w:hyperlink>
          </w:p>
        </w:tc>
        <w:tc>
          <w:tcPr>
            <w:tcW w:w="300" w:type="dxa"/>
            <w:vAlign w:val="bottom"/>
            <w:gridSpan w:val="8"/>
          </w:tcPr>
          <w:p>
            <w:pPr>
              <w:spacing w:after="0"/>
              <w:rPr>
                <w:sz w:val="10"/>
                <w:szCs w:val="10"/>
                <w:color w:val="auto"/>
              </w:rPr>
            </w:pPr>
          </w:p>
        </w:tc>
      </w:tr>
      <w:tr>
        <w:trPr>
          <w:trHeight w:val="140"/>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40" w:type="dxa"/>
            <w:vAlign w:val="bottom"/>
            <w:gridSpan w:val="20"/>
          </w:tcPr>
          <w:p>
            <w:pPr>
              <w:spacing w:after="0"/>
              <w:rPr>
                <w:rFonts w:ascii="Times New Roman" w:cs="Times New Roman" w:eastAsia="Times New Roman" w:hAnsi="Times New Roman"/>
                <w:sz w:val="12"/>
                <w:szCs w:val="12"/>
                <w:u w:val="single" w:color="auto"/>
                <w:color w:val="0000EE"/>
              </w:rPr>
            </w:pPr>
            <w:hyperlink w:anchor="page249">
              <w:r>
                <w:rPr>
                  <w:rFonts w:ascii="Times New Roman" w:cs="Times New Roman" w:eastAsia="Times New Roman" w:hAnsi="Times New Roman"/>
                  <w:sz w:val="12"/>
                  <w:szCs w:val="12"/>
                  <w:u w:val="single" w:color="auto"/>
                  <w:color w:val="0000EE"/>
                </w:rPr>
                <w:t>International Inc.) and BlackRock Fund Advisors (as successor to Barclays Global Investors, N.A.)</w:t>
              </w:r>
            </w:hyperlink>
          </w:p>
        </w:tc>
      </w:tr>
      <w:tr>
        <w:trPr>
          <w:trHeight w:val="144"/>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10.132*</w:t>
            </w:r>
          </w:p>
        </w:tc>
        <w:tc>
          <w:tcPr>
            <w:tcW w:w="4940" w:type="dxa"/>
            <w:vAlign w:val="bottom"/>
            <w:gridSpan w:val="20"/>
          </w:tcPr>
          <w:p>
            <w:pPr>
              <w:spacing w:after="0"/>
              <w:rPr>
                <w:rFonts w:ascii="Times New Roman" w:cs="Times New Roman" w:eastAsia="Times New Roman" w:hAnsi="Times New Roman"/>
                <w:sz w:val="12"/>
                <w:szCs w:val="12"/>
                <w:u w:val="single" w:color="auto"/>
                <w:color w:val="0000EE"/>
              </w:rPr>
            </w:pPr>
            <w:hyperlink r:id="rId177">
              <w:r>
                <w:rPr>
                  <w:rFonts w:ascii="Times New Roman" w:cs="Times New Roman" w:eastAsia="Times New Roman" w:hAnsi="Times New Roman"/>
                  <w:sz w:val="12"/>
                  <w:szCs w:val="12"/>
                  <w:u w:val="single" w:color="auto"/>
                  <w:color w:val="0000EE"/>
                </w:rPr>
                <w:t>MSCI Inc. 2016 Omnibus Incentive Plan</w:t>
              </w:r>
            </w:hyperlink>
          </w:p>
        </w:tc>
      </w:tr>
      <w:tr>
        <w:trPr>
          <w:trHeight w:val="155"/>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10.133*</w:t>
            </w:r>
          </w:p>
        </w:tc>
        <w:tc>
          <w:tcPr>
            <w:tcW w:w="4940" w:type="dxa"/>
            <w:vAlign w:val="bottom"/>
            <w:gridSpan w:val="20"/>
          </w:tcPr>
          <w:p>
            <w:pPr>
              <w:spacing w:after="0"/>
              <w:rPr>
                <w:rFonts w:ascii="Times New Roman" w:cs="Times New Roman" w:eastAsia="Times New Roman" w:hAnsi="Times New Roman"/>
                <w:sz w:val="12"/>
                <w:szCs w:val="12"/>
                <w:u w:val="single" w:color="auto"/>
                <w:color w:val="0000EE"/>
              </w:rPr>
            </w:pPr>
            <w:hyperlink r:id="rId178">
              <w:r>
                <w:rPr>
                  <w:rFonts w:ascii="Times New Roman" w:cs="Times New Roman" w:eastAsia="Times New Roman" w:hAnsi="Times New Roman"/>
                  <w:sz w:val="12"/>
                  <w:szCs w:val="12"/>
                  <w:u w:val="single" w:color="auto"/>
                  <w:color w:val="0000EE"/>
                </w:rPr>
                <w:t>MSCI Inc. 2016 Non-Employee Directors Compensation Plan, as amended</w:t>
              </w:r>
            </w:hyperlink>
          </w:p>
        </w:tc>
      </w:tr>
      <w:tr>
        <w:trPr>
          <w:trHeight w:val="288"/>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60" w:type="dxa"/>
            <w:vAlign w:val="bottom"/>
            <w:gridSpan w:val="7"/>
          </w:tcPr>
          <w:p>
            <w:pPr>
              <w:ind w:left="3640"/>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45720</wp:posOffset>
            </wp:positionV>
            <wp:extent cx="7178040"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File No.</w:t>
            </w:r>
          </w:p>
        </w:tc>
        <w:tc>
          <w:tcPr>
            <w:tcW w:w="7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Exhibit No.</w:t>
            </w:r>
          </w:p>
        </w:tc>
        <w:tc>
          <w:tcPr>
            <w:tcW w:w="380" w:type="dxa"/>
            <w:vAlign w:val="bottom"/>
          </w:tcPr>
          <w:p>
            <w:pPr>
              <w:spacing w:after="0"/>
              <w:rPr>
                <w:sz w:val="8"/>
                <w:szCs w:val="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57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7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76"/>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10.126</w:t>
            </w:r>
          </w:p>
        </w:tc>
        <w:tc>
          <w:tcPr>
            <w:tcW w:w="30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2/26/2016</w:t>
            </w: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S-8</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w w:val="99"/>
              </w:rPr>
              <w:t>333-210987</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3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04/28/2016</w:t>
            </w:r>
          </w:p>
        </w:tc>
      </w:tr>
      <w:tr>
        <w:trPr>
          <w:trHeight w:val="155"/>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10.3</w:t>
            </w:r>
          </w:p>
        </w:tc>
        <w:tc>
          <w:tcPr>
            <w:tcW w:w="3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5/5/2017</w:t>
            </w:r>
          </w:p>
        </w:tc>
        <w:tc>
          <w:tcPr>
            <w:tcW w:w="40" w:type="dxa"/>
            <w:vAlign w:val="bottom"/>
          </w:tcPr>
          <w:p>
            <w:pPr>
              <w:spacing w:after="0"/>
              <w:rPr>
                <w:sz w:val="13"/>
                <w:szCs w:val="13"/>
                <w:color w:val="auto"/>
              </w:rPr>
            </w:pPr>
          </w:p>
        </w:tc>
      </w:tr>
    </w:tbl>
    <w:p>
      <w:pPr>
        <w:sectPr>
          <w:pgSz w:w="11900" w:h="16838" w:orient="portrait"/>
          <w:cols w:equalWidth="0" w:num="2">
            <w:col w:w="6160" w:space="400"/>
            <w:col w:w="3620"/>
          </w:cols>
          <w:pgMar w:left="1000" w:top="268" w:right="71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0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10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40" w:type="dxa"/>
            <w:vAlign w:val="bottom"/>
            <w:gridSpan w:val="14"/>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8"/>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10.135*</w:t>
            </w:r>
          </w:p>
        </w:tc>
        <w:tc>
          <w:tcPr>
            <w:tcW w:w="4940" w:type="dxa"/>
            <w:vAlign w:val="bottom"/>
            <w:gridSpan w:val="16"/>
          </w:tcPr>
          <w:p>
            <w:pPr>
              <w:spacing w:after="0"/>
              <w:rPr>
                <w:rFonts w:ascii="Times New Roman" w:cs="Times New Roman" w:eastAsia="Times New Roman" w:hAnsi="Times New Roman"/>
                <w:sz w:val="12"/>
                <w:szCs w:val="12"/>
                <w:u w:val="single" w:color="auto"/>
                <w:color w:val="0000EE"/>
              </w:rPr>
            </w:pPr>
            <w:hyperlink r:id="rId180">
              <w:r>
                <w:rPr>
                  <w:rFonts w:ascii="Times New Roman" w:cs="Times New Roman" w:eastAsia="Times New Roman" w:hAnsi="Times New Roman"/>
                  <w:sz w:val="12"/>
                  <w:szCs w:val="12"/>
                  <w:u w:val="single" w:color="auto"/>
                  <w:color w:val="0000EE"/>
                </w:rPr>
                <w:t>Non-Employee Director Stock Ownership Guidelines</w:t>
              </w:r>
            </w:hyperlink>
          </w:p>
        </w:tc>
      </w:tr>
      <w:tr>
        <w:trPr>
          <w:trHeight w:val="144"/>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10.136*</w:t>
            </w:r>
          </w:p>
        </w:tc>
        <w:tc>
          <w:tcPr>
            <w:tcW w:w="4940" w:type="dxa"/>
            <w:vAlign w:val="bottom"/>
            <w:gridSpan w:val="16"/>
          </w:tcPr>
          <w:p>
            <w:pPr>
              <w:spacing w:after="0"/>
              <w:rPr>
                <w:rFonts w:ascii="Times New Roman" w:cs="Times New Roman" w:eastAsia="Times New Roman" w:hAnsi="Times New Roman"/>
                <w:sz w:val="12"/>
                <w:szCs w:val="12"/>
                <w:u w:val="single" w:color="auto"/>
                <w:color w:val="0000EE"/>
              </w:rPr>
            </w:pPr>
            <w:hyperlink r:id="rId181">
              <w:r>
                <w:rPr>
                  <w:rFonts w:ascii="Times New Roman" w:cs="Times New Roman" w:eastAsia="Times New Roman" w:hAnsi="Times New Roman"/>
                  <w:sz w:val="12"/>
                  <w:szCs w:val="12"/>
                  <w:u w:val="single" w:color="auto"/>
                  <w:color w:val="0000EE"/>
                </w:rPr>
                <w:t>MSCI Inc. Non-Employee Director Deferral Plan, as amended</w:t>
              </w:r>
            </w:hyperlink>
          </w:p>
        </w:tc>
      </w:tr>
      <w:tr>
        <w:trPr>
          <w:trHeight w:val="128"/>
        </w:trPr>
        <w:tc>
          <w:tcPr>
            <w:tcW w:w="1220" w:type="dxa"/>
            <w:vAlign w:val="bottom"/>
            <w:gridSpan w:val="3"/>
          </w:tcPr>
          <w:p>
            <w:pPr>
              <w:jc w:val="center"/>
              <w:ind w:right="720"/>
              <w:spacing w:after="0" w:line="128" w:lineRule="exact"/>
              <w:rPr>
                <w:sz w:val="20"/>
                <w:szCs w:val="20"/>
                <w:color w:val="auto"/>
              </w:rPr>
            </w:pPr>
            <w:r>
              <w:rPr>
                <w:rFonts w:ascii="Times New Roman" w:cs="Times New Roman" w:eastAsia="Times New Roman" w:hAnsi="Times New Roman"/>
                <w:sz w:val="12"/>
                <w:szCs w:val="12"/>
                <w:color w:val="auto"/>
                <w:w w:val="97"/>
              </w:rPr>
              <w:t>10.140††#</w:t>
            </w:r>
          </w:p>
        </w:tc>
        <w:tc>
          <w:tcPr>
            <w:tcW w:w="4780" w:type="dxa"/>
            <w:vAlign w:val="bottom"/>
            <w:tcBorders>
              <w:bottom w:val="single" w:sz="8" w:color="0000EE"/>
            </w:tcBorders>
            <w:gridSpan w:val="10"/>
          </w:tcPr>
          <w:p>
            <w:pPr>
              <w:spacing w:after="0" w:line="128" w:lineRule="exact"/>
              <w:rPr>
                <w:rFonts w:ascii="Times New Roman" w:cs="Times New Roman" w:eastAsia="Times New Roman" w:hAnsi="Times New Roman"/>
                <w:sz w:val="12"/>
                <w:szCs w:val="12"/>
                <w:color w:val="0000EE"/>
                <w:w w:val="99"/>
              </w:rPr>
            </w:pPr>
            <w:hyperlink w:anchor="page251">
              <w:r>
                <w:rPr>
                  <w:rFonts w:ascii="Times New Roman" w:cs="Times New Roman" w:eastAsia="Times New Roman" w:hAnsi="Times New Roman"/>
                  <w:sz w:val="12"/>
                  <w:szCs w:val="12"/>
                  <w:color w:val="0000EE"/>
                  <w:w w:val="99"/>
                </w:rPr>
                <w:t>Amendment to the Index License Agreement for Funds, dated as of April 29, 2016, by and between</w:t>
              </w:r>
            </w:hyperlink>
          </w:p>
        </w:tc>
        <w:tc>
          <w:tcPr>
            <w:tcW w:w="160" w:type="dxa"/>
            <w:vAlign w:val="bottom"/>
            <w:gridSpan w:val="6"/>
          </w:tcPr>
          <w:p>
            <w:pPr>
              <w:spacing w:after="0"/>
              <w:rPr>
                <w:sz w:val="11"/>
                <w:szCs w:val="1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251">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w:anchor="page251">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7"/>
          </w:tcPr>
          <w:p>
            <w:pPr>
              <w:spacing w:after="0"/>
              <w:rPr>
                <w:sz w:val="10"/>
                <w:szCs w:val="10"/>
                <w:color w:val="auto"/>
              </w:rPr>
            </w:pPr>
          </w:p>
        </w:tc>
        <w:tc>
          <w:tcPr>
            <w:tcW w:w="180" w:type="dxa"/>
            <w:vAlign w:val="bottom"/>
            <w:gridSpan w:val="7"/>
          </w:tcPr>
          <w:p>
            <w:pPr>
              <w:spacing w:after="0"/>
              <w:rPr>
                <w:sz w:val="10"/>
                <w:szCs w:val="10"/>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6"/>
              </w:rPr>
              <w:t>10.141</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r:id="rId182">
              <w:r>
                <w:rPr>
                  <w:rFonts w:ascii="Times New Roman" w:cs="Times New Roman" w:eastAsia="Times New Roman" w:hAnsi="Times New Roman"/>
                  <w:sz w:val="12"/>
                  <w:szCs w:val="12"/>
                  <w:color w:val="0000EE"/>
                </w:rPr>
                <w:t>Amendment to the Schedules to the Index License Agreement for Funds, dated as of May 4, 2016, by</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60" w:type="dxa"/>
            <w:vAlign w:val="bottom"/>
            <w:tcBorders>
              <w:top w:val="single" w:sz="8" w:color="0000EE"/>
            </w:tcBorders>
            <w:gridSpan w:val="12"/>
          </w:tcPr>
          <w:p>
            <w:pPr>
              <w:spacing w:after="0" w:line="124" w:lineRule="exact"/>
              <w:rPr>
                <w:rFonts w:ascii="Times New Roman" w:cs="Times New Roman" w:eastAsia="Times New Roman" w:hAnsi="Times New Roman"/>
                <w:sz w:val="12"/>
                <w:szCs w:val="12"/>
                <w:color w:val="0000EE"/>
              </w:rPr>
            </w:pPr>
            <w:hyperlink r:id="rId182">
              <w:r>
                <w:rPr>
                  <w:rFonts w:ascii="Times New Roman" w:cs="Times New Roman" w:eastAsia="Times New Roman" w:hAnsi="Times New Roman"/>
                  <w:sz w:val="12"/>
                  <w:szCs w:val="12"/>
                  <w:color w:val="0000EE"/>
                </w:rPr>
                <w:t>and between MSCI Inc. (formerly, Morgan Stanley Capital International Inc.) and BlackRock Fund</w:t>
              </w:r>
            </w:hyperlink>
          </w:p>
        </w:tc>
        <w:tc>
          <w:tcPr>
            <w:tcW w:w="80" w:type="dxa"/>
            <w:vAlign w:val="bottom"/>
            <w:gridSpan w:val="4"/>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60" w:type="dxa"/>
            <w:vAlign w:val="bottom"/>
            <w:tcBorders>
              <w:top w:val="single" w:sz="8" w:color="0000EE"/>
            </w:tcBorders>
            <w:gridSpan w:val="9"/>
          </w:tcPr>
          <w:p>
            <w:pPr>
              <w:spacing w:after="0" w:line="124" w:lineRule="exact"/>
              <w:rPr>
                <w:rFonts w:ascii="Times New Roman" w:cs="Times New Roman" w:eastAsia="Times New Roman" w:hAnsi="Times New Roman"/>
                <w:sz w:val="12"/>
                <w:szCs w:val="12"/>
                <w:color w:val="0000EE"/>
              </w:rPr>
            </w:pPr>
            <w:hyperlink r:id="rId182">
              <w:r>
                <w:rPr>
                  <w:rFonts w:ascii="Times New Roman" w:cs="Times New Roman" w:eastAsia="Times New Roman" w:hAnsi="Times New Roman"/>
                  <w:sz w:val="12"/>
                  <w:szCs w:val="12"/>
                  <w:color w:val="0000EE"/>
                </w:rPr>
                <w:t>Advisors (as successor to Barclays Global Investors, N.A.)</w:t>
              </w:r>
            </w:hyperlink>
          </w:p>
        </w:tc>
        <w:tc>
          <w:tcPr>
            <w:tcW w:w="180" w:type="dxa"/>
            <w:vAlign w:val="bottom"/>
            <w:gridSpan w:val="7"/>
          </w:tcPr>
          <w:p>
            <w:pPr>
              <w:spacing w:after="0"/>
              <w:rPr>
                <w:sz w:val="10"/>
                <w:szCs w:val="10"/>
                <w:color w:val="auto"/>
              </w:rPr>
            </w:pPr>
          </w:p>
        </w:tc>
      </w:tr>
      <w:tr>
        <w:trPr>
          <w:trHeight w:val="20"/>
        </w:trPr>
        <w:tc>
          <w:tcPr>
            <w:tcW w:w="1220" w:type="dxa"/>
            <w:vAlign w:val="bottom"/>
            <w:gridSpan w:val="3"/>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10.142††#</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253">
              <w:r>
                <w:rPr>
                  <w:rFonts w:ascii="Times New Roman" w:cs="Times New Roman" w:eastAsia="Times New Roman" w:hAnsi="Times New Roman"/>
                  <w:sz w:val="12"/>
                  <w:szCs w:val="12"/>
                  <w:color w:val="0000EE"/>
                </w:rPr>
                <w:t>Amendment to the Index License Agreement for Funds, dated as of May 12, 2016, by and between</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253">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w:anchor="page253">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7"/>
          </w:tcPr>
          <w:p>
            <w:pPr>
              <w:spacing w:after="0"/>
              <w:rPr>
                <w:sz w:val="10"/>
                <w:szCs w:val="10"/>
                <w:color w:val="auto"/>
              </w:rPr>
            </w:pPr>
          </w:p>
        </w:tc>
        <w:tc>
          <w:tcPr>
            <w:tcW w:w="180" w:type="dxa"/>
            <w:vAlign w:val="bottom"/>
            <w:gridSpan w:val="7"/>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10.143††#</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255">
              <w:r>
                <w:rPr>
                  <w:rFonts w:ascii="Times New Roman" w:cs="Times New Roman" w:eastAsia="Times New Roman" w:hAnsi="Times New Roman"/>
                  <w:sz w:val="12"/>
                  <w:szCs w:val="12"/>
                  <w:color w:val="0000EE"/>
                </w:rPr>
                <w:t>Amendment to the Index License Agreement for Funds, dated as of June 15, 2016, by and between</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255">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w:anchor="page255">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7"/>
          </w:tcPr>
          <w:p>
            <w:pPr>
              <w:spacing w:after="0"/>
              <w:rPr>
                <w:sz w:val="10"/>
                <w:szCs w:val="10"/>
                <w:color w:val="auto"/>
              </w:rPr>
            </w:pPr>
          </w:p>
        </w:tc>
        <w:tc>
          <w:tcPr>
            <w:tcW w:w="180" w:type="dxa"/>
            <w:vAlign w:val="bottom"/>
            <w:gridSpan w:val="7"/>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10.144††#</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257">
              <w:r>
                <w:rPr>
                  <w:rFonts w:ascii="Times New Roman" w:cs="Times New Roman" w:eastAsia="Times New Roman" w:hAnsi="Times New Roman"/>
                  <w:sz w:val="12"/>
                  <w:szCs w:val="12"/>
                  <w:color w:val="0000EE"/>
                </w:rPr>
                <w:t>Amendment (to amend the Amendment dated February 29, 2016) to the Index License Agreement for</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80" w:type="dxa"/>
            <w:vAlign w:val="bottom"/>
            <w:tcBorders>
              <w:top w:val="single" w:sz="8" w:color="0000EE"/>
            </w:tcBorders>
            <w:gridSpan w:val="13"/>
          </w:tcPr>
          <w:p>
            <w:pPr>
              <w:spacing w:after="0" w:line="124" w:lineRule="exact"/>
              <w:rPr>
                <w:rFonts w:ascii="Times New Roman" w:cs="Times New Roman" w:eastAsia="Times New Roman" w:hAnsi="Times New Roman"/>
                <w:sz w:val="12"/>
                <w:szCs w:val="12"/>
                <w:color w:val="0000EE"/>
              </w:rPr>
            </w:pPr>
            <w:hyperlink w:anchor="page257">
              <w:r>
                <w:rPr>
                  <w:rFonts w:ascii="Times New Roman" w:cs="Times New Roman" w:eastAsia="Times New Roman" w:hAnsi="Times New Roman"/>
                  <w:sz w:val="12"/>
                  <w:szCs w:val="12"/>
                  <w:color w:val="0000EE"/>
                </w:rPr>
                <w:t>Funds, dated as of July 21, 2016, by and between MSCI Inc. (formerly, Morgan Stanley Capital</w:t>
              </w:r>
            </w:hyperlink>
          </w:p>
        </w:tc>
        <w:tc>
          <w:tcPr>
            <w:tcW w:w="60" w:type="dxa"/>
            <w:vAlign w:val="bottom"/>
            <w:gridSpan w:val="3"/>
          </w:tcPr>
          <w:p>
            <w:pPr>
              <w:spacing w:after="0"/>
              <w:rPr>
                <w:sz w:val="10"/>
                <w:szCs w:val="10"/>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40" w:type="dxa"/>
            <w:vAlign w:val="bottom"/>
            <w:gridSpan w:val="16"/>
          </w:tcPr>
          <w:p>
            <w:pPr>
              <w:spacing w:after="0"/>
              <w:rPr>
                <w:rFonts w:ascii="Times New Roman" w:cs="Times New Roman" w:eastAsia="Times New Roman" w:hAnsi="Times New Roman"/>
                <w:sz w:val="12"/>
                <w:szCs w:val="12"/>
                <w:u w:val="single" w:color="auto"/>
                <w:color w:val="0000EE"/>
              </w:rPr>
            </w:pPr>
            <w:hyperlink w:anchor="page257">
              <w:r>
                <w:rPr>
                  <w:rFonts w:ascii="Times New Roman" w:cs="Times New Roman" w:eastAsia="Times New Roman" w:hAnsi="Times New Roman"/>
                  <w:sz w:val="12"/>
                  <w:szCs w:val="12"/>
                  <w:u w:val="single" w:color="auto"/>
                  <w:color w:val="0000EE"/>
                </w:rPr>
                <w:t>International Inc.) and BlackRock Fund Advisors (as successor to Barclays Global Investors, N.A.)</w:t>
              </w:r>
            </w:hyperlink>
          </w:p>
        </w:tc>
      </w:tr>
      <w:tr>
        <w:trPr>
          <w:trHeight w:val="128"/>
        </w:trPr>
        <w:tc>
          <w:tcPr>
            <w:tcW w:w="1220" w:type="dxa"/>
            <w:vAlign w:val="bottom"/>
            <w:gridSpan w:val="3"/>
          </w:tcPr>
          <w:p>
            <w:pPr>
              <w:jc w:val="center"/>
              <w:ind w:right="720"/>
              <w:spacing w:after="0" w:line="128" w:lineRule="exact"/>
              <w:rPr>
                <w:sz w:val="20"/>
                <w:szCs w:val="20"/>
                <w:color w:val="auto"/>
              </w:rPr>
            </w:pPr>
            <w:r>
              <w:rPr>
                <w:rFonts w:ascii="Times New Roman" w:cs="Times New Roman" w:eastAsia="Times New Roman" w:hAnsi="Times New Roman"/>
                <w:sz w:val="12"/>
                <w:szCs w:val="12"/>
                <w:color w:val="auto"/>
                <w:w w:val="97"/>
              </w:rPr>
              <w:t>10.146††#</w:t>
            </w:r>
          </w:p>
        </w:tc>
        <w:tc>
          <w:tcPr>
            <w:tcW w:w="4820" w:type="dxa"/>
            <w:vAlign w:val="bottom"/>
            <w:tcBorders>
              <w:bottom w:val="single" w:sz="8" w:color="0000EE"/>
            </w:tcBorders>
            <w:gridSpan w:val="11"/>
          </w:tcPr>
          <w:p>
            <w:pPr>
              <w:spacing w:after="0" w:line="128" w:lineRule="exact"/>
              <w:rPr>
                <w:rFonts w:ascii="Times New Roman" w:cs="Times New Roman" w:eastAsia="Times New Roman" w:hAnsi="Times New Roman"/>
                <w:sz w:val="12"/>
                <w:szCs w:val="12"/>
                <w:color w:val="0000EE"/>
                <w:w w:val="99"/>
              </w:rPr>
            </w:pPr>
            <w:hyperlink w:anchor="page260">
              <w:r>
                <w:rPr>
                  <w:rFonts w:ascii="Times New Roman" w:cs="Times New Roman" w:eastAsia="Times New Roman" w:hAnsi="Times New Roman"/>
                  <w:sz w:val="12"/>
                  <w:szCs w:val="12"/>
                  <w:color w:val="0000EE"/>
                  <w:w w:val="99"/>
                </w:rPr>
                <w:t>Amendment to the Index License Agreement for Funds, dated as of August 1, 2016, by and between</w:t>
              </w:r>
            </w:hyperlink>
          </w:p>
        </w:tc>
        <w:tc>
          <w:tcPr>
            <w:tcW w:w="120" w:type="dxa"/>
            <w:vAlign w:val="bottom"/>
            <w:gridSpan w:val="5"/>
          </w:tcPr>
          <w:p>
            <w:pPr>
              <w:spacing w:after="0"/>
              <w:rPr>
                <w:sz w:val="11"/>
                <w:szCs w:val="1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260">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w:anchor="page260">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7"/>
          </w:tcPr>
          <w:p>
            <w:pPr>
              <w:spacing w:after="0"/>
              <w:rPr>
                <w:sz w:val="10"/>
                <w:szCs w:val="10"/>
                <w:color w:val="auto"/>
              </w:rPr>
            </w:pPr>
          </w:p>
        </w:tc>
        <w:tc>
          <w:tcPr>
            <w:tcW w:w="180" w:type="dxa"/>
            <w:vAlign w:val="bottom"/>
            <w:gridSpan w:val="7"/>
          </w:tcPr>
          <w:p>
            <w:pPr>
              <w:spacing w:after="0"/>
              <w:rPr>
                <w:sz w:val="10"/>
                <w:szCs w:val="10"/>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6"/>
              </w:rPr>
              <w:t>10.147</w:t>
            </w:r>
          </w:p>
        </w:tc>
        <w:tc>
          <w:tcPr>
            <w:tcW w:w="490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83">
              <w:r>
                <w:rPr>
                  <w:rFonts w:ascii="Times New Roman" w:cs="Times New Roman" w:eastAsia="Times New Roman" w:hAnsi="Times New Roman"/>
                  <w:sz w:val="12"/>
                  <w:szCs w:val="12"/>
                  <w:color w:val="0000EE"/>
                  <w:w w:val="99"/>
                </w:rPr>
                <w:t>Amendment No. 1 to the Revolving Credit Agreement, dated August 4, 2016, among MSCI Inc., each</w:t>
              </w:r>
            </w:hyperlink>
          </w:p>
        </w:tc>
        <w:tc>
          <w:tcPr>
            <w:tcW w:w="40" w:type="dxa"/>
            <w:vAlign w:val="bottom"/>
            <w:gridSpan w:val="2"/>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r:id="rId183">
              <w:r>
                <w:rPr>
                  <w:rFonts w:ascii="Times New Roman" w:cs="Times New Roman" w:eastAsia="Times New Roman" w:hAnsi="Times New Roman"/>
                  <w:sz w:val="12"/>
                  <w:szCs w:val="12"/>
                  <w:color w:val="0000EE"/>
                </w:rPr>
                <w:t>of the Guarantors party thereto, the Lenders party thereto and JPMorgan Chase Bank, N.A.,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80" w:type="dxa"/>
            <w:vAlign w:val="bottom"/>
            <w:tcBorders>
              <w:top w:val="single" w:sz="8" w:color="0000EE"/>
            </w:tcBorders>
            <w:gridSpan w:val="7"/>
          </w:tcPr>
          <w:p>
            <w:pPr>
              <w:spacing w:after="0" w:line="124" w:lineRule="exact"/>
              <w:rPr>
                <w:rFonts w:ascii="Times New Roman" w:cs="Times New Roman" w:eastAsia="Times New Roman" w:hAnsi="Times New Roman"/>
                <w:sz w:val="12"/>
                <w:szCs w:val="12"/>
                <w:color w:val="0000EE"/>
              </w:rPr>
            </w:pPr>
            <w:hyperlink r:id="rId183">
              <w:r>
                <w:rPr>
                  <w:rFonts w:ascii="Times New Roman" w:cs="Times New Roman" w:eastAsia="Times New Roman" w:hAnsi="Times New Roman"/>
                  <w:sz w:val="12"/>
                  <w:szCs w:val="12"/>
                  <w:color w:val="0000EE"/>
                </w:rPr>
                <w:t>Administrative Agent</w:t>
              </w:r>
            </w:hyperlink>
          </w:p>
        </w:tc>
        <w:tc>
          <w:tcPr>
            <w:tcW w:w="360" w:type="dxa"/>
            <w:vAlign w:val="bottom"/>
            <w:gridSpan w:val="9"/>
          </w:tcPr>
          <w:p>
            <w:pPr>
              <w:spacing w:after="0"/>
              <w:rPr>
                <w:sz w:val="10"/>
                <w:szCs w:val="10"/>
                <w:color w:val="auto"/>
              </w:rPr>
            </w:pPr>
          </w:p>
        </w:tc>
      </w:tr>
      <w:tr>
        <w:trPr>
          <w:trHeight w:val="20"/>
        </w:trPr>
        <w:tc>
          <w:tcPr>
            <w:tcW w:w="1220" w:type="dxa"/>
            <w:vAlign w:val="bottom"/>
            <w:gridSpan w:val="3"/>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10.148††#</w:t>
            </w:r>
          </w:p>
        </w:tc>
        <w:tc>
          <w:tcPr>
            <w:tcW w:w="492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w:anchor="page262">
              <w:r>
                <w:rPr>
                  <w:rFonts w:ascii="Times New Roman" w:cs="Times New Roman" w:eastAsia="Times New Roman" w:hAnsi="Times New Roman"/>
                  <w:sz w:val="12"/>
                  <w:szCs w:val="12"/>
                  <w:color w:val="0000EE"/>
                  <w:w w:val="99"/>
                </w:rPr>
                <w:t>Amendment to the Index License Agreement for Funds, dated as of October 12, 2016, by and between</w:t>
              </w:r>
            </w:hyperlink>
          </w:p>
        </w:tc>
        <w:tc>
          <w:tcPr>
            <w:tcW w:w="20" w:type="dxa"/>
            <w:vAlign w:val="bottom"/>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w:anchor="page262">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w:anchor="page262">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7"/>
          </w:tcPr>
          <w:p>
            <w:pPr>
              <w:spacing w:after="0"/>
              <w:rPr>
                <w:sz w:val="10"/>
                <w:szCs w:val="10"/>
                <w:color w:val="auto"/>
              </w:rPr>
            </w:pPr>
          </w:p>
        </w:tc>
        <w:tc>
          <w:tcPr>
            <w:tcW w:w="180" w:type="dxa"/>
            <w:vAlign w:val="bottom"/>
            <w:gridSpan w:val="7"/>
          </w:tcPr>
          <w:p>
            <w:pPr>
              <w:spacing w:after="0"/>
              <w:rPr>
                <w:sz w:val="10"/>
                <w:szCs w:val="10"/>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6"/>
              </w:rPr>
              <w:t>10.149</w:t>
            </w:r>
          </w:p>
        </w:tc>
        <w:tc>
          <w:tcPr>
            <w:tcW w:w="4940" w:type="dxa"/>
            <w:vAlign w:val="bottom"/>
            <w:gridSpan w:val="16"/>
          </w:tcPr>
          <w:p>
            <w:pPr>
              <w:spacing w:after="0" w:line="124" w:lineRule="exact"/>
              <w:rPr>
                <w:rFonts w:ascii="Times New Roman" w:cs="Times New Roman" w:eastAsia="Times New Roman" w:hAnsi="Times New Roman"/>
                <w:sz w:val="12"/>
                <w:szCs w:val="12"/>
                <w:color w:val="0000EE"/>
              </w:rPr>
            </w:pPr>
            <w:hyperlink r:id="rId184">
              <w:r>
                <w:rPr>
                  <w:rFonts w:ascii="Times New Roman" w:cs="Times New Roman" w:eastAsia="Times New Roman" w:hAnsi="Times New Roman"/>
                  <w:sz w:val="12"/>
                  <w:szCs w:val="12"/>
                  <w:color w:val="0000EE"/>
                </w:rPr>
                <w:t>Amendment to the Schedules to the Index License Agreement for Funds, dated as of November 30,</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gridSpan w:val="6"/>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r:id="rId184">
              <w:r>
                <w:rPr>
                  <w:rFonts w:ascii="Times New Roman" w:cs="Times New Roman" w:eastAsia="Times New Roman" w:hAnsi="Times New Roman"/>
                  <w:sz w:val="12"/>
                  <w:szCs w:val="12"/>
                  <w:color w:val="0000EE"/>
                  <w:w w:val="99"/>
                </w:rPr>
                <w:t>2016, by and between MSCI Inc. (formerly, Morgan Stanley Capital International Inc.) and BlackRock</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0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184">
              <w:r>
                <w:rPr>
                  <w:rFonts w:ascii="Times New Roman" w:cs="Times New Roman" w:eastAsia="Times New Roman" w:hAnsi="Times New Roman"/>
                  <w:sz w:val="12"/>
                  <w:szCs w:val="12"/>
                  <w:color w:val="0000EE"/>
                  <w:w w:val="99"/>
                </w:rPr>
                <w:t>Fund Advisors (as successor to Barclays Global Investors, N.A.)</w:t>
              </w:r>
            </w:hyperlink>
          </w:p>
        </w:tc>
        <w:tc>
          <w:tcPr>
            <w:tcW w:w="1840" w:type="dxa"/>
            <w:vAlign w:val="bottom"/>
            <w:gridSpan w:val="10"/>
          </w:tcPr>
          <w:p>
            <w:pPr>
              <w:spacing w:after="0"/>
              <w:rPr>
                <w:sz w:val="10"/>
                <w:szCs w:val="10"/>
                <w:color w:val="auto"/>
              </w:rPr>
            </w:pPr>
          </w:p>
        </w:tc>
      </w:tr>
      <w:tr>
        <w:trPr>
          <w:trHeight w:val="295"/>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7"/>
          </w:tcPr>
          <w:p>
            <w:pPr>
              <w:ind w:left="3640"/>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45720</wp:posOffset>
            </wp:positionV>
            <wp:extent cx="7178040"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60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Exhibit No.</w:t>
            </w:r>
          </w:p>
        </w:tc>
        <w:tc>
          <w:tcPr>
            <w:tcW w:w="360" w:type="dxa"/>
            <w:vAlign w:val="bottom"/>
          </w:tcPr>
          <w:p>
            <w:pPr>
              <w:spacing w:after="0"/>
              <w:rPr>
                <w:sz w:val="8"/>
                <w:szCs w:val="8"/>
                <w:color w:val="auto"/>
              </w:rPr>
            </w:pP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8"/>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10.8</w:t>
            </w:r>
          </w:p>
        </w:tc>
        <w:tc>
          <w:tcPr>
            <w:tcW w:w="320" w:type="dxa"/>
            <w:vAlign w:val="bottom"/>
          </w:tcPr>
          <w:p>
            <w:pPr>
              <w:spacing w:after="0"/>
              <w:rPr>
                <w:sz w:val="13"/>
                <w:szCs w:val="13"/>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4/29/2016</w:t>
            </w:r>
          </w:p>
        </w:tc>
      </w:tr>
      <w:tr>
        <w:trPr>
          <w:trHeight w:val="14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10.9</w:t>
            </w:r>
          </w:p>
        </w:tc>
        <w:tc>
          <w:tcPr>
            <w:tcW w:w="320" w:type="dxa"/>
            <w:vAlign w:val="bottom"/>
          </w:tcPr>
          <w:p>
            <w:pPr>
              <w:spacing w:after="0"/>
              <w:rPr>
                <w:sz w:val="12"/>
                <w:szCs w:val="12"/>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4/29/2016</w:t>
            </w: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10.141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2/24/2017</w:t>
            </w: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8/05/2016</w:t>
            </w: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10.149</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2/24/2017</w:t>
            </w:r>
          </w:p>
        </w:tc>
      </w:tr>
    </w:tbl>
    <w:p>
      <w:pPr>
        <w:sectPr>
          <w:pgSz w:w="11900" w:h="16838" w:orient="portrait"/>
          <w:cols w:equalWidth="0" w:num="2">
            <w:col w:w="6160" w:space="400"/>
            <w:col w:w="3600"/>
          </w:cols>
          <w:pgMar w:left="1000" w:top="268" w:right="7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0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10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16"/>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220" w:type="dxa"/>
            <w:vAlign w:val="bottom"/>
            <w:gridSpan w:val="3"/>
          </w:tcPr>
          <w:p>
            <w:pPr>
              <w:jc w:val="center"/>
              <w:ind w:right="720"/>
              <w:spacing w:after="0"/>
              <w:rPr>
                <w:sz w:val="20"/>
                <w:szCs w:val="20"/>
                <w:color w:val="auto"/>
              </w:rPr>
            </w:pPr>
            <w:r>
              <w:rPr>
                <w:rFonts w:ascii="Times New Roman" w:cs="Times New Roman" w:eastAsia="Times New Roman" w:hAnsi="Times New Roman"/>
                <w:sz w:val="12"/>
                <w:szCs w:val="12"/>
                <w:color w:val="auto"/>
                <w:w w:val="97"/>
              </w:rPr>
              <w:t>10.150††#</w:t>
            </w:r>
          </w:p>
        </w:tc>
        <w:tc>
          <w:tcPr>
            <w:tcW w:w="4940" w:type="dxa"/>
            <w:vAlign w:val="bottom"/>
            <w:gridSpan w:val="19"/>
          </w:tcPr>
          <w:p>
            <w:pPr>
              <w:spacing w:after="0"/>
              <w:rPr>
                <w:rFonts w:ascii="Times New Roman" w:cs="Times New Roman" w:eastAsia="Times New Roman" w:hAnsi="Times New Roman"/>
                <w:sz w:val="12"/>
                <w:szCs w:val="12"/>
                <w:color w:val="0000EE"/>
              </w:rPr>
            </w:pPr>
            <w:hyperlink w:anchor="page264">
              <w:r>
                <w:rPr>
                  <w:rFonts w:ascii="Times New Roman" w:cs="Times New Roman" w:eastAsia="Times New Roman" w:hAnsi="Times New Roman"/>
                  <w:sz w:val="12"/>
                  <w:szCs w:val="12"/>
                  <w:color w:val="0000EE"/>
                </w:rPr>
                <w:t>Amendment to the Index License Agreement for Funds, dated as of December 5, 2016, by and</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8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w:anchor="page264">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360" w:type="dxa"/>
            <w:vAlign w:val="bottom"/>
            <w:gridSpan w:val="8"/>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w:anchor="page264">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220" w:type="dxa"/>
            <w:vAlign w:val="bottom"/>
            <w:gridSpan w:val="3"/>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rPr>
              <w:t>10.154†</w:t>
            </w:r>
          </w:p>
        </w:tc>
        <w:tc>
          <w:tcPr>
            <w:tcW w:w="488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rPr>
            </w:pPr>
            <w:hyperlink r:id="rId186">
              <w:r>
                <w:rPr>
                  <w:rFonts w:ascii="Times New Roman" w:cs="Times New Roman" w:eastAsia="Times New Roman" w:hAnsi="Times New Roman"/>
                  <w:sz w:val="12"/>
                  <w:szCs w:val="12"/>
                  <w:color w:val="0000EE"/>
                </w:rPr>
                <w:t>Amendment to a Schedule to the Index License Agreement for Funds, dated as of December 8, 2016,</w:t>
              </w:r>
            </w:hyperlink>
          </w:p>
        </w:tc>
        <w:tc>
          <w:tcPr>
            <w:tcW w:w="60" w:type="dxa"/>
            <w:vAlign w:val="bottom"/>
            <w:gridSpan w:val="2"/>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tcBorders>
              <w:bottom w:val="single" w:sz="8" w:color="0000EE"/>
            </w:tcBorders>
            <w:gridSpan w:val="18"/>
          </w:tcPr>
          <w:p>
            <w:pPr>
              <w:spacing w:after="0" w:line="124" w:lineRule="exact"/>
              <w:rPr>
                <w:rFonts w:ascii="Times New Roman" w:cs="Times New Roman" w:eastAsia="Times New Roman" w:hAnsi="Times New Roman"/>
                <w:sz w:val="12"/>
                <w:szCs w:val="12"/>
                <w:color w:val="0000EE"/>
                <w:w w:val="99"/>
              </w:rPr>
            </w:pPr>
            <w:hyperlink r:id="rId186">
              <w:r>
                <w:rPr>
                  <w:rFonts w:ascii="Times New Roman" w:cs="Times New Roman" w:eastAsia="Times New Roman" w:hAnsi="Times New Roman"/>
                  <w:sz w:val="12"/>
                  <w:szCs w:val="12"/>
                  <w:color w:val="0000EE"/>
                  <w:w w:val="99"/>
                </w:rPr>
                <w:t>by and between MSCI Inc. (formerly, Morgan Stanley Capital International Inc.) and BlackRock Fund</w:t>
              </w:r>
            </w:hyperlink>
          </w:p>
        </w:tc>
        <w:tc>
          <w:tcPr>
            <w:tcW w:w="20" w:type="dxa"/>
            <w:vAlign w:val="bottom"/>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86">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220" w:type="dxa"/>
            <w:vAlign w:val="bottom"/>
            <w:gridSpan w:val="3"/>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rPr>
              <w:t>10.155†</w:t>
            </w: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87">
              <w:r>
                <w:rPr>
                  <w:rFonts w:ascii="Times New Roman" w:cs="Times New Roman" w:eastAsia="Times New Roman" w:hAnsi="Times New Roman"/>
                  <w:sz w:val="12"/>
                  <w:szCs w:val="12"/>
                  <w:color w:val="0000EE"/>
                </w:rPr>
                <w:t>Amendment to the Index License Agreement for Funds, dated as of February 10, 2017, by and</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8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187">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360" w:type="dxa"/>
            <w:vAlign w:val="bottom"/>
            <w:gridSpan w:val="8"/>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87">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220" w:type="dxa"/>
            <w:vAlign w:val="bottom"/>
            <w:gridSpan w:val="3"/>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rPr>
              <w:t>10.156†</w:t>
            </w: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88">
              <w:r>
                <w:rPr>
                  <w:rFonts w:ascii="Times New Roman" w:cs="Times New Roman" w:eastAsia="Times New Roman" w:hAnsi="Times New Roman"/>
                  <w:sz w:val="12"/>
                  <w:szCs w:val="12"/>
                  <w:color w:val="0000EE"/>
                </w:rPr>
                <w:t>Amendment No. 1 to the Index License Agreement for Funds, dated as of April 6, 2017, by and</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80" w:type="dxa"/>
            <w:vAlign w:val="bottom"/>
            <w:tcBorders>
              <w:top w:val="single" w:sz="8" w:color="0000EE"/>
            </w:tcBorders>
            <w:gridSpan w:val="11"/>
          </w:tcPr>
          <w:p>
            <w:pPr>
              <w:spacing w:after="0" w:line="124" w:lineRule="exact"/>
              <w:rPr>
                <w:rFonts w:ascii="Times New Roman" w:cs="Times New Roman" w:eastAsia="Times New Roman" w:hAnsi="Times New Roman"/>
                <w:sz w:val="12"/>
                <w:szCs w:val="12"/>
                <w:color w:val="0000EE"/>
              </w:rPr>
            </w:pPr>
            <w:hyperlink r:id="rId188">
              <w:r>
                <w:rPr>
                  <w:rFonts w:ascii="Times New Roman" w:cs="Times New Roman" w:eastAsia="Times New Roman" w:hAnsi="Times New Roman"/>
                  <w:sz w:val="12"/>
                  <w:szCs w:val="12"/>
                  <w:color w:val="0000EE"/>
                </w:rPr>
                <w:t>between MSCI ESG Research LLC and BlackRock Fund Advisors</w:t>
              </w:r>
            </w:hyperlink>
          </w:p>
        </w:tc>
        <w:tc>
          <w:tcPr>
            <w:tcW w:w="360" w:type="dxa"/>
            <w:vAlign w:val="bottom"/>
            <w:gridSpan w:val="8"/>
          </w:tcPr>
          <w:p>
            <w:pPr>
              <w:spacing w:after="0"/>
              <w:rPr>
                <w:sz w:val="10"/>
                <w:szCs w:val="10"/>
                <w:color w:val="auto"/>
              </w:rPr>
            </w:pPr>
          </w:p>
        </w:tc>
      </w:tr>
      <w:tr>
        <w:trPr>
          <w:trHeight w:val="20"/>
        </w:trPr>
        <w:tc>
          <w:tcPr>
            <w:tcW w:w="1220" w:type="dxa"/>
            <w:vAlign w:val="bottom"/>
            <w:gridSpan w:val="3"/>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0"/>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10.157†</w:t>
            </w:r>
          </w:p>
        </w:tc>
        <w:tc>
          <w:tcPr>
            <w:tcW w:w="4940" w:type="dxa"/>
            <w:vAlign w:val="bottom"/>
            <w:gridSpan w:val="19"/>
          </w:tcPr>
          <w:p>
            <w:pPr>
              <w:spacing w:after="0"/>
              <w:rPr>
                <w:rFonts w:ascii="Times New Roman" w:cs="Times New Roman" w:eastAsia="Times New Roman" w:hAnsi="Times New Roman"/>
                <w:sz w:val="12"/>
                <w:szCs w:val="12"/>
                <w:color w:val="0000EE"/>
              </w:rPr>
            </w:pPr>
            <w:hyperlink r:id="rId189">
              <w:r>
                <w:rPr>
                  <w:rFonts w:ascii="Times New Roman" w:cs="Times New Roman" w:eastAsia="Times New Roman" w:hAnsi="Times New Roman"/>
                  <w:sz w:val="12"/>
                  <w:szCs w:val="12"/>
                  <w:color w:val="0000EE"/>
                </w:rPr>
                <w:t>Amendment to the Second Schedule to the Index License Agreement for Funds, dated as of April 12,</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189">
              <w:r>
                <w:rPr>
                  <w:rFonts w:ascii="Times New Roman" w:cs="Times New Roman" w:eastAsia="Times New Roman" w:hAnsi="Times New Roman"/>
                  <w:sz w:val="12"/>
                  <w:szCs w:val="12"/>
                  <w:color w:val="0000EE"/>
                  <w:w w:val="99"/>
                </w:rPr>
                <w:t>2017, by and between MSCI Inc. (formerly, Morgan Stanley Capital International Inc.) and BlackRock</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0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189">
              <w:r>
                <w:rPr>
                  <w:rFonts w:ascii="Times New Roman" w:cs="Times New Roman" w:eastAsia="Times New Roman" w:hAnsi="Times New Roman"/>
                  <w:sz w:val="12"/>
                  <w:szCs w:val="12"/>
                  <w:color w:val="0000EE"/>
                  <w:w w:val="99"/>
                </w:rPr>
                <w:t>Fund Advisors (as successor to Barclays Global Investors, N.A.)</w:t>
              </w:r>
            </w:hyperlink>
          </w:p>
        </w:tc>
        <w:tc>
          <w:tcPr>
            <w:tcW w:w="1840" w:type="dxa"/>
            <w:vAlign w:val="bottom"/>
            <w:gridSpan w:val="12"/>
          </w:tcPr>
          <w:p>
            <w:pPr>
              <w:spacing w:after="0"/>
              <w:rPr>
                <w:sz w:val="10"/>
                <w:szCs w:val="10"/>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rPr>
              <w:t>10.159†</w:t>
            </w: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90">
              <w:r>
                <w:rPr>
                  <w:rFonts w:ascii="Times New Roman" w:cs="Times New Roman" w:eastAsia="Times New Roman" w:hAnsi="Times New Roman"/>
                  <w:sz w:val="12"/>
                  <w:szCs w:val="12"/>
                  <w:color w:val="0000EE"/>
                </w:rPr>
                <w:t>Amendment to the Index License Agreement for Funds, dated as of May 26, 2017, by and between</w:t>
              </w:r>
            </w:hyperlink>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90">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60" w:type="dxa"/>
            <w:vAlign w:val="bottom"/>
            <w:tcBorders>
              <w:top w:val="single" w:sz="8" w:color="0000EE"/>
            </w:tcBorders>
            <w:gridSpan w:val="13"/>
          </w:tcPr>
          <w:p>
            <w:pPr>
              <w:spacing w:after="0" w:line="124" w:lineRule="exact"/>
              <w:rPr>
                <w:rFonts w:ascii="Times New Roman" w:cs="Times New Roman" w:eastAsia="Times New Roman" w:hAnsi="Times New Roman"/>
                <w:sz w:val="12"/>
                <w:szCs w:val="12"/>
                <w:color w:val="0000EE"/>
              </w:rPr>
            </w:pPr>
            <w:hyperlink r:id="rId190">
              <w:r>
                <w:rPr>
                  <w:rFonts w:ascii="Times New Roman" w:cs="Times New Roman" w:eastAsia="Times New Roman" w:hAnsi="Times New Roman"/>
                  <w:sz w:val="12"/>
                  <w:szCs w:val="12"/>
                  <w:color w:val="0000EE"/>
                </w:rPr>
                <w:t>successor to Barclays Global Investors, N.A.)</w:t>
              </w:r>
            </w:hyperlink>
          </w:p>
        </w:tc>
        <w:tc>
          <w:tcPr>
            <w:tcW w:w="180" w:type="dxa"/>
            <w:vAlign w:val="bottom"/>
            <w:gridSpan w:val="6"/>
          </w:tcPr>
          <w:p>
            <w:pPr>
              <w:spacing w:after="0"/>
              <w:rPr>
                <w:sz w:val="10"/>
                <w:szCs w:val="10"/>
                <w:color w:val="auto"/>
              </w:rPr>
            </w:pPr>
          </w:p>
        </w:tc>
      </w:tr>
      <w:tr>
        <w:trPr>
          <w:trHeight w:val="20"/>
        </w:trPr>
        <w:tc>
          <w:tcPr>
            <w:tcW w:w="1220" w:type="dxa"/>
            <w:vAlign w:val="bottom"/>
            <w:gridSpan w:val="3"/>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rPr>
              <w:t>10.160†</w:t>
            </w:r>
          </w:p>
        </w:tc>
        <w:tc>
          <w:tcPr>
            <w:tcW w:w="456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191">
              <w:r>
                <w:rPr>
                  <w:rFonts w:ascii="Times New Roman" w:cs="Times New Roman" w:eastAsia="Times New Roman" w:hAnsi="Times New Roman"/>
                  <w:sz w:val="12"/>
                  <w:szCs w:val="12"/>
                  <w:color w:val="0000EE"/>
                  <w:w w:val="99"/>
                </w:rPr>
                <w:t>Amendment to the Previous Amendment and Previous Name Change Amendment to the Index</w:t>
              </w:r>
            </w:hyperlink>
          </w:p>
        </w:tc>
        <w:tc>
          <w:tcPr>
            <w:tcW w:w="380" w:type="dxa"/>
            <w:vAlign w:val="bottom"/>
            <w:gridSpan w:val="9"/>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91">
              <w:r>
                <w:rPr>
                  <w:rFonts w:ascii="Times New Roman" w:cs="Times New Roman" w:eastAsia="Times New Roman" w:hAnsi="Times New Roman"/>
                  <w:sz w:val="12"/>
                  <w:szCs w:val="12"/>
                  <w:color w:val="0000EE"/>
                </w:rPr>
                <w:t>License Agreement for Funds, dated as of September 1, 2017, by and between MSCI Inc. (formerly,</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80" w:type="dxa"/>
            <w:vAlign w:val="bottom"/>
            <w:tcBorders>
              <w:top w:val="single" w:sz="8" w:color="0000EE"/>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91">
              <w:r>
                <w:rPr>
                  <w:rFonts w:ascii="Times New Roman" w:cs="Times New Roman" w:eastAsia="Times New Roman" w:hAnsi="Times New Roman"/>
                  <w:sz w:val="12"/>
                  <w:szCs w:val="12"/>
                  <w:color w:val="0000EE"/>
                  <w:w w:val="99"/>
                </w:rPr>
                <w:t>Morgan Stanley Capital International Inc.) and BlackRock Fund Advisors (as successor to Barclays</w:t>
              </w:r>
            </w:hyperlink>
          </w:p>
        </w:tc>
        <w:tc>
          <w:tcPr>
            <w:tcW w:w="60" w:type="dxa"/>
            <w:vAlign w:val="bottom"/>
            <w:tcBorders>
              <w:top w:val="single" w:sz="8" w:color="0000EE"/>
            </w:tcBorders>
          </w:tcPr>
          <w:p>
            <w:pPr>
              <w:spacing w:after="0"/>
              <w:rPr>
                <w:sz w:val="10"/>
                <w:szCs w:val="10"/>
                <w:color w:val="auto"/>
              </w:rPr>
            </w:pPr>
          </w:p>
        </w:tc>
        <w:tc>
          <w:tcPr>
            <w:tcW w:w="100" w:type="dxa"/>
            <w:vAlign w:val="bottom"/>
            <w:gridSpan w:val="4"/>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91">
              <w:r>
                <w:rPr>
                  <w:rFonts w:ascii="Times New Roman" w:cs="Times New Roman" w:eastAsia="Times New Roman" w:hAnsi="Times New Roman"/>
                  <w:sz w:val="12"/>
                  <w:szCs w:val="12"/>
                  <w:color w:val="0000EE"/>
                </w:rPr>
                <w:t>Global Investors, N.A.)</w:t>
              </w:r>
            </w:hyperlink>
          </w:p>
        </w:tc>
      </w:tr>
      <w:tr>
        <w:trPr>
          <w:trHeight w:val="20"/>
        </w:trPr>
        <w:tc>
          <w:tcPr>
            <w:tcW w:w="1220" w:type="dxa"/>
            <w:vAlign w:val="bottom"/>
            <w:gridSpan w:val="3"/>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6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rPr>
              <w:t>10.161†</w:t>
            </w:r>
          </w:p>
        </w:tc>
        <w:tc>
          <w:tcPr>
            <w:tcW w:w="486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r:id="rId192">
              <w:r>
                <w:rPr>
                  <w:rFonts w:ascii="Times New Roman" w:cs="Times New Roman" w:eastAsia="Times New Roman" w:hAnsi="Times New Roman"/>
                  <w:sz w:val="12"/>
                  <w:szCs w:val="12"/>
                  <w:color w:val="0000EE"/>
                  <w:w w:val="99"/>
                </w:rPr>
                <w:t>Amendment to the Index License Agreement for Funds, dated as of October 1, 2017, by and between</w:t>
              </w:r>
            </w:hyperlink>
          </w:p>
        </w:tc>
        <w:tc>
          <w:tcPr>
            <w:tcW w:w="80" w:type="dxa"/>
            <w:vAlign w:val="bottom"/>
            <w:gridSpan w:val="3"/>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92">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92">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0"/>
          </w:tcPr>
          <w:p>
            <w:pPr>
              <w:spacing w:after="0"/>
              <w:rPr>
                <w:sz w:val="10"/>
                <w:szCs w:val="10"/>
                <w:color w:val="auto"/>
              </w:rPr>
            </w:pPr>
          </w:p>
        </w:tc>
        <w:tc>
          <w:tcPr>
            <w:tcW w:w="180" w:type="dxa"/>
            <w:vAlign w:val="bottom"/>
            <w:gridSpan w:val="6"/>
          </w:tcPr>
          <w:p>
            <w:pPr>
              <w:spacing w:after="0"/>
              <w:rPr>
                <w:sz w:val="10"/>
                <w:szCs w:val="10"/>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6"/>
              </w:rPr>
              <w:t>10.162</w:t>
            </w:r>
          </w:p>
        </w:tc>
        <w:tc>
          <w:tcPr>
            <w:tcW w:w="486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r:id="rId193">
              <w:r>
                <w:rPr>
                  <w:rFonts w:ascii="Times New Roman" w:cs="Times New Roman" w:eastAsia="Times New Roman" w:hAnsi="Times New Roman"/>
                  <w:sz w:val="12"/>
                  <w:szCs w:val="12"/>
                  <w:color w:val="0000EE"/>
                  <w:w w:val="99"/>
                </w:rPr>
                <w:t>Amendment to the Index License Agreement for Funds, dated as of October 1, 2017, by and between</w:t>
              </w:r>
            </w:hyperlink>
          </w:p>
        </w:tc>
        <w:tc>
          <w:tcPr>
            <w:tcW w:w="80" w:type="dxa"/>
            <w:vAlign w:val="bottom"/>
            <w:gridSpan w:val="3"/>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9"/>
          </w:tcPr>
          <w:p>
            <w:pPr>
              <w:spacing w:after="0" w:line="124" w:lineRule="exact"/>
              <w:rPr>
                <w:rFonts w:ascii="Times New Roman" w:cs="Times New Roman" w:eastAsia="Times New Roman" w:hAnsi="Times New Roman"/>
                <w:sz w:val="12"/>
                <w:szCs w:val="12"/>
                <w:color w:val="0000EE"/>
              </w:rPr>
            </w:pPr>
            <w:hyperlink r:id="rId193">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60" w:type="dxa"/>
            <w:vAlign w:val="bottom"/>
            <w:tcBorders>
              <w:top w:val="single" w:sz="8" w:color="0000EE"/>
            </w:tcBorders>
            <w:gridSpan w:val="13"/>
          </w:tcPr>
          <w:p>
            <w:pPr>
              <w:spacing w:after="0" w:line="124" w:lineRule="exact"/>
              <w:rPr>
                <w:rFonts w:ascii="Times New Roman" w:cs="Times New Roman" w:eastAsia="Times New Roman" w:hAnsi="Times New Roman"/>
                <w:sz w:val="12"/>
                <w:szCs w:val="12"/>
                <w:color w:val="0000EE"/>
              </w:rPr>
            </w:pPr>
            <w:hyperlink r:id="rId193">
              <w:r>
                <w:rPr>
                  <w:rFonts w:ascii="Times New Roman" w:cs="Times New Roman" w:eastAsia="Times New Roman" w:hAnsi="Times New Roman"/>
                  <w:sz w:val="12"/>
                  <w:szCs w:val="12"/>
                  <w:color w:val="0000EE"/>
                </w:rPr>
                <w:t>successor to Barclays Global Investors, N.A.)</w:t>
              </w:r>
            </w:hyperlink>
          </w:p>
        </w:tc>
        <w:tc>
          <w:tcPr>
            <w:tcW w:w="180" w:type="dxa"/>
            <w:vAlign w:val="bottom"/>
            <w:gridSpan w:val="6"/>
          </w:tcPr>
          <w:p>
            <w:pPr>
              <w:spacing w:after="0"/>
              <w:rPr>
                <w:sz w:val="10"/>
                <w:szCs w:val="10"/>
                <w:color w:val="auto"/>
              </w:rPr>
            </w:pPr>
          </w:p>
        </w:tc>
      </w:tr>
      <w:tr>
        <w:trPr>
          <w:trHeight w:val="295"/>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Borders>
              <w:top w:val="single" w:sz="8" w:color="0000EE"/>
            </w:tcBorders>
            <w:gridSpan w:val="2"/>
          </w:tcPr>
          <w:p>
            <w:pPr>
              <w:spacing w:after="0"/>
              <w:rPr>
                <w:sz w:val="24"/>
                <w:szCs w:val="24"/>
                <w:color w:val="auto"/>
              </w:rPr>
            </w:pPr>
          </w:p>
        </w:tc>
        <w:tc>
          <w:tcPr>
            <w:tcW w:w="2340" w:type="dxa"/>
            <w:vAlign w:val="bottom"/>
            <w:gridSpan w:val="7"/>
          </w:tcPr>
          <w:p>
            <w:pPr>
              <w:jc w:val="right"/>
              <w:ind w:right="700"/>
              <w:spacing w:after="0"/>
              <w:rPr>
                <w:sz w:val="20"/>
                <w:szCs w:val="20"/>
                <w:color w:val="auto"/>
              </w:rPr>
            </w:pPr>
            <w:r>
              <w:rPr>
                <w:rFonts w:ascii="Times New Roman" w:cs="Times New Roman" w:eastAsia="Times New Roman" w:hAnsi="Times New Roman"/>
                <w:sz w:val="12"/>
                <w:szCs w:val="12"/>
                <w:color w:val="auto"/>
              </w:rPr>
              <w:t>105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45720</wp:posOffset>
            </wp:positionV>
            <wp:extent cx="717804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60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9"/>
              </w:rPr>
              <w:t>Exhibit No.</w:t>
            </w:r>
          </w:p>
        </w:tc>
        <w:tc>
          <w:tcPr>
            <w:tcW w:w="360" w:type="dxa"/>
            <w:vAlign w:val="bottom"/>
          </w:tcPr>
          <w:p>
            <w:pPr>
              <w:spacing w:after="0"/>
              <w:rPr>
                <w:sz w:val="8"/>
                <w:szCs w:val="8"/>
                <w:color w:val="auto"/>
              </w:rPr>
            </w:pP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Filed Herewith</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10.154</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2/26/2018</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10.155</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2/26/2018</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10.156</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2/26/2018</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10.157</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10.159</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2/26/2018</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10.160</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2/26/2018</w:t>
            </w:r>
          </w:p>
        </w:tc>
      </w:tr>
      <w:tr>
        <w:trPr>
          <w:trHeight w:val="576"/>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10.161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10.162</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bl>
    <w:p>
      <w:pPr>
        <w:sectPr>
          <w:pgSz w:w="11900" w:h="16838" w:orient="portrait"/>
          <w:cols w:equalWidth="0" w:num="2">
            <w:col w:w="6160" w:space="400"/>
            <w:col w:w="3600"/>
          </w:cols>
          <w:pgMar w:left="1000" w:top="268" w:right="7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4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720" w:type="dxa"/>
            <w:vAlign w:val="bottom"/>
            <w:gridSpan w:val="18"/>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160" w:type="dxa"/>
            <w:vAlign w:val="bottom"/>
            <w:gridSpan w:val="3"/>
          </w:tcPr>
          <w:p>
            <w:pPr>
              <w:jc w:val="center"/>
              <w:ind w:right="780"/>
              <w:spacing w:after="0"/>
              <w:rPr>
                <w:sz w:val="20"/>
                <w:szCs w:val="20"/>
                <w:color w:val="auto"/>
              </w:rPr>
            </w:pPr>
            <w:r>
              <w:rPr>
                <w:rFonts w:ascii="Times New Roman" w:cs="Times New Roman" w:eastAsia="Times New Roman" w:hAnsi="Times New Roman"/>
                <w:sz w:val="12"/>
                <w:szCs w:val="12"/>
                <w:color w:val="auto"/>
                <w:w w:val="97"/>
              </w:rPr>
              <w:t>10.163†</w:t>
            </w:r>
          </w:p>
        </w:tc>
        <w:tc>
          <w:tcPr>
            <w:tcW w:w="456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9"/>
              </w:rPr>
            </w:pPr>
            <w:hyperlink r:id="rId195">
              <w:r>
                <w:rPr>
                  <w:rFonts w:ascii="Times New Roman" w:cs="Times New Roman" w:eastAsia="Times New Roman" w:hAnsi="Times New Roman"/>
                  <w:sz w:val="12"/>
                  <w:szCs w:val="12"/>
                  <w:color w:val="0000EE"/>
                  <w:w w:val="99"/>
                </w:rPr>
                <w:t>Amendment to the Index License Agreement for Funds, dated as of November 1, 2017, by and</w:t>
              </w:r>
            </w:hyperlink>
          </w:p>
        </w:tc>
        <w:tc>
          <w:tcPr>
            <w:tcW w:w="360" w:type="dxa"/>
            <w:vAlign w:val="bottom"/>
            <w:gridSpan w:val="8"/>
          </w:tcPr>
          <w:p>
            <w:pPr>
              <w:spacing w:after="0"/>
              <w:rPr>
                <w:sz w:val="12"/>
                <w:szCs w:val="12"/>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6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195">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360" w:type="dxa"/>
            <w:vAlign w:val="bottom"/>
            <w:gridSpan w:val="8"/>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195">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160" w:type="dxa"/>
            <w:vAlign w:val="bottom"/>
            <w:gridSpan w:val="3"/>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10.164*</w:t>
            </w:r>
          </w:p>
        </w:tc>
        <w:tc>
          <w:tcPr>
            <w:tcW w:w="476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r:id="rId196">
              <w:r>
                <w:rPr>
                  <w:rFonts w:ascii="Times New Roman" w:cs="Times New Roman" w:eastAsia="Times New Roman" w:hAnsi="Times New Roman"/>
                  <w:sz w:val="12"/>
                  <w:szCs w:val="12"/>
                  <w:color w:val="0000EE"/>
                  <w:w w:val="99"/>
                </w:rPr>
                <w:t>Form of Award Agreement for Restricted Stock Units for Managing Directors under the MSCI Inc.</w:t>
              </w:r>
            </w:hyperlink>
          </w:p>
        </w:tc>
        <w:tc>
          <w:tcPr>
            <w:tcW w:w="160" w:type="dxa"/>
            <w:vAlign w:val="bottom"/>
            <w:gridSpan w:val="4"/>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196">
              <w:r>
                <w:rPr>
                  <w:rFonts w:ascii="Times New Roman" w:cs="Times New Roman" w:eastAsia="Times New Roman" w:hAnsi="Times New Roman"/>
                  <w:sz w:val="12"/>
                  <w:szCs w:val="12"/>
                  <w:color w:val="0000EE"/>
                </w:rPr>
                <w:t>2016 Omnibus Incentive Plan</w:t>
              </w:r>
            </w:hyperlink>
          </w:p>
        </w:tc>
      </w:tr>
      <w:tr>
        <w:trPr>
          <w:trHeight w:val="20"/>
        </w:trPr>
        <w:tc>
          <w:tcPr>
            <w:tcW w:w="1160" w:type="dxa"/>
            <w:vAlign w:val="bottom"/>
            <w:gridSpan w:val="3"/>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6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color w:val="auto"/>
              </w:rPr>
              <w:t>10.165*</w:t>
            </w:r>
          </w:p>
        </w:tc>
        <w:tc>
          <w:tcPr>
            <w:tcW w:w="4900" w:type="dxa"/>
            <w:vAlign w:val="bottom"/>
            <w:tcBorders>
              <w:bottom w:val="single" w:sz="8" w:color="0000EE"/>
            </w:tcBorders>
            <w:gridSpan w:val="19"/>
          </w:tcPr>
          <w:p>
            <w:pPr>
              <w:spacing w:after="0"/>
              <w:rPr>
                <w:rFonts w:ascii="Times New Roman" w:cs="Times New Roman" w:eastAsia="Times New Roman" w:hAnsi="Times New Roman"/>
                <w:sz w:val="12"/>
                <w:szCs w:val="12"/>
                <w:color w:val="0000EE"/>
                <w:w w:val="99"/>
              </w:rPr>
            </w:pPr>
            <w:hyperlink r:id="rId197">
              <w:r>
                <w:rPr>
                  <w:rFonts w:ascii="Times New Roman" w:cs="Times New Roman" w:eastAsia="Times New Roman" w:hAnsi="Times New Roman"/>
                  <w:sz w:val="12"/>
                  <w:szCs w:val="12"/>
                  <w:color w:val="0000EE"/>
                  <w:w w:val="99"/>
                </w:rPr>
                <w:t>Form of Annual Performance Award Agreement for Performance Stock Units for Managing Directors</w:t>
              </w:r>
            </w:hyperlink>
          </w:p>
        </w:tc>
        <w:tc>
          <w:tcPr>
            <w:tcW w:w="20" w:type="dxa"/>
            <w:vAlign w:val="bottom"/>
          </w:tcPr>
          <w:p>
            <w:pPr>
              <w:spacing w:after="0"/>
              <w:rPr>
                <w:sz w:val="13"/>
                <w:szCs w:val="13"/>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197">
              <w:r>
                <w:rPr>
                  <w:rFonts w:ascii="Times New Roman" w:cs="Times New Roman" w:eastAsia="Times New Roman" w:hAnsi="Times New Roman"/>
                  <w:sz w:val="12"/>
                  <w:szCs w:val="12"/>
                  <w:color w:val="0000EE"/>
                </w:rPr>
                <w:t>under the MSCI Inc. 2016 Omnibus Incentive Plan</w:t>
              </w:r>
            </w:hyperlink>
          </w:p>
        </w:tc>
      </w:tr>
      <w:tr>
        <w:trPr>
          <w:trHeight w:val="176"/>
        </w:trPr>
        <w:tc>
          <w:tcPr>
            <w:tcW w:w="116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color w:val="auto"/>
              </w:rPr>
              <w:t>10.166*</w:t>
            </w:r>
          </w:p>
        </w:tc>
        <w:tc>
          <w:tcPr>
            <w:tcW w:w="2440" w:type="dxa"/>
            <w:vAlign w:val="bottom"/>
            <w:tcBorders>
              <w:top w:val="single" w:sz="8" w:color="0000EE"/>
            </w:tcBorders>
            <w:gridSpan w:val="5"/>
          </w:tcPr>
          <w:p>
            <w:pPr>
              <w:spacing w:after="0"/>
              <w:rPr>
                <w:rFonts w:ascii="Times New Roman" w:cs="Times New Roman" w:eastAsia="Times New Roman" w:hAnsi="Times New Roman"/>
                <w:sz w:val="12"/>
                <w:szCs w:val="12"/>
                <w:u w:val="single" w:color="auto"/>
                <w:color w:val="0000EE"/>
              </w:rPr>
            </w:pPr>
            <w:hyperlink r:id="rId198">
              <w:r>
                <w:rPr>
                  <w:rFonts w:ascii="Times New Roman" w:cs="Times New Roman" w:eastAsia="Times New Roman" w:hAnsi="Times New Roman"/>
                  <w:sz w:val="12"/>
                  <w:szCs w:val="12"/>
                  <w:u w:val="single" w:color="auto"/>
                  <w:color w:val="0000EE"/>
                </w:rPr>
                <w:t>Annual Incentive Plan</w:t>
              </w:r>
            </w:hyperlink>
          </w:p>
        </w:tc>
        <w:tc>
          <w:tcPr>
            <w:tcW w:w="2480" w:type="dxa"/>
            <w:vAlign w:val="bottom"/>
            <w:gridSpan w:val="15"/>
          </w:tcPr>
          <w:p>
            <w:pPr>
              <w:spacing w:after="0"/>
              <w:rPr>
                <w:sz w:val="15"/>
                <w:szCs w:val="15"/>
                <w:color w:val="auto"/>
              </w:rPr>
            </w:pPr>
          </w:p>
        </w:tc>
      </w:tr>
      <w:tr>
        <w:trPr>
          <w:trHeight w:val="144"/>
        </w:trPr>
        <w:tc>
          <w:tcPr>
            <w:tcW w:w="116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color w:val="auto"/>
              </w:rPr>
              <w:t>10.167*</w:t>
            </w:r>
          </w:p>
        </w:tc>
        <w:tc>
          <w:tcPr>
            <w:tcW w:w="4920" w:type="dxa"/>
            <w:vAlign w:val="bottom"/>
            <w:gridSpan w:val="20"/>
          </w:tcPr>
          <w:p>
            <w:pPr>
              <w:spacing w:after="0"/>
              <w:rPr>
                <w:rFonts w:ascii="Times New Roman" w:cs="Times New Roman" w:eastAsia="Times New Roman" w:hAnsi="Times New Roman"/>
                <w:sz w:val="12"/>
                <w:szCs w:val="12"/>
                <w:u w:val="single" w:color="auto"/>
                <w:color w:val="0000EE"/>
              </w:rPr>
            </w:pPr>
            <w:hyperlink r:id="rId199">
              <w:r>
                <w:rPr>
                  <w:rFonts w:ascii="Times New Roman" w:cs="Times New Roman" w:eastAsia="Times New Roman" w:hAnsi="Times New Roman"/>
                  <w:sz w:val="12"/>
                  <w:szCs w:val="12"/>
                  <w:u w:val="single" w:color="auto"/>
                  <w:color w:val="0000EE"/>
                </w:rPr>
                <w:t>Offer Letter, executed March 11, 2014, by and between MSCI Inc. and Scott Crum</w:t>
              </w:r>
            </w:hyperlink>
          </w:p>
        </w:tc>
      </w:tr>
      <w:tr>
        <w:trPr>
          <w:trHeight w:val="128"/>
        </w:trPr>
        <w:tc>
          <w:tcPr>
            <w:tcW w:w="1160" w:type="dxa"/>
            <w:vAlign w:val="bottom"/>
            <w:gridSpan w:val="3"/>
          </w:tcPr>
          <w:p>
            <w:pPr>
              <w:jc w:val="center"/>
              <w:ind w:right="760"/>
              <w:spacing w:after="0" w:line="128" w:lineRule="exact"/>
              <w:rPr>
                <w:sz w:val="20"/>
                <w:szCs w:val="20"/>
                <w:color w:val="auto"/>
              </w:rPr>
            </w:pPr>
            <w:r>
              <w:rPr>
                <w:rFonts w:ascii="Times New Roman" w:cs="Times New Roman" w:eastAsia="Times New Roman" w:hAnsi="Times New Roman"/>
                <w:sz w:val="12"/>
                <w:szCs w:val="12"/>
                <w:color w:val="auto"/>
              </w:rPr>
              <w:t>10.169†</w:t>
            </w:r>
          </w:p>
        </w:tc>
        <w:tc>
          <w:tcPr>
            <w:tcW w:w="4900" w:type="dxa"/>
            <w:vAlign w:val="bottom"/>
            <w:tcBorders>
              <w:bottom w:val="single" w:sz="8" w:color="0000EE"/>
            </w:tcBorders>
            <w:gridSpan w:val="19"/>
          </w:tcPr>
          <w:p>
            <w:pPr>
              <w:spacing w:after="0" w:line="128" w:lineRule="exact"/>
              <w:rPr>
                <w:rFonts w:ascii="Times New Roman" w:cs="Times New Roman" w:eastAsia="Times New Roman" w:hAnsi="Times New Roman"/>
                <w:sz w:val="12"/>
                <w:szCs w:val="12"/>
                <w:color w:val="0000EE"/>
                <w:w w:val="99"/>
              </w:rPr>
            </w:pPr>
            <w:hyperlink r:id="rId200">
              <w:r>
                <w:rPr>
                  <w:rFonts w:ascii="Times New Roman" w:cs="Times New Roman" w:eastAsia="Times New Roman" w:hAnsi="Times New Roman"/>
                  <w:sz w:val="12"/>
                  <w:szCs w:val="12"/>
                  <w:color w:val="0000EE"/>
                  <w:w w:val="99"/>
                </w:rPr>
                <w:t>Amendment to the Index License Agreement for Funds, dated as of January 18, 2018, by and between</w:t>
              </w:r>
            </w:hyperlink>
          </w:p>
        </w:tc>
        <w:tc>
          <w:tcPr>
            <w:tcW w:w="20" w:type="dxa"/>
            <w:vAlign w:val="bottom"/>
          </w:tcPr>
          <w:p>
            <w:pPr>
              <w:spacing w:after="0"/>
              <w:rPr>
                <w:sz w:val="11"/>
                <w:szCs w:val="11"/>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200">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r:id="rId200">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4"/>
          </w:tcPr>
          <w:p>
            <w:pPr>
              <w:spacing w:after="0"/>
              <w:rPr>
                <w:sz w:val="10"/>
                <w:szCs w:val="10"/>
                <w:color w:val="auto"/>
              </w:rPr>
            </w:pPr>
          </w:p>
        </w:tc>
        <w:tc>
          <w:tcPr>
            <w:tcW w:w="160" w:type="dxa"/>
            <w:vAlign w:val="bottom"/>
            <w:gridSpan w:val="4"/>
          </w:tcPr>
          <w:p>
            <w:pPr>
              <w:spacing w:after="0"/>
              <w:rPr>
                <w:sz w:val="10"/>
                <w:szCs w:val="10"/>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10.170†</w:t>
            </w:r>
          </w:p>
        </w:tc>
        <w:tc>
          <w:tcPr>
            <w:tcW w:w="490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201">
              <w:r>
                <w:rPr>
                  <w:rFonts w:ascii="Times New Roman" w:cs="Times New Roman" w:eastAsia="Times New Roman" w:hAnsi="Times New Roman"/>
                  <w:sz w:val="12"/>
                  <w:szCs w:val="12"/>
                  <w:color w:val="0000EE"/>
                  <w:w w:val="99"/>
                </w:rPr>
                <w:t>Amendment to the Index License Agreement for Funds, dated as of February 8, 2018, by and between</w:t>
              </w:r>
            </w:hyperlink>
          </w:p>
        </w:tc>
        <w:tc>
          <w:tcPr>
            <w:tcW w:w="20" w:type="dxa"/>
            <w:vAlign w:val="bottom"/>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201">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r:id="rId201">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4"/>
          </w:tcPr>
          <w:p>
            <w:pPr>
              <w:spacing w:after="0"/>
              <w:rPr>
                <w:sz w:val="10"/>
                <w:szCs w:val="10"/>
                <w:color w:val="auto"/>
              </w:rPr>
            </w:pPr>
          </w:p>
        </w:tc>
        <w:tc>
          <w:tcPr>
            <w:tcW w:w="160" w:type="dxa"/>
            <w:vAlign w:val="bottom"/>
            <w:gridSpan w:val="4"/>
          </w:tcPr>
          <w:p>
            <w:pPr>
              <w:spacing w:after="0"/>
              <w:rPr>
                <w:sz w:val="10"/>
                <w:szCs w:val="10"/>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w w:val="96"/>
              </w:rPr>
              <w:t>10.171</w:t>
            </w: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202">
              <w:r>
                <w:rPr>
                  <w:rFonts w:ascii="Times New Roman" w:cs="Times New Roman" w:eastAsia="Times New Roman" w:hAnsi="Times New Roman"/>
                  <w:sz w:val="12"/>
                  <w:szCs w:val="12"/>
                  <w:color w:val="0000EE"/>
                </w:rPr>
                <w:t>Amendment to the Previous Amendment to the Index License Agreement for Funds, dated as of</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2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202">
              <w:r>
                <w:rPr>
                  <w:rFonts w:ascii="Times New Roman" w:cs="Times New Roman" w:eastAsia="Times New Roman" w:hAnsi="Times New Roman"/>
                  <w:sz w:val="12"/>
                  <w:szCs w:val="12"/>
                  <w:color w:val="0000EE"/>
                  <w:w w:val="99"/>
                </w:rPr>
                <w:t>February 19, 2018, by and between MSCI Inc. (formerly, Morgan Stanley Capital International Inc.)</w:t>
              </w:r>
            </w:hyperlink>
          </w:p>
        </w:tc>
        <w:tc>
          <w:tcPr>
            <w:tcW w:w="100" w:type="dxa"/>
            <w:vAlign w:val="bottom"/>
            <w:gridSpan w:val="3"/>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202">
              <w:r>
                <w:rPr>
                  <w:rFonts w:ascii="Times New Roman" w:cs="Times New Roman" w:eastAsia="Times New Roman" w:hAnsi="Times New Roman"/>
                  <w:sz w:val="12"/>
                  <w:szCs w:val="12"/>
                  <w:color w:val="0000EE"/>
                </w:rPr>
                <w:t>and BlackRock Fund Advisors (as successor to Barclays Global Investors, N.A.)</w:t>
              </w:r>
            </w:hyperlink>
          </w:p>
        </w:tc>
      </w:tr>
      <w:tr>
        <w:trPr>
          <w:trHeight w:val="20"/>
        </w:trPr>
        <w:tc>
          <w:tcPr>
            <w:tcW w:w="1160" w:type="dxa"/>
            <w:vAlign w:val="bottom"/>
            <w:gridSpan w:val="3"/>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10.172†</w:t>
            </w: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203">
              <w:r>
                <w:rPr>
                  <w:rFonts w:ascii="Times New Roman" w:cs="Times New Roman" w:eastAsia="Times New Roman" w:hAnsi="Times New Roman"/>
                  <w:sz w:val="12"/>
                  <w:szCs w:val="12"/>
                  <w:color w:val="0000EE"/>
                </w:rPr>
                <w:t>Amendment No. 2 to the Index License Agreement for Funds, dated as of March 1, 2018, by and</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20" w:type="dxa"/>
            <w:vAlign w:val="bottom"/>
            <w:tcBorders>
              <w:top w:val="single" w:sz="8" w:color="0000EE"/>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203">
              <w:r>
                <w:rPr>
                  <w:rFonts w:ascii="Times New Roman" w:cs="Times New Roman" w:eastAsia="Times New Roman" w:hAnsi="Times New Roman"/>
                  <w:sz w:val="12"/>
                  <w:szCs w:val="12"/>
                  <w:color w:val="0000EE"/>
                  <w:w w:val="99"/>
                </w:rPr>
                <w:t>between MSCI ESG Research LLC and BlackRock Fund Advisors</w:t>
              </w:r>
            </w:hyperlink>
          </w:p>
        </w:tc>
        <w:tc>
          <w:tcPr>
            <w:tcW w:w="1420" w:type="dxa"/>
            <w:vAlign w:val="bottom"/>
            <w:tcBorders>
              <w:top w:val="single" w:sz="8" w:color="0000EE"/>
            </w:tcBorders>
            <w:gridSpan w:val="5"/>
          </w:tcPr>
          <w:p>
            <w:pPr>
              <w:spacing w:after="0"/>
              <w:rPr>
                <w:sz w:val="10"/>
                <w:szCs w:val="10"/>
                <w:color w:val="auto"/>
              </w:rPr>
            </w:pPr>
          </w:p>
        </w:tc>
        <w:tc>
          <w:tcPr>
            <w:tcW w:w="280" w:type="dxa"/>
            <w:vAlign w:val="bottom"/>
            <w:gridSpan w:val="6"/>
          </w:tcPr>
          <w:p>
            <w:pPr>
              <w:spacing w:after="0"/>
              <w:rPr>
                <w:sz w:val="10"/>
                <w:szCs w:val="10"/>
                <w:color w:val="auto"/>
              </w:rPr>
            </w:pPr>
          </w:p>
        </w:tc>
      </w:tr>
      <w:tr>
        <w:trPr>
          <w:trHeight w:val="160"/>
        </w:trPr>
        <w:tc>
          <w:tcPr>
            <w:tcW w:w="116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color w:val="auto"/>
                <w:w w:val="96"/>
              </w:rPr>
              <w:t>10.173</w:t>
            </w:r>
          </w:p>
        </w:tc>
        <w:tc>
          <w:tcPr>
            <w:tcW w:w="4920" w:type="dxa"/>
            <w:vAlign w:val="bottom"/>
            <w:tcBorders>
              <w:bottom w:val="single" w:sz="8" w:color="0000EE"/>
            </w:tcBorders>
            <w:gridSpan w:val="20"/>
          </w:tcPr>
          <w:p>
            <w:pPr>
              <w:spacing w:after="0"/>
              <w:rPr>
                <w:rFonts w:ascii="Times New Roman" w:cs="Times New Roman" w:eastAsia="Times New Roman" w:hAnsi="Times New Roman"/>
                <w:sz w:val="12"/>
                <w:szCs w:val="12"/>
                <w:color w:val="0000EE"/>
                <w:w w:val="99"/>
              </w:rPr>
            </w:pPr>
            <w:hyperlink r:id="rId204">
              <w:r>
                <w:rPr>
                  <w:rFonts w:ascii="Times New Roman" w:cs="Times New Roman" w:eastAsia="Times New Roman" w:hAnsi="Times New Roman"/>
                  <w:sz w:val="12"/>
                  <w:szCs w:val="12"/>
                  <w:color w:val="0000EE"/>
                  <w:w w:val="99"/>
                </w:rPr>
                <w:t>Amendment to the Schedules to the Index License Agreement for Funds, dated as of May 15, 2018, by</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204">
              <w:r>
                <w:rPr>
                  <w:rFonts w:ascii="Times New Roman" w:cs="Times New Roman" w:eastAsia="Times New Roman" w:hAnsi="Times New Roman"/>
                  <w:sz w:val="12"/>
                  <w:szCs w:val="12"/>
                  <w:color w:val="0000EE"/>
                </w:rPr>
                <w:t>and between MSCI Inc. and BlackRock Fund Advisors</w:t>
              </w:r>
            </w:hyperlink>
          </w:p>
        </w:tc>
      </w:tr>
      <w:tr>
        <w:trPr>
          <w:trHeight w:val="20"/>
        </w:trPr>
        <w:tc>
          <w:tcPr>
            <w:tcW w:w="1160" w:type="dxa"/>
            <w:vAlign w:val="bottom"/>
            <w:gridSpan w:val="3"/>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6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color w:val="auto"/>
                <w:w w:val="96"/>
              </w:rPr>
              <w:t>10.174</w:t>
            </w:r>
          </w:p>
        </w:tc>
        <w:tc>
          <w:tcPr>
            <w:tcW w:w="4920" w:type="dxa"/>
            <w:vAlign w:val="bottom"/>
            <w:gridSpan w:val="20"/>
          </w:tcPr>
          <w:p>
            <w:pPr>
              <w:spacing w:after="0"/>
              <w:rPr>
                <w:rFonts w:ascii="Times New Roman" w:cs="Times New Roman" w:eastAsia="Times New Roman" w:hAnsi="Times New Roman"/>
                <w:sz w:val="12"/>
                <w:szCs w:val="12"/>
                <w:color w:val="0000EE"/>
              </w:rPr>
            </w:pPr>
            <w:hyperlink r:id="rId171">
              <w:r>
                <w:rPr>
                  <w:rFonts w:ascii="Times New Roman" w:cs="Times New Roman" w:eastAsia="Times New Roman" w:hAnsi="Times New Roman"/>
                  <w:sz w:val="12"/>
                  <w:szCs w:val="12"/>
                  <w:color w:val="0000EE"/>
                </w:rPr>
                <w:t>Amendment No. 2 to the Revolving Credit Agreement, dated as of May 18, 2018, among MSCI Inc.,</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w w:val="99"/>
              </w:rPr>
            </w:pPr>
            <w:hyperlink r:id="rId171">
              <w:r>
                <w:rPr>
                  <w:rFonts w:ascii="Times New Roman" w:cs="Times New Roman" w:eastAsia="Times New Roman" w:hAnsi="Times New Roman"/>
                  <w:sz w:val="12"/>
                  <w:szCs w:val="12"/>
                  <w:color w:val="0000EE"/>
                  <w:w w:val="99"/>
                </w:rPr>
                <w:t>each of the subsidiary guarantors party thereto, JPMorgan Chase Bank, N.A., as Administrative Agent</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38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171">
              <w:r>
                <w:rPr>
                  <w:rFonts w:ascii="Times New Roman" w:cs="Times New Roman" w:eastAsia="Times New Roman" w:hAnsi="Times New Roman"/>
                  <w:sz w:val="12"/>
                  <w:szCs w:val="12"/>
                  <w:color w:val="0000EE"/>
                  <w:w w:val="99"/>
                </w:rPr>
                <w:t>and L/C Issuer and the other lenders party thereto</w:t>
              </w:r>
            </w:hyperlink>
          </w:p>
        </w:tc>
        <w:tc>
          <w:tcPr>
            <w:tcW w:w="2520" w:type="dxa"/>
            <w:vAlign w:val="bottom"/>
            <w:tcBorders>
              <w:top w:val="single" w:sz="8" w:color="0000EE"/>
            </w:tcBorders>
            <w:gridSpan w:val="15"/>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10.175†</w:t>
            </w: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205">
              <w:r>
                <w:rPr>
                  <w:rFonts w:ascii="Times New Roman" w:cs="Times New Roman" w:eastAsia="Times New Roman" w:hAnsi="Times New Roman"/>
                  <w:sz w:val="12"/>
                  <w:szCs w:val="12"/>
                  <w:color w:val="0000EE"/>
                </w:rPr>
                <w:t>Amendment to the Index License Agreement for Funds, dated as of June 1, 2018, by and between</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0" w:type="dxa"/>
            <w:vAlign w:val="bottom"/>
            <w:gridSpan w:val="8"/>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205">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r:id="rId205">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4"/>
          </w:tcPr>
          <w:p>
            <w:pPr>
              <w:spacing w:after="0"/>
              <w:rPr>
                <w:sz w:val="10"/>
                <w:szCs w:val="10"/>
                <w:color w:val="auto"/>
              </w:rPr>
            </w:pPr>
          </w:p>
        </w:tc>
        <w:tc>
          <w:tcPr>
            <w:tcW w:w="160" w:type="dxa"/>
            <w:vAlign w:val="bottom"/>
            <w:gridSpan w:val="4"/>
          </w:tcPr>
          <w:p>
            <w:pPr>
              <w:spacing w:after="0"/>
              <w:rPr>
                <w:sz w:val="10"/>
                <w:szCs w:val="10"/>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10.176†</w:t>
            </w:r>
          </w:p>
        </w:tc>
        <w:tc>
          <w:tcPr>
            <w:tcW w:w="454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206">
              <w:r>
                <w:rPr>
                  <w:rFonts w:ascii="Times New Roman" w:cs="Times New Roman" w:eastAsia="Times New Roman" w:hAnsi="Times New Roman"/>
                  <w:sz w:val="12"/>
                  <w:szCs w:val="12"/>
                  <w:color w:val="0000EE"/>
                  <w:w w:val="99"/>
                </w:rPr>
                <w:t>Amendment No. 3 to the Index License Agreement for Funds, dated as of July 1, 2018, by and</w:t>
              </w:r>
            </w:hyperlink>
          </w:p>
        </w:tc>
        <w:tc>
          <w:tcPr>
            <w:tcW w:w="380" w:type="dxa"/>
            <w:vAlign w:val="bottom"/>
            <w:gridSpan w:val="9"/>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20"/>
          </w:tcPr>
          <w:p>
            <w:pPr>
              <w:spacing w:after="0" w:line="124" w:lineRule="exact"/>
              <w:rPr>
                <w:rFonts w:ascii="Times New Roman" w:cs="Times New Roman" w:eastAsia="Times New Roman" w:hAnsi="Times New Roman"/>
                <w:sz w:val="12"/>
                <w:szCs w:val="12"/>
                <w:color w:val="0000EE"/>
              </w:rPr>
            </w:pPr>
            <w:hyperlink r:id="rId206">
              <w:r>
                <w:rPr>
                  <w:rFonts w:ascii="Times New Roman" w:cs="Times New Roman" w:eastAsia="Times New Roman" w:hAnsi="Times New Roman"/>
                  <w:sz w:val="12"/>
                  <w:szCs w:val="12"/>
                  <w:color w:val="0000EE"/>
                </w:rPr>
                <w:t>between MSCI ESG Research LLC and BlackRock Fund Advisors</w:t>
              </w:r>
            </w:hyperlink>
          </w:p>
        </w:tc>
      </w:tr>
      <w:tr>
        <w:trPr>
          <w:trHeight w:val="33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Borders>
              <w:top w:val="single" w:sz="8" w:color="0000EE"/>
            </w:tcBorders>
            <w:gridSpan w:val="8"/>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106</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45720</wp:posOffset>
            </wp:positionV>
            <wp:extent cx="717804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66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Exhibit No.</w:t>
            </w:r>
          </w:p>
        </w:tc>
        <w:tc>
          <w:tcPr>
            <w:tcW w:w="360" w:type="dxa"/>
            <w:vAlign w:val="bottom"/>
          </w:tcPr>
          <w:p>
            <w:pPr>
              <w:spacing w:after="0"/>
              <w:rPr>
                <w:sz w:val="8"/>
                <w:szCs w:val="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10.163</w:t>
            </w:r>
          </w:p>
        </w:tc>
        <w:tc>
          <w:tcPr>
            <w:tcW w:w="320" w:type="dxa"/>
            <w:vAlign w:val="bottom"/>
          </w:tcPr>
          <w:p>
            <w:pPr>
              <w:spacing w:after="0"/>
              <w:rPr>
                <w:sz w:val="14"/>
                <w:szCs w:val="1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2/26/2018</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10.164</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2/26/2018</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10.165</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2/26/2018</w:t>
            </w:r>
          </w:p>
        </w:tc>
      </w:tr>
      <w:tr>
        <w:trPr>
          <w:trHeight w:val="313"/>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10.166</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2/26/2018</w:t>
            </w:r>
          </w:p>
        </w:tc>
      </w:tr>
      <w:tr>
        <w:trPr>
          <w:trHeight w:val="14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20" w:type="dxa"/>
            <w:vAlign w:val="bottom"/>
          </w:tcPr>
          <w:p>
            <w:pPr>
              <w:spacing w:after="0"/>
              <w:rPr>
                <w:sz w:val="12"/>
                <w:szCs w:val="12"/>
                <w:color w:val="auto"/>
              </w:rPr>
            </w:pPr>
          </w:p>
        </w:tc>
        <w:tc>
          <w:tcPr>
            <w:tcW w:w="8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8"/>
              </w:rPr>
              <w:t>5/4/2018</w:t>
            </w:r>
          </w:p>
        </w:tc>
        <w:tc>
          <w:tcPr>
            <w:tcW w:w="20" w:type="dxa"/>
            <w:vAlign w:val="bottom"/>
          </w:tcPr>
          <w:p>
            <w:pPr>
              <w:spacing w:after="0"/>
              <w:rPr>
                <w:sz w:val="12"/>
                <w:szCs w:val="12"/>
                <w:color w:val="auto"/>
              </w:rPr>
            </w:pPr>
          </w:p>
        </w:tc>
      </w:tr>
      <w:tr>
        <w:trPr>
          <w:trHeight w:val="155"/>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10.169</w:t>
            </w:r>
          </w:p>
        </w:tc>
        <w:tc>
          <w:tcPr>
            <w:tcW w:w="320" w:type="dxa"/>
            <w:vAlign w:val="bottom"/>
          </w:tcPr>
          <w:p>
            <w:pPr>
              <w:spacing w:after="0"/>
              <w:rPr>
                <w:sz w:val="13"/>
                <w:szCs w:val="13"/>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10.170</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10.172</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10.173</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324"/>
        </w:trPr>
        <w:tc>
          <w:tcPr>
            <w:tcW w:w="20" w:type="dxa"/>
            <w:vAlign w:val="bottom"/>
          </w:tcPr>
          <w:p>
            <w:pPr>
              <w:spacing w:after="0"/>
              <w:rPr>
                <w:sz w:val="24"/>
                <w:szCs w:val="24"/>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5/18/2018</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10.175</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10.176</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bl>
    <w:p>
      <w:pPr>
        <w:sectPr>
          <w:pgSz w:w="11900" w:h="16838" w:orient="portrait"/>
          <w:cols w:equalWidth="0" w:num="2">
            <w:col w:w="6080" w:space="420"/>
            <w:col w:w="3600"/>
          </w:cols>
          <w:pgMar w:left="1060" w:top="268" w:right="7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4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760" w:type="dxa"/>
            <w:vAlign w:val="bottom"/>
            <w:gridSpan w:val="17"/>
          </w:tcPr>
          <w:p>
            <w:pPr>
              <w:ind w:left="110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16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color w:val="auto"/>
                <w:w w:val="96"/>
              </w:rPr>
              <w:t>10.177</w:t>
            </w:r>
          </w:p>
        </w:tc>
        <w:tc>
          <w:tcPr>
            <w:tcW w:w="4720" w:type="dxa"/>
            <w:vAlign w:val="bottom"/>
            <w:tcBorders>
              <w:bottom w:val="single" w:sz="8" w:color="0000EE"/>
            </w:tcBorders>
            <w:gridSpan w:val="11"/>
          </w:tcPr>
          <w:p>
            <w:pPr>
              <w:spacing w:after="0"/>
              <w:rPr>
                <w:rFonts w:ascii="Times New Roman" w:cs="Times New Roman" w:eastAsia="Times New Roman" w:hAnsi="Times New Roman"/>
                <w:sz w:val="12"/>
                <w:szCs w:val="12"/>
                <w:color w:val="0000EE"/>
                <w:w w:val="99"/>
              </w:rPr>
            </w:pPr>
            <w:hyperlink r:id="rId208">
              <w:r>
                <w:rPr>
                  <w:rFonts w:ascii="Times New Roman" w:cs="Times New Roman" w:eastAsia="Times New Roman" w:hAnsi="Times New Roman"/>
                  <w:sz w:val="12"/>
                  <w:szCs w:val="12"/>
                  <w:color w:val="0000EE"/>
                  <w:w w:val="99"/>
                </w:rPr>
                <w:t>Amendment to the Schedules to the Index License Agreement for Funds, dated as of September 1,</w:t>
              </w:r>
            </w:hyperlink>
          </w:p>
        </w:tc>
        <w:tc>
          <w:tcPr>
            <w:tcW w:w="200" w:type="dxa"/>
            <w:vAlign w:val="bottom"/>
            <w:gridSpan w:val="7"/>
          </w:tcPr>
          <w:p>
            <w:pPr>
              <w:spacing w:after="0"/>
              <w:rPr>
                <w:sz w:val="12"/>
                <w:szCs w:val="12"/>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0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208">
              <w:r>
                <w:rPr>
                  <w:rFonts w:ascii="Times New Roman" w:cs="Times New Roman" w:eastAsia="Times New Roman" w:hAnsi="Times New Roman"/>
                  <w:sz w:val="12"/>
                  <w:szCs w:val="12"/>
                  <w:color w:val="0000EE"/>
                  <w:w w:val="99"/>
                </w:rPr>
                <w:t>2018, by and between MSCI Inc. and BlackRock Fund Advisors</w:t>
              </w:r>
            </w:hyperlink>
          </w:p>
        </w:tc>
        <w:tc>
          <w:tcPr>
            <w:tcW w:w="1820" w:type="dxa"/>
            <w:vAlign w:val="bottom"/>
            <w:gridSpan w:val="12"/>
          </w:tcPr>
          <w:p>
            <w:pPr>
              <w:spacing w:after="0"/>
              <w:rPr>
                <w:sz w:val="10"/>
                <w:szCs w:val="10"/>
                <w:color w:val="auto"/>
              </w:rPr>
            </w:pPr>
          </w:p>
        </w:tc>
      </w:tr>
      <w:tr>
        <w:trPr>
          <w:trHeight w:val="160"/>
        </w:trPr>
        <w:tc>
          <w:tcPr>
            <w:tcW w:w="116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color w:val="auto"/>
                <w:w w:val="96"/>
              </w:rPr>
              <w:t>10.178</w:t>
            </w:r>
          </w:p>
        </w:tc>
        <w:tc>
          <w:tcPr>
            <w:tcW w:w="4920" w:type="dxa"/>
            <w:vAlign w:val="bottom"/>
            <w:gridSpan w:val="18"/>
          </w:tcPr>
          <w:p>
            <w:pPr>
              <w:spacing w:after="0"/>
              <w:rPr>
                <w:rFonts w:ascii="Times New Roman" w:cs="Times New Roman" w:eastAsia="Times New Roman" w:hAnsi="Times New Roman"/>
                <w:sz w:val="12"/>
                <w:szCs w:val="12"/>
                <w:color w:val="0000EE"/>
              </w:rPr>
            </w:pPr>
            <w:hyperlink r:id="rId209">
              <w:r>
                <w:rPr>
                  <w:rFonts w:ascii="Times New Roman" w:cs="Times New Roman" w:eastAsia="Times New Roman" w:hAnsi="Times New Roman"/>
                  <w:sz w:val="12"/>
                  <w:szCs w:val="12"/>
                  <w:color w:val="0000EE"/>
                </w:rPr>
                <w:t>Amendment to the Previous Amendment to the Index License Agreement for Funds, dated as of</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0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209">
              <w:r>
                <w:rPr>
                  <w:rFonts w:ascii="Times New Roman" w:cs="Times New Roman" w:eastAsia="Times New Roman" w:hAnsi="Times New Roman"/>
                  <w:sz w:val="12"/>
                  <w:szCs w:val="12"/>
                  <w:color w:val="0000EE"/>
                  <w:w w:val="99"/>
                </w:rPr>
                <w:t>September 10, 2018, by and between MSCI Inc. (formerly, Morgan Stanley Capital International Inc.)</w:t>
              </w:r>
            </w:hyperlink>
          </w:p>
        </w:tc>
        <w:tc>
          <w:tcPr>
            <w:tcW w:w="20" w:type="dxa"/>
            <w:vAlign w:val="bottom"/>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09">
              <w:r>
                <w:rPr>
                  <w:rFonts w:ascii="Times New Roman" w:cs="Times New Roman" w:eastAsia="Times New Roman" w:hAnsi="Times New Roman"/>
                  <w:sz w:val="12"/>
                  <w:szCs w:val="12"/>
                  <w:color w:val="0000EE"/>
                </w:rPr>
                <w:t>and BlackRock Fund Advisors (as successor to Barclays Global Investors, N.A.)</w:t>
              </w:r>
            </w:hyperlink>
          </w:p>
        </w:tc>
      </w:tr>
      <w:tr>
        <w:trPr>
          <w:trHeight w:val="20"/>
        </w:trPr>
        <w:tc>
          <w:tcPr>
            <w:tcW w:w="116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10.179†</w:t>
            </w:r>
          </w:p>
        </w:tc>
        <w:tc>
          <w:tcPr>
            <w:tcW w:w="480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210">
              <w:r>
                <w:rPr>
                  <w:rFonts w:ascii="Times New Roman" w:cs="Times New Roman" w:eastAsia="Times New Roman" w:hAnsi="Times New Roman"/>
                  <w:sz w:val="12"/>
                  <w:szCs w:val="12"/>
                  <w:color w:val="0000EE"/>
                  <w:w w:val="99"/>
                </w:rPr>
                <w:t>Amendment to the Previous Amendment, the Previous Conversion Amendment and Previous Name</w:t>
              </w:r>
            </w:hyperlink>
          </w:p>
        </w:tc>
        <w:tc>
          <w:tcPr>
            <w:tcW w:w="120" w:type="dxa"/>
            <w:vAlign w:val="bottom"/>
            <w:gridSpan w:val="4"/>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10">
              <w:r>
                <w:rPr>
                  <w:rFonts w:ascii="Times New Roman" w:cs="Times New Roman" w:eastAsia="Times New Roman" w:hAnsi="Times New Roman"/>
                  <w:sz w:val="12"/>
                  <w:szCs w:val="12"/>
                  <w:color w:val="0000EE"/>
                </w:rPr>
                <w:t>Change Amendment to the Index License Agreement for Funds, dated as of September 10, 2018, by</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0" w:type="dxa"/>
            <w:vAlign w:val="bottom"/>
            <w:tcBorders>
              <w:top w:val="single" w:sz="8" w:color="0000EE"/>
            </w:tcBorders>
            <w:gridSpan w:val="14"/>
          </w:tcPr>
          <w:p>
            <w:pPr>
              <w:spacing w:after="0" w:line="124" w:lineRule="exact"/>
              <w:rPr>
                <w:rFonts w:ascii="Times New Roman" w:cs="Times New Roman" w:eastAsia="Times New Roman" w:hAnsi="Times New Roman"/>
                <w:sz w:val="12"/>
                <w:szCs w:val="12"/>
                <w:color w:val="0000EE"/>
              </w:rPr>
            </w:pPr>
            <w:hyperlink r:id="rId210">
              <w:r>
                <w:rPr>
                  <w:rFonts w:ascii="Times New Roman" w:cs="Times New Roman" w:eastAsia="Times New Roman" w:hAnsi="Times New Roman"/>
                  <w:sz w:val="12"/>
                  <w:szCs w:val="12"/>
                  <w:color w:val="0000EE"/>
                </w:rPr>
                <w:t>and between MSCI Inc. (formerly, Morgan Stanley Capital International Inc.) and BlackRock Fund</w:t>
              </w:r>
            </w:hyperlink>
          </w:p>
        </w:tc>
        <w:tc>
          <w:tcPr>
            <w:tcW w:w="120" w:type="dxa"/>
            <w:vAlign w:val="bottom"/>
            <w:gridSpan w:val="4"/>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760" w:type="dxa"/>
            <w:vAlign w:val="bottom"/>
            <w:tcBorders>
              <w:top w:val="single" w:sz="8" w:color="0000EE"/>
            </w:tcBorders>
            <w:gridSpan w:val="13"/>
          </w:tcPr>
          <w:p>
            <w:pPr>
              <w:spacing w:after="0" w:line="124" w:lineRule="exact"/>
              <w:rPr>
                <w:rFonts w:ascii="Times New Roman" w:cs="Times New Roman" w:eastAsia="Times New Roman" w:hAnsi="Times New Roman"/>
                <w:sz w:val="12"/>
                <w:szCs w:val="12"/>
                <w:color w:val="0000EE"/>
              </w:rPr>
            </w:pPr>
            <w:hyperlink r:id="rId210">
              <w:r>
                <w:rPr>
                  <w:rFonts w:ascii="Times New Roman" w:cs="Times New Roman" w:eastAsia="Times New Roman" w:hAnsi="Times New Roman"/>
                  <w:sz w:val="12"/>
                  <w:szCs w:val="12"/>
                  <w:color w:val="0000EE"/>
                </w:rPr>
                <w:t>Advisors (as successor to Barclays Global Investors, N.A.)</w:t>
              </w:r>
            </w:hyperlink>
          </w:p>
        </w:tc>
        <w:tc>
          <w:tcPr>
            <w:tcW w:w="160" w:type="dxa"/>
            <w:vAlign w:val="bottom"/>
            <w:gridSpan w:val="5"/>
          </w:tcPr>
          <w:p>
            <w:pPr>
              <w:spacing w:after="0"/>
              <w:rPr>
                <w:sz w:val="10"/>
                <w:szCs w:val="10"/>
                <w:color w:val="auto"/>
              </w:rPr>
            </w:pPr>
          </w:p>
        </w:tc>
      </w:tr>
      <w:tr>
        <w:trPr>
          <w:trHeight w:val="20"/>
        </w:trPr>
        <w:tc>
          <w:tcPr>
            <w:tcW w:w="116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10.180†</w:t>
            </w:r>
          </w:p>
        </w:tc>
        <w:tc>
          <w:tcPr>
            <w:tcW w:w="486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r:id="rId211">
              <w:r>
                <w:rPr>
                  <w:rFonts w:ascii="Times New Roman" w:cs="Times New Roman" w:eastAsia="Times New Roman" w:hAnsi="Times New Roman"/>
                  <w:sz w:val="12"/>
                  <w:szCs w:val="12"/>
                  <w:color w:val="0000EE"/>
                  <w:w w:val="99"/>
                </w:rPr>
                <w:t>Amendment to the Index License Agreement for Funds, dated as of October 1, 2018, by and between</w:t>
              </w:r>
            </w:hyperlink>
          </w:p>
        </w:tc>
        <w:tc>
          <w:tcPr>
            <w:tcW w:w="60" w:type="dxa"/>
            <w:vAlign w:val="bottom"/>
            <w:gridSpan w:val="3"/>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11">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8"/>
              </w:rPr>
            </w:pPr>
            <w:hyperlink r:id="rId211">
              <w:r>
                <w:rPr>
                  <w:rFonts w:ascii="Times New Roman" w:cs="Times New Roman" w:eastAsia="Times New Roman" w:hAnsi="Times New Roman"/>
                  <w:sz w:val="12"/>
                  <w:szCs w:val="12"/>
                  <w:color w:val="0000EE"/>
                  <w:w w:val="98"/>
                </w:rPr>
                <w:t>Company, N.A. (formerly, Barclays Global Investors, N.A.)</w:t>
              </w:r>
            </w:hyperlink>
          </w:p>
        </w:tc>
        <w:tc>
          <w:tcPr>
            <w:tcW w:w="1860" w:type="dxa"/>
            <w:vAlign w:val="bottom"/>
            <w:tcBorders>
              <w:top w:val="single" w:sz="8" w:color="0000EE"/>
            </w:tcBorders>
            <w:gridSpan w:val="7"/>
          </w:tcPr>
          <w:p>
            <w:pPr>
              <w:spacing w:after="0"/>
              <w:rPr>
                <w:sz w:val="10"/>
                <w:szCs w:val="10"/>
                <w:color w:val="auto"/>
              </w:rPr>
            </w:pPr>
          </w:p>
        </w:tc>
        <w:tc>
          <w:tcPr>
            <w:tcW w:w="180" w:type="dxa"/>
            <w:vAlign w:val="bottom"/>
            <w:gridSpan w:val="6"/>
          </w:tcPr>
          <w:p>
            <w:pPr>
              <w:spacing w:after="0"/>
              <w:rPr>
                <w:sz w:val="10"/>
                <w:szCs w:val="10"/>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10.181†</w:t>
            </w:r>
          </w:p>
        </w:tc>
        <w:tc>
          <w:tcPr>
            <w:tcW w:w="486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r:id="rId212">
              <w:r>
                <w:rPr>
                  <w:rFonts w:ascii="Times New Roman" w:cs="Times New Roman" w:eastAsia="Times New Roman" w:hAnsi="Times New Roman"/>
                  <w:sz w:val="12"/>
                  <w:szCs w:val="12"/>
                  <w:color w:val="0000EE"/>
                  <w:w w:val="99"/>
                </w:rPr>
                <w:t>Amendment to the Index License Agreement for Funds, dated as of October 1, 2018, by and between</w:t>
              </w:r>
            </w:hyperlink>
          </w:p>
        </w:tc>
        <w:tc>
          <w:tcPr>
            <w:tcW w:w="60" w:type="dxa"/>
            <w:vAlign w:val="bottom"/>
            <w:gridSpan w:val="3"/>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12">
              <w:r>
                <w:rPr>
                  <w:rFonts w:ascii="Times New Roman" w:cs="Times New Roman" w:eastAsia="Times New Roman" w:hAnsi="Times New Roman"/>
                  <w:sz w:val="12"/>
                  <w:szCs w:val="12"/>
                  <w:color w:val="0000EE"/>
                </w:rPr>
                <w:t>MSCI Inc. (formerly, Morgan Stanley Capital International Inc.) and BlackRock Institutional Trust</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8"/>
              </w:rPr>
            </w:pPr>
            <w:hyperlink r:id="rId212">
              <w:r>
                <w:rPr>
                  <w:rFonts w:ascii="Times New Roman" w:cs="Times New Roman" w:eastAsia="Times New Roman" w:hAnsi="Times New Roman"/>
                  <w:sz w:val="12"/>
                  <w:szCs w:val="12"/>
                  <w:color w:val="0000EE"/>
                  <w:w w:val="98"/>
                </w:rPr>
                <w:t>Company, N.A. (formerly, Barclays Global Investors, N.A.)</w:t>
              </w:r>
            </w:hyperlink>
          </w:p>
        </w:tc>
        <w:tc>
          <w:tcPr>
            <w:tcW w:w="1860" w:type="dxa"/>
            <w:vAlign w:val="bottom"/>
            <w:tcBorders>
              <w:top w:val="single" w:sz="8" w:color="0000EE"/>
            </w:tcBorders>
            <w:gridSpan w:val="7"/>
          </w:tcPr>
          <w:p>
            <w:pPr>
              <w:spacing w:after="0"/>
              <w:rPr>
                <w:sz w:val="10"/>
                <w:szCs w:val="10"/>
                <w:color w:val="auto"/>
              </w:rPr>
            </w:pPr>
          </w:p>
        </w:tc>
        <w:tc>
          <w:tcPr>
            <w:tcW w:w="180" w:type="dxa"/>
            <w:vAlign w:val="bottom"/>
            <w:gridSpan w:val="6"/>
          </w:tcPr>
          <w:p>
            <w:pPr>
              <w:spacing w:after="0"/>
              <w:rPr>
                <w:sz w:val="10"/>
                <w:szCs w:val="10"/>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10.182†</w:t>
            </w: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13">
              <w:r>
                <w:rPr>
                  <w:rFonts w:ascii="Times New Roman" w:cs="Times New Roman" w:eastAsia="Times New Roman" w:hAnsi="Times New Roman"/>
                  <w:sz w:val="12"/>
                  <w:szCs w:val="12"/>
                  <w:color w:val="0000EE"/>
                </w:rPr>
                <w:t>Amendment to the Index License Agreement for Funds, dated as of November 1, 2018, by and</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213">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320" w:type="dxa"/>
            <w:vAlign w:val="bottom"/>
            <w:gridSpan w:val="9"/>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13">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16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10.183†</w:t>
            </w: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14">
              <w:r>
                <w:rPr>
                  <w:rFonts w:ascii="Times New Roman" w:cs="Times New Roman" w:eastAsia="Times New Roman" w:hAnsi="Times New Roman"/>
                  <w:sz w:val="12"/>
                  <w:szCs w:val="12"/>
                  <w:color w:val="0000EE"/>
                </w:rPr>
                <w:t>Amendment to the Index License Agreement for Funds, dated as of November 1, 2018, by and</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214">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320" w:type="dxa"/>
            <w:vAlign w:val="bottom"/>
            <w:gridSpan w:val="9"/>
          </w:tcPr>
          <w:p>
            <w:pPr>
              <w:spacing w:after="0"/>
              <w:rPr>
                <w:sz w:val="10"/>
                <w:szCs w:val="10"/>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14">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16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10.184†</w:t>
            </w: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15">
              <w:r>
                <w:rPr>
                  <w:rFonts w:ascii="Times New Roman" w:cs="Times New Roman" w:eastAsia="Times New Roman" w:hAnsi="Times New Roman"/>
                  <w:sz w:val="12"/>
                  <w:szCs w:val="12"/>
                  <w:color w:val="0000EE"/>
                </w:rPr>
                <w:t>Amendment to the Previous Amendment to the Index License Agreement for Funds, dated as of</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190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8"/>
          </w:tcPr>
          <w:p>
            <w:pPr>
              <w:spacing w:after="0" w:line="124" w:lineRule="exact"/>
              <w:rPr>
                <w:rFonts w:ascii="Times New Roman" w:cs="Times New Roman" w:eastAsia="Times New Roman" w:hAnsi="Times New Roman"/>
                <w:sz w:val="12"/>
                <w:szCs w:val="12"/>
                <w:color w:val="0000EE"/>
              </w:rPr>
            </w:pPr>
            <w:hyperlink r:id="rId215">
              <w:r>
                <w:rPr>
                  <w:rFonts w:ascii="Times New Roman" w:cs="Times New Roman" w:eastAsia="Times New Roman" w:hAnsi="Times New Roman"/>
                  <w:sz w:val="12"/>
                  <w:szCs w:val="12"/>
                  <w:color w:val="0000EE"/>
                </w:rPr>
                <w:t>November 16, 2018, by and between MSCI Inc. (formerly, Morgan Stanley Capital International Inc.)</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80" w:type="dxa"/>
            <w:vAlign w:val="bottom"/>
            <w:tcBorders>
              <w:top w:val="single" w:sz="8" w:color="0000EE"/>
            </w:tcBorders>
            <w:gridSpan w:val="16"/>
          </w:tcPr>
          <w:p>
            <w:pPr>
              <w:spacing w:after="0" w:line="124" w:lineRule="exact"/>
              <w:rPr>
                <w:rFonts w:ascii="Times New Roman" w:cs="Times New Roman" w:eastAsia="Times New Roman" w:hAnsi="Times New Roman"/>
                <w:sz w:val="12"/>
                <w:szCs w:val="12"/>
                <w:color w:val="0000EE"/>
              </w:rPr>
            </w:pPr>
            <w:hyperlink r:id="rId215">
              <w:r>
                <w:rPr>
                  <w:rFonts w:ascii="Times New Roman" w:cs="Times New Roman" w:eastAsia="Times New Roman" w:hAnsi="Times New Roman"/>
                  <w:sz w:val="12"/>
                  <w:szCs w:val="12"/>
                  <w:color w:val="0000EE"/>
                </w:rPr>
                <w:t>and BlackRock Fund Advisors (as successor to Barclays Global Investors, N.A.)</w:t>
              </w:r>
            </w:hyperlink>
          </w:p>
        </w:tc>
        <w:tc>
          <w:tcPr>
            <w:tcW w:w="40" w:type="dxa"/>
            <w:vAlign w:val="bottom"/>
            <w:gridSpan w:val="2"/>
          </w:tcPr>
          <w:p>
            <w:pPr>
              <w:spacing w:after="0"/>
              <w:rPr>
                <w:sz w:val="10"/>
                <w:szCs w:val="10"/>
                <w:color w:val="auto"/>
              </w:rPr>
            </w:pPr>
          </w:p>
        </w:tc>
      </w:tr>
      <w:tr>
        <w:trPr>
          <w:trHeight w:val="20"/>
        </w:trPr>
        <w:tc>
          <w:tcPr>
            <w:tcW w:w="116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124"/>
        </w:trPr>
        <w:tc>
          <w:tcPr>
            <w:tcW w:w="1160" w:type="dxa"/>
            <w:vAlign w:val="bottom"/>
            <w:gridSpan w:val="3"/>
          </w:tcPr>
          <w:p>
            <w:pPr>
              <w:jc w:val="center"/>
              <w:ind w:right="760"/>
              <w:spacing w:after="0" w:line="124" w:lineRule="exact"/>
              <w:rPr>
                <w:sz w:val="20"/>
                <w:szCs w:val="20"/>
                <w:color w:val="auto"/>
              </w:rPr>
            </w:pPr>
            <w:r>
              <w:rPr>
                <w:rFonts w:ascii="Times New Roman" w:cs="Times New Roman" w:eastAsia="Times New Roman" w:hAnsi="Times New Roman"/>
                <w:sz w:val="12"/>
                <w:szCs w:val="12"/>
                <w:color w:val="auto"/>
              </w:rPr>
              <w:t>10.185*</w:t>
            </w:r>
          </w:p>
        </w:tc>
        <w:tc>
          <w:tcPr>
            <w:tcW w:w="4920" w:type="dxa"/>
            <w:vAlign w:val="bottom"/>
            <w:tcBorders>
              <w:bottom w:val="single" w:sz="8" w:color="0000EE"/>
            </w:tcBorders>
            <w:gridSpan w:val="18"/>
          </w:tcPr>
          <w:p>
            <w:pPr>
              <w:spacing w:after="0" w:line="124" w:lineRule="exact"/>
              <w:rPr>
                <w:rFonts w:ascii="Times New Roman" w:cs="Times New Roman" w:eastAsia="Times New Roman" w:hAnsi="Times New Roman"/>
                <w:sz w:val="12"/>
                <w:szCs w:val="12"/>
                <w:color w:val="0000EE"/>
                <w:w w:val="99"/>
              </w:rPr>
            </w:pPr>
            <w:hyperlink r:id="rId216">
              <w:r>
                <w:rPr>
                  <w:rFonts w:ascii="Times New Roman" w:cs="Times New Roman" w:eastAsia="Times New Roman" w:hAnsi="Times New Roman"/>
                  <w:sz w:val="12"/>
                  <w:szCs w:val="12"/>
                  <w:color w:val="0000EE"/>
                  <w:w w:val="99"/>
                </w:rPr>
                <w:t>Form of 2019 Award Agreement for Restricted Stock Units For Employees Under the MSCI Inc. 2016</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8"/>
              </w:rPr>
            </w:pPr>
            <w:hyperlink r:id="rId216">
              <w:r>
                <w:rPr>
                  <w:rFonts w:ascii="Times New Roman" w:cs="Times New Roman" w:eastAsia="Times New Roman" w:hAnsi="Times New Roman"/>
                  <w:sz w:val="12"/>
                  <w:szCs w:val="12"/>
                  <w:color w:val="0000EE"/>
                  <w:w w:val="98"/>
                </w:rPr>
                <w:t>Omnibus Incentive Plan</w:t>
              </w:r>
            </w:hyperlink>
          </w:p>
        </w:tc>
        <w:tc>
          <w:tcPr>
            <w:tcW w:w="3760" w:type="dxa"/>
            <w:vAlign w:val="bottom"/>
            <w:gridSpan w:val="17"/>
          </w:tcPr>
          <w:p>
            <w:pPr>
              <w:spacing w:after="0"/>
              <w:rPr>
                <w:sz w:val="10"/>
                <w:szCs w:val="10"/>
                <w:color w:val="auto"/>
              </w:rPr>
            </w:pPr>
          </w:p>
        </w:tc>
      </w:tr>
      <w:tr>
        <w:trPr>
          <w:trHeight w:val="160"/>
        </w:trPr>
        <w:tc>
          <w:tcPr>
            <w:tcW w:w="116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color w:val="auto"/>
              </w:rPr>
              <w:t>10.186*</w:t>
            </w:r>
          </w:p>
        </w:tc>
        <w:tc>
          <w:tcPr>
            <w:tcW w:w="4920" w:type="dxa"/>
            <w:vAlign w:val="bottom"/>
            <w:gridSpan w:val="18"/>
          </w:tcPr>
          <w:p>
            <w:pPr>
              <w:spacing w:after="0"/>
              <w:rPr>
                <w:rFonts w:ascii="Times New Roman" w:cs="Times New Roman" w:eastAsia="Times New Roman" w:hAnsi="Times New Roman"/>
                <w:sz w:val="12"/>
                <w:szCs w:val="12"/>
                <w:color w:val="0000EE"/>
              </w:rPr>
            </w:pPr>
            <w:hyperlink r:id="rId217">
              <w:r>
                <w:rPr>
                  <w:rFonts w:ascii="Times New Roman" w:cs="Times New Roman" w:eastAsia="Times New Roman" w:hAnsi="Times New Roman"/>
                  <w:sz w:val="12"/>
                  <w:szCs w:val="12"/>
                  <w:color w:val="0000EE"/>
                </w:rPr>
                <w:t>Form of 2019 Annual Performance Award Agreement for Performance Stock Units for Managing</w:t>
              </w:r>
            </w:hyperlink>
          </w:p>
        </w:tc>
      </w:tr>
      <w:tr>
        <w:trPr>
          <w:trHeight w:val="124"/>
        </w:trPr>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70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217">
              <w:r>
                <w:rPr>
                  <w:rFonts w:ascii="Times New Roman" w:cs="Times New Roman" w:eastAsia="Times New Roman" w:hAnsi="Times New Roman"/>
                  <w:sz w:val="12"/>
                  <w:szCs w:val="12"/>
                  <w:color w:val="0000EE"/>
                  <w:w w:val="99"/>
                </w:rPr>
                <w:t>Directors Under the MSCI Inc. Omnibus Incentive Plan</w:t>
              </w:r>
            </w:hyperlink>
          </w:p>
        </w:tc>
        <w:tc>
          <w:tcPr>
            <w:tcW w:w="1980" w:type="dxa"/>
            <w:vAlign w:val="bottom"/>
            <w:tcBorders>
              <w:top w:val="single" w:sz="8" w:color="0000EE"/>
            </w:tcBorders>
            <w:gridSpan w:val="7"/>
          </w:tcPr>
          <w:p>
            <w:pPr>
              <w:spacing w:after="0"/>
              <w:rPr>
                <w:sz w:val="10"/>
                <w:szCs w:val="10"/>
                <w:color w:val="auto"/>
              </w:rPr>
            </w:pPr>
          </w:p>
        </w:tc>
        <w:tc>
          <w:tcPr>
            <w:tcW w:w="240" w:type="dxa"/>
            <w:vAlign w:val="bottom"/>
            <w:gridSpan w:val="8"/>
          </w:tcPr>
          <w:p>
            <w:pPr>
              <w:spacing w:after="0"/>
              <w:rPr>
                <w:sz w:val="10"/>
                <w:szCs w:val="10"/>
                <w:color w:val="auto"/>
              </w:rPr>
            </w:pPr>
          </w:p>
        </w:tc>
      </w:tr>
      <w:tr>
        <w:trPr>
          <w:trHeight w:val="33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60" w:type="dxa"/>
            <w:vAlign w:val="bottom"/>
            <w:gridSpan w:val="7"/>
          </w:tcPr>
          <w:p>
            <w:pPr>
              <w:ind w:left="3640"/>
              <w:spacing w:after="0"/>
              <w:rPr>
                <w:sz w:val="20"/>
                <w:szCs w:val="20"/>
                <w:color w:val="auto"/>
              </w:rPr>
            </w:pPr>
            <w:r>
              <w:rPr>
                <w:rFonts w:ascii="Times New Roman" w:cs="Times New Roman" w:eastAsia="Times New Roman" w:hAnsi="Times New Roman"/>
                <w:sz w:val="12"/>
                <w:szCs w:val="12"/>
                <w:color w:val="auto"/>
              </w:rPr>
              <w:t>107</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45720</wp:posOffset>
            </wp:positionV>
            <wp:extent cx="717804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66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9"/>
              </w:rPr>
              <w:t>Exhibit No.</w:t>
            </w:r>
          </w:p>
        </w:tc>
        <w:tc>
          <w:tcPr>
            <w:tcW w:w="360" w:type="dxa"/>
            <w:vAlign w:val="bottom"/>
          </w:tcPr>
          <w:p>
            <w:pPr>
              <w:spacing w:after="0"/>
              <w:rPr>
                <w:sz w:val="8"/>
                <w:szCs w:val="8"/>
                <w:color w:val="auto"/>
              </w:rPr>
            </w:pP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10.177</w:t>
            </w:r>
          </w:p>
        </w:tc>
        <w:tc>
          <w:tcPr>
            <w:tcW w:w="320" w:type="dxa"/>
            <w:vAlign w:val="bottom"/>
          </w:tcPr>
          <w:p>
            <w:pPr>
              <w:spacing w:after="0"/>
              <w:rPr>
                <w:sz w:val="14"/>
                <w:szCs w:val="1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10.178</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10.179</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576"/>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10.180</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10.182</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10.183</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10.184</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10.185</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10.186</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bl>
    <w:p>
      <w:pPr>
        <w:sectPr>
          <w:pgSz w:w="11900" w:h="16838" w:orient="portrait"/>
          <w:cols w:equalWidth="0" w:num="2">
            <w:col w:w="6080" w:space="420"/>
            <w:col w:w="3600"/>
          </w:cols>
          <w:pgMar w:left="1060" w:top="268" w:right="7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1"/>
        </w:trPr>
        <w:tc>
          <w:tcPr>
            <w:tcW w:w="6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40" w:type="dxa"/>
            <w:vAlign w:val="bottom"/>
            <w:gridSpan w:val="19"/>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10.187*</w:t>
            </w:r>
          </w:p>
        </w:tc>
        <w:tc>
          <w:tcPr>
            <w:tcW w:w="4700" w:type="dxa"/>
            <w:vAlign w:val="bottom"/>
            <w:tcBorders>
              <w:bottom w:val="single" w:sz="8" w:color="0000EE"/>
            </w:tcBorders>
            <w:gridSpan w:val="17"/>
          </w:tcPr>
          <w:p>
            <w:pPr>
              <w:spacing w:after="0"/>
              <w:rPr>
                <w:rFonts w:ascii="Times New Roman" w:cs="Times New Roman" w:eastAsia="Times New Roman" w:hAnsi="Times New Roman"/>
                <w:sz w:val="12"/>
                <w:szCs w:val="12"/>
                <w:color w:val="0000EE"/>
                <w:w w:val="99"/>
              </w:rPr>
            </w:pPr>
            <w:hyperlink r:id="rId219">
              <w:r>
                <w:rPr>
                  <w:rFonts w:ascii="Times New Roman" w:cs="Times New Roman" w:eastAsia="Times New Roman" w:hAnsi="Times New Roman"/>
                  <w:sz w:val="12"/>
                  <w:szCs w:val="12"/>
                  <w:color w:val="0000EE"/>
                  <w:w w:val="99"/>
                </w:rPr>
                <w:t>Form of 2019 Annual Performance Award Agreement for Performance Stock Units for Managing</w:t>
              </w:r>
            </w:hyperlink>
          </w:p>
        </w:tc>
        <w:tc>
          <w:tcPr>
            <w:tcW w:w="240" w:type="dxa"/>
            <w:vAlign w:val="bottom"/>
            <w:gridSpan w:val="7"/>
          </w:tcPr>
          <w:p>
            <w:pPr>
              <w:spacing w:after="0"/>
              <w:rPr>
                <w:sz w:val="12"/>
                <w:szCs w:val="12"/>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8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219">
              <w:r>
                <w:rPr>
                  <w:rFonts w:ascii="Times New Roman" w:cs="Times New Roman" w:eastAsia="Times New Roman" w:hAnsi="Times New Roman"/>
                  <w:sz w:val="12"/>
                  <w:szCs w:val="12"/>
                  <w:color w:val="0000EE"/>
                  <w:w w:val="99"/>
                </w:rPr>
                <w:t>Directors Under the MSCI Inc. Omnibus Incentive Plan</w:t>
              </w:r>
            </w:hyperlink>
          </w:p>
        </w:tc>
        <w:tc>
          <w:tcPr>
            <w:tcW w:w="2260" w:type="dxa"/>
            <w:vAlign w:val="bottom"/>
            <w:gridSpan w:val="17"/>
          </w:tcPr>
          <w:p>
            <w:pPr>
              <w:spacing w:after="0"/>
              <w:rPr>
                <w:sz w:val="10"/>
                <w:szCs w:val="10"/>
                <w:color w:val="auto"/>
              </w:rPr>
            </w:pPr>
          </w:p>
        </w:tc>
      </w:tr>
      <w:tr>
        <w:trPr>
          <w:trHeight w:val="176"/>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10.188*</w:t>
            </w:r>
          </w:p>
        </w:tc>
        <w:tc>
          <w:tcPr>
            <w:tcW w:w="4940" w:type="dxa"/>
            <w:vAlign w:val="bottom"/>
            <w:gridSpan w:val="24"/>
          </w:tcPr>
          <w:p>
            <w:pPr>
              <w:spacing w:after="0"/>
              <w:rPr>
                <w:rFonts w:ascii="Times New Roman" w:cs="Times New Roman" w:eastAsia="Times New Roman" w:hAnsi="Times New Roman"/>
                <w:sz w:val="12"/>
                <w:szCs w:val="12"/>
                <w:u w:val="single" w:color="auto"/>
                <w:color w:val="0000EE"/>
              </w:rPr>
            </w:pPr>
            <w:hyperlink r:id="rId220">
              <w:r>
                <w:rPr>
                  <w:rFonts w:ascii="Times New Roman" w:cs="Times New Roman" w:eastAsia="Times New Roman" w:hAnsi="Times New Roman"/>
                  <w:sz w:val="12"/>
                  <w:szCs w:val="12"/>
                  <w:u w:val="single" w:color="auto"/>
                  <w:color w:val="0000EE"/>
                </w:rPr>
                <w:t>MSCI Inc. Executive Committee Stock Ownership Guidelines</w:t>
              </w:r>
            </w:hyperlink>
          </w:p>
        </w:tc>
      </w:tr>
      <w:tr>
        <w:trPr>
          <w:trHeight w:val="155"/>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10.189*</w:t>
            </w:r>
          </w:p>
        </w:tc>
        <w:tc>
          <w:tcPr>
            <w:tcW w:w="4940" w:type="dxa"/>
            <w:vAlign w:val="bottom"/>
            <w:gridSpan w:val="24"/>
          </w:tcPr>
          <w:p>
            <w:pPr>
              <w:spacing w:after="0"/>
              <w:rPr>
                <w:rFonts w:ascii="Times New Roman" w:cs="Times New Roman" w:eastAsia="Times New Roman" w:hAnsi="Times New Roman"/>
                <w:sz w:val="12"/>
                <w:szCs w:val="12"/>
                <w:u w:val="single" w:color="auto"/>
                <w:color w:val="0000EE"/>
              </w:rPr>
            </w:pPr>
            <w:hyperlink r:id="rId221">
              <w:r>
                <w:rPr>
                  <w:rFonts w:ascii="Times New Roman" w:cs="Times New Roman" w:eastAsia="Times New Roman" w:hAnsi="Times New Roman"/>
                  <w:sz w:val="12"/>
                  <w:szCs w:val="12"/>
                  <w:u w:val="single" w:color="auto"/>
                  <w:color w:val="0000EE"/>
                </w:rPr>
                <w:t>MSCI Inc. Clawback Policy</w:t>
              </w:r>
            </w:hyperlink>
          </w:p>
        </w:tc>
      </w:tr>
      <w:tr>
        <w:trPr>
          <w:trHeight w:val="135"/>
        </w:trPr>
        <w:tc>
          <w:tcPr>
            <w:tcW w:w="1180" w:type="dxa"/>
            <w:vAlign w:val="bottom"/>
            <w:gridSpan w:val="3"/>
          </w:tcPr>
          <w:p>
            <w:pPr>
              <w:jc w:val="center"/>
              <w:ind w:right="740"/>
              <w:spacing w:after="0" w:line="135" w:lineRule="exact"/>
              <w:rPr>
                <w:sz w:val="20"/>
                <w:szCs w:val="20"/>
                <w:color w:val="auto"/>
              </w:rPr>
            </w:pPr>
            <w:r>
              <w:rPr>
                <w:rFonts w:ascii="Times New Roman" w:cs="Times New Roman" w:eastAsia="Times New Roman" w:hAnsi="Times New Roman"/>
                <w:sz w:val="12"/>
                <w:szCs w:val="12"/>
                <w:color w:val="auto"/>
              </w:rPr>
              <w:t>10.190*</w:t>
            </w:r>
          </w:p>
        </w:tc>
        <w:tc>
          <w:tcPr>
            <w:tcW w:w="4940" w:type="dxa"/>
            <w:vAlign w:val="bottom"/>
            <w:gridSpan w:val="24"/>
          </w:tcPr>
          <w:p>
            <w:pPr>
              <w:spacing w:after="0" w:line="135" w:lineRule="exact"/>
              <w:rPr>
                <w:rFonts w:ascii="Times New Roman" w:cs="Times New Roman" w:eastAsia="Times New Roman" w:hAnsi="Times New Roman"/>
                <w:sz w:val="12"/>
                <w:szCs w:val="12"/>
                <w:color w:val="0000EE"/>
              </w:rPr>
            </w:pPr>
            <w:hyperlink r:id="rId222">
              <w:r>
                <w:rPr>
                  <w:rFonts w:ascii="Times New Roman" w:cs="Times New Roman" w:eastAsia="Times New Roman" w:hAnsi="Times New Roman"/>
                  <w:sz w:val="12"/>
                  <w:szCs w:val="12"/>
                  <w:color w:val="0000EE"/>
                </w:rPr>
                <w:t>Form of 2019 Special Award Agreement for Restricted Stock Units Under the MSCI Inc. 2016</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8"/>
              </w:rPr>
            </w:pPr>
            <w:hyperlink r:id="rId222">
              <w:r>
                <w:rPr>
                  <w:rFonts w:ascii="Times New Roman" w:cs="Times New Roman" w:eastAsia="Times New Roman" w:hAnsi="Times New Roman"/>
                  <w:sz w:val="12"/>
                  <w:szCs w:val="12"/>
                  <w:color w:val="0000EE"/>
                  <w:w w:val="98"/>
                </w:rPr>
                <w:t>Omnibus Incentive Plan</w:t>
              </w:r>
            </w:hyperlink>
          </w:p>
        </w:tc>
        <w:tc>
          <w:tcPr>
            <w:tcW w:w="3380" w:type="dxa"/>
            <w:vAlign w:val="bottom"/>
            <w:tcBorders>
              <w:top w:val="single" w:sz="8" w:color="0000EE"/>
            </w:tcBorders>
            <w:gridSpan w:val="12"/>
          </w:tcPr>
          <w:p>
            <w:pPr>
              <w:spacing w:after="0"/>
              <w:rPr>
                <w:sz w:val="10"/>
                <w:szCs w:val="10"/>
                <w:color w:val="auto"/>
              </w:rPr>
            </w:pPr>
          </w:p>
        </w:tc>
        <w:tc>
          <w:tcPr>
            <w:tcW w:w="400" w:type="dxa"/>
            <w:vAlign w:val="bottom"/>
            <w:gridSpan w:val="11"/>
          </w:tcPr>
          <w:p>
            <w:pPr>
              <w:spacing w:after="0"/>
              <w:rPr>
                <w:sz w:val="10"/>
                <w:szCs w:val="10"/>
                <w:color w:val="auto"/>
              </w:rPr>
            </w:pPr>
          </w:p>
        </w:tc>
      </w:tr>
      <w:tr>
        <w:trPr>
          <w:trHeight w:val="160"/>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10.191*</w:t>
            </w:r>
          </w:p>
        </w:tc>
        <w:tc>
          <w:tcPr>
            <w:tcW w:w="4940" w:type="dxa"/>
            <w:vAlign w:val="bottom"/>
            <w:gridSpan w:val="24"/>
          </w:tcPr>
          <w:p>
            <w:pPr>
              <w:spacing w:after="0"/>
              <w:rPr>
                <w:rFonts w:ascii="Times New Roman" w:cs="Times New Roman" w:eastAsia="Times New Roman" w:hAnsi="Times New Roman"/>
                <w:sz w:val="12"/>
                <w:szCs w:val="12"/>
                <w:color w:val="0000EE"/>
              </w:rPr>
            </w:pPr>
            <w:hyperlink r:id="rId223">
              <w:r>
                <w:rPr>
                  <w:rFonts w:ascii="Times New Roman" w:cs="Times New Roman" w:eastAsia="Times New Roman" w:hAnsi="Times New Roman"/>
                  <w:sz w:val="12"/>
                  <w:szCs w:val="12"/>
                  <w:color w:val="0000EE"/>
                </w:rPr>
                <w:t>Form of 2019 Special Award Agreement for Performance Stock Units Under the MSCI Inc. 2016</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8"/>
              </w:rPr>
            </w:pPr>
            <w:hyperlink r:id="rId223">
              <w:r>
                <w:rPr>
                  <w:rFonts w:ascii="Times New Roman" w:cs="Times New Roman" w:eastAsia="Times New Roman" w:hAnsi="Times New Roman"/>
                  <w:sz w:val="12"/>
                  <w:szCs w:val="12"/>
                  <w:color w:val="0000EE"/>
                  <w:w w:val="98"/>
                </w:rPr>
                <w:t>Omnibus Incentive Plan</w:t>
              </w:r>
            </w:hyperlink>
          </w:p>
        </w:tc>
        <w:tc>
          <w:tcPr>
            <w:tcW w:w="3500" w:type="dxa"/>
            <w:vAlign w:val="bottom"/>
            <w:tcBorders>
              <w:top w:val="single" w:sz="8" w:color="0000EE"/>
            </w:tcBorders>
            <w:gridSpan w:val="14"/>
          </w:tcPr>
          <w:p>
            <w:pPr>
              <w:spacing w:after="0"/>
              <w:rPr>
                <w:sz w:val="10"/>
                <w:szCs w:val="10"/>
                <w:color w:val="auto"/>
              </w:rPr>
            </w:pPr>
          </w:p>
        </w:tc>
        <w:tc>
          <w:tcPr>
            <w:tcW w:w="280" w:type="dxa"/>
            <w:vAlign w:val="bottom"/>
            <w:gridSpan w:val="9"/>
          </w:tcPr>
          <w:p>
            <w:pPr>
              <w:spacing w:after="0"/>
              <w:rPr>
                <w:sz w:val="10"/>
                <w:szCs w:val="10"/>
                <w:color w:val="auto"/>
              </w:rPr>
            </w:pPr>
          </w:p>
        </w:tc>
      </w:tr>
      <w:tr>
        <w:trPr>
          <w:trHeight w:val="187"/>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10.192*</w:t>
            </w:r>
          </w:p>
        </w:tc>
        <w:tc>
          <w:tcPr>
            <w:tcW w:w="4940" w:type="dxa"/>
            <w:vAlign w:val="bottom"/>
            <w:gridSpan w:val="24"/>
          </w:tcPr>
          <w:p>
            <w:pPr>
              <w:spacing w:after="0"/>
              <w:rPr>
                <w:rFonts w:ascii="Times New Roman" w:cs="Times New Roman" w:eastAsia="Times New Roman" w:hAnsi="Times New Roman"/>
                <w:sz w:val="12"/>
                <w:szCs w:val="12"/>
                <w:u w:val="single" w:color="auto"/>
                <w:color w:val="0000EE"/>
              </w:rPr>
            </w:pPr>
            <w:hyperlink r:id="rId224">
              <w:r>
                <w:rPr>
                  <w:rFonts w:ascii="Times New Roman" w:cs="Times New Roman" w:eastAsia="Times New Roman" w:hAnsi="Times New Roman"/>
                  <w:sz w:val="12"/>
                  <w:szCs w:val="12"/>
                  <w:u w:val="single" w:color="auto"/>
                  <w:color w:val="0000EE"/>
                </w:rPr>
                <w:t>Offer Letter, executed April 17, 2019, between MSCI Inc. and Linda S. Huber</w:t>
              </w:r>
            </w:hyperlink>
          </w:p>
        </w:tc>
      </w:tr>
      <w:tr>
        <w:trPr>
          <w:trHeight w:val="225"/>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10.193*</w:t>
            </w:r>
          </w:p>
        </w:tc>
        <w:tc>
          <w:tcPr>
            <w:tcW w:w="4940" w:type="dxa"/>
            <w:vAlign w:val="bottom"/>
            <w:gridSpan w:val="24"/>
          </w:tcPr>
          <w:p>
            <w:pPr>
              <w:spacing w:after="0"/>
              <w:rPr>
                <w:rFonts w:ascii="Times New Roman" w:cs="Times New Roman" w:eastAsia="Times New Roman" w:hAnsi="Times New Roman"/>
                <w:sz w:val="12"/>
                <w:szCs w:val="12"/>
                <w:color w:val="0000EE"/>
              </w:rPr>
            </w:pPr>
            <w:hyperlink r:id="rId225">
              <w:r>
                <w:rPr>
                  <w:rFonts w:ascii="Times New Roman" w:cs="Times New Roman" w:eastAsia="Times New Roman" w:hAnsi="Times New Roman"/>
                  <w:sz w:val="12"/>
                  <w:szCs w:val="12"/>
                  <w:color w:val="0000EE"/>
                </w:rPr>
                <w:t>Change of Employment Status and Release Agreement, entered into on October 5, 2020, between</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8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8"/>
              </w:rPr>
            </w:pPr>
            <w:hyperlink r:id="rId225">
              <w:r>
                <w:rPr>
                  <w:rFonts w:ascii="Times New Roman" w:cs="Times New Roman" w:eastAsia="Times New Roman" w:hAnsi="Times New Roman"/>
                  <w:sz w:val="12"/>
                  <w:szCs w:val="12"/>
                  <w:color w:val="0000EE"/>
                  <w:w w:val="98"/>
                </w:rPr>
                <w:t>MSCI Inc. and Linda S. Huber</w:t>
              </w:r>
            </w:hyperlink>
          </w:p>
        </w:tc>
        <w:tc>
          <w:tcPr>
            <w:tcW w:w="3200" w:type="dxa"/>
            <w:vAlign w:val="bottom"/>
            <w:tcBorders>
              <w:top w:val="single" w:sz="8" w:color="0000EE"/>
            </w:tcBorders>
            <w:gridSpan w:val="14"/>
          </w:tcPr>
          <w:p>
            <w:pPr>
              <w:spacing w:after="0"/>
              <w:rPr>
                <w:sz w:val="10"/>
                <w:szCs w:val="10"/>
                <w:color w:val="auto"/>
              </w:rPr>
            </w:pPr>
          </w:p>
        </w:tc>
        <w:tc>
          <w:tcPr>
            <w:tcW w:w="260" w:type="dxa"/>
            <w:vAlign w:val="bottom"/>
            <w:gridSpan w:val="8"/>
          </w:tcPr>
          <w:p>
            <w:pPr>
              <w:spacing w:after="0"/>
              <w:rPr>
                <w:sz w:val="10"/>
                <w:szCs w:val="10"/>
                <w:color w:val="auto"/>
              </w:rPr>
            </w:pPr>
          </w:p>
        </w:tc>
      </w:tr>
      <w:tr>
        <w:trPr>
          <w:trHeight w:val="160"/>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10.195*</w:t>
            </w:r>
          </w:p>
        </w:tc>
        <w:tc>
          <w:tcPr>
            <w:tcW w:w="4860" w:type="dxa"/>
            <w:vAlign w:val="bottom"/>
            <w:tcBorders>
              <w:bottom w:val="single" w:sz="8" w:color="0000EE"/>
            </w:tcBorders>
            <w:gridSpan w:val="21"/>
          </w:tcPr>
          <w:p>
            <w:pPr>
              <w:spacing w:after="0"/>
              <w:rPr>
                <w:rFonts w:ascii="Times New Roman" w:cs="Times New Roman" w:eastAsia="Times New Roman" w:hAnsi="Times New Roman"/>
                <w:sz w:val="12"/>
                <w:szCs w:val="12"/>
                <w:color w:val="0000EE"/>
                <w:w w:val="99"/>
              </w:rPr>
            </w:pPr>
            <w:hyperlink r:id="rId226">
              <w:r>
                <w:rPr>
                  <w:rFonts w:ascii="Times New Roman" w:cs="Times New Roman" w:eastAsia="Times New Roman" w:hAnsi="Times New Roman"/>
                  <w:sz w:val="12"/>
                  <w:szCs w:val="12"/>
                  <w:color w:val="0000EE"/>
                  <w:w w:val="99"/>
                </w:rPr>
                <w:t>Form of 2018 Award Agreement for Restricted Stock Units for Managing Directors Under the MSCI</w:t>
              </w:r>
            </w:hyperlink>
          </w:p>
        </w:tc>
        <w:tc>
          <w:tcPr>
            <w:tcW w:w="80" w:type="dxa"/>
            <w:vAlign w:val="bottom"/>
            <w:gridSpan w:val="3"/>
          </w:tcPr>
          <w:p>
            <w:pPr>
              <w:spacing w:after="0"/>
              <w:rPr>
                <w:sz w:val="13"/>
                <w:szCs w:val="13"/>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4"/>
          </w:tcPr>
          <w:p>
            <w:pPr>
              <w:spacing w:after="0" w:line="124" w:lineRule="exact"/>
              <w:rPr>
                <w:rFonts w:ascii="Times New Roman" w:cs="Times New Roman" w:eastAsia="Times New Roman" w:hAnsi="Times New Roman"/>
                <w:sz w:val="12"/>
                <w:szCs w:val="12"/>
                <w:color w:val="0000EE"/>
              </w:rPr>
            </w:pPr>
            <w:hyperlink r:id="rId226">
              <w:r>
                <w:rPr>
                  <w:rFonts w:ascii="Times New Roman" w:cs="Times New Roman" w:eastAsia="Times New Roman" w:hAnsi="Times New Roman"/>
                  <w:sz w:val="12"/>
                  <w:szCs w:val="12"/>
                  <w:color w:val="0000EE"/>
                </w:rPr>
                <w:t>Inc. 2016 Omnibus Incentive Plan</w:t>
              </w:r>
            </w:hyperlink>
          </w:p>
        </w:tc>
      </w:tr>
      <w:tr>
        <w:trPr>
          <w:trHeight w:val="20"/>
        </w:trPr>
        <w:tc>
          <w:tcPr>
            <w:tcW w:w="1180" w:type="dxa"/>
            <w:vAlign w:val="bottom"/>
            <w:gridSpan w:val="3"/>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10.196*</w:t>
            </w:r>
          </w:p>
        </w:tc>
        <w:tc>
          <w:tcPr>
            <w:tcW w:w="4940" w:type="dxa"/>
            <w:vAlign w:val="bottom"/>
            <w:gridSpan w:val="24"/>
          </w:tcPr>
          <w:p>
            <w:pPr>
              <w:spacing w:after="0"/>
              <w:rPr>
                <w:rFonts w:ascii="Times New Roman" w:cs="Times New Roman" w:eastAsia="Times New Roman" w:hAnsi="Times New Roman"/>
                <w:sz w:val="12"/>
                <w:szCs w:val="12"/>
                <w:u w:val="single" w:color="auto"/>
                <w:color w:val="0000EE"/>
              </w:rPr>
            </w:pPr>
            <w:hyperlink r:id="rId227">
              <w:r>
                <w:rPr>
                  <w:rFonts w:ascii="Times New Roman" w:cs="Times New Roman" w:eastAsia="Times New Roman" w:hAnsi="Times New Roman"/>
                  <w:sz w:val="12"/>
                  <w:szCs w:val="12"/>
                  <w:u w:val="single" w:color="auto"/>
                  <w:color w:val="0000EE"/>
                </w:rPr>
                <w:t>Special Restricted Stock Unit Award Agreement Under the MSCI Inc. 2016 Omnibus Incentive Plan</w:t>
              </w:r>
            </w:hyperlink>
          </w:p>
        </w:tc>
      </w:tr>
      <w:tr>
        <w:trPr>
          <w:trHeight w:val="243"/>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10.197*</w:t>
            </w:r>
          </w:p>
        </w:tc>
        <w:tc>
          <w:tcPr>
            <w:tcW w:w="4820" w:type="dxa"/>
            <w:vAlign w:val="bottom"/>
            <w:tcBorders>
              <w:bottom w:val="single" w:sz="8" w:color="0000EE"/>
            </w:tcBorders>
            <w:gridSpan w:val="19"/>
          </w:tcPr>
          <w:p>
            <w:pPr>
              <w:spacing w:after="0"/>
              <w:rPr>
                <w:rFonts w:ascii="Times New Roman" w:cs="Times New Roman" w:eastAsia="Times New Roman" w:hAnsi="Times New Roman"/>
                <w:sz w:val="12"/>
                <w:szCs w:val="12"/>
                <w:color w:val="0000EE"/>
                <w:w w:val="99"/>
              </w:rPr>
            </w:pPr>
            <w:hyperlink r:id="rId228">
              <w:r>
                <w:rPr>
                  <w:rFonts w:ascii="Times New Roman" w:cs="Times New Roman" w:eastAsia="Times New Roman" w:hAnsi="Times New Roman"/>
                  <w:sz w:val="12"/>
                  <w:szCs w:val="12"/>
                  <w:color w:val="0000EE"/>
                  <w:w w:val="99"/>
                </w:rPr>
                <w:t>Form of Award Agreement for Restricted Stock Units for Directors Under the MSCI Inc. 2016 Non-</w:t>
              </w:r>
            </w:hyperlink>
          </w:p>
        </w:tc>
        <w:tc>
          <w:tcPr>
            <w:tcW w:w="120" w:type="dxa"/>
            <w:vAlign w:val="bottom"/>
            <w:gridSpan w:val="5"/>
          </w:tcPr>
          <w:p>
            <w:pPr>
              <w:spacing w:after="0"/>
              <w:rPr>
                <w:sz w:val="21"/>
                <w:szCs w:val="2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4"/>
          </w:tcPr>
          <w:p>
            <w:pPr>
              <w:spacing w:after="0" w:line="124" w:lineRule="exact"/>
              <w:rPr>
                <w:rFonts w:ascii="Times New Roman" w:cs="Times New Roman" w:eastAsia="Times New Roman" w:hAnsi="Times New Roman"/>
                <w:sz w:val="12"/>
                <w:szCs w:val="12"/>
                <w:color w:val="0000EE"/>
              </w:rPr>
            </w:pPr>
            <w:hyperlink r:id="rId228">
              <w:r>
                <w:rPr>
                  <w:rFonts w:ascii="Times New Roman" w:cs="Times New Roman" w:eastAsia="Times New Roman" w:hAnsi="Times New Roman"/>
                  <w:sz w:val="12"/>
                  <w:szCs w:val="12"/>
                  <w:color w:val="0000EE"/>
                </w:rPr>
                <w:t>Employee Directors Compensation Plan</w:t>
              </w:r>
            </w:hyperlink>
          </w:p>
        </w:tc>
      </w:tr>
      <w:tr>
        <w:trPr>
          <w:trHeight w:val="20"/>
        </w:trPr>
        <w:tc>
          <w:tcPr>
            <w:tcW w:w="1180" w:type="dxa"/>
            <w:vAlign w:val="bottom"/>
            <w:gridSpan w:val="3"/>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rPr>
              <w:t>10.198*</w:t>
            </w:r>
          </w:p>
        </w:tc>
        <w:tc>
          <w:tcPr>
            <w:tcW w:w="4840" w:type="dxa"/>
            <w:vAlign w:val="bottom"/>
            <w:tcBorders>
              <w:bottom w:val="single" w:sz="8" w:color="0000EE"/>
            </w:tcBorders>
            <w:gridSpan w:val="20"/>
          </w:tcPr>
          <w:p>
            <w:pPr>
              <w:spacing w:after="0"/>
              <w:rPr>
                <w:rFonts w:ascii="Times New Roman" w:cs="Times New Roman" w:eastAsia="Times New Roman" w:hAnsi="Times New Roman"/>
                <w:sz w:val="12"/>
                <w:szCs w:val="12"/>
                <w:color w:val="0000EE"/>
                <w:w w:val="99"/>
              </w:rPr>
            </w:pPr>
            <w:hyperlink r:id="rId223">
              <w:r>
                <w:rPr>
                  <w:rFonts w:ascii="Times New Roman" w:cs="Times New Roman" w:eastAsia="Times New Roman" w:hAnsi="Times New Roman"/>
                  <w:sz w:val="12"/>
                  <w:szCs w:val="12"/>
                  <w:color w:val="0000EE"/>
                  <w:w w:val="99"/>
                </w:rPr>
                <w:t>Form of 2019 Special Performance Award Agreement for Performance Stock Units Under the MSCI</w:t>
              </w:r>
            </w:hyperlink>
          </w:p>
        </w:tc>
        <w:tc>
          <w:tcPr>
            <w:tcW w:w="100" w:type="dxa"/>
            <w:vAlign w:val="bottom"/>
            <w:gridSpan w:val="4"/>
          </w:tcPr>
          <w:p>
            <w:pPr>
              <w:spacing w:after="0"/>
              <w:rPr>
                <w:sz w:val="13"/>
                <w:szCs w:val="13"/>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4"/>
          </w:tcPr>
          <w:p>
            <w:pPr>
              <w:spacing w:after="0" w:line="124" w:lineRule="exact"/>
              <w:rPr>
                <w:rFonts w:ascii="Times New Roman" w:cs="Times New Roman" w:eastAsia="Times New Roman" w:hAnsi="Times New Roman"/>
                <w:sz w:val="12"/>
                <w:szCs w:val="12"/>
                <w:color w:val="0000EE"/>
              </w:rPr>
            </w:pPr>
            <w:hyperlink r:id="rId223">
              <w:r>
                <w:rPr>
                  <w:rFonts w:ascii="Times New Roman" w:cs="Times New Roman" w:eastAsia="Times New Roman" w:hAnsi="Times New Roman"/>
                  <w:sz w:val="12"/>
                  <w:szCs w:val="12"/>
                  <w:color w:val="0000EE"/>
                </w:rPr>
                <w:t>Inc. 2016 Omnibus Incentive Plan</w:t>
              </w:r>
            </w:hyperlink>
          </w:p>
        </w:tc>
      </w:tr>
      <w:tr>
        <w:trPr>
          <w:trHeight w:val="20"/>
        </w:trPr>
        <w:tc>
          <w:tcPr>
            <w:tcW w:w="1180" w:type="dxa"/>
            <w:vAlign w:val="bottom"/>
            <w:gridSpan w:val="3"/>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7"/>
              </w:rPr>
              <w:t>10.199††</w:t>
            </w:r>
          </w:p>
        </w:tc>
        <w:tc>
          <w:tcPr>
            <w:tcW w:w="4940" w:type="dxa"/>
            <w:vAlign w:val="bottom"/>
            <w:tcBorders>
              <w:bottom w:val="single" w:sz="8" w:color="0000EE"/>
            </w:tcBorders>
            <w:gridSpan w:val="24"/>
          </w:tcPr>
          <w:p>
            <w:pPr>
              <w:spacing w:after="0"/>
              <w:rPr>
                <w:rFonts w:ascii="Times New Roman" w:cs="Times New Roman" w:eastAsia="Times New Roman" w:hAnsi="Times New Roman"/>
                <w:sz w:val="12"/>
                <w:szCs w:val="12"/>
                <w:color w:val="0000EE"/>
                <w:w w:val="99"/>
              </w:rPr>
            </w:pPr>
            <w:hyperlink r:id="rId229">
              <w:r>
                <w:rPr>
                  <w:rFonts w:ascii="Times New Roman" w:cs="Times New Roman" w:eastAsia="Times New Roman" w:hAnsi="Times New Roman"/>
                  <w:sz w:val="12"/>
                  <w:szCs w:val="12"/>
                  <w:color w:val="0000EE"/>
                  <w:w w:val="99"/>
                </w:rPr>
                <w:t>Amendment, dated as of October 30, 2019, by and among MSCI Inc., MSCI Limited, BlackRock Fund</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4"/>
          </w:tcPr>
          <w:p>
            <w:pPr>
              <w:spacing w:after="0" w:line="124" w:lineRule="exact"/>
              <w:rPr>
                <w:rFonts w:ascii="Times New Roman" w:cs="Times New Roman" w:eastAsia="Times New Roman" w:hAnsi="Times New Roman"/>
                <w:sz w:val="12"/>
                <w:szCs w:val="12"/>
                <w:color w:val="0000EE"/>
              </w:rPr>
            </w:pPr>
            <w:hyperlink r:id="rId229">
              <w:r>
                <w:rPr>
                  <w:rFonts w:ascii="Times New Roman" w:cs="Times New Roman" w:eastAsia="Times New Roman" w:hAnsi="Times New Roman"/>
                  <w:sz w:val="12"/>
                  <w:szCs w:val="12"/>
                  <w:color w:val="0000EE"/>
                </w:rPr>
                <w:t>Advisors and BlackRock Institutional Trust Company, N.A.</w:t>
              </w:r>
            </w:hyperlink>
          </w:p>
        </w:tc>
      </w:tr>
      <w:tr>
        <w:trPr>
          <w:trHeight w:val="20"/>
        </w:trPr>
        <w:tc>
          <w:tcPr>
            <w:tcW w:w="1180" w:type="dxa"/>
            <w:vAlign w:val="bottom"/>
            <w:gridSpan w:val="3"/>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6"/>
              </w:rPr>
              <w:t>10.200</w:t>
            </w:r>
          </w:p>
        </w:tc>
        <w:tc>
          <w:tcPr>
            <w:tcW w:w="4940" w:type="dxa"/>
            <w:vAlign w:val="bottom"/>
            <w:gridSpan w:val="24"/>
          </w:tcPr>
          <w:p>
            <w:pPr>
              <w:spacing w:after="0"/>
              <w:rPr>
                <w:rFonts w:ascii="Times New Roman" w:cs="Times New Roman" w:eastAsia="Times New Roman" w:hAnsi="Times New Roman"/>
                <w:sz w:val="12"/>
                <w:szCs w:val="12"/>
                <w:color w:val="0000EE"/>
              </w:rPr>
            </w:pPr>
            <w:hyperlink r:id="rId230">
              <w:r>
                <w:rPr>
                  <w:rFonts w:ascii="Times New Roman" w:cs="Times New Roman" w:eastAsia="Times New Roman" w:hAnsi="Times New Roman"/>
                  <w:sz w:val="12"/>
                  <w:szCs w:val="12"/>
                  <w:color w:val="0000EE"/>
                </w:rPr>
                <w:t>Amendment No. 3 to the Revolving Credit Agreement, dated as of November 15, 2019, among MSCI</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80" w:type="dxa"/>
            <w:vAlign w:val="bottom"/>
            <w:tcBorders>
              <w:top w:val="single" w:sz="8" w:color="0000EE"/>
            </w:tcBorders>
            <w:gridSpan w:val="22"/>
          </w:tcPr>
          <w:p>
            <w:pPr>
              <w:spacing w:after="0" w:line="124" w:lineRule="exact"/>
              <w:rPr>
                <w:rFonts w:ascii="Times New Roman" w:cs="Times New Roman" w:eastAsia="Times New Roman" w:hAnsi="Times New Roman"/>
                <w:sz w:val="12"/>
                <w:szCs w:val="12"/>
                <w:color w:val="0000EE"/>
              </w:rPr>
            </w:pPr>
            <w:hyperlink r:id="rId230">
              <w:r>
                <w:rPr>
                  <w:rFonts w:ascii="Times New Roman" w:cs="Times New Roman" w:eastAsia="Times New Roman" w:hAnsi="Times New Roman"/>
                  <w:sz w:val="12"/>
                  <w:szCs w:val="12"/>
                  <w:color w:val="0000EE"/>
                </w:rPr>
                <w:t>Inc., each of the subsidiary guarantors party thereto, JPMorgan Chase Bank, N.A., as Administrative</w:t>
              </w:r>
            </w:hyperlink>
          </w:p>
        </w:tc>
        <w:tc>
          <w:tcPr>
            <w:tcW w:w="6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720" w:type="dxa"/>
            <w:vAlign w:val="bottom"/>
            <w:tcBorders>
              <w:top w:val="single" w:sz="8" w:color="0000EE"/>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230">
              <w:r>
                <w:rPr>
                  <w:rFonts w:ascii="Times New Roman" w:cs="Times New Roman" w:eastAsia="Times New Roman" w:hAnsi="Times New Roman"/>
                  <w:sz w:val="12"/>
                  <w:szCs w:val="12"/>
                  <w:color w:val="0000EE"/>
                  <w:w w:val="99"/>
                </w:rPr>
                <w:t>Agent and L/C Issuer and the other lenders party thereto</w:t>
              </w:r>
            </w:hyperlink>
          </w:p>
        </w:tc>
        <w:tc>
          <w:tcPr>
            <w:tcW w:w="2100" w:type="dxa"/>
            <w:vAlign w:val="bottom"/>
            <w:tcBorders>
              <w:top w:val="single" w:sz="8" w:color="0000EE"/>
            </w:tcBorders>
            <w:gridSpan w:val="11"/>
          </w:tcPr>
          <w:p>
            <w:pPr>
              <w:spacing w:after="0"/>
              <w:rPr>
                <w:sz w:val="10"/>
                <w:szCs w:val="10"/>
                <w:color w:val="auto"/>
              </w:rPr>
            </w:pPr>
          </w:p>
        </w:tc>
        <w:tc>
          <w:tcPr>
            <w:tcW w:w="120" w:type="dxa"/>
            <w:vAlign w:val="bottom"/>
            <w:gridSpan w:val="5"/>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6"/>
              </w:rPr>
              <w:t>10.201</w:t>
            </w:r>
          </w:p>
        </w:tc>
        <w:tc>
          <w:tcPr>
            <w:tcW w:w="4940" w:type="dxa"/>
            <w:vAlign w:val="bottom"/>
            <w:gridSpan w:val="24"/>
          </w:tcPr>
          <w:p>
            <w:pPr>
              <w:spacing w:after="0" w:line="124" w:lineRule="exact"/>
              <w:rPr>
                <w:rFonts w:ascii="Times New Roman" w:cs="Times New Roman" w:eastAsia="Times New Roman" w:hAnsi="Times New Roman"/>
                <w:sz w:val="12"/>
                <w:szCs w:val="12"/>
                <w:color w:val="0000EE"/>
              </w:rPr>
            </w:pPr>
            <w:hyperlink r:id="rId231">
              <w:r>
                <w:rPr>
                  <w:rFonts w:ascii="Times New Roman" w:cs="Times New Roman" w:eastAsia="Times New Roman" w:hAnsi="Times New Roman"/>
                  <w:sz w:val="12"/>
                  <w:szCs w:val="12"/>
                  <w:color w:val="0000EE"/>
                </w:rPr>
                <w:t>Amendment to the Previous Amendment to the Index License Agreement for Funds, dated as of</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80" w:type="dxa"/>
            <w:vAlign w:val="bottom"/>
            <w:tcBorders>
              <w:top w:val="single" w:sz="8" w:color="0000EE"/>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231">
              <w:r>
                <w:rPr>
                  <w:rFonts w:ascii="Times New Roman" w:cs="Times New Roman" w:eastAsia="Times New Roman" w:hAnsi="Times New Roman"/>
                  <w:sz w:val="12"/>
                  <w:szCs w:val="12"/>
                  <w:color w:val="0000EE"/>
                  <w:w w:val="99"/>
                </w:rPr>
                <w:t>January 31, 2019, by and between MSCI Inc. and BlackRock Fund Advisors</w:t>
              </w:r>
            </w:hyperlink>
          </w:p>
        </w:tc>
        <w:tc>
          <w:tcPr>
            <w:tcW w:w="920" w:type="dxa"/>
            <w:vAlign w:val="bottom"/>
            <w:tcBorders>
              <w:top w:val="single" w:sz="8" w:color="0000EE"/>
            </w:tcBorders>
            <w:gridSpan w:val="3"/>
          </w:tcPr>
          <w:p>
            <w:pPr>
              <w:spacing w:after="0"/>
              <w:rPr>
                <w:sz w:val="10"/>
                <w:szCs w:val="10"/>
                <w:color w:val="auto"/>
              </w:rPr>
            </w:pPr>
          </w:p>
        </w:tc>
        <w:tc>
          <w:tcPr>
            <w:tcW w:w="340" w:type="dxa"/>
            <w:vAlign w:val="bottom"/>
            <w:gridSpan w:val="10"/>
          </w:tcPr>
          <w:p>
            <w:pPr>
              <w:spacing w:after="0"/>
              <w:rPr>
                <w:sz w:val="10"/>
                <w:szCs w:val="10"/>
                <w:color w:val="auto"/>
              </w:rPr>
            </w:pPr>
          </w:p>
        </w:tc>
      </w:tr>
      <w:tr>
        <w:trPr>
          <w:trHeight w:val="160"/>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7"/>
              </w:rPr>
              <w:t>10.202††</w:t>
            </w:r>
          </w:p>
        </w:tc>
        <w:tc>
          <w:tcPr>
            <w:tcW w:w="4900" w:type="dxa"/>
            <w:vAlign w:val="bottom"/>
            <w:tcBorders>
              <w:bottom w:val="single" w:sz="8" w:color="0000EE"/>
            </w:tcBorders>
            <w:gridSpan w:val="23"/>
          </w:tcPr>
          <w:p>
            <w:pPr>
              <w:spacing w:after="0"/>
              <w:rPr>
                <w:rFonts w:ascii="Times New Roman" w:cs="Times New Roman" w:eastAsia="Times New Roman" w:hAnsi="Times New Roman"/>
                <w:sz w:val="12"/>
                <w:szCs w:val="12"/>
                <w:color w:val="0000EE"/>
                <w:w w:val="99"/>
              </w:rPr>
            </w:pPr>
            <w:hyperlink r:id="rId232">
              <w:r>
                <w:rPr>
                  <w:rFonts w:ascii="Times New Roman" w:cs="Times New Roman" w:eastAsia="Times New Roman" w:hAnsi="Times New Roman"/>
                  <w:sz w:val="12"/>
                  <w:szCs w:val="12"/>
                  <w:color w:val="0000EE"/>
                  <w:w w:val="99"/>
                </w:rPr>
                <w:t>Amendment to the Index License Agreement for Funds, dated as of February 1, 2019, by and between</w:t>
              </w:r>
            </w:hyperlink>
          </w:p>
        </w:tc>
        <w:tc>
          <w:tcPr>
            <w:tcW w:w="40" w:type="dxa"/>
            <w:vAlign w:val="bottom"/>
          </w:tcPr>
          <w:p>
            <w:pPr>
              <w:spacing w:after="0"/>
              <w:rPr>
                <w:sz w:val="13"/>
                <w:szCs w:val="13"/>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4"/>
          </w:tcPr>
          <w:p>
            <w:pPr>
              <w:spacing w:after="0" w:line="124" w:lineRule="exact"/>
              <w:rPr>
                <w:rFonts w:ascii="Times New Roman" w:cs="Times New Roman" w:eastAsia="Times New Roman" w:hAnsi="Times New Roman"/>
                <w:sz w:val="12"/>
                <w:szCs w:val="12"/>
                <w:color w:val="0000EE"/>
              </w:rPr>
            </w:pPr>
            <w:hyperlink r:id="rId232">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232">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13"/>
          </w:tcPr>
          <w:p>
            <w:pPr>
              <w:spacing w:after="0"/>
              <w:rPr>
                <w:sz w:val="10"/>
                <w:szCs w:val="10"/>
                <w:color w:val="auto"/>
              </w:rPr>
            </w:pPr>
          </w:p>
        </w:tc>
        <w:tc>
          <w:tcPr>
            <w:tcW w:w="180" w:type="dxa"/>
            <w:vAlign w:val="bottom"/>
            <w:gridSpan w:val="6"/>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6"/>
              </w:rPr>
              <w:t>10.203</w:t>
            </w:r>
          </w:p>
        </w:tc>
        <w:tc>
          <w:tcPr>
            <w:tcW w:w="4940" w:type="dxa"/>
            <w:vAlign w:val="bottom"/>
            <w:tcBorders>
              <w:bottom w:val="single" w:sz="8" w:color="0000EE"/>
            </w:tcBorders>
            <w:gridSpan w:val="24"/>
          </w:tcPr>
          <w:p>
            <w:pPr>
              <w:spacing w:after="0" w:line="124" w:lineRule="exact"/>
              <w:rPr>
                <w:rFonts w:ascii="Times New Roman" w:cs="Times New Roman" w:eastAsia="Times New Roman" w:hAnsi="Times New Roman"/>
                <w:sz w:val="12"/>
                <w:szCs w:val="12"/>
                <w:color w:val="0000EE"/>
                <w:w w:val="99"/>
              </w:rPr>
            </w:pPr>
            <w:hyperlink r:id="rId233">
              <w:r>
                <w:rPr>
                  <w:rFonts w:ascii="Times New Roman" w:cs="Times New Roman" w:eastAsia="Times New Roman" w:hAnsi="Times New Roman"/>
                  <w:sz w:val="12"/>
                  <w:szCs w:val="12"/>
                  <w:color w:val="0000EE"/>
                  <w:w w:val="99"/>
                </w:rPr>
                <w:t>Amendment to the Previous Amendment to the Index License Agreement for Funds, dated as of March</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0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233">
              <w:r>
                <w:rPr>
                  <w:rFonts w:ascii="Times New Roman" w:cs="Times New Roman" w:eastAsia="Times New Roman" w:hAnsi="Times New Roman"/>
                  <w:sz w:val="12"/>
                  <w:szCs w:val="12"/>
                  <w:color w:val="0000EE"/>
                  <w:w w:val="99"/>
                </w:rPr>
                <w:t>1, 2019, by and between MSCI Inc. (formerly, Morgan Stanley Capital International Inc.) and</w:t>
              </w:r>
            </w:hyperlink>
          </w:p>
        </w:tc>
        <w:tc>
          <w:tcPr>
            <w:tcW w:w="440" w:type="dxa"/>
            <w:vAlign w:val="bottom"/>
            <w:gridSpan w:val="1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24"/>
          </w:tcPr>
          <w:p>
            <w:pPr>
              <w:spacing w:after="0" w:line="124" w:lineRule="exact"/>
              <w:rPr>
                <w:rFonts w:ascii="Times New Roman" w:cs="Times New Roman" w:eastAsia="Times New Roman" w:hAnsi="Times New Roman"/>
                <w:sz w:val="12"/>
                <w:szCs w:val="12"/>
                <w:color w:val="0000EE"/>
              </w:rPr>
            </w:pPr>
            <w:hyperlink r:id="rId233">
              <w:r>
                <w:rPr>
                  <w:rFonts w:ascii="Times New Roman" w:cs="Times New Roman" w:eastAsia="Times New Roman" w:hAnsi="Times New Roman"/>
                  <w:sz w:val="12"/>
                  <w:szCs w:val="12"/>
                  <w:color w:val="0000EE"/>
                </w:rPr>
                <w:t>BlackRock Fund Advisors (as successor to Barclays Global Investors, N.A.)</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60" w:type="dxa"/>
            <w:vAlign w:val="bottom"/>
            <w:gridSpan w:val="10"/>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5"/>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00" w:type="dxa"/>
            <w:vAlign w:val="bottom"/>
            <w:gridSpan w:val="12"/>
          </w:tcPr>
          <w:p>
            <w:pPr>
              <w:ind w:left="3640"/>
              <w:spacing w:after="0"/>
              <w:rPr>
                <w:sz w:val="20"/>
                <w:szCs w:val="20"/>
                <w:color w:val="auto"/>
              </w:rPr>
            </w:pPr>
            <w:r>
              <w:rPr>
                <w:rFonts w:ascii="Times New Roman" w:cs="Times New Roman" w:eastAsia="Times New Roman" w:hAnsi="Times New Roman"/>
                <w:sz w:val="12"/>
                <w:szCs w:val="12"/>
                <w:color w:val="auto"/>
              </w:rPr>
              <w:t>108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717804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66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Exhibit No.</w:t>
            </w:r>
          </w:p>
        </w:tc>
        <w:tc>
          <w:tcPr>
            <w:tcW w:w="380" w:type="dxa"/>
            <w:vAlign w:val="bottom"/>
          </w:tcPr>
          <w:p>
            <w:pPr>
              <w:spacing w:after="0"/>
              <w:rPr>
                <w:sz w:val="8"/>
                <w:szCs w:val="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10.187</w:t>
            </w:r>
          </w:p>
        </w:tc>
        <w:tc>
          <w:tcPr>
            <w:tcW w:w="300" w:type="dxa"/>
            <w:vAlign w:val="bottom"/>
          </w:tcPr>
          <w:p>
            <w:pPr>
              <w:spacing w:after="0"/>
              <w:rPr>
                <w:sz w:val="14"/>
                <w:szCs w:val="14"/>
                <w:color w:val="auto"/>
              </w:rPr>
            </w:pPr>
          </w:p>
        </w:tc>
        <w:tc>
          <w:tcPr>
            <w:tcW w:w="86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313"/>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10.3</w:t>
            </w:r>
          </w:p>
        </w:tc>
        <w:tc>
          <w:tcPr>
            <w:tcW w:w="300" w:type="dxa"/>
            <w:vAlign w:val="bottom"/>
          </w:tcPr>
          <w:p>
            <w:pPr>
              <w:spacing w:after="0"/>
              <w:rPr>
                <w:sz w:val="24"/>
                <w:szCs w:val="24"/>
                <w:color w:val="auto"/>
              </w:rPr>
            </w:pPr>
          </w:p>
        </w:tc>
        <w:tc>
          <w:tcPr>
            <w:tcW w:w="82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8"/>
              </w:rPr>
              <w:t>5/3/2019</w:t>
            </w:r>
          </w:p>
        </w:tc>
        <w:tc>
          <w:tcPr>
            <w:tcW w:w="40" w:type="dxa"/>
            <w:vAlign w:val="bottom"/>
          </w:tcPr>
          <w:p>
            <w:pPr>
              <w:spacing w:after="0"/>
              <w:rPr>
                <w:sz w:val="24"/>
                <w:szCs w:val="24"/>
                <w:color w:val="auto"/>
              </w:rPr>
            </w:pPr>
          </w:p>
        </w:tc>
      </w:tr>
      <w:tr>
        <w:trPr>
          <w:trHeight w:val="155"/>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10.189</w:t>
            </w:r>
          </w:p>
        </w:tc>
        <w:tc>
          <w:tcPr>
            <w:tcW w:w="300" w:type="dxa"/>
            <w:vAlign w:val="bottom"/>
          </w:tcPr>
          <w:p>
            <w:pPr>
              <w:spacing w:after="0"/>
              <w:rPr>
                <w:sz w:val="13"/>
                <w:szCs w:val="13"/>
                <w:color w:val="auto"/>
              </w:rPr>
            </w:pPr>
          </w:p>
        </w:tc>
        <w:tc>
          <w:tcPr>
            <w:tcW w:w="86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2/22/2019</w:t>
            </w:r>
          </w:p>
        </w:tc>
      </w:tr>
      <w:tr>
        <w:trPr>
          <w:trHeight w:val="162"/>
        </w:trPr>
        <w:tc>
          <w:tcPr>
            <w:tcW w:w="20" w:type="dxa"/>
            <w:vAlign w:val="bottom"/>
          </w:tcPr>
          <w:p>
            <w:pPr>
              <w:spacing w:after="0"/>
              <w:rPr>
                <w:sz w:val="14"/>
                <w:szCs w:val="14"/>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00" w:type="dxa"/>
            <w:vAlign w:val="bottom"/>
          </w:tcPr>
          <w:p>
            <w:pPr>
              <w:spacing w:after="0"/>
              <w:rPr>
                <w:sz w:val="14"/>
                <w:szCs w:val="14"/>
                <w:color w:val="auto"/>
              </w:rPr>
            </w:pPr>
          </w:p>
        </w:tc>
        <w:tc>
          <w:tcPr>
            <w:tcW w:w="86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4/29/2019</w:t>
            </w:r>
          </w:p>
        </w:tc>
      </w:tr>
      <w:tr>
        <w:trPr>
          <w:trHeight w:val="324"/>
        </w:trPr>
        <w:tc>
          <w:tcPr>
            <w:tcW w:w="20" w:type="dxa"/>
            <w:vAlign w:val="bottom"/>
          </w:tcPr>
          <w:p>
            <w:pPr>
              <w:spacing w:after="0"/>
              <w:rPr>
                <w:sz w:val="24"/>
                <w:szCs w:val="24"/>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10.2</w:t>
            </w:r>
          </w:p>
        </w:tc>
        <w:tc>
          <w:tcPr>
            <w:tcW w:w="300" w:type="dxa"/>
            <w:vAlign w:val="bottom"/>
          </w:tcPr>
          <w:p>
            <w:pPr>
              <w:spacing w:after="0"/>
              <w:rPr>
                <w:sz w:val="24"/>
                <w:szCs w:val="24"/>
                <w:color w:val="auto"/>
              </w:rPr>
            </w:pPr>
          </w:p>
        </w:tc>
        <w:tc>
          <w:tcPr>
            <w:tcW w:w="86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4/29/2019</w:t>
            </w:r>
          </w:p>
        </w:tc>
      </w:tr>
      <w:tr>
        <w:trPr>
          <w:trHeight w:val="324"/>
        </w:trPr>
        <w:tc>
          <w:tcPr>
            <w:tcW w:w="20" w:type="dxa"/>
            <w:vAlign w:val="bottom"/>
          </w:tcPr>
          <w:p>
            <w:pPr>
              <w:spacing w:after="0"/>
              <w:rPr>
                <w:sz w:val="24"/>
                <w:szCs w:val="24"/>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10.3</w:t>
            </w:r>
          </w:p>
        </w:tc>
        <w:tc>
          <w:tcPr>
            <w:tcW w:w="300" w:type="dxa"/>
            <w:vAlign w:val="bottom"/>
          </w:tcPr>
          <w:p>
            <w:pPr>
              <w:spacing w:after="0"/>
              <w:rPr>
                <w:sz w:val="24"/>
                <w:szCs w:val="24"/>
                <w:color w:val="auto"/>
              </w:rPr>
            </w:pPr>
          </w:p>
        </w:tc>
        <w:tc>
          <w:tcPr>
            <w:tcW w:w="86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4/29/2019</w:t>
            </w:r>
          </w:p>
        </w:tc>
      </w:tr>
      <w:tr>
        <w:trPr>
          <w:trHeight w:val="252"/>
        </w:trPr>
        <w:tc>
          <w:tcPr>
            <w:tcW w:w="20" w:type="dxa"/>
            <w:vAlign w:val="bottom"/>
          </w:tcPr>
          <w:p>
            <w:pPr>
              <w:spacing w:after="0"/>
              <w:rPr>
                <w:sz w:val="21"/>
                <w:szCs w:val="21"/>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00" w:type="dxa"/>
            <w:vAlign w:val="bottom"/>
          </w:tcPr>
          <w:p>
            <w:pPr>
              <w:spacing w:after="0"/>
              <w:rPr>
                <w:sz w:val="21"/>
                <w:szCs w:val="21"/>
                <w:color w:val="auto"/>
              </w:rPr>
            </w:pPr>
          </w:p>
        </w:tc>
        <w:tc>
          <w:tcPr>
            <w:tcW w:w="860" w:type="dxa"/>
            <w:vAlign w:val="bottom"/>
            <w:gridSpan w:val="3"/>
          </w:tcPr>
          <w:p>
            <w:pPr>
              <w:jc w:val="center"/>
              <w:ind w:left="260"/>
              <w:spacing w:after="0"/>
              <w:rPr>
                <w:sz w:val="20"/>
                <w:szCs w:val="20"/>
                <w:color w:val="auto"/>
              </w:rPr>
            </w:pPr>
            <w:r>
              <w:rPr>
                <w:rFonts w:ascii="Times New Roman" w:cs="Times New Roman" w:eastAsia="Times New Roman" w:hAnsi="Times New Roman"/>
                <w:sz w:val="12"/>
                <w:szCs w:val="12"/>
                <w:color w:val="auto"/>
                <w:w w:val="98"/>
              </w:rPr>
              <w:t>10/07/2020</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10.4</w:t>
            </w:r>
          </w:p>
        </w:tc>
        <w:tc>
          <w:tcPr>
            <w:tcW w:w="300" w:type="dxa"/>
            <w:vAlign w:val="bottom"/>
          </w:tcPr>
          <w:p>
            <w:pPr>
              <w:spacing w:after="0"/>
              <w:rPr>
                <w:sz w:val="24"/>
                <w:szCs w:val="24"/>
                <w:color w:val="auto"/>
              </w:rPr>
            </w:pPr>
          </w:p>
        </w:tc>
        <w:tc>
          <w:tcPr>
            <w:tcW w:w="82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8"/>
              </w:rPr>
              <w:t>5/3/2019</w:t>
            </w:r>
          </w:p>
        </w:tc>
        <w:tc>
          <w:tcPr>
            <w:tcW w:w="40" w:type="dxa"/>
            <w:vAlign w:val="bottom"/>
          </w:tcPr>
          <w:p>
            <w:pPr>
              <w:spacing w:after="0"/>
              <w:rPr>
                <w:sz w:val="24"/>
                <w:szCs w:val="24"/>
                <w:color w:val="auto"/>
              </w:rPr>
            </w:pP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10.5</w:t>
            </w:r>
          </w:p>
        </w:tc>
        <w:tc>
          <w:tcPr>
            <w:tcW w:w="300" w:type="dxa"/>
            <w:vAlign w:val="bottom"/>
          </w:tcPr>
          <w:p>
            <w:pPr>
              <w:spacing w:after="0"/>
              <w:rPr>
                <w:sz w:val="24"/>
                <w:szCs w:val="24"/>
                <w:color w:val="auto"/>
              </w:rPr>
            </w:pPr>
          </w:p>
        </w:tc>
        <w:tc>
          <w:tcPr>
            <w:tcW w:w="82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8"/>
              </w:rPr>
              <w:t>5/3/2019</w:t>
            </w:r>
          </w:p>
        </w:tc>
        <w:tc>
          <w:tcPr>
            <w:tcW w:w="40" w:type="dxa"/>
            <w:vAlign w:val="bottom"/>
          </w:tcPr>
          <w:p>
            <w:pPr>
              <w:spacing w:after="0"/>
              <w:rPr>
                <w:sz w:val="24"/>
                <w:szCs w:val="24"/>
                <w:color w:val="auto"/>
              </w:rPr>
            </w:pPr>
          </w:p>
        </w:tc>
      </w:tr>
      <w:tr>
        <w:trPr>
          <w:trHeight w:val="270"/>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10.6</w:t>
            </w:r>
          </w:p>
        </w:tc>
        <w:tc>
          <w:tcPr>
            <w:tcW w:w="300" w:type="dxa"/>
            <w:vAlign w:val="bottom"/>
          </w:tcPr>
          <w:p>
            <w:pPr>
              <w:spacing w:after="0"/>
              <w:rPr>
                <w:sz w:val="23"/>
                <w:szCs w:val="23"/>
                <w:color w:val="auto"/>
              </w:rPr>
            </w:pPr>
          </w:p>
        </w:tc>
        <w:tc>
          <w:tcPr>
            <w:tcW w:w="82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8"/>
              </w:rPr>
              <w:t>5/3/2019</w:t>
            </w:r>
          </w:p>
        </w:tc>
        <w:tc>
          <w:tcPr>
            <w:tcW w:w="40" w:type="dxa"/>
            <w:vAlign w:val="bottom"/>
          </w:tcPr>
          <w:p>
            <w:pPr>
              <w:spacing w:after="0"/>
              <w:rPr>
                <w:sz w:val="23"/>
                <w:szCs w:val="23"/>
                <w:color w:val="auto"/>
              </w:rPr>
            </w:pP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00" w:type="dxa"/>
            <w:vAlign w:val="bottom"/>
          </w:tcPr>
          <w:p>
            <w:pPr>
              <w:spacing w:after="0"/>
              <w:rPr>
                <w:sz w:val="24"/>
                <w:szCs w:val="24"/>
                <w:color w:val="auto"/>
              </w:rPr>
            </w:pPr>
          </w:p>
        </w:tc>
        <w:tc>
          <w:tcPr>
            <w:tcW w:w="82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8"/>
              </w:rPr>
              <w:t>8/1/2019</w:t>
            </w:r>
          </w:p>
        </w:tc>
        <w:tc>
          <w:tcPr>
            <w:tcW w:w="40" w:type="dxa"/>
            <w:vAlign w:val="bottom"/>
          </w:tcPr>
          <w:p>
            <w:pPr>
              <w:spacing w:after="0"/>
              <w:rPr>
                <w:sz w:val="24"/>
                <w:szCs w:val="24"/>
                <w:color w:val="auto"/>
              </w:rPr>
            </w:pP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00" w:type="dxa"/>
            <w:vAlign w:val="bottom"/>
          </w:tcPr>
          <w:p>
            <w:pPr>
              <w:spacing w:after="0"/>
              <w:rPr>
                <w:sz w:val="24"/>
                <w:szCs w:val="24"/>
                <w:color w:val="auto"/>
              </w:rPr>
            </w:pPr>
          </w:p>
        </w:tc>
        <w:tc>
          <w:tcPr>
            <w:tcW w:w="860" w:type="dxa"/>
            <w:vAlign w:val="bottom"/>
            <w:gridSpan w:val="3"/>
          </w:tcPr>
          <w:p>
            <w:pPr>
              <w:jc w:val="center"/>
              <w:ind w:left="260"/>
              <w:spacing w:after="0"/>
              <w:rPr>
                <w:sz w:val="20"/>
                <w:szCs w:val="20"/>
                <w:color w:val="auto"/>
              </w:rPr>
            </w:pPr>
            <w:r>
              <w:rPr>
                <w:rFonts w:ascii="Times New Roman" w:cs="Times New Roman" w:eastAsia="Times New Roman" w:hAnsi="Times New Roman"/>
                <w:sz w:val="12"/>
                <w:szCs w:val="12"/>
                <w:color w:val="auto"/>
                <w:w w:val="98"/>
              </w:rPr>
              <w:t>10/31/2019</w:t>
            </w:r>
          </w:p>
        </w:tc>
      </w:tr>
      <w:tr>
        <w:trPr>
          <w:trHeight w:val="324"/>
        </w:trPr>
        <w:tc>
          <w:tcPr>
            <w:tcW w:w="20" w:type="dxa"/>
            <w:vAlign w:val="bottom"/>
          </w:tcPr>
          <w:p>
            <w:pPr>
              <w:spacing w:after="0"/>
              <w:rPr>
                <w:sz w:val="24"/>
                <w:szCs w:val="24"/>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00" w:type="dxa"/>
            <w:vAlign w:val="bottom"/>
          </w:tcPr>
          <w:p>
            <w:pPr>
              <w:spacing w:after="0"/>
              <w:rPr>
                <w:sz w:val="24"/>
                <w:szCs w:val="24"/>
                <w:color w:val="auto"/>
              </w:rPr>
            </w:pPr>
          </w:p>
        </w:tc>
        <w:tc>
          <w:tcPr>
            <w:tcW w:w="860" w:type="dxa"/>
            <w:vAlign w:val="bottom"/>
            <w:gridSpan w:val="3"/>
          </w:tcPr>
          <w:p>
            <w:pPr>
              <w:jc w:val="center"/>
              <w:ind w:left="260"/>
              <w:spacing w:after="0"/>
              <w:rPr>
                <w:sz w:val="20"/>
                <w:szCs w:val="20"/>
                <w:color w:val="auto"/>
              </w:rPr>
            </w:pPr>
            <w:r>
              <w:rPr>
                <w:rFonts w:ascii="Times New Roman" w:cs="Times New Roman" w:eastAsia="Times New Roman" w:hAnsi="Times New Roman"/>
                <w:sz w:val="12"/>
                <w:szCs w:val="12"/>
                <w:color w:val="auto"/>
                <w:w w:val="98"/>
              </w:rPr>
              <w:t>11/19/2019</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10.201</w:t>
            </w:r>
          </w:p>
        </w:tc>
        <w:tc>
          <w:tcPr>
            <w:tcW w:w="300" w:type="dxa"/>
            <w:vAlign w:val="bottom"/>
          </w:tcPr>
          <w:p>
            <w:pPr>
              <w:spacing w:after="0"/>
              <w:rPr>
                <w:sz w:val="24"/>
                <w:szCs w:val="24"/>
                <w:color w:val="auto"/>
              </w:rPr>
            </w:pPr>
          </w:p>
        </w:tc>
        <w:tc>
          <w:tcPr>
            <w:tcW w:w="86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10.202</w:t>
            </w:r>
          </w:p>
        </w:tc>
        <w:tc>
          <w:tcPr>
            <w:tcW w:w="300" w:type="dxa"/>
            <w:vAlign w:val="bottom"/>
          </w:tcPr>
          <w:p>
            <w:pPr>
              <w:spacing w:after="0"/>
              <w:rPr>
                <w:sz w:val="24"/>
                <w:szCs w:val="24"/>
                <w:color w:val="auto"/>
              </w:rPr>
            </w:pPr>
          </w:p>
        </w:tc>
        <w:tc>
          <w:tcPr>
            <w:tcW w:w="86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10.203</w:t>
            </w:r>
          </w:p>
        </w:tc>
        <w:tc>
          <w:tcPr>
            <w:tcW w:w="300" w:type="dxa"/>
            <w:vAlign w:val="bottom"/>
          </w:tcPr>
          <w:p>
            <w:pPr>
              <w:spacing w:after="0"/>
              <w:rPr>
                <w:sz w:val="24"/>
                <w:szCs w:val="24"/>
                <w:color w:val="auto"/>
              </w:rPr>
            </w:pPr>
          </w:p>
        </w:tc>
        <w:tc>
          <w:tcPr>
            <w:tcW w:w="86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bl>
    <w:p>
      <w:pPr>
        <w:sectPr>
          <w:pgSz w:w="11900" w:h="16838" w:orient="portrait"/>
          <w:cols w:equalWidth="0" w:num="2">
            <w:col w:w="6120" w:space="400"/>
            <w:col w:w="3620"/>
          </w:cols>
          <w:pgMar w:left="1040" w:top="268" w:right="71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0" w:type="dxa"/>
            <w:vAlign w:val="bottom"/>
          </w:tcPr>
          <w:p>
            <w:pPr>
              <w:spacing w:after="0"/>
              <w:rPr>
                <w:sz w:val="8"/>
                <w:szCs w:val="8"/>
                <w:color w:val="auto"/>
              </w:rPr>
            </w:pPr>
          </w:p>
        </w:tc>
        <w:tc>
          <w:tcPr>
            <w:tcW w:w="1120" w:type="dxa"/>
            <w:vAlign w:val="bottom"/>
            <w:gridSpan w:val="2"/>
          </w:tcPr>
          <w:p>
            <w:pPr>
              <w:jc w:val="center"/>
              <w:ind w:right="800"/>
              <w:spacing w:after="0"/>
              <w:rPr>
                <w:sz w:val="20"/>
                <w:szCs w:val="20"/>
                <w:color w:val="auto"/>
              </w:rPr>
            </w:pPr>
            <w:r>
              <w:rPr>
                <w:rFonts w:ascii="Times New Roman" w:cs="Times New Roman" w:eastAsia="Times New Roman" w:hAnsi="Times New Roman"/>
                <w:sz w:val="9"/>
                <w:szCs w:val="9"/>
                <w:b w:val="1"/>
                <w:bCs w:val="1"/>
                <w:color w:val="auto"/>
                <w:w w:val="98"/>
              </w:rPr>
              <w:t>Exhibit</w:t>
            </w:r>
          </w:p>
        </w:tc>
        <w:tc>
          <w:tcPr>
            <w:tcW w:w="2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60" w:type="dxa"/>
            <w:vAlign w:val="bottom"/>
          </w:tcPr>
          <w:p>
            <w:pPr>
              <w:spacing w:after="0"/>
              <w:rPr>
                <w:sz w:val="8"/>
                <w:szCs w:val="8"/>
                <w:color w:val="auto"/>
              </w:rPr>
            </w:pPr>
          </w:p>
        </w:tc>
        <w:tc>
          <w:tcPr>
            <w:tcW w:w="320" w:type="dxa"/>
            <w:vAlign w:val="bottom"/>
          </w:tcPr>
          <w:p>
            <w:pPr>
              <w:jc w:val="center"/>
              <w:spacing w:after="0" w:line="101" w:lineRule="exact"/>
              <w:rPr>
                <w:sz w:val="20"/>
                <w:szCs w:val="20"/>
                <w:color w:val="auto"/>
              </w:rPr>
            </w:pPr>
            <w:r>
              <w:rPr>
                <w:rFonts w:ascii="Times New Roman" w:cs="Times New Roman" w:eastAsia="Times New Roman" w:hAnsi="Times New Roman"/>
                <w:sz w:val="9"/>
                <w:szCs w:val="9"/>
                <w:b w:val="1"/>
                <w:bCs w:val="1"/>
                <w:color w:val="auto"/>
                <w:w w:val="99"/>
              </w:rPr>
              <w:t>Number</w:t>
            </w:r>
          </w:p>
        </w:tc>
        <w:tc>
          <w:tcPr>
            <w:tcW w:w="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740" w:type="dxa"/>
            <w:vAlign w:val="bottom"/>
            <w:gridSpan w:val="11"/>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18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6"/>
              </w:rPr>
              <w:t>10.204</w:t>
            </w:r>
          </w:p>
        </w:tc>
        <w:tc>
          <w:tcPr>
            <w:tcW w:w="494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9"/>
              </w:rPr>
            </w:pPr>
            <w:hyperlink r:id="rId235">
              <w:r>
                <w:rPr>
                  <w:rFonts w:ascii="Times New Roman" w:cs="Times New Roman" w:eastAsia="Times New Roman" w:hAnsi="Times New Roman"/>
                  <w:sz w:val="12"/>
                  <w:szCs w:val="12"/>
                  <w:color w:val="0000EE"/>
                  <w:w w:val="99"/>
                </w:rPr>
                <w:t>Amendment to the Previous Amendment to the Index License Agreement for Funds, dated as of March</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0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235">
              <w:r>
                <w:rPr>
                  <w:rFonts w:ascii="Times New Roman" w:cs="Times New Roman" w:eastAsia="Times New Roman" w:hAnsi="Times New Roman"/>
                  <w:sz w:val="12"/>
                  <w:szCs w:val="12"/>
                  <w:color w:val="0000EE"/>
                  <w:w w:val="99"/>
                </w:rPr>
                <w:t>1, 2019, by and between MSCI Inc. (formerly, Morgan Stanley Capital International Inc.) and</w:t>
              </w:r>
            </w:hyperlink>
          </w:p>
        </w:tc>
        <w:tc>
          <w:tcPr>
            <w:tcW w:w="440" w:type="dxa"/>
            <w:vAlign w:val="bottom"/>
            <w:gridSpan w:val="6"/>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35">
              <w:r>
                <w:rPr>
                  <w:rFonts w:ascii="Times New Roman" w:cs="Times New Roman" w:eastAsia="Times New Roman" w:hAnsi="Times New Roman"/>
                  <w:sz w:val="12"/>
                  <w:szCs w:val="12"/>
                  <w:color w:val="0000EE"/>
                </w:rPr>
                <w:t>BlackRock Fund Advisors (as successor to Barclays Global Investors, N.A.)</w:t>
              </w:r>
            </w:hyperlink>
          </w:p>
        </w:tc>
      </w:tr>
      <w:tr>
        <w:trPr>
          <w:trHeight w:val="20"/>
        </w:trPr>
        <w:tc>
          <w:tcPr>
            <w:tcW w:w="1180" w:type="dxa"/>
            <w:vAlign w:val="bottom"/>
            <w:gridSpan w:val="3"/>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10.205††</w:t>
            </w:r>
          </w:p>
        </w:tc>
        <w:tc>
          <w:tcPr>
            <w:tcW w:w="472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236">
              <w:r>
                <w:rPr>
                  <w:rFonts w:ascii="Times New Roman" w:cs="Times New Roman" w:eastAsia="Times New Roman" w:hAnsi="Times New Roman"/>
                  <w:sz w:val="12"/>
                  <w:szCs w:val="12"/>
                  <w:color w:val="0000EE"/>
                  <w:w w:val="99"/>
                </w:rPr>
                <w:t>Amendment to the Index License Agreement for Funds, dated as of April 1, 2019, by and between</w:t>
              </w:r>
            </w:hyperlink>
          </w:p>
        </w:tc>
        <w:tc>
          <w:tcPr>
            <w:tcW w:w="220" w:type="dxa"/>
            <w:vAlign w:val="bottom"/>
            <w:gridSpan w:val="4"/>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36">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236">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8"/>
          </w:tcPr>
          <w:p>
            <w:pPr>
              <w:spacing w:after="0"/>
              <w:rPr>
                <w:sz w:val="10"/>
                <w:szCs w:val="10"/>
                <w:color w:val="auto"/>
              </w:rPr>
            </w:pPr>
          </w:p>
        </w:tc>
        <w:tc>
          <w:tcPr>
            <w:tcW w:w="18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10.206††</w:t>
            </w:r>
          </w:p>
        </w:tc>
        <w:tc>
          <w:tcPr>
            <w:tcW w:w="472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237">
              <w:r>
                <w:rPr>
                  <w:rFonts w:ascii="Times New Roman" w:cs="Times New Roman" w:eastAsia="Times New Roman" w:hAnsi="Times New Roman"/>
                  <w:sz w:val="12"/>
                  <w:szCs w:val="12"/>
                  <w:color w:val="0000EE"/>
                  <w:w w:val="99"/>
                </w:rPr>
                <w:t>Amendment to the Index License Agreement for Funds, dated as of April 1, 2019, by and between</w:t>
              </w:r>
            </w:hyperlink>
          </w:p>
        </w:tc>
        <w:tc>
          <w:tcPr>
            <w:tcW w:w="220" w:type="dxa"/>
            <w:vAlign w:val="bottom"/>
            <w:gridSpan w:val="4"/>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37">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237">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8"/>
          </w:tcPr>
          <w:p>
            <w:pPr>
              <w:spacing w:after="0"/>
              <w:rPr>
                <w:sz w:val="10"/>
                <w:szCs w:val="10"/>
                <w:color w:val="auto"/>
              </w:rPr>
            </w:pPr>
          </w:p>
        </w:tc>
        <w:tc>
          <w:tcPr>
            <w:tcW w:w="18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10.207††</w:t>
            </w:r>
          </w:p>
        </w:tc>
        <w:tc>
          <w:tcPr>
            <w:tcW w:w="472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238">
              <w:r>
                <w:rPr>
                  <w:rFonts w:ascii="Times New Roman" w:cs="Times New Roman" w:eastAsia="Times New Roman" w:hAnsi="Times New Roman"/>
                  <w:sz w:val="12"/>
                  <w:szCs w:val="12"/>
                  <w:color w:val="0000EE"/>
                  <w:w w:val="99"/>
                </w:rPr>
                <w:t>Amendment to the Index License Agreement for Funds, dated as of April 1, 2019, by and between</w:t>
              </w:r>
            </w:hyperlink>
          </w:p>
        </w:tc>
        <w:tc>
          <w:tcPr>
            <w:tcW w:w="220" w:type="dxa"/>
            <w:vAlign w:val="bottom"/>
            <w:gridSpan w:val="4"/>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38">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238">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8"/>
          </w:tcPr>
          <w:p>
            <w:pPr>
              <w:spacing w:after="0"/>
              <w:rPr>
                <w:sz w:val="10"/>
                <w:szCs w:val="10"/>
                <w:color w:val="auto"/>
              </w:rPr>
            </w:pPr>
          </w:p>
        </w:tc>
        <w:tc>
          <w:tcPr>
            <w:tcW w:w="18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10.208††</w:t>
            </w:r>
          </w:p>
        </w:tc>
        <w:tc>
          <w:tcPr>
            <w:tcW w:w="472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239">
              <w:r>
                <w:rPr>
                  <w:rFonts w:ascii="Times New Roman" w:cs="Times New Roman" w:eastAsia="Times New Roman" w:hAnsi="Times New Roman"/>
                  <w:sz w:val="12"/>
                  <w:szCs w:val="12"/>
                  <w:color w:val="0000EE"/>
                  <w:w w:val="99"/>
                </w:rPr>
                <w:t>Amendment to the Index License Agreement for Funds, dated as of April 1, 2019, by and between</w:t>
              </w:r>
            </w:hyperlink>
          </w:p>
        </w:tc>
        <w:tc>
          <w:tcPr>
            <w:tcW w:w="220" w:type="dxa"/>
            <w:vAlign w:val="bottom"/>
            <w:gridSpan w:val="4"/>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39">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239">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8"/>
          </w:tcPr>
          <w:p>
            <w:pPr>
              <w:spacing w:after="0"/>
              <w:rPr>
                <w:sz w:val="10"/>
                <w:szCs w:val="10"/>
                <w:color w:val="auto"/>
              </w:rPr>
            </w:pPr>
          </w:p>
        </w:tc>
        <w:tc>
          <w:tcPr>
            <w:tcW w:w="18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10.209††</w:t>
            </w:r>
          </w:p>
        </w:tc>
        <w:tc>
          <w:tcPr>
            <w:tcW w:w="472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240">
              <w:r>
                <w:rPr>
                  <w:rFonts w:ascii="Times New Roman" w:cs="Times New Roman" w:eastAsia="Times New Roman" w:hAnsi="Times New Roman"/>
                  <w:sz w:val="12"/>
                  <w:szCs w:val="12"/>
                  <w:color w:val="0000EE"/>
                  <w:w w:val="99"/>
                </w:rPr>
                <w:t>Amendment to the Index License Agreement for Funds, dated as of April 1, 2019, by and between</w:t>
              </w:r>
            </w:hyperlink>
          </w:p>
        </w:tc>
        <w:tc>
          <w:tcPr>
            <w:tcW w:w="220" w:type="dxa"/>
            <w:vAlign w:val="bottom"/>
            <w:gridSpan w:val="4"/>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40">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240">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8"/>
          </w:tcPr>
          <w:p>
            <w:pPr>
              <w:spacing w:after="0"/>
              <w:rPr>
                <w:sz w:val="10"/>
                <w:szCs w:val="10"/>
                <w:color w:val="auto"/>
              </w:rPr>
            </w:pPr>
          </w:p>
        </w:tc>
        <w:tc>
          <w:tcPr>
            <w:tcW w:w="18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10.210††</w:t>
            </w:r>
          </w:p>
        </w:tc>
        <w:tc>
          <w:tcPr>
            <w:tcW w:w="472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241">
              <w:r>
                <w:rPr>
                  <w:rFonts w:ascii="Times New Roman" w:cs="Times New Roman" w:eastAsia="Times New Roman" w:hAnsi="Times New Roman"/>
                  <w:sz w:val="12"/>
                  <w:szCs w:val="12"/>
                  <w:color w:val="0000EE"/>
                  <w:w w:val="99"/>
                </w:rPr>
                <w:t>Amendment to the Index License Agreement for Funds, dated as of April 1, 2019, by and between</w:t>
              </w:r>
            </w:hyperlink>
          </w:p>
        </w:tc>
        <w:tc>
          <w:tcPr>
            <w:tcW w:w="220" w:type="dxa"/>
            <w:vAlign w:val="bottom"/>
            <w:gridSpan w:val="4"/>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41">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241">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8"/>
          </w:tcPr>
          <w:p>
            <w:pPr>
              <w:spacing w:after="0"/>
              <w:rPr>
                <w:sz w:val="10"/>
                <w:szCs w:val="10"/>
                <w:color w:val="auto"/>
              </w:rPr>
            </w:pPr>
          </w:p>
        </w:tc>
        <w:tc>
          <w:tcPr>
            <w:tcW w:w="18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10.211††</w:t>
            </w:r>
          </w:p>
        </w:tc>
        <w:tc>
          <w:tcPr>
            <w:tcW w:w="472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242">
              <w:r>
                <w:rPr>
                  <w:rFonts w:ascii="Times New Roman" w:cs="Times New Roman" w:eastAsia="Times New Roman" w:hAnsi="Times New Roman"/>
                  <w:sz w:val="12"/>
                  <w:szCs w:val="12"/>
                  <w:color w:val="0000EE"/>
                  <w:w w:val="99"/>
                </w:rPr>
                <w:t>Amendment to the Index License Agreement for Funds, dated as of April 1, 2019, by and between</w:t>
              </w:r>
            </w:hyperlink>
          </w:p>
        </w:tc>
        <w:tc>
          <w:tcPr>
            <w:tcW w:w="220" w:type="dxa"/>
            <w:vAlign w:val="bottom"/>
            <w:gridSpan w:val="4"/>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42">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242">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8"/>
          </w:tcPr>
          <w:p>
            <w:pPr>
              <w:spacing w:after="0"/>
              <w:rPr>
                <w:sz w:val="10"/>
                <w:szCs w:val="10"/>
                <w:color w:val="auto"/>
              </w:rPr>
            </w:pPr>
          </w:p>
        </w:tc>
        <w:tc>
          <w:tcPr>
            <w:tcW w:w="18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7"/>
              </w:rPr>
              <w:t>10.212††</w:t>
            </w:r>
          </w:p>
        </w:tc>
        <w:tc>
          <w:tcPr>
            <w:tcW w:w="486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243">
              <w:r>
                <w:rPr>
                  <w:rFonts w:ascii="Times New Roman" w:cs="Times New Roman" w:eastAsia="Times New Roman" w:hAnsi="Times New Roman"/>
                  <w:sz w:val="12"/>
                  <w:szCs w:val="12"/>
                  <w:color w:val="0000EE"/>
                  <w:w w:val="99"/>
                </w:rPr>
                <w:t>Amendment to the Index License Agreement for Funds, dated as of October 1, 2019, by and between</w:t>
              </w:r>
            </w:hyperlink>
          </w:p>
        </w:tc>
        <w:tc>
          <w:tcPr>
            <w:tcW w:w="80" w:type="dxa"/>
            <w:vAlign w:val="bottom"/>
            <w:gridSpan w:val="2"/>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43">
              <w:r>
                <w:rPr>
                  <w:rFonts w:ascii="Times New Roman" w:cs="Times New Roman" w:eastAsia="Times New Roman" w:hAnsi="Times New Roman"/>
                  <w:sz w:val="12"/>
                  <w:szCs w:val="12"/>
                  <w:color w:val="0000EE"/>
                </w:rPr>
                <w:t>MSCI Inc. (formerly, Morgan Stanley Capital International Inc.) and BlackRock Fund Advisors (as</w:t>
              </w:r>
            </w:hyperlink>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243">
              <w:r>
                <w:rPr>
                  <w:rFonts w:ascii="Times New Roman" w:cs="Times New Roman" w:eastAsia="Times New Roman" w:hAnsi="Times New Roman"/>
                  <w:sz w:val="12"/>
                  <w:szCs w:val="12"/>
                  <w:color w:val="0000EE"/>
                  <w:w w:val="99"/>
                </w:rPr>
                <w:t>successor to Barclays Global Investors, N.A.)</w:t>
              </w:r>
            </w:hyperlink>
          </w:p>
        </w:tc>
        <w:tc>
          <w:tcPr>
            <w:tcW w:w="2560" w:type="dxa"/>
            <w:vAlign w:val="bottom"/>
            <w:tcBorders>
              <w:top w:val="single" w:sz="8" w:color="0000EE"/>
            </w:tcBorders>
            <w:gridSpan w:val="8"/>
          </w:tcPr>
          <w:p>
            <w:pPr>
              <w:spacing w:after="0"/>
              <w:rPr>
                <w:sz w:val="10"/>
                <w:szCs w:val="10"/>
                <w:color w:val="auto"/>
              </w:rPr>
            </w:pPr>
          </w:p>
        </w:tc>
        <w:tc>
          <w:tcPr>
            <w:tcW w:w="180" w:type="dxa"/>
            <w:vAlign w:val="bottom"/>
            <w:gridSpan w:val="3"/>
          </w:tcPr>
          <w:p>
            <w:pPr>
              <w:spacing w:after="0"/>
              <w:rPr>
                <w:sz w:val="10"/>
                <w:szCs w:val="10"/>
                <w:color w:val="auto"/>
              </w:rPr>
            </w:pPr>
          </w:p>
        </w:tc>
      </w:tr>
      <w:tr>
        <w:trPr>
          <w:trHeight w:val="124"/>
        </w:trPr>
        <w:tc>
          <w:tcPr>
            <w:tcW w:w="1180" w:type="dxa"/>
            <w:vAlign w:val="bottom"/>
            <w:gridSpan w:val="3"/>
          </w:tcPr>
          <w:p>
            <w:pPr>
              <w:jc w:val="center"/>
              <w:ind w:right="740"/>
              <w:spacing w:after="0" w:line="124" w:lineRule="exact"/>
              <w:rPr>
                <w:sz w:val="20"/>
                <w:szCs w:val="20"/>
                <w:color w:val="auto"/>
              </w:rPr>
            </w:pPr>
            <w:r>
              <w:rPr>
                <w:rFonts w:ascii="Times New Roman" w:cs="Times New Roman" w:eastAsia="Times New Roman" w:hAnsi="Times New Roman"/>
                <w:sz w:val="12"/>
                <w:szCs w:val="12"/>
                <w:color w:val="auto"/>
                <w:w w:val="96"/>
              </w:rPr>
              <w:t>10.213</w:t>
            </w: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44">
              <w:r>
                <w:rPr>
                  <w:rFonts w:ascii="Times New Roman" w:cs="Times New Roman" w:eastAsia="Times New Roman" w:hAnsi="Times New Roman"/>
                  <w:sz w:val="12"/>
                  <w:szCs w:val="12"/>
                  <w:color w:val="0000EE"/>
                </w:rPr>
                <w:t>Amendment to the Previous Amendment to the Index License Agreement for Funds, dated as of</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2"/>
          </w:tcPr>
          <w:p>
            <w:pPr>
              <w:spacing w:after="0" w:line="124" w:lineRule="exact"/>
              <w:rPr>
                <w:rFonts w:ascii="Times New Roman" w:cs="Times New Roman" w:eastAsia="Times New Roman" w:hAnsi="Times New Roman"/>
                <w:sz w:val="12"/>
                <w:szCs w:val="12"/>
                <w:color w:val="0000EE"/>
              </w:rPr>
            </w:pPr>
            <w:hyperlink r:id="rId244">
              <w:r>
                <w:rPr>
                  <w:rFonts w:ascii="Times New Roman" w:cs="Times New Roman" w:eastAsia="Times New Roman" w:hAnsi="Times New Roman"/>
                  <w:sz w:val="12"/>
                  <w:szCs w:val="12"/>
                  <w:color w:val="0000EE"/>
                </w:rPr>
                <w:t>October 25, 2019, by and between MSCI Inc. (formerly, Morgan Stanley Capital International Inc.)</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244">
              <w:r>
                <w:rPr>
                  <w:rFonts w:ascii="Times New Roman" w:cs="Times New Roman" w:eastAsia="Times New Roman" w:hAnsi="Times New Roman"/>
                  <w:sz w:val="12"/>
                  <w:szCs w:val="12"/>
                  <w:color w:val="0000EE"/>
                  <w:w w:val="99"/>
                </w:rPr>
                <w:t>and BlackRock Fund Advisors (as successor to Barclays Global Investors, N.A., which was succeeded</w:t>
              </w:r>
            </w:hyperlink>
          </w:p>
        </w:tc>
        <w:tc>
          <w:tcPr>
            <w:tcW w:w="20" w:type="dxa"/>
            <w:vAlign w:val="bottom"/>
          </w:tcPr>
          <w:p>
            <w:pPr>
              <w:spacing w:after="0"/>
              <w:rPr>
                <w:sz w:val="10"/>
                <w:szCs w:val="10"/>
                <w:color w:val="auto"/>
              </w:rPr>
            </w:pPr>
          </w:p>
        </w:tc>
      </w:tr>
      <w:tr>
        <w:trPr>
          <w:trHeight w:val="124"/>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8"/>
              </w:rPr>
            </w:pPr>
            <w:hyperlink r:id="rId244">
              <w:r>
                <w:rPr>
                  <w:rFonts w:ascii="Times New Roman" w:cs="Times New Roman" w:eastAsia="Times New Roman" w:hAnsi="Times New Roman"/>
                  <w:sz w:val="12"/>
                  <w:szCs w:val="12"/>
                  <w:color w:val="0000EE"/>
                  <w:w w:val="98"/>
                </w:rPr>
                <w:t>by BlackRock Institutional Trust Company, N.A.)</w:t>
              </w:r>
            </w:hyperlink>
          </w:p>
        </w:tc>
        <w:tc>
          <w:tcPr>
            <w:tcW w:w="2540" w:type="dxa"/>
            <w:vAlign w:val="bottom"/>
            <w:gridSpan w:val="9"/>
          </w:tcPr>
          <w:p>
            <w:pPr>
              <w:spacing w:after="0"/>
              <w:rPr>
                <w:sz w:val="10"/>
                <w:szCs w:val="10"/>
                <w:color w:val="auto"/>
              </w:rPr>
            </w:pPr>
          </w:p>
        </w:tc>
      </w:tr>
      <w:tr>
        <w:trPr>
          <w:trHeight w:val="295"/>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00" w:type="dxa"/>
            <w:vAlign w:val="bottom"/>
            <w:gridSpan w:val="6"/>
          </w:tcPr>
          <w:p>
            <w:pPr>
              <w:ind w:left="3640"/>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45720</wp:posOffset>
            </wp:positionV>
            <wp:extent cx="717804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66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9"/>
              </w:rPr>
              <w:t>Exhibit No.</w:t>
            </w:r>
          </w:p>
        </w:tc>
        <w:tc>
          <w:tcPr>
            <w:tcW w:w="360" w:type="dxa"/>
            <w:vAlign w:val="bottom"/>
          </w:tcPr>
          <w:p>
            <w:pPr>
              <w:spacing w:after="0"/>
              <w:rPr>
                <w:sz w:val="8"/>
                <w:szCs w:val="8"/>
                <w:color w:val="auto"/>
              </w:rPr>
            </w:pP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10.204</w:t>
            </w:r>
          </w:p>
        </w:tc>
        <w:tc>
          <w:tcPr>
            <w:tcW w:w="320" w:type="dxa"/>
            <w:vAlign w:val="bottom"/>
          </w:tcPr>
          <w:p>
            <w:pPr>
              <w:spacing w:after="0"/>
              <w:rPr>
                <w:sz w:val="14"/>
                <w:szCs w:val="1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10.205</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10.206</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10.207</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10.208</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10.209</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10.210</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10.211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10.212</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10.213</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bl>
    <w:p>
      <w:pPr>
        <w:sectPr>
          <w:pgSz w:w="11900" w:h="16838" w:orient="portrait"/>
          <w:cols w:equalWidth="0" w:num="2">
            <w:col w:w="6120" w:space="400"/>
            <w:col w:w="3600"/>
          </w:cols>
          <w:pgMar w:left="1040" w:top="268" w:right="7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00" w:type="dxa"/>
            <w:vAlign w:val="bottom"/>
          </w:tcPr>
          <w:p>
            <w:pPr>
              <w:spacing w:after="0"/>
              <w:rPr>
                <w:sz w:val="8"/>
                <w:szCs w:val="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10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20" w:type="dxa"/>
            <w:vAlign w:val="bottom"/>
            <w:gridSpan w:val="14"/>
          </w:tcPr>
          <w:p>
            <w:pPr>
              <w:ind w:left="14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7"/>
              </w:rPr>
              <w:t>10.214††</w:t>
            </w:r>
          </w:p>
        </w:tc>
        <w:tc>
          <w:tcPr>
            <w:tcW w:w="4940" w:type="dxa"/>
            <w:vAlign w:val="bottom"/>
            <w:gridSpan w:val="18"/>
          </w:tcPr>
          <w:p>
            <w:pPr>
              <w:spacing w:after="0"/>
              <w:rPr>
                <w:rFonts w:ascii="Times New Roman" w:cs="Times New Roman" w:eastAsia="Times New Roman" w:hAnsi="Times New Roman"/>
                <w:sz w:val="12"/>
                <w:szCs w:val="12"/>
                <w:color w:val="0000EE"/>
              </w:rPr>
            </w:pPr>
            <w:hyperlink r:id="rId246">
              <w:r>
                <w:rPr>
                  <w:rFonts w:ascii="Times New Roman" w:cs="Times New Roman" w:eastAsia="Times New Roman" w:hAnsi="Times New Roman"/>
                  <w:sz w:val="12"/>
                  <w:szCs w:val="12"/>
                  <w:color w:val="0000EE"/>
                </w:rPr>
                <w:t>Amendment to the Index License Agreement for Funds, dated as of November 25, 2019, by and</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80" w:type="dxa"/>
            <w:vAlign w:val="bottom"/>
            <w:tcBorders>
              <w:top w:val="single" w:sz="8" w:color="0000EE"/>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246">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20" w:type="dxa"/>
            <w:vAlign w:val="bottom"/>
            <w:tcBorders>
              <w:top w:val="single" w:sz="8" w:color="0000EE"/>
            </w:tcBorders>
          </w:tcPr>
          <w:p>
            <w:pPr>
              <w:spacing w:after="0"/>
              <w:rPr>
                <w:sz w:val="10"/>
                <w:szCs w:val="10"/>
                <w:color w:val="auto"/>
              </w:rPr>
            </w:pPr>
          </w:p>
        </w:tc>
        <w:tc>
          <w:tcPr>
            <w:tcW w:w="340" w:type="dxa"/>
            <w:vAlign w:val="bottom"/>
            <w:gridSpan w:val="5"/>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8"/>
          </w:tcPr>
          <w:p>
            <w:pPr>
              <w:spacing w:after="0" w:line="124" w:lineRule="exact"/>
              <w:rPr>
                <w:rFonts w:ascii="Times New Roman" w:cs="Times New Roman" w:eastAsia="Times New Roman" w:hAnsi="Times New Roman"/>
                <w:sz w:val="12"/>
                <w:szCs w:val="12"/>
                <w:color w:val="0000EE"/>
              </w:rPr>
            </w:pPr>
            <w:hyperlink r:id="rId246">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22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w w:val="97"/>
              </w:rPr>
              <w:t>10.215††</w:t>
            </w:r>
          </w:p>
        </w:tc>
        <w:tc>
          <w:tcPr>
            <w:tcW w:w="4940" w:type="dxa"/>
            <w:vAlign w:val="bottom"/>
            <w:gridSpan w:val="18"/>
          </w:tcPr>
          <w:p>
            <w:pPr>
              <w:spacing w:after="0" w:line="124" w:lineRule="exact"/>
              <w:rPr>
                <w:rFonts w:ascii="Times New Roman" w:cs="Times New Roman" w:eastAsia="Times New Roman" w:hAnsi="Times New Roman"/>
                <w:sz w:val="12"/>
                <w:szCs w:val="12"/>
                <w:color w:val="0000EE"/>
              </w:rPr>
            </w:pPr>
            <w:hyperlink r:id="rId247">
              <w:r>
                <w:rPr>
                  <w:rFonts w:ascii="Times New Roman" w:cs="Times New Roman" w:eastAsia="Times New Roman" w:hAnsi="Times New Roman"/>
                  <w:sz w:val="12"/>
                  <w:szCs w:val="12"/>
                  <w:color w:val="0000EE"/>
                </w:rPr>
                <w:t>Amendment to the Index License Agreement for Funds, dated as of November 25, 2019, by and</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80" w:type="dxa"/>
            <w:vAlign w:val="bottom"/>
            <w:tcBorders>
              <w:top w:val="single" w:sz="8" w:color="0000EE"/>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247">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20" w:type="dxa"/>
            <w:vAlign w:val="bottom"/>
            <w:tcBorders>
              <w:top w:val="single" w:sz="8" w:color="0000EE"/>
            </w:tcBorders>
          </w:tcPr>
          <w:p>
            <w:pPr>
              <w:spacing w:after="0"/>
              <w:rPr>
                <w:sz w:val="10"/>
                <w:szCs w:val="10"/>
                <w:color w:val="auto"/>
              </w:rPr>
            </w:pPr>
          </w:p>
        </w:tc>
        <w:tc>
          <w:tcPr>
            <w:tcW w:w="340" w:type="dxa"/>
            <w:vAlign w:val="bottom"/>
            <w:gridSpan w:val="5"/>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8"/>
          </w:tcPr>
          <w:p>
            <w:pPr>
              <w:spacing w:after="0" w:line="124" w:lineRule="exact"/>
              <w:rPr>
                <w:rFonts w:ascii="Times New Roman" w:cs="Times New Roman" w:eastAsia="Times New Roman" w:hAnsi="Times New Roman"/>
                <w:sz w:val="12"/>
                <w:szCs w:val="12"/>
                <w:color w:val="0000EE"/>
              </w:rPr>
            </w:pPr>
            <w:hyperlink r:id="rId247">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22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rPr>
              <w:t>10.216*</w:t>
            </w:r>
          </w:p>
        </w:tc>
        <w:tc>
          <w:tcPr>
            <w:tcW w:w="492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248">
              <w:r>
                <w:rPr>
                  <w:rFonts w:ascii="Times New Roman" w:cs="Times New Roman" w:eastAsia="Times New Roman" w:hAnsi="Times New Roman"/>
                  <w:sz w:val="12"/>
                  <w:szCs w:val="12"/>
                  <w:color w:val="0000EE"/>
                  <w:w w:val="99"/>
                </w:rPr>
                <w:t>Form of 2020 Award Agreement for Restricted Stock Units For Employees Under the MSCI Inc. 2016</w:t>
              </w:r>
            </w:hyperlink>
          </w:p>
        </w:tc>
        <w:tc>
          <w:tcPr>
            <w:tcW w:w="20" w:type="dxa"/>
            <w:vAlign w:val="bottom"/>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8"/>
              </w:rPr>
            </w:pPr>
            <w:hyperlink r:id="rId248">
              <w:r>
                <w:rPr>
                  <w:rFonts w:ascii="Times New Roman" w:cs="Times New Roman" w:eastAsia="Times New Roman" w:hAnsi="Times New Roman"/>
                  <w:sz w:val="12"/>
                  <w:szCs w:val="12"/>
                  <w:color w:val="0000EE"/>
                  <w:w w:val="98"/>
                </w:rPr>
                <w:t>Omnibus Incentive Plan</w:t>
              </w:r>
            </w:hyperlink>
          </w:p>
        </w:tc>
        <w:tc>
          <w:tcPr>
            <w:tcW w:w="3780" w:type="dxa"/>
            <w:vAlign w:val="bottom"/>
            <w:gridSpan w:val="17"/>
          </w:tcPr>
          <w:p>
            <w:pPr>
              <w:spacing w:after="0"/>
              <w:rPr>
                <w:sz w:val="10"/>
                <w:szCs w:val="10"/>
                <w:color w:val="auto"/>
              </w:rPr>
            </w:pPr>
          </w:p>
        </w:tc>
      </w:tr>
      <w:tr>
        <w:trPr>
          <w:trHeight w:val="160"/>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10.217*</w:t>
            </w:r>
          </w:p>
        </w:tc>
        <w:tc>
          <w:tcPr>
            <w:tcW w:w="4940" w:type="dxa"/>
            <w:vAlign w:val="bottom"/>
            <w:gridSpan w:val="18"/>
          </w:tcPr>
          <w:p>
            <w:pPr>
              <w:spacing w:after="0"/>
              <w:rPr>
                <w:rFonts w:ascii="Times New Roman" w:cs="Times New Roman" w:eastAsia="Times New Roman" w:hAnsi="Times New Roman"/>
                <w:sz w:val="12"/>
                <w:szCs w:val="12"/>
                <w:color w:val="0000EE"/>
              </w:rPr>
            </w:pPr>
            <w:hyperlink r:id="rId249">
              <w:r>
                <w:rPr>
                  <w:rFonts w:ascii="Times New Roman" w:cs="Times New Roman" w:eastAsia="Times New Roman" w:hAnsi="Times New Roman"/>
                  <w:sz w:val="12"/>
                  <w:szCs w:val="12"/>
                  <w:color w:val="0000EE"/>
                </w:rPr>
                <w:t>Form of 2020 Annual Performance Award Agreement for Performance Stock Units for Managing</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80" w:type="dxa"/>
            <w:vAlign w:val="bottom"/>
            <w:tcBorders>
              <w:top w:val="single" w:sz="8" w:color="0000EE"/>
            </w:tcBorders>
            <w:gridSpan w:val="14"/>
          </w:tcPr>
          <w:p>
            <w:pPr>
              <w:spacing w:after="0" w:line="124" w:lineRule="exact"/>
              <w:rPr>
                <w:rFonts w:ascii="Times New Roman" w:cs="Times New Roman" w:eastAsia="Times New Roman" w:hAnsi="Times New Roman"/>
                <w:sz w:val="12"/>
                <w:szCs w:val="12"/>
                <w:color w:val="0000EE"/>
              </w:rPr>
            </w:pPr>
            <w:hyperlink r:id="rId249">
              <w:r>
                <w:rPr>
                  <w:rFonts w:ascii="Times New Roman" w:cs="Times New Roman" w:eastAsia="Times New Roman" w:hAnsi="Times New Roman"/>
                  <w:sz w:val="12"/>
                  <w:szCs w:val="12"/>
                  <w:color w:val="0000EE"/>
                </w:rPr>
                <w:t>Directors Under the MSCI Inc. 2016 Omnibus Incentive Plan</w:t>
              </w:r>
            </w:hyperlink>
          </w:p>
        </w:tc>
        <w:tc>
          <w:tcPr>
            <w:tcW w:w="260" w:type="dxa"/>
            <w:vAlign w:val="bottom"/>
            <w:gridSpan w:val="4"/>
          </w:tcPr>
          <w:p>
            <w:pPr>
              <w:spacing w:after="0"/>
              <w:rPr>
                <w:sz w:val="10"/>
                <w:szCs w:val="10"/>
                <w:color w:val="auto"/>
              </w:rPr>
            </w:pPr>
          </w:p>
        </w:tc>
      </w:tr>
      <w:tr>
        <w:trPr>
          <w:trHeight w:val="20"/>
        </w:trPr>
        <w:tc>
          <w:tcPr>
            <w:tcW w:w="1220" w:type="dxa"/>
            <w:vAlign w:val="bottom"/>
            <w:gridSpan w:val="3"/>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0"/>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10.218*</w:t>
            </w:r>
          </w:p>
        </w:tc>
        <w:tc>
          <w:tcPr>
            <w:tcW w:w="4940" w:type="dxa"/>
            <w:vAlign w:val="bottom"/>
            <w:gridSpan w:val="18"/>
          </w:tcPr>
          <w:p>
            <w:pPr>
              <w:spacing w:after="0"/>
              <w:rPr>
                <w:rFonts w:ascii="Times New Roman" w:cs="Times New Roman" w:eastAsia="Times New Roman" w:hAnsi="Times New Roman"/>
                <w:sz w:val="12"/>
                <w:szCs w:val="12"/>
                <w:color w:val="0000EE"/>
              </w:rPr>
            </w:pPr>
            <w:hyperlink r:id="rId250">
              <w:r>
                <w:rPr>
                  <w:rFonts w:ascii="Times New Roman" w:cs="Times New Roman" w:eastAsia="Times New Roman" w:hAnsi="Times New Roman"/>
                  <w:sz w:val="12"/>
                  <w:szCs w:val="12"/>
                  <w:color w:val="0000EE"/>
                </w:rPr>
                <w:t>Form of 2020 Annual Performance Award Agreement for Performance Stock Units for Managing</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80" w:type="dxa"/>
            <w:vAlign w:val="bottom"/>
            <w:tcBorders>
              <w:top w:val="single" w:sz="8" w:color="0000EE"/>
            </w:tcBorders>
            <w:gridSpan w:val="14"/>
          </w:tcPr>
          <w:p>
            <w:pPr>
              <w:spacing w:after="0" w:line="124" w:lineRule="exact"/>
              <w:rPr>
                <w:rFonts w:ascii="Times New Roman" w:cs="Times New Roman" w:eastAsia="Times New Roman" w:hAnsi="Times New Roman"/>
                <w:sz w:val="12"/>
                <w:szCs w:val="12"/>
                <w:color w:val="0000EE"/>
              </w:rPr>
            </w:pPr>
            <w:hyperlink r:id="rId250">
              <w:r>
                <w:rPr>
                  <w:rFonts w:ascii="Times New Roman" w:cs="Times New Roman" w:eastAsia="Times New Roman" w:hAnsi="Times New Roman"/>
                  <w:sz w:val="12"/>
                  <w:szCs w:val="12"/>
                  <w:color w:val="0000EE"/>
                </w:rPr>
                <w:t>Directors Under the MSCI Inc. 2016 Omnibus Incentive Plan</w:t>
              </w:r>
            </w:hyperlink>
          </w:p>
        </w:tc>
        <w:tc>
          <w:tcPr>
            <w:tcW w:w="260" w:type="dxa"/>
            <w:vAlign w:val="bottom"/>
            <w:gridSpan w:val="4"/>
          </w:tcPr>
          <w:p>
            <w:pPr>
              <w:spacing w:after="0"/>
              <w:rPr>
                <w:sz w:val="10"/>
                <w:szCs w:val="10"/>
                <w:color w:val="auto"/>
              </w:rPr>
            </w:pPr>
          </w:p>
        </w:tc>
      </w:tr>
      <w:tr>
        <w:trPr>
          <w:trHeight w:val="20"/>
        </w:trPr>
        <w:tc>
          <w:tcPr>
            <w:tcW w:w="1220" w:type="dxa"/>
            <w:vAlign w:val="bottom"/>
            <w:gridSpan w:val="3"/>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0"/>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10.219*</w:t>
            </w:r>
          </w:p>
        </w:tc>
        <w:tc>
          <w:tcPr>
            <w:tcW w:w="482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r:id="rId251">
              <w:r>
                <w:rPr>
                  <w:rFonts w:ascii="Times New Roman" w:cs="Times New Roman" w:eastAsia="Times New Roman" w:hAnsi="Times New Roman"/>
                  <w:sz w:val="12"/>
                  <w:szCs w:val="12"/>
                  <w:color w:val="0000EE"/>
                  <w:w w:val="99"/>
                </w:rPr>
                <w:t>Form of Award Agreement for Restricted Stock Units for Directors Under the MSCI Inc. 2016 Non-</w:t>
              </w:r>
            </w:hyperlink>
          </w:p>
        </w:tc>
        <w:tc>
          <w:tcPr>
            <w:tcW w:w="120" w:type="dxa"/>
            <w:vAlign w:val="bottom"/>
            <w:gridSpan w:val="3"/>
          </w:tcPr>
          <w:p>
            <w:pPr>
              <w:spacing w:after="0"/>
              <w:rPr>
                <w:sz w:val="13"/>
                <w:szCs w:val="13"/>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8"/>
          </w:tcPr>
          <w:p>
            <w:pPr>
              <w:spacing w:after="0" w:line="124" w:lineRule="exact"/>
              <w:rPr>
                <w:rFonts w:ascii="Times New Roman" w:cs="Times New Roman" w:eastAsia="Times New Roman" w:hAnsi="Times New Roman"/>
                <w:sz w:val="12"/>
                <w:szCs w:val="12"/>
                <w:color w:val="0000EE"/>
              </w:rPr>
            </w:pPr>
            <w:hyperlink r:id="rId251">
              <w:r>
                <w:rPr>
                  <w:rFonts w:ascii="Times New Roman" w:cs="Times New Roman" w:eastAsia="Times New Roman" w:hAnsi="Times New Roman"/>
                  <w:sz w:val="12"/>
                  <w:szCs w:val="12"/>
                  <w:color w:val="0000EE"/>
                </w:rPr>
                <w:t>Employee Directors Compensation Program</w:t>
              </w:r>
            </w:hyperlink>
          </w:p>
        </w:tc>
      </w:tr>
      <w:tr>
        <w:trPr>
          <w:trHeight w:val="20"/>
        </w:trPr>
        <w:tc>
          <w:tcPr>
            <w:tcW w:w="1220" w:type="dxa"/>
            <w:vAlign w:val="bottom"/>
            <w:gridSpan w:val="3"/>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7"/>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10.220*</w:t>
            </w:r>
          </w:p>
        </w:tc>
        <w:tc>
          <w:tcPr>
            <w:tcW w:w="4940" w:type="dxa"/>
            <w:vAlign w:val="bottom"/>
            <w:gridSpan w:val="18"/>
          </w:tcPr>
          <w:p>
            <w:pPr>
              <w:spacing w:after="0"/>
              <w:rPr>
                <w:rFonts w:ascii="Times New Roman" w:cs="Times New Roman" w:eastAsia="Times New Roman" w:hAnsi="Times New Roman"/>
                <w:sz w:val="12"/>
                <w:szCs w:val="12"/>
                <w:u w:val="single" w:color="auto"/>
                <w:color w:val="0000EE"/>
              </w:rPr>
            </w:pPr>
            <w:hyperlink r:id="rId252">
              <w:r>
                <w:rPr>
                  <w:rFonts w:ascii="Times New Roman" w:cs="Times New Roman" w:eastAsia="Times New Roman" w:hAnsi="Times New Roman"/>
                  <w:sz w:val="12"/>
                  <w:szCs w:val="12"/>
                  <w:u w:val="single" w:color="auto"/>
                  <w:color w:val="0000EE"/>
                </w:rPr>
                <w:t>Offer Letter, executed September 24, 2020, between MSCI Inc. and Andrew C. Wiechmann</w:t>
              </w:r>
            </w:hyperlink>
          </w:p>
        </w:tc>
      </w:tr>
      <w:tr>
        <w:trPr>
          <w:trHeight w:val="297"/>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6"/>
              </w:rPr>
              <w:t>10.222</w:t>
            </w:r>
          </w:p>
        </w:tc>
        <w:tc>
          <w:tcPr>
            <w:tcW w:w="494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9"/>
              </w:rPr>
            </w:pPr>
            <w:hyperlink w:anchor="page266">
              <w:r>
                <w:rPr>
                  <w:rFonts w:ascii="Times New Roman" w:cs="Times New Roman" w:eastAsia="Times New Roman" w:hAnsi="Times New Roman"/>
                  <w:sz w:val="12"/>
                  <w:szCs w:val="12"/>
                  <w:color w:val="0000EE"/>
                  <w:w w:val="99"/>
                </w:rPr>
                <w:t>Amendment to the Schedules to the Index License Agreement for Funds, dated as of February 3, 2020,</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2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w:anchor="page266">
              <w:r>
                <w:rPr>
                  <w:rFonts w:ascii="Times New Roman" w:cs="Times New Roman" w:eastAsia="Times New Roman" w:hAnsi="Times New Roman"/>
                  <w:sz w:val="12"/>
                  <w:szCs w:val="12"/>
                  <w:color w:val="0000EE"/>
                  <w:w w:val="99"/>
                </w:rPr>
                <w:t>by and between MSCI Inc. and BlackRock Fund Advisors</w:t>
              </w:r>
            </w:hyperlink>
          </w:p>
        </w:tc>
        <w:tc>
          <w:tcPr>
            <w:tcW w:w="2120" w:type="dxa"/>
            <w:vAlign w:val="bottom"/>
            <w:gridSpan w:val="11"/>
          </w:tcPr>
          <w:p>
            <w:pPr>
              <w:spacing w:after="0"/>
              <w:rPr>
                <w:sz w:val="10"/>
                <w:szCs w:val="10"/>
                <w:color w:val="auto"/>
              </w:rPr>
            </w:pPr>
          </w:p>
        </w:tc>
      </w:tr>
      <w:tr>
        <w:trPr>
          <w:trHeight w:val="160"/>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6"/>
              </w:rPr>
              <w:t>10.223</w:t>
            </w:r>
          </w:p>
        </w:tc>
        <w:tc>
          <w:tcPr>
            <w:tcW w:w="494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9"/>
              </w:rPr>
            </w:pPr>
            <w:hyperlink w:anchor="page268">
              <w:r>
                <w:rPr>
                  <w:rFonts w:ascii="Times New Roman" w:cs="Times New Roman" w:eastAsia="Times New Roman" w:hAnsi="Times New Roman"/>
                  <w:sz w:val="12"/>
                  <w:szCs w:val="12"/>
                  <w:color w:val="0000EE"/>
                  <w:w w:val="99"/>
                </w:rPr>
                <w:t>Amendment to the Schedules to the Index License Agreement for Funds, dated as of February 3, 2020,</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40" w:type="dxa"/>
            <w:vAlign w:val="bottom"/>
            <w:gridSpan w:val="18"/>
          </w:tcPr>
          <w:p>
            <w:pPr>
              <w:spacing w:after="0" w:line="124" w:lineRule="exact"/>
              <w:rPr>
                <w:rFonts w:ascii="Times New Roman" w:cs="Times New Roman" w:eastAsia="Times New Roman" w:hAnsi="Times New Roman"/>
                <w:sz w:val="12"/>
                <w:szCs w:val="12"/>
                <w:color w:val="0000EE"/>
              </w:rPr>
            </w:pPr>
            <w:hyperlink w:anchor="page268">
              <w:r>
                <w:rPr>
                  <w:rFonts w:ascii="Times New Roman" w:cs="Times New Roman" w:eastAsia="Times New Roman" w:hAnsi="Times New Roman"/>
                  <w:sz w:val="12"/>
                  <w:szCs w:val="12"/>
                  <w:color w:val="0000EE"/>
                </w:rPr>
                <w:t>by and between MSCI ESG Research LLC and BlackRock Fund Advisors</w:t>
              </w:r>
            </w:hyperlink>
          </w:p>
        </w:tc>
      </w:tr>
      <w:tr>
        <w:trPr>
          <w:trHeight w:val="20"/>
        </w:trPr>
        <w:tc>
          <w:tcPr>
            <w:tcW w:w="1220" w:type="dxa"/>
            <w:vAlign w:val="bottom"/>
            <w:gridSpan w:val="3"/>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0"/>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6"/>
              </w:rPr>
              <w:t>10.224</w:t>
            </w:r>
          </w:p>
        </w:tc>
        <w:tc>
          <w:tcPr>
            <w:tcW w:w="482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w:anchor="page270">
              <w:r>
                <w:rPr>
                  <w:rFonts w:ascii="Times New Roman" w:cs="Times New Roman" w:eastAsia="Times New Roman" w:hAnsi="Times New Roman"/>
                  <w:sz w:val="12"/>
                  <w:szCs w:val="12"/>
                  <w:color w:val="0000EE"/>
                  <w:w w:val="99"/>
                </w:rPr>
                <w:t>Amendment to the Schedules to the Index License Agreement for Funds, dated as of March 9, 2020,</w:t>
              </w:r>
            </w:hyperlink>
          </w:p>
        </w:tc>
        <w:tc>
          <w:tcPr>
            <w:tcW w:w="120" w:type="dxa"/>
            <w:vAlign w:val="bottom"/>
            <w:gridSpan w:val="3"/>
          </w:tcPr>
          <w:p>
            <w:pPr>
              <w:spacing w:after="0"/>
              <w:rPr>
                <w:sz w:val="13"/>
                <w:szCs w:val="13"/>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2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w:anchor="page270">
              <w:r>
                <w:rPr>
                  <w:rFonts w:ascii="Times New Roman" w:cs="Times New Roman" w:eastAsia="Times New Roman" w:hAnsi="Times New Roman"/>
                  <w:sz w:val="12"/>
                  <w:szCs w:val="12"/>
                  <w:color w:val="0000EE"/>
                  <w:w w:val="99"/>
                </w:rPr>
                <w:t>by and between MSCI Inc. and BlackRock Fund Advisors</w:t>
              </w:r>
            </w:hyperlink>
          </w:p>
        </w:tc>
        <w:tc>
          <w:tcPr>
            <w:tcW w:w="2120" w:type="dxa"/>
            <w:vAlign w:val="bottom"/>
            <w:gridSpan w:val="11"/>
          </w:tcPr>
          <w:p>
            <w:pPr>
              <w:spacing w:after="0"/>
              <w:rPr>
                <w:sz w:val="10"/>
                <w:szCs w:val="10"/>
                <w:color w:val="auto"/>
              </w:rPr>
            </w:pPr>
          </w:p>
        </w:tc>
      </w:tr>
      <w:tr>
        <w:trPr>
          <w:trHeight w:val="160"/>
        </w:trPr>
        <w:tc>
          <w:tcPr>
            <w:tcW w:w="1220" w:type="dxa"/>
            <w:vAlign w:val="bottom"/>
            <w:gridSpan w:val="3"/>
          </w:tcPr>
          <w:p>
            <w:pPr>
              <w:jc w:val="center"/>
              <w:ind w:right="720"/>
              <w:spacing w:after="0"/>
              <w:rPr>
                <w:sz w:val="20"/>
                <w:szCs w:val="20"/>
                <w:color w:val="auto"/>
              </w:rPr>
            </w:pPr>
            <w:r>
              <w:rPr>
                <w:rFonts w:ascii="Times New Roman" w:cs="Times New Roman" w:eastAsia="Times New Roman" w:hAnsi="Times New Roman"/>
                <w:sz w:val="12"/>
                <w:szCs w:val="12"/>
                <w:color w:val="auto"/>
                <w:w w:val="97"/>
              </w:rPr>
              <w:t>10.225††#</w:t>
            </w:r>
          </w:p>
        </w:tc>
        <w:tc>
          <w:tcPr>
            <w:tcW w:w="482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w:anchor="page272">
              <w:r>
                <w:rPr>
                  <w:rFonts w:ascii="Times New Roman" w:cs="Times New Roman" w:eastAsia="Times New Roman" w:hAnsi="Times New Roman"/>
                  <w:sz w:val="12"/>
                  <w:szCs w:val="12"/>
                  <w:color w:val="0000EE"/>
                  <w:w w:val="99"/>
                </w:rPr>
                <w:t>Amendment to the Schedules to the Index License Agreement for Funds, dated as of March 9, 2020,</w:t>
              </w:r>
            </w:hyperlink>
          </w:p>
        </w:tc>
        <w:tc>
          <w:tcPr>
            <w:tcW w:w="120" w:type="dxa"/>
            <w:vAlign w:val="bottom"/>
            <w:gridSpan w:val="3"/>
          </w:tcPr>
          <w:p>
            <w:pPr>
              <w:spacing w:after="0"/>
              <w:rPr>
                <w:sz w:val="13"/>
                <w:szCs w:val="13"/>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2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w:anchor="page272">
              <w:r>
                <w:rPr>
                  <w:rFonts w:ascii="Times New Roman" w:cs="Times New Roman" w:eastAsia="Times New Roman" w:hAnsi="Times New Roman"/>
                  <w:sz w:val="12"/>
                  <w:szCs w:val="12"/>
                  <w:color w:val="0000EE"/>
                  <w:w w:val="99"/>
                </w:rPr>
                <w:t>by and between MSCI Inc. and BlackRock Fund Advisors</w:t>
              </w:r>
            </w:hyperlink>
          </w:p>
        </w:tc>
        <w:tc>
          <w:tcPr>
            <w:tcW w:w="2120" w:type="dxa"/>
            <w:vAlign w:val="bottom"/>
            <w:gridSpan w:val="11"/>
          </w:tcPr>
          <w:p>
            <w:pPr>
              <w:spacing w:after="0"/>
              <w:rPr>
                <w:sz w:val="10"/>
                <w:szCs w:val="10"/>
                <w:color w:val="auto"/>
              </w:rPr>
            </w:pPr>
          </w:p>
        </w:tc>
      </w:tr>
      <w:tr>
        <w:trPr>
          <w:trHeight w:val="160"/>
        </w:trPr>
        <w:tc>
          <w:tcPr>
            <w:tcW w:w="1220" w:type="dxa"/>
            <w:vAlign w:val="bottom"/>
            <w:gridSpan w:val="3"/>
          </w:tcPr>
          <w:p>
            <w:pPr>
              <w:jc w:val="center"/>
              <w:ind w:right="720"/>
              <w:spacing w:after="0"/>
              <w:rPr>
                <w:sz w:val="20"/>
                <w:szCs w:val="20"/>
                <w:color w:val="auto"/>
              </w:rPr>
            </w:pPr>
            <w:r>
              <w:rPr>
                <w:rFonts w:ascii="Times New Roman" w:cs="Times New Roman" w:eastAsia="Times New Roman" w:hAnsi="Times New Roman"/>
                <w:sz w:val="12"/>
                <w:szCs w:val="12"/>
                <w:color w:val="auto"/>
                <w:w w:val="97"/>
              </w:rPr>
              <w:t>10.226††#</w:t>
            </w:r>
          </w:p>
        </w:tc>
        <w:tc>
          <w:tcPr>
            <w:tcW w:w="4940" w:type="dxa"/>
            <w:vAlign w:val="bottom"/>
            <w:gridSpan w:val="18"/>
          </w:tcPr>
          <w:p>
            <w:pPr>
              <w:spacing w:after="0"/>
              <w:rPr>
                <w:rFonts w:ascii="Times New Roman" w:cs="Times New Roman" w:eastAsia="Times New Roman" w:hAnsi="Times New Roman"/>
                <w:sz w:val="12"/>
                <w:szCs w:val="12"/>
                <w:color w:val="0000EE"/>
              </w:rPr>
            </w:pPr>
            <w:hyperlink w:anchor="page274">
              <w:r>
                <w:rPr>
                  <w:rFonts w:ascii="Times New Roman" w:cs="Times New Roman" w:eastAsia="Times New Roman" w:hAnsi="Times New Roman"/>
                  <w:sz w:val="12"/>
                  <w:szCs w:val="12"/>
                  <w:color w:val="0000EE"/>
                </w:rPr>
                <w:t>Amendment to the Previous Amendment to the Index License Agreement for Funds, dated as of April</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00" w:type="dxa"/>
            <w:vAlign w:val="bottom"/>
            <w:tcBorders>
              <w:top w:val="single" w:sz="8" w:color="0000EE"/>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w:anchor="page274">
              <w:r>
                <w:rPr>
                  <w:rFonts w:ascii="Times New Roman" w:cs="Times New Roman" w:eastAsia="Times New Roman" w:hAnsi="Times New Roman"/>
                  <w:sz w:val="12"/>
                  <w:szCs w:val="12"/>
                  <w:color w:val="0000EE"/>
                  <w:w w:val="99"/>
                </w:rPr>
                <w:t>1, 2020, by and between MSCI Inc. (formerly, Morgan Stanley Capital International Inc.) and</w:t>
              </w:r>
            </w:hyperlink>
          </w:p>
        </w:tc>
        <w:tc>
          <w:tcPr>
            <w:tcW w:w="380" w:type="dxa"/>
            <w:vAlign w:val="bottom"/>
            <w:tcBorders>
              <w:top w:val="single" w:sz="8" w:color="0000EE"/>
            </w:tcBorders>
            <w:gridSpan w:val="6"/>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rPr>
            </w:pPr>
            <w:hyperlink w:anchor="page274">
              <w:r>
                <w:rPr>
                  <w:rFonts w:ascii="Times New Roman" w:cs="Times New Roman" w:eastAsia="Times New Roman" w:hAnsi="Times New Roman"/>
                  <w:sz w:val="12"/>
                  <w:szCs w:val="12"/>
                  <w:color w:val="0000EE"/>
                </w:rPr>
                <w:t>BlackRock Fund Advisors</w:t>
              </w:r>
            </w:hyperlink>
          </w:p>
        </w:tc>
        <w:tc>
          <w:tcPr>
            <w:tcW w:w="3640" w:type="dxa"/>
            <w:vAlign w:val="bottom"/>
            <w:gridSpan w:val="15"/>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10.227††#</w:t>
            </w:r>
          </w:p>
        </w:tc>
        <w:tc>
          <w:tcPr>
            <w:tcW w:w="4940" w:type="dxa"/>
            <w:vAlign w:val="bottom"/>
            <w:gridSpan w:val="18"/>
          </w:tcPr>
          <w:p>
            <w:pPr>
              <w:spacing w:after="0" w:line="124" w:lineRule="exact"/>
              <w:rPr>
                <w:rFonts w:ascii="Times New Roman" w:cs="Times New Roman" w:eastAsia="Times New Roman" w:hAnsi="Times New Roman"/>
                <w:sz w:val="12"/>
                <w:szCs w:val="12"/>
                <w:color w:val="0000EE"/>
              </w:rPr>
            </w:pPr>
            <w:hyperlink w:anchor="page276">
              <w:r>
                <w:rPr>
                  <w:rFonts w:ascii="Times New Roman" w:cs="Times New Roman" w:eastAsia="Times New Roman" w:hAnsi="Times New Roman"/>
                  <w:sz w:val="12"/>
                  <w:szCs w:val="12"/>
                  <w:color w:val="0000EE"/>
                </w:rPr>
                <w:t>Amendment to the Previous Amendment to the Index License Agreement for Funds, dated as of April</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60" w:type="dxa"/>
            <w:vAlign w:val="bottom"/>
            <w:tcBorders>
              <w:top w:val="single" w:sz="8" w:color="0000EE"/>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w:anchor="page276">
              <w:r>
                <w:rPr>
                  <w:rFonts w:ascii="Times New Roman" w:cs="Times New Roman" w:eastAsia="Times New Roman" w:hAnsi="Times New Roman"/>
                  <w:sz w:val="12"/>
                  <w:szCs w:val="12"/>
                  <w:color w:val="0000EE"/>
                  <w:w w:val="99"/>
                </w:rPr>
                <w:t>13, 2020, by and between MSCI Inc. (formerly, Morgan Stanley Capital International Inc.) and</w:t>
              </w:r>
            </w:hyperlink>
          </w:p>
        </w:tc>
        <w:tc>
          <w:tcPr>
            <w:tcW w:w="320" w:type="dxa"/>
            <w:vAlign w:val="bottom"/>
            <w:tcBorders>
              <w:top w:val="single" w:sz="8" w:color="0000EE"/>
            </w:tcBorders>
            <w:gridSpan w:val="5"/>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8"/>
              </w:rPr>
            </w:pPr>
            <w:hyperlink w:anchor="page276">
              <w:r>
                <w:rPr>
                  <w:rFonts w:ascii="Times New Roman" w:cs="Times New Roman" w:eastAsia="Times New Roman" w:hAnsi="Times New Roman"/>
                  <w:sz w:val="12"/>
                  <w:szCs w:val="12"/>
                  <w:color w:val="0000EE"/>
                  <w:w w:val="98"/>
                </w:rPr>
                <w:t>BlackRock Fund Advisors</w:t>
              </w:r>
            </w:hyperlink>
          </w:p>
        </w:tc>
        <w:tc>
          <w:tcPr>
            <w:tcW w:w="3660" w:type="dxa"/>
            <w:vAlign w:val="bottom"/>
            <w:gridSpan w:val="16"/>
          </w:tcPr>
          <w:p>
            <w:pPr>
              <w:spacing w:after="0"/>
              <w:rPr>
                <w:sz w:val="10"/>
                <w:szCs w:val="10"/>
                <w:color w:val="auto"/>
              </w:rPr>
            </w:pPr>
          </w:p>
        </w:tc>
      </w:tr>
      <w:tr>
        <w:trPr>
          <w:trHeight w:val="295"/>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00" w:type="dxa"/>
            <w:vAlign w:val="bottom"/>
            <w:gridSpan w:val="10"/>
          </w:tcPr>
          <w:p>
            <w:pPr>
              <w:ind w:left="3640"/>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45720</wp:posOffset>
            </wp:positionV>
            <wp:extent cx="717804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Form</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660"/>
              <w:spacing w:after="0"/>
              <w:rPr>
                <w:sz w:val="20"/>
                <w:szCs w:val="20"/>
                <w:color w:val="auto"/>
              </w:rPr>
            </w:pPr>
            <w:r>
              <w:rPr>
                <w:rFonts w:ascii="Times New Roman" w:cs="Times New Roman" w:eastAsia="Times New Roman" w:hAnsi="Times New Roman"/>
                <w:sz w:val="9"/>
                <w:szCs w:val="9"/>
                <w:b w:val="1"/>
                <w:bCs w:val="1"/>
                <w:color w:val="auto"/>
                <w:w w:val="99"/>
              </w:rPr>
              <w:t>File No.</w:t>
            </w:r>
          </w:p>
        </w:tc>
        <w:tc>
          <w:tcPr>
            <w:tcW w:w="7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Exhibit No.</w:t>
            </w:r>
          </w:p>
        </w:tc>
        <w:tc>
          <w:tcPr>
            <w:tcW w:w="360" w:type="dxa"/>
            <w:vAlign w:val="bottom"/>
          </w:tcPr>
          <w:p>
            <w:pPr>
              <w:spacing w:after="0"/>
              <w:rPr>
                <w:sz w:val="8"/>
                <w:szCs w:val="8"/>
                <w:color w:val="auto"/>
              </w:rPr>
            </w:pP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10.214</w:t>
            </w:r>
          </w:p>
        </w:tc>
        <w:tc>
          <w:tcPr>
            <w:tcW w:w="320" w:type="dxa"/>
            <w:vAlign w:val="bottom"/>
          </w:tcPr>
          <w:p>
            <w:pPr>
              <w:spacing w:after="0"/>
              <w:rPr>
                <w:sz w:val="14"/>
                <w:szCs w:val="1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10.215</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432"/>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10.216</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10.217</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10.218</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2/18/2020</w:t>
            </w:r>
          </w:p>
        </w:tc>
      </w:tr>
      <w:tr>
        <w:trPr>
          <w:trHeight w:val="324"/>
        </w:trPr>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rPr>
              <w:t>10-Q</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4/29/2020</w:t>
            </w:r>
          </w:p>
        </w:tc>
      </w:tr>
      <w:tr>
        <w:trPr>
          <w:trHeight w:val="324"/>
        </w:trPr>
        <w:tc>
          <w:tcPr>
            <w:tcW w:w="20" w:type="dxa"/>
            <w:vAlign w:val="bottom"/>
          </w:tcPr>
          <w:p>
            <w:pPr>
              <w:spacing w:after="0"/>
              <w:rPr>
                <w:sz w:val="24"/>
                <w:szCs w:val="24"/>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8-K</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001-33812</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320" w:type="dxa"/>
            <w:vAlign w:val="bottom"/>
          </w:tcPr>
          <w:p>
            <w:pPr>
              <w:spacing w:after="0"/>
              <w:rPr>
                <w:sz w:val="24"/>
                <w:szCs w:val="24"/>
                <w:color w:val="auto"/>
              </w:rPr>
            </w:pPr>
          </w:p>
        </w:tc>
        <w:tc>
          <w:tcPr>
            <w:tcW w:w="820" w:type="dxa"/>
            <w:vAlign w:val="bottom"/>
            <w:gridSpan w:val="3"/>
          </w:tcPr>
          <w:p>
            <w:pPr>
              <w:jc w:val="center"/>
              <w:ind w:left="280"/>
              <w:spacing w:after="0"/>
              <w:rPr>
                <w:sz w:val="20"/>
                <w:szCs w:val="20"/>
                <w:color w:val="auto"/>
              </w:rPr>
            </w:pPr>
            <w:r>
              <w:rPr>
                <w:rFonts w:ascii="Times New Roman" w:cs="Times New Roman" w:eastAsia="Times New Roman" w:hAnsi="Times New Roman"/>
                <w:sz w:val="12"/>
                <w:szCs w:val="12"/>
                <w:color w:val="auto"/>
                <w:w w:val="98"/>
              </w:rPr>
              <w:t>9/25/2020</w:t>
            </w:r>
          </w:p>
        </w:tc>
      </w:tr>
    </w:tbl>
    <w:p>
      <w:pPr>
        <w:spacing w:after="0" w:line="16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Filed Herewith</w:t>
      </w:r>
    </w:p>
    <w:p>
      <w:pPr>
        <w:sectPr>
          <w:pgSz w:w="11900" w:h="16838" w:orient="portrait"/>
          <w:cols w:equalWidth="0" w:num="2">
            <w:col w:w="6160" w:space="400"/>
            <w:col w:w="3600"/>
          </w:cols>
          <w:pgMar w:left="1000" w:top="268" w:right="7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03"/>
        </w:trPr>
        <w:tc>
          <w:tcPr>
            <w:tcW w:w="100" w:type="dxa"/>
            <w:vAlign w:val="bottom"/>
          </w:tcPr>
          <w:p>
            <w:pPr>
              <w:spacing w:after="0"/>
              <w:rPr>
                <w:sz w:val="8"/>
                <w:szCs w:val="8"/>
                <w:color w:val="auto"/>
              </w:rPr>
            </w:pPr>
          </w:p>
        </w:tc>
        <w:tc>
          <w:tcPr>
            <w:tcW w:w="1120" w:type="dxa"/>
            <w:vAlign w:val="bottom"/>
            <w:gridSpan w:val="2"/>
          </w:tcPr>
          <w:p>
            <w:pPr>
              <w:jc w:val="center"/>
              <w:ind w:right="800"/>
              <w:spacing w:after="0"/>
              <w:rPr>
                <w:sz w:val="20"/>
                <w:szCs w:val="20"/>
                <w:color w:val="auto"/>
              </w:rPr>
            </w:pPr>
            <w:r>
              <w:rPr>
                <w:rFonts w:ascii="Times New Roman" w:cs="Times New Roman" w:eastAsia="Times New Roman" w:hAnsi="Times New Roman"/>
                <w:sz w:val="9"/>
                <w:szCs w:val="9"/>
                <w:b w:val="1"/>
                <w:bCs w:val="1"/>
                <w:color w:val="auto"/>
                <w:w w:val="98"/>
              </w:rPr>
              <w:t>Exhibit</w:t>
            </w: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100" w:type="dxa"/>
            <w:vAlign w:val="bottom"/>
          </w:tcPr>
          <w:p>
            <w:pPr>
              <w:spacing w:after="0"/>
              <w:rPr>
                <w:sz w:val="8"/>
                <w:szCs w:val="8"/>
                <w:color w:val="auto"/>
              </w:rPr>
            </w:pPr>
          </w:p>
        </w:tc>
        <w:tc>
          <w:tcPr>
            <w:tcW w:w="320" w:type="dxa"/>
            <w:vAlign w:val="bottom"/>
          </w:tcPr>
          <w:p>
            <w:pPr>
              <w:jc w:val="center"/>
              <w:spacing w:after="0" w:line="101" w:lineRule="exact"/>
              <w:rPr>
                <w:sz w:val="20"/>
                <w:szCs w:val="20"/>
                <w:color w:val="auto"/>
              </w:rPr>
            </w:pPr>
            <w:r>
              <w:rPr>
                <w:rFonts w:ascii="Times New Roman" w:cs="Times New Roman" w:eastAsia="Times New Roman" w:hAnsi="Times New Roman"/>
                <w:sz w:val="9"/>
                <w:szCs w:val="9"/>
                <w:b w:val="1"/>
                <w:bCs w:val="1"/>
                <w:color w:val="auto"/>
                <w:w w:val="99"/>
              </w:rPr>
              <w:t>Number</w:t>
            </w: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13"/>
          </w:tcPr>
          <w:p>
            <w:pPr>
              <w:ind w:left="780"/>
              <w:spacing w:after="0" w:line="101" w:lineRule="exact"/>
              <w:rPr>
                <w:sz w:val="20"/>
                <w:szCs w:val="20"/>
                <w:color w:val="auto"/>
              </w:rPr>
            </w:pPr>
            <w:r>
              <w:rPr>
                <w:rFonts w:ascii="Times New Roman" w:cs="Times New Roman" w:eastAsia="Times New Roman" w:hAnsi="Times New Roman"/>
                <w:sz w:val="9"/>
                <w:szCs w:val="9"/>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220" w:type="dxa"/>
            <w:vAlign w:val="bottom"/>
            <w:gridSpan w:val="3"/>
          </w:tcPr>
          <w:p>
            <w:pPr>
              <w:jc w:val="center"/>
              <w:ind w:right="720"/>
              <w:spacing w:after="0"/>
              <w:rPr>
                <w:sz w:val="20"/>
                <w:szCs w:val="20"/>
                <w:color w:val="auto"/>
              </w:rPr>
            </w:pPr>
            <w:r>
              <w:rPr>
                <w:rFonts w:ascii="Times New Roman" w:cs="Times New Roman" w:eastAsia="Times New Roman" w:hAnsi="Times New Roman"/>
                <w:sz w:val="12"/>
                <w:szCs w:val="12"/>
                <w:color w:val="auto"/>
                <w:w w:val="97"/>
              </w:rPr>
              <w:t>10.228††#</w:t>
            </w:r>
          </w:p>
        </w:tc>
        <w:tc>
          <w:tcPr>
            <w:tcW w:w="4640" w:type="dxa"/>
            <w:vAlign w:val="bottom"/>
            <w:tcBorders>
              <w:bottom w:val="single" w:sz="8" w:color="0000EE"/>
            </w:tcBorders>
            <w:gridSpan w:val="13"/>
          </w:tcPr>
          <w:p>
            <w:pPr>
              <w:spacing w:after="0"/>
              <w:rPr>
                <w:rFonts w:ascii="Times New Roman" w:cs="Times New Roman" w:eastAsia="Times New Roman" w:hAnsi="Times New Roman"/>
                <w:sz w:val="12"/>
                <w:szCs w:val="12"/>
                <w:color w:val="0000EE"/>
              </w:rPr>
            </w:pPr>
            <w:hyperlink w:anchor="page278">
              <w:r>
                <w:rPr>
                  <w:rFonts w:ascii="Times New Roman" w:cs="Times New Roman" w:eastAsia="Times New Roman" w:hAnsi="Times New Roman"/>
                  <w:sz w:val="12"/>
                  <w:szCs w:val="12"/>
                  <w:color w:val="0000EE"/>
                </w:rPr>
                <w:t>Amendment No. 5 to the Index License Agreement for Funds, dated as of June 15, 2020, by and</w:t>
              </w:r>
            </w:hyperlink>
          </w:p>
        </w:tc>
        <w:tc>
          <w:tcPr>
            <w:tcW w:w="280" w:type="dxa"/>
            <w:vAlign w:val="bottom"/>
            <w:gridSpan w:val="3"/>
          </w:tcPr>
          <w:p>
            <w:pPr>
              <w:spacing w:after="0"/>
              <w:rPr>
                <w:sz w:val="12"/>
                <w:szCs w:val="12"/>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6"/>
          </w:tcPr>
          <w:p>
            <w:pPr>
              <w:spacing w:after="0" w:line="124" w:lineRule="exact"/>
              <w:rPr>
                <w:rFonts w:ascii="Times New Roman" w:cs="Times New Roman" w:eastAsia="Times New Roman" w:hAnsi="Times New Roman"/>
                <w:sz w:val="12"/>
                <w:szCs w:val="12"/>
                <w:color w:val="0000EE"/>
              </w:rPr>
            </w:pPr>
            <w:hyperlink w:anchor="page278">
              <w:r>
                <w:rPr>
                  <w:rFonts w:ascii="Times New Roman" w:cs="Times New Roman" w:eastAsia="Times New Roman" w:hAnsi="Times New Roman"/>
                  <w:sz w:val="12"/>
                  <w:szCs w:val="12"/>
                  <w:color w:val="0000EE"/>
                </w:rPr>
                <w:t>between MSCI ESG Research LLC and BlackRock Fund Advisors</w:t>
              </w:r>
            </w:hyperlink>
          </w:p>
        </w:tc>
      </w:tr>
      <w:tr>
        <w:trPr>
          <w:trHeight w:val="20"/>
        </w:trPr>
        <w:tc>
          <w:tcPr>
            <w:tcW w:w="122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20" w:type="dxa"/>
            <w:vAlign w:val="bottom"/>
            <w:gridSpan w:val="3"/>
          </w:tcPr>
          <w:p>
            <w:pPr>
              <w:jc w:val="center"/>
              <w:ind w:right="720"/>
              <w:spacing w:after="0"/>
              <w:rPr>
                <w:sz w:val="20"/>
                <w:szCs w:val="20"/>
                <w:color w:val="auto"/>
              </w:rPr>
            </w:pPr>
            <w:r>
              <w:rPr>
                <w:rFonts w:ascii="Times New Roman" w:cs="Times New Roman" w:eastAsia="Times New Roman" w:hAnsi="Times New Roman"/>
                <w:sz w:val="12"/>
                <w:szCs w:val="12"/>
                <w:color w:val="auto"/>
                <w:w w:val="97"/>
              </w:rPr>
              <w:t>10.229††#</w:t>
            </w:r>
          </w:p>
        </w:tc>
        <w:tc>
          <w:tcPr>
            <w:tcW w:w="462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9"/>
              </w:rPr>
            </w:pPr>
            <w:hyperlink w:anchor="page285">
              <w:r>
                <w:rPr>
                  <w:rFonts w:ascii="Times New Roman" w:cs="Times New Roman" w:eastAsia="Times New Roman" w:hAnsi="Times New Roman"/>
                  <w:sz w:val="12"/>
                  <w:szCs w:val="12"/>
                  <w:color w:val="0000EE"/>
                  <w:w w:val="99"/>
                </w:rPr>
                <w:t>Amendment to the Previous Amendment to the Index License Agreement for Funds, dated as of</w:t>
              </w:r>
            </w:hyperlink>
          </w:p>
        </w:tc>
        <w:tc>
          <w:tcPr>
            <w:tcW w:w="300" w:type="dxa"/>
            <w:vAlign w:val="bottom"/>
            <w:gridSpan w:val="4"/>
          </w:tcPr>
          <w:p>
            <w:pPr>
              <w:spacing w:after="0"/>
              <w:rPr>
                <w:sz w:val="13"/>
                <w:szCs w:val="13"/>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w:anchor="page285">
              <w:r>
                <w:rPr>
                  <w:rFonts w:ascii="Times New Roman" w:cs="Times New Roman" w:eastAsia="Times New Roman" w:hAnsi="Times New Roman"/>
                  <w:sz w:val="12"/>
                  <w:szCs w:val="12"/>
                  <w:color w:val="0000EE"/>
                  <w:w w:val="99"/>
                </w:rPr>
                <w:t>August 19, 2020, by and between MSCI Inc. (formerly, Morgan Stanley Capital International Inc.) and</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8"/>
              </w:rPr>
            </w:pPr>
            <w:hyperlink w:anchor="page285">
              <w:r>
                <w:rPr>
                  <w:rFonts w:ascii="Times New Roman" w:cs="Times New Roman" w:eastAsia="Times New Roman" w:hAnsi="Times New Roman"/>
                  <w:sz w:val="12"/>
                  <w:szCs w:val="12"/>
                  <w:color w:val="0000EE"/>
                  <w:w w:val="98"/>
                </w:rPr>
                <w:t>BlackRock Fund Advisors</w:t>
              </w:r>
            </w:hyperlink>
          </w:p>
        </w:tc>
        <w:tc>
          <w:tcPr>
            <w:tcW w:w="3640" w:type="dxa"/>
            <w:vAlign w:val="bottom"/>
            <w:gridSpan w:val="14"/>
          </w:tcPr>
          <w:p>
            <w:pPr>
              <w:spacing w:after="0"/>
              <w:rPr>
                <w:sz w:val="10"/>
                <w:szCs w:val="10"/>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10.230††#</w:t>
            </w:r>
          </w:p>
        </w:tc>
        <w:tc>
          <w:tcPr>
            <w:tcW w:w="4920" w:type="dxa"/>
            <w:vAlign w:val="bottom"/>
            <w:gridSpan w:val="16"/>
          </w:tcPr>
          <w:p>
            <w:pPr>
              <w:spacing w:after="0" w:line="124" w:lineRule="exact"/>
              <w:rPr>
                <w:rFonts w:ascii="Times New Roman" w:cs="Times New Roman" w:eastAsia="Times New Roman" w:hAnsi="Times New Roman"/>
                <w:sz w:val="12"/>
                <w:szCs w:val="12"/>
                <w:color w:val="0000EE"/>
              </w:rPr>
            </w:pPr>
            <w:hyperlink w:anchor="page287">
              <w:r>
                <w:rPr>
                  <w:rFonts w:ascii="Times New Roman" w:cs="Times New Roman" w:eastAsia="Times New Roman" w:hAnsi="Times New Roman"/>
                  <w:sz w:val="12"/>
                  <w:szCs w:val="12"/>
                  <w:color w:val="0000EE"/>
                </w:rPr>
                <w:t>Amendment to the Index License Agreement for Funds, dated as of November 16, 2020, by and</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60" w:type="dxa"/>
            <w:vAlign w:val="bottom"/>
            <w:tcBorders>
              <w:top w:val="single" w:sz="8" w:color="0000EE"/>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w:anchor="page287">
              <w:r>
                <w:rPr>
                  <w:rFonts w:ascii="Times New Roman" w:cs="Times New Roman" w:eastAsia="Times New Roman" w:hAnsi="Times New Roman"/>
                  <w:sz w:val="12"/>
                  <w:szCs w:val="12"/>
                  <w:color w:val="0000EE"/>
                  <w:w w:val="99"/>
                </w:rPr>
                <w:t>between MSCI Inc. (formerly, Morgan Stanley Capital International Inc.) and BlackRock Fund</w:t>
              </w:r>
            </w:hyperlink>
          </w:p>
        </w:tc>
        <w:tc>
          <w:tcPr>
            <w:tcW w:w="40" w:type="dxa"/>
            <w:vAlign w:val="bottom"/>
            <w:tcBorders>
              <w:top w:val="single" w:sz="8" w:color="0000EE"/>
            </w:tcBorders>
          </w:tcPr>
          <w:p>
            <w:pPr>
              <w:spacing w:after="0"/>
              <w:rPr>
                <w:sz w:val="10"/>
                <w:szCs w:val="10"/>
                <w:color w:val="auto"/>
              </w:rPr>
            </w:pPr>
          </w:p>
        </w:tc>
        <w:tc>
          <w:tcPr>
            <w:tcW w:w="320" w:type="dxa"/>
            <w:vAlign w:val="bottom"/>
            <w:gridSpan w:val="5"/>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6"/>
          </w:tcPr>
          <w:p>
            <w:pPr>
              <w:spacing w:after="0" w:line="124" w:lineRule="exact"/>
              <w:rPr>
                <w:rFonts w:ascii="Times New Roman" w:cs="Times New Roman" w:eastAsia="Times New Roman" w:hAnsi="Times New Roman"/>
                <w:sz w:val="12"/>
                <w:szCs w:val="12"/>
                <w:color w:val="0000EE"/>
              </w:rPr>
            </w:pPr>
            <w:hyperlink w:anchor="page287">
              <w:r>
                <w:rPr>
                  <w:rFonts w:ascii="Times New Roman" w:cs="Times New Roman" w:eastAsia="Times New Roman" w:hAnsi="Times New Roman"/>
                  <w:sz w:val="12"/>
                  <w:szCs w:val="12"/>
                  <w:color w:val="0000EE"/>
                </w:rPr>
                <w:t>Advisors (as successor to Barclays Global Investors, N.A.)</w:t>
              </w:r>
            </w:hyperlink>
          </w:p>
        </w:tc>
      </w:tr>
      <w:tr>
        <w:trPr>
          <w:trHeight w:val="20"/>
        </w:trPr>
        <w:tc>
          <w:tcPr>
            <w:tcW w:w="122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20" w:type="dxa"/>
            <w:vAlign w:val="bottom"/>
            <w:gridSpan w:val="3"/>
          </w:tcPr>
          <w:p>
            <w:pPr>
              <w:jc w:val="center"/>
              <w:ind w:right="720"/>
              <w:spacing w:after="0" w:line="124" w:lineRule="exact"/>
              <w:rPr>
                <w:sz w:val="20"/>
                <w:szCs w:val="20"/>
                <w:color w:val="auto"/>
              </w:rPr>
            </w:pPr>
            <w:r>
              <w:rPr>
                <w:rFonts w:ascii="Times New Roman" w:cs="Times New Roman" w:eastAsia="Times New Roman" w:hAnsi="Times New Roman"/>
                <w:sz w:val="12"/>
                <w:szCs w:val="12"/>
                <w:color w:val="auto"/>
                <w:w w:val="97"/>
              </w:rPr>
              <w:t>10.231††#</w:t>
            </w:r>
          </w:p>
        </w:tc>
        <w:tc>
          <w:tcPr>
            <w:tcW w:w="462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w:anchor="page288">
              <w:r>
                <w:rPr>
                  <w:rFonts w:ascii="Times New Roman" w:cs="Times New Roman" w:eastAsia="Times New Roman" w:hAnsi="Times New Roman"/>
                  <w:sz w:val="12"/>
                  <w:szCs w:val="12"/>
                  <w:color w:val="0000EE"/>
                  <w:w w:val="99"/>
                </w:rPr>
                <w:t>Amendment to the Previous Amendment to the Index License Agreement for Funds, dated as of</w:t>
              </w:r>
            </w:hyperlink>
          </w:p>
        </w:tc>
        <w:tc>
          <w:tcPr>
            <w:tcW w:w="300" w:type="dxa"/>
            <w:vAlign w:val="bottom"/>
            <w:gridSpan w:val="4"/>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2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w:anchor="page288">
              <w:r>
                <w:rPr>
                  <w:rFonts w:ascii="Times New Roman" w:cs="Times New Roman" w:eastAsia="Times New Roman" w:hAnsi="Times New Roman"/>
                  <w:sz w:val="12"/>
                  <w:szCs w:val="12"/>
                  <w:color w:val="0000EE"/>
                  <w:w w:val="99"/>
                </w:rPr>
                <w:t>December 1, 2020, by and between MSCI Inc. (formerly, Morgan Stanley Capital International Inc.)</w:t>
              </w:r>
            </w:hyperlink>
          </w:p>
        </w:tc>
        <w:tc>
          <w:tcPr>
            <w:tcW w:w="100" w:type="dxa"/>
            <w:vAlign w:val="bottom"/>
            <w:gridSpan w:val="2"/>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8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8"/>
              </w:rPr>
            </w:pPr>
            <w:hyperlink w:anchor="page288">
              <w:r>
                <w:rPr>
                  <w:rFonts w:ascii="Times New Roman" w:cs="Times New Roman" w:eastAsia="Times New Roman" w:hAnsi="Times New Roman"/>
                  <w:sz w:val="12"/>
                  <w:szCs w:val="12"/>
                  <w:color w:val="0000EE"/>
                  <w:w w:val="98"/>
                </w:rPr>
                <w:t>and BlackRock Fund Advisors</w:t>
              </w:r>
            </w:hyperlink>
          </w:p>
        </w:tc>
        <w:tc>
          <w:tcPr>
            <w:tcW w:w="3440" w:type="dxa"/>
            <w:vAlign w:val="bottom"/>
            <w:gridSpan w:val="13"/>
          </w:tcPr>
          <w:p>
            <w:pPr>
              <w:spacing w:after="0"/>
              <w:rPr>
                <w:sz w:val="10"/>
                <w:szCs w:val="10"/>
                <w:color w:val="auto"/>
              </w:rPr>
            </w:pPr>
          </w:p>
        </w:tc>
      </w:tr>
      <w:tr>
        <w:trPr>
          <w:trHeight w:val="124"/>
        </w:trPr>
        <w:tc>
          <w:tcPr>
            <w:tcW w:w="1220" w:type="dxa"/>
            <w:vAlign w:val="bottom"/>
            <w:gridSpan w:val="3"/>
          </w:tcPr>
          <w:p>
            <w:pPr>
              <w:jc w:val="center"/>
              <w:ind w:right="700"/>
              <w:spacing w:after="0" w:line="124" w:lineRule="exact"/>
              <w:rPr>
                <w:sz w:val="20"/>
                <w:szCs w:val="20"/>
                <w:color w:val="auto"/>
              </w:rPr>
            </w:pPr>
            <w:r>
              <w:rPr>
                <w:rFonts w:ascii="Times New Roman" w:cs="Times New Roman" w:eastAsia="Times New Roman" w:hAnsi="Times New Roman"/>
                <w:sz w:val="12"/>
                <w:szCs w:val="12"/>
                <w:color w:val="auto"/>
              </w:rPr>
              <w:t>10.232*</w:t>
            </w:r>
          </w:p>
        </w:tc>
        <w:tc>
          <w:tcPr>
            <w:tcW w:w="4920" w:type="dxa"/>
            <w:vAlign w:val="bottom"/>
            <w:gridSpan w:val="16"/>
          </w:tcPr>
          <w:p>
            <w:pPr>
              <w:spacing w:after="0" w:line="124" w:lineRule="exact"/>
              <w:rPr>
                <w:rFonts w:ascii="Times New Roman" w:cs="Times New Roman" w:eastAsia="Times New Roman" w:hAnsi="Times New Roman"/>
                <w:sz w:val="12"/>
                <w:szCs w:val="12"/>
                <w:color w:val="0000EE"/>
              </w:rPr>
            </w:pPr>
            <w:hyperlink w:anchor="page290">
              <w:r>
                <w:rPr>
                  <w:rFonts w:ascii="Times New Roman" w:cs="Times New Roman" w:eastAsia="Times New Roman" w:hAnsi="Times New Roman"/>
                  <w:sz w:val="12"/>
                  <w:szCs w:val="12"/>
                  <w:color w:val="0000EE"/>
                </w:rPr>
                <w:t>Form of Award Agreement for Restricted Stock Units For Employees Under the MSCI Inc. 2016</w:t>
              </w:r>
            </w:hyperlink>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8"/>
              </w:rPr>
            </w:pPr>
            <w:hyperlink w:anchor="page290">
              <w:r>
                <w:rPr>
                  <w:rFonts w:ascii="Times New Roman" w:cs="Times New Roman" w:eastAsia="Times New Roman" w:hAnsi="Times New Roman"/>
                  <w:sz w:val="12"/>
                  <w:szCs w:val="12"/>
                  <w:color w:val="0000EE"/>
                  <w:w w:val="98"/>
                </w:rPr>
                <w:t>Omnibus Incentive Plan</w:t>
              </w:r>
            </w:hyperlink>
          </w:p>
        </w:tc>
        <w:tc>
          <w:tcPr>
            <w:tcW w:w="3480" w:type="dxa"/>
            <w:vAlign w:val="bottom"/>
            <w:tcBorders>
              <w:top w:val="single" w:sz="8" w:color="0000EE"/>
            </w:tcBorders>
            <w:gridSpan w:val="12"/>
          </w:tcPr>
          <w:p>
            <w:pPr>
              <w:spacing w:after="0"/>
              <w:rPr>
                <w:sz w:val="10"/>
                <w:szCs w:val="10"/>
                <w:color w:val="auto"/>
              </w:rPr>
            </w:pPr>
          </w:p>
        </w:tc>
        <w:tc>
          <w:tcPr>
            <w:tcW w:w="280" w:type="dxa"/>
            <w:vAlign w:val="bottom"/>
            <w:gridSpan w:val="3"/>
          </w:tcPr>
          <w:p>
            <w:pPr>
              <w:spacing w:after="0"/>
              <w:rPr>
                <w:sz w:val="10"/>
                <w:szCs w:val="10"/>
                <w:color w:val="auto"/>
              </w:rPr>
            </w:pPr>
          </w:p>
        </w:tc>
      </w:tr>
      <w:tr>
        <w:trPr>
          <w:trHeight w:val="160"/>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10.233*</w:t>
            </w:r>
          </w:p>
        </w:tc>
        <w:tc>
          <w:tcPr>
            <w:tcW w:w="490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w:anchor="page309">
              <w:r>
                <w:rPr>
                  <w:rFonts w:ascii="Times New Roman" w:cs="Times New Roman" w:eastAsia="Times New Roman" w:hAnsi="Times New Roman"/>
                  <w:sz w:val="12"/>
                  <w:szCs w:val="12"/>
                  <w:color w:val="0000EE"/>
                  <w:w w:val="99"/>
                </w:rPr>
                <w:t>Form of Annual Performance Award Agreement for Performance Stock Units for Managing Directors</w:t>
              </w:r>
            </w:hyperlink>
          </w:p>
        </w:tc>
        <w:tc>
          <w:tcPr>
            <w:tcW w:w="20" w:type="dxa"/>
            <w:vAlign w:val="bottom"/>
          </w:tcPr>
          <w:p>
            <w:pPr>
              <w:spacing w:after="0"/>
              <w:rPr>
                <w:sz w:val="13"/>
                <w:szCs w:val="13"/>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8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w:anchor="page309">
              <w:r>
                <w:rPr>
                  <w:rFonts w:ascii="Times New Roman" w:cs="Times New Roman" w:eastAsia="Times New Roman" w:hAnsi="Times New Roman"/>
                  <w:sz w:val="12"/>
                  <w:szCs w:val="12"/>
                  <w:color w:val="0000EE"/>
                  <w:w w:val="99"/>
                </w:rPr>
                <w:t>Under the MSCI Inc. 2016 Omnibus Incentive Plan</w:t>
              </w:r>
            </w:hyperlink>
          </w:p>
        </w:tc>
        <w:tc>
          <w:tcPr>
            <w:tcW w:w="2440" w:type="dxa"/>
            <w:vAlign w:val="bottom"/>
            <w:gridSpan w:val="10"/>
          </w:tcPr>
          <w:p>
            <w:pPr>
              <w:spacing w:after="0"/>
              <w:rPr>
                <w:sz w:val="10"/>
                <w:szCs w:val="10"/>
                <w:color w:val="auto"/>
              </w:rPr>
            </w:pPr>
          </w:p>
        </w:tc>
      </w:tr>
      <w:tr>
        <w:trPr>
          <w:trHeight w:val="160"/>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10.234*</w:t>
            </w:r>
          </w:p>
        </w:tc>
        <w:tc>
          <w:tcPr>
            <w:tcW w:w="490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w:anchor="page329">
              <w:r>
                <w:rPr>
                  <w:rFonts w:ascii="Times New Roman" w:cs="Times New Roman" w:eastAsia="Times New Roman" w:hAnsi="Times New Roman"/>
                  <w:sz w:val="12"/>
                  <w:szCs w:val="12"/>
                  <w:color w:val="0000EE"/>
                  <w:w w:val="99"/>
                </w:rPr>
                <w:t>Form of Annual Performance Award Agreement for Performance Stock Units for Managing Directors</w:t>
              </w:r>
            </w:hyperlink>
          </w:p>
        </w:tc>
        <w:tc>
          <w:tcPr>
            <w:tcW w:w="20" w:type="dxa"/>
            <w:vAlign w:val="bottom"/>
          </w:tcPr>
          <w:p>
            <w:pPr>
              <w:spacing w:after="0"/>
              <w:rPr>
                <w:sz w:val="13"/>
                <w:szCs w:val="13"/>
                <w:color w:val="auto"/>
              </w:rPr>
            </w:pPr>
          </w:p>
        </w:tc>
      </w:tr>
      <w:tr>
        <w:trPr>
          <w:trHeight w:val="124"/>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920" w:type="dxa"/>
            <w:vAlign w:val="bottom"/>
            <w:gridSpan w:val="16"/>
          </w:tcPr>
          <w:p>
            <w:pPr>
              <w:spacing w:after="0" w:line="124" w:lineRule="exact"/>
              <w:rPr>
                <w:rFonts w:ascii="Times New Roman" w:cs="Times New Roman" w:eastAsia="Times New Roman" w:hAnsi="Times New Roman"/>
                <w:sz w:val="12"/>
                <w:szCs w:val="12"/>
                <w:color w:val="0000EE"/>
              </w:rPr>
            </w:pPr>
            <w:hyperlink w:anchor="page329">
              <w:r>
                <w:rPr>
                  <w:rFonts w:ascii="Times New Roman" w:cs="Times New Roman" w:eastAsia="Times New Roman" w:hAnsi="Times New Roman"/>
                  <w:sz w:val="12"/>
                  <w:szCs w:val="12"/>
                  <w:color w:val="0000EE"/>
                </w:rPr>
                <w:t>Under the MSCI Inc. 2016 Omnibus Incentive Plan</w:t>
              </w:r>
            </w:hyperlink>
          </w:p>
        </w:tc>
      </w:tr>
      <w:tr>
        <w:trPr>
          <w:trHeight w:val="176"/>
        </w:trPr>
        <w:tc>
          <w:tcPr>
            <w:tcW w:w="42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5"/>
              </w:rPr>
              <w:t>21.1</w:t>
            </w:r>
          </w:p>
        </w:tc>
        <w:tc>
          <w:tcPr>
            <w:tcW w:w="800" w:type="dxa"/>
            <w:vAlign w:val="bottom"/>
          </w:tcPr>
          <w:p>
            <w:pPr>
              <w:spacing w:after="0"/>
              <w:rPr>
                <w:sz w:val="15"/>
                <w:szCs w:val="15"/>
                <w:color w:val="auto"/>
              </w:rPr>
            </w:pPr>
          </w:p>
        </w:tc>
        <w:tc>
          <w:tcPr>
            <w:tcW w:w="2460" w:type="dxa"/>
            <w:vAlign w:val="bottom"/>
            <w:tcBorders>
              <w:top w:val="single" w:sz="8" w:color="0000EE"/>
            </w:tcBorders>
            <w:gridSpan w:val="5"/>
          </w:tcPr>
          <w:p>
            <w:pPr>
              <w:spacing w:after="0"/>
              <w:rPr>
                <w:rFonts w:ascii="Times New Roman" w:cs="Times New Roman" w:eastAsia="Times New Roman" w:hAnsi="Times New Roman"/>
                <w:sz w:val="12"/>
                <w:szCs w:val="12"/>
                <w:u w:val="single" w:color="auto"/>
                <w:color w:val="0000EE"/>
              </w:rPr>
            </w:pPr>
            <w:hyperlink w:anchor="page349">
              <w:r>
                <w:rPr>
                  <w:rFonts w:ascii="Times New Roman" w:cs="Times New Roman" w:eastAsia="Times New Roman" w:hAnsi="Times New Roman"/>
                  <w:sz w:val="12"/>
                  <w:szCs w:val="12"/>
                  <w:u w:val="single" w:color="auto"/>
                  <w:color w:val="0000EE"/>
                </w:rPr>
                <w:t>Subsidiaries of the Registrant</w:t>
              </w:r>
            </w:hyperlink>
          </w:p>
        </w:tc>
        <w:tc>
          <w:tcPr>
            <w:tcW w:w="2460" w:type="dxa"/>
            <w:vAlign w:val="bottom"/>
            <w:gridSpan w:val="11"/>
          </w:tcPr>
          <w:p>
            <w:pPr>
              <w:spacing w:after="0"/>
              <w:rPr>
                <w:sz w:val="15"/>
                <w:szCs w:val="15"/>
                <w:color w:val="auto"/>
              </w:rPr>
            </w:pPr>
          </w:p>
        </w:tc>
      </w:tr>
      <w:tr>
        <w:trPr>
          <w:trHeight w:val="144"/>
        </w:trPr>
        <w:tc>
          <w:tcPr>
            <w:tcW w:w="42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5"/>
              </w:rPr>
              <w:t>23.1</w:t>
            </w:r>
          </w:p>
        </w:tc>
        <w:tc>
          <w:tcPr>
            <w:tcW w:w="800" w:type="dxa"/>
            <w:vAlign w:val="bottom"/>
          </w:tcPr>
          <w:p>
            <w:pPr>
              <w:spacing w:after="0"/>
              <w:rPr>
                <w:sz w:val="12"/>
                <w:szCs w:val="12"/>
                <w:color w:val="auto"/>
              </w:rPr>
            </w:pPr>
          </w:p>
        </w:tc>
        <w:tc>
          <w:tcPr>
            <w:tcW w:w="4920" w:type="dxa"/>
            <w:vAlign w:val="bottom"/>
            <w:gridSpan w:val="16"/>
          </w:tcPr>
          <w:p>
            <w:pPr>
              <w:spacing w:after="0"/>
              <w:rPr>
                <w:rFonts w:ascii="Times New Roman" w:cs="Times New Roman" w:eastAsia="Times New Roman" w:hAnsi="Times New Roman"/>
                <w:sz w:val="12"/>
                <w:szCs w:val="12"/>
                <w:u w:val="single" w:color="auto"/>
                <w:color w:val="0000EE"/>
              </w:rPr>
            </w:pPr>
            <w:hyperlink w:anchor="page350">
              <w:r>
                <w:rPr>
                  <w:rFonts w:ascii="Times New Roman" w:cs="Times New Roman" w:eastAsia="Times New Roman" w:hAnsi="Times New Roman"/>
                  <w:sz w:val="12"/>
                  <w:szCs w:val="12"/>
                  <w:u w:val="single" w:color="auto"/>
                  <w:color w:val="0000EE"/>
                </w:rPr>
                <w:t>Consent of PricewaterhouseCoopers LLP</w:t>
              </w:r>
            </w:hyperlink>
          </w:p>
        </w:tc>
      </w:tr>
      <w:tr>
        <w:trPr>
          <w:trHeight w:val="144"/>
        </w:trPr>
        <w:tc>
          <w:tcPr>
            <w:tcW w:w="42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5"/>
              </w:rPr>
              <w:t>24.1</w:t>
            </w:r>
          </w:p>
        </w:tc>
        <w:tc>
          <w:tcPr>
            <w:tcW w:w="800" w:type="dxa"/>
            <w:vAlign w:val="bottom"/>
          </w:tcPr>
          <w:p>
            <w:pPr>
              <w:spacing w:after="0"/>
              <w:rPr>
                <w:sz w:val="12"/>
                <w:szCs w:val="12"/>
                <w:color w:val="auto"/>
              </w:rPr>
            </w:pPr>
          </w:p>
        </w:tc>
        <w:tc>
          <w:tcPr>
            <w:tcW w:w="4920" w:type="dxa"/>
            <w:vAlign w:val="bottom"/>
            <w:gridSpan w:val="16"/>
          </w:tcPr>
          <w:p>
            <w:pPr>
              <w:spacing w:after="0"/>
              <w:rPr>
                <w:rFonts w:ascii="Times New Roman" w:cs="Times New Roman" w:eastAsia="Times New Roman" w:hAnsi="Times New Roman"/>
                <w:sz w:val="12"/>
                <w:szCs w:val="12"/>
                <w:u w:val="single" w:color="auto"/>
                <w:color w:val="0000EE"/>
              </w:rPr>
            </w:pPr>
            <w:hyperlink w:anchor="page116">
              <w:r>
                <w:rPr>
                  <w:rFonts w:ascii="Times New Roman" w:cs="Times New Roman" w:eastAsia="Times New Roman" w:hAnsi="Times New Roman"/>
                  <w:sz w:val="12"/>
                  <w:szCs w:val="12"/>
                  <w:u w:val="single" w:color="auto"/>
                  <w:color w:val="0000EE"/>
                </w:rPr>
                <w:t>Powers of Attorney (included as part of Signature Page)</w:t>
              </w:r>
            </w:hyperlink>
          </w:p>
        </w:tc>
      </w:tr>
      <w:tr>
        <w:trPr>
          <w:trHeight w:val="144"/>
        </w:trPr>
        <w:tc>
          <w:tcPr>
            <w:tcW w:w="42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5"/>
              </w:rPr>
              <w:t>31.1</w:t>
            </w:r>
          </w:p>
        </w:tc>
        <w:tc>
          <w:tcPr>
            <w:tcW w:w="800" w:type="dxa"/>
            <w:vAlign w:val="bottom"/>
          </w:tcPr>
          <w:p>
            <w:pPr>
              <w:spacing w:after="0"/>
              <w:rPr>
                <w:sz w:val="12"/>
                <w:szCs w:val="12"/>
                <w:color w:val="auto"/>
              </w:rPr>
            </w:pPr>
          </w:p>
        </w:tc>
        <w:tc>
          <w:tcPr>
            <w:tcW w:w="4920" w:type="dxa"/>
            <w:vAlign w:val="bottom"/>
            <w:gridSpan w:val="16"/>
          </w:tcPr>
          <w:p>
            <w:pPr>
              <w:spacing w:after="0"/>
              <w:rPr>
                <w:rFonts w:ascii="Times New Roman" w:cs="Times New Roman" w:eastAsia="Times New Roman" w:hAnsi="Times New Roman"/>
                <w:sz w:val="12"/>
                <w:szCs w:val="12"/>
                <w:u w:val="single" w:color="auto"/>
                <w:color w:val="0000EE"/>
              </w:rPr>
            </w:pPr>
            <w:hyperlink w:anchor="page351">
              <w:r>
                <w:rPr>
                  <w:rFonts w:ascii="Times New Roman" w:cs="Times New Roman" w:eastAsia="Times New Roman" w:hAnsi="Times New Roman"/>
                  <w:sz w:val="12"/>
                  <w:szCs w:val="12"/>
                  <w:u w:val="single" w:color="auto"/>
                  <w:color w:val="0000EE"/>
                </w:rPr>
                <w:t>Rule 13a-14(a) Certification of Chief Executive Officer</w:t>
              </w:r>
            </w:hyperlink>
          </w:p>
        </w:tc>
      </w:tr>
      <w:tr>
        <w:trPr>
          <w:trHeight w:val="144"/>
        </w:trPr>
        <w:tc>
          <w:tcPr>
            <w:tcW w:w="42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5"/>
              </w:rPr>
              <w:t>31.2</w:t>
            </w:r>
          </w:p>
        </w:tc>
        <w:tc>
          <w:tcPr>
            <w:tcW w:w="800" w:type="dxa"/>
            <w:vAlign w:val="bottom"/>
          </w:tcPr>
          <w:p>
            <w:pPr>
              <w:spacing w:after="0"/>
              <w:rPr>
                <w:sz w:val="12"/>
                <w:szCs w:val="12"/>
                <w:color w:val="auto"/>
              </w:rPr>
            </w:pPr>
          </w:p>
        </w:tc>
        <w:tc>
          <w:tcPr>
            <w:tcW w:w="4920" w:type="dxa"/>
            <w:vAlign w:val="bottom"/>
            <w:gridSpan w:val="16"/>
          </w:tcPr>
          <w:p>
            <w:pPr>
              <w:spacing w:after="0"/>
              <w:rPr>
                <w:rFonts w:ascii="Times New Roman" w:cs="Times New Roman" w:eastAsia="Times New Roman" w:hAnsi="Times New Roman"/>
                <w:sz w:val="12"/>
                <w:szCs w:val="12"/>
                <w:u w:val="single" w:color="auto"/>
                <w:color w:val="0000EE"/>
              </w:rPr>
            </w:pPr>
            <w:hyperlink w:anchor="page352">
              <w:r>
                <w:rPr>
                  <w:rFonts w:ascii="Times New Roman" w:cs="Times New Roman" w:eastAsia="Times New Roman" w:hAnsi="Times New Roman"/>
                  <w:sz w:val="12"/>
                  <w:szCs w:val="12"/>
                  <w:u w:val="single" w:color="auto"/>
                  <w:color w:val="0000EE"/>
                </w:rPr>
                <w:t>Rule 13a-14(a) Certification of Chief Financial Officer</w:t>
              </w:r>
            </w:hyperlink>
          </w:p>
        </w:tc>
      </w:tr>
      <w:tr>
        <w:trPr>
          <w:trHeight w:val="144"/>
        </w:trPr>
        <w:tc>
          <w:tcPr>
            <w:tcW w:w="42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5"/>
              </w:rPr>
              <w:t>32.1</w:t>
            </w:r>
          </w:p>
        </w:tc>
        <w:tc>
          <w:tcPr>
            <w:tcW w:w="800" w:type="dxa"/>
            <w:vAlign w:val="bottom"/>
          </w:tcPr>
          <w:p>
            <w:pPr>
              <w:spacing w:after="0"/>
              <w:rPr>
                <w:sz w:val="12"/>
                <w:szCs w:val="12"/>
                <w:color w:val="auto"/>
              </w:rPr>
            </w:pPr>
          </w:p>
        </w:tc>
        <w:tc>
          <w:tcPr>
            <w:tcW w:w="4920" w:type="dxa"/>
            <w:vAlign w:val="bottom"/>
            <w:gridSpan w:val="16"/>
          </w:tcPr>
          <w:p>
            <w:pPr>
              <w:spacing w:after="0"/>
              <w:rPr>
                <w:rFonts w:ascii="Times New Roman" w:cs="Times New Roman" w:eastAsia="Times New Roman" w:hAnsi="Times New Roman"/>
                <w:sz w:val="12"/>
                <w:szCs w:val="12"/>
                <w:u w:val="single" w:color="auto"/>
                <w:color w:val="0000EE"/>
              </w:rPr>
            </w:pPr>
            <w:hyperlink w:anchor="page353">
              <w:r>
                <w:rPr>
                  <w:rFonts w:ascii="Times New Roman" w:cs="Times New Roman" w:eastAsia="Times New Roman" w:hAnsi="Times New Roman"/>
                  <w:sz w:val="12"/>
                  <w:szCs w:val="12"/>
                  <w:u w:val="single" w:color="auto"/>
                  <w:color w:val="0000EE"/>
                </w:rPr>
                <w:t>Section 1350 Certification of Chief Executive Officer and Chief Financial Officer</w:t>
              </w:r>
            </w:hyperlink>
          </w:p>
        </w:tc>
      </w:tr>
      <w:tr>
        <w:trPr>
          <w:trHeight w:val="144"/>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9"/>
              </w:rPr>
              <w:t>101.INS</w:t>
            </w:r>
          </w:p>
        </w:tc>
        <w:tc>
          <w:tcPr>
            <w:tcW w:w="4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Instance Document - the instance document does not appear in the Interactive Data File</w:t>
            </w:r>
          </w:p>
        </w:tc>
      </w:tr>
      <w:tr>
        <w:trPr>
          <w:trHeight w:val="144"/>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because its XBRL tags are embedded within the Inline XBRL document.</w:t>
            </w:r>
          </w:p>
        </w:tc>
      </w:tr>
      <w:tr>
        <w:trPr>
          <w:trHeight w:val="144"/>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9"/>
              </w:rPr>
              <w:t>101.SCH</w:t>
            </w:r>
          </w:p>
        </w:tc>
        <w:tc>
          <w:tcPr>
            <w:tcW w:w="4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144"/>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7"/>
              </w:rPr>
              <w:t>101.CAL</w:t>
            </w:r>
          </w:p>
        </w:tc>
        <w:tc>
          <w:tcPr>
            <w:tcW w:w="4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144"/>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w w:val="97"/>
              </w:rPr>
              <w:t>101.LAB</w:t>
            </w:r>
          </w:p>
        </w:tc>
        <w:tc>
          <w:tcPr>
            <w:tcW w:w="4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144"/>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101.PRE</w:t>
            </w:r>
          </w:p>
        </w:tc>
        <w:tc>
          <w:tcPr>
            <w:tcW w:w="4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r>
        <w:trPr>
          <w:trHeight w:val="144"/>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101.DEF</w:t>
            </w:r>
          </w:p>
        </w:tc>
        <w:tc>
          <w:tcPr>
            <w:tcW w:w="4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r>
        <w:trPr>
          <w:trHeight w:val="155"/>
        </w:trPr>
        <w:tc>
          <w:tcPr>
            <w:tcW w:w="12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color w:val="auto"/>
              </w:rPr>
              <w:t>104.DEF</w:t>
            </w:r>
          </w:p>
        </w:tc>
        <w:tc>
          <w:tcPr>
            <w:tcW w:w="4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r>
        <w:trPr>
          <w:trHeight w:val="288"/>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60" w:type="dxa"/>
            <w:vAlign w:val="bottom"/>
            <w:gridSpan w:val="10"/>
          </w:tcPr>
          <w:p>
            <w:pPr>
              <w:ind w:left="3640"/>
              <w:spacing w:after="0"/>
              <w:rPr>
                <w:sz w:val="20"/>
                <w:szCs w:val="20"/>
                <w:color w:val="auto"/>
              </w:rPr>
            </w:pPr>
            <w:r>
              <w:rPr>
                <w:rFonts w:ascii="Times New Roman" w:cs="Times New Roman" w:eastAsia="Times New Roman" w:hAnsi="Times New Roman"/>
                <w:sz w:val="12"/>
                <w:szCs w:val="12"/>
                <w:color w:val="auto"/>
              </w:rPr>
              <w:t>111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45720</wp:posOffset>
            </wp:positionV>
            <wp:extent cx="7178040"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tabs>
          <w:tab w:leader="none" w:pos="1020" w:val="left"/>
          <w:tab w:leader="none" w:pos="1980" w:val="left"/>
          <w:tab w:leader="none" w:pos="3100" w:val="left"/>
        </w:tabs>
        <w:rPr>
          <w:sz w:val="20"/>
          <w:szCs w:val="20"/>
          <w:color w:val="auto"/>
        </w:rPr>
      </w:pPr>
      <w:r>
        <w:rPr>
          <w:rFonts w:ascii="Times New Roman" w:cs="Times New Roman" w:eastAsia="Times New Roman" w:hAnsi="Times New Roman"/>
          <w:sz w:val="9"/>
          <w:szCs w:val="9"/>
          <w:b w:val="1"/>
          <w:bCs w:val="1"/>
          <w:u w:val="single" w:color="auto"/>
          <w:color w:val="auto"/>
        </w:rPr>
        <w:t>Form</w:t>
      </w:r>
      <w:r>
        <w:rPr>
          <w:sz w:val="20"/>
          <w:szCs w:val="20"/>
          <w:color w:val="auto"/>
        </w:rPr>
        <w:tab/>
      </w:r>
      <w:r>
        <w:rPr>
          <w:rFonts w:ascii="Times New Roman" w:cs="Times New Roman" w:eastAsia="Times New Roman" w:hAnsi="Times New Roman"/>
          <w:sz w:val="9"/>
          <w:szCs w:val="9"/>
          <w:b w:val="1"/>
          <w:bCs w:val="1"/>
          <w:u w:val="single" w:color="auto"/>
          <w:color w:val="auto"/>
        </w:rPr>
        <w:t>File No.</w:t>
      </w:r>
      <w:r>
        <w:rPr>
          <w:sz w:val="20"/>
          <w:szCs w:val="20"/>
          <w:color w:val="auto"/>
        </w:rPr>
        <w:tab/>
      </w:r>
      <w:r>
        <w:rPr>
          <w:rFonts w:ascii="Times New Roman" w:cs="Times New Roman" w:eastAsia="Times New Roman" w:hAnsi="Times New Roman"/>
          <w:sz w:val="9"/>
          <w:szCs w:val="9"/>
          <w:b w:val="1"/>
          <w:bCs w:val="1"/>
          <w:u w:val="single" w:color="auto"/>
          <w:color w:val="auto"/>
        </w:rPr>
        <w:t>Exhibit No.</w:t>
      </w:r>
      <w:r>
        <w:rPr>
          <w:sz w:val="20"/>
          <w:szCs w:val="20"/>
          <w:color w:val="auto"/>
        </w:rPr>
        <w:tab/>
      </w:r>
      <w:r>
        <w:rPr>
          <w:rFonts w:ascii="Times New Roman" w:cs="Times New Roman" w:eastAsia="Times New Roman" w:hAnsi="Times New Roman"/>
          <w:sz w:val="9"/>
          <w:szCs w:val="9"/>
          <w:b w:val="1"/>
          <w:bCs w:val="1"/>
          <w:u w:val="single" w:color="auto"/>
          <w:color w:val="auto"/>
        </w:rPr>
        <w:t>Filing Date</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Filed Herewith</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Filed Herewith</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Filed Herewith</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Filed Herewith</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Filed Herewith</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Furnished Herewith</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Filed Herewith</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pacing w:after="0" w:line="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Filed Herewith</w:t>
      </w:r>
    </w:p>
    <w:p>
      <w:pPr>
        <w:sectPr>
          <w:pgSz w:w="11900" w:h="16838" w:orient="portrait"/>
          <w:cols w:equalWidth="0" w:num="2">
            <w:col w:w="6140" w:space="440"/>
            <w:col w:w="3560"/>
          </w:cols>
          <w:pgMar w:left="1000" w:top="268" w:right="759" w:bottom="1440" w:gutter="0" w:footer="0" w:header="0"/>
        </w:sectPr>
      </w:pPr>
    </w:p>
    <w:bookmarkStart w:id="113" w:name="page114"/>
    <w:bookmarkEnd w:id="113"/>
    <w:p>
      <w:pPr>
        <w:ind w:left="588" w:hanging="588"/>
        <w:spacing w:after="0"/>
        <w:tabs>
          <w:tab w:leader="none" w:pos="58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a management compensation plan, contract or arrangement.</w:t>
      </w:r>
    </w:p>
    <w:p>
      <w:pPr>
        <w:spacing w:after="0" w:line="17" w:lineRule="exact"/>
        <w:rPr>
          <w:sz w:val="20"/>
          <w:szCs w:val="20"/>
          <w:color w:val="auto"/>
        </w:rPr>
      </w:pPr>
    </w:p>
    <w:p>
      <w:pPr>
        <w:ind w:left="588" w:hanging="588"/>
        <w:spacing w:after="0"/>
        <w:tabs>
          <w:tab w:leader="none" w:pos="58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treatment has been granted for a portion of this exhibit.</w:t>
      </w:r>
    </w:p>
    <w:p>
      <w:pPr>
        <w:spacing w:after="0" w:line="6" w:lineRule="exact"/>
        <w:rPr>
          <w:sz w:val="20"/>
          <w:szCs w:val="20"/>
          <w:color w:val="auto"/>
        </w:rPr>
      </w:pPr>
    </w:p>
    <w:p>
      <w:pPr>
        <w:ind w:left="588" w:hanging="588"/>
        <w:spacing w:after="0" w:line="250" w:lineRule="auto"/>
        <w:tabs>
          <w:tab w:leader="none" w:pos="58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confidential portions of this Exhibit have been omitted pursuant to Item 601(b) of Regulation S-K because the identified confidential portions (i) are not material and (ii) would be competitively harmful if publicly disclosed.</w:t>
      </w:r>
    </w:p>
    <w:p>
      <w:pPr>
        <w:spacing w:after="0" w:line="1" w:lineRule="exact"/>
        <w:rPr>
          <w:sz w:val="20"/>
          <w:szCs w:val="20"/>
          <w:color w:val="auto"/>
        </w:rPr>
      </w:pPr>
    </w:p>
    <w:p>
      <w:pPr>
        <w:ind w:left="588" w:hanging="588"/>
        <w:spacing w:after="0"/>
        <w:tabs>
          <w:tab w:leader="none" w:pos="588"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The Company agrees to furnish an unredacted copy of this exhibit to the Securities and Exchange Commission upon its request.</w:t>
      </w:r>
    </w:p>
    <w:p>
      <w:pPr>
        <w:spacing w:after="0" w:line="261" w:lineRule="exact"/>
        <w:rPr>
          <w:sz w:val="20"/>
          <w:szCs w:val="20"/>
          <w:color w:val="auto"/>
        </w:rPr>
      </w:pPr>
    </w:p>
    <w:p>
      <w:pPr>
        <w:ind w:left="8"/>
        <w:spacing w:after="0"/>
        <w:tabs>
          <w:tab w:leader="none" w:pos="1168"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i w:val="1"/>
          <w:iCs w:val="1"/>
          <w:color w:val="auto"/>
        </w:rPr>
        <w:t>Form 10-K Summary</w:t>
      </w:r>
    </w:p>
    <w:p>
      <w:pPr>
        <w:spacing w:after="0" w:line="82"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None.</w:t>
      </w:r>
    </w:p>
    <w:p>
      <w:pPr>
        <w:spacing w:after="0" w:line="150"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68"/>
          </w:cols>
          <w:pgMar w:left="292" w:top="579" w:right="4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5640" w:type="dxa"/>
        <w:tblCellMar>
          <w:top w:w="0" w:type="dxa"/>
          <w:left w:w="0" w:type="dxa"/>
          <w:bottom w:w="0" w:type="dxa"/>
          <w:right w:w="0" w:type="dxa"/>
        </w:tblCellMar>
      </w:tblPr>
      <w:tr>
        <w:trPr>
          <w:trHeight w:val="155"/>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MSCI INC.</w:t>
            </w:r>
          </w:p>
        </w:tc>
        <w:tc>
          <w:tcPr>
            <w:tcW w:w="520" w:type="dxa"/>
            <w:vAlign w:val="bottom"/>
          </w:tcPr>
          <w:p>
            <w:pPr>
              <w:spacing w:after="0"/>
              <w:rPr>
                <w:sz w:val="13"/>
                <w:szCs w:val="13"/>
                <w:color w:val="auto"/>
              </w:rPr>
            </w:pPr>
          </w:p>
        </w:tc>
        <w:tc>
          <w:tcPr>
            <w:tcW w:w="4500" w:type="dxa"/>
            <w:vAlign w:val="bottom"/>
          </w:tcPr>
          <w:p>
            <w:pPr>
              <w:spacing w:after="0"/>
              <w:rPr>
                <w:sz w:val="13"/>
                <w:szCs w:val="13"/>
                <w:color w:val="auto"/>
              </w:rPr>
            </w:pPr>
          </w:p>
        </w:tc>
      </w:tr>
      <w:tr>
        <w:trPr>
          <w:trHeight w:val="288"/>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HENRY A. FERNANDEZ</w:t>
            </w:r>
          </w:p>
        </w:tc>
      </w:tr>
      <w:tr>
        <w:trPr>
          <w:trHeight w:val="122"/>
        </w:trPr>
        <w:tc>
          <w:tcPr>
            <w:tcW w:w="640" w:type="dxa"/>
            <w:vAlign w:val="bottom"/>
          </w:tcPr>
          <w:p>
            <w:pPr>
              <w:spacing w:after="0"/>
              <w:rPr>
                <w:sz w:val="10"/>
                <w:szCs w:val="10"/>
                <w:color w:val="auto"/>
              </w:rPr>
            </w:pPr>
          </w:p>
        </w:tc>
        <w:tc>
          <w:tcPr>
            <w:tcW w:w="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500" w:type="dxa"/>
            <w:vAlign w:val="bottom"/>
          </w:tcPr>
          <w:p>
            <w:pPr>
              <w:ind w:left="200"/>
              <w:spacing w:after="0" w:line="122" w:lineRule="exact"/>
              <w:rPr>
                <w:sz w:val="20"/>
                <w:szCs w:val="20"/>
                <w:color w:val="auto"/>
              </w:rPr>
            </w:pPr>
            <w:r>
              <w:rPr>
                <w:rFonts w:ascii="Times New Roman" w:cs="Times New Roman" w:eastAsia="Times New Roman" w:hAnsi="Times New Roman"/>
                <w:sz w:val="12"/>
                <w:szCs w:val="12"/>
                <w:color w:val="auto"/>
              </w:rPr>
              <w:t>Henry A. Fernandez</w:t>
            </w:r>
          </w:p>
        </w:tc>
      </w:tr>
      <w:tr>
        <w:trPr>
          <w:trHeight w:val="155"/>
        </w:trPr>
        <w:tc>
          <w:tcPr>
            <w:tcW w:w="64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5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Chairman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12, 2021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15" w:name="page116"/>
    <w:bookmarkEnd w:id="11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POWER OF ATTORNEY</w:t>
      </w:r>
    </w:p>
    <w:p>
      <w:pPr>
        <w:spacing w:after="0" w:line="127" w:lineRule="exact"/>
        <w:rPr>
          <w:sz w:val="20"/>
          <w:szCs w:val="20"/>
          <w:color w:val="auto"/>
        </w:rPr>
      </w:pPr>
    </w:p>
    <w:p>
      <w:pPr>
        <w:ind w:right="80" w:firstLine="592"/>
        <w:spacing w:after="0" w:line="260" w:lineRule="auto"/>
        <w:rPr>
          <w:sz w:val="20"/>
          <w:szCs w:val="20"/>
          <w:color w:val="auto"/>
        </w:rPr>
      </w:pPr>
      <w:r>
        <w:rPr>
          <w:rFonts w:ascii="Times New Roman" w:cs="Times New Roman" w:eastAsia="Times New Roman" w:hAnsi="Times New Roman"/>
          <w:sz w:val="12"/>
          <w:szCs w:val="12"/>
          <w:color w:val="auto"/>
        </w:rPr>
        <w:t>KNOW ALL PERSONS BY THESE PRESENTS, that each person whose signature appears below constitutes and appoints Andrew C. Wiechmann, Robert J. Gutowski and Cecilia Aza, and each or any one of them, his or her true and lawful attorneys-in-fact and agents, with full powers of substitution and resubstitution, for him or her and in his or her name, place and stead, in the capacities indicated below, to sign any and all amendments to this Annual Report on Form 10-K and to file the same, with all exhibits thereto and other documents in connection therewith, with the Securities and Exchange Commission, hereby ratifying and confirming his or her signatures as they may be signed by his or her said attorneys-in-fact and agents, or their substitute or substitutes, to any and all amendments to this Annual Report on Form 10-K.</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this report has been signed below by the following persons on behalf of the Registrant and in the capacities and on the dates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Signature</w:t>
            </w:r>
          </w:p>
        </w:tc>
        <w:tc>
          <w:tcPr>
            <w:tcW w:w="120" w:type="dxa"/>
            <w:vAlign w:val="bottom"/>
          </w:tcPr>
          <w:p>
            <w:pPr>
              <w:spacing w:after="0"/>
              <w:rPr>
                <w:sz w:val="10"/>
                <w:szCs w:val="10"/>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Title</w:t>
            </w:r>
          </w:p>
        </w:tc>
        <w:tc>
          <w:tcPr>
            <w:tcW w:w="100" w:type="dxa"/>
            <w:vAlign w:val="bottom"/>
          </w:tcPr>
          <w:p>
            <w:pPr>
              <w:spacing w:after="0"/>
              <w:rPr>
                <w:sz w:val="10"/>
                <w:szCs w:val="1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r>
      <w:tr>
        <w:trPr>
          <w:trHeight w:val="214"/>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HENRY A. FERNANDEZ</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Chairman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Henry A. Fernandez</w:t>
            </w:r>
          </w:p>
        </w:tc>
        <w:tc>
          <w:tcPr>
            <w:tcW w:w="120" w:type="dxa"/>
            <w:vAlign w:val="bottom"/>
          </w:tcPr>
          <w:p>
            <w:pPr>
              <w:spacing w:after="0"/>
              <w:rPr>
                <w:sz w:val="12"/>
                <w:szCs w:val="12"/>
                <w:color w:val="auto"/>
              </w:rPr>
            </w:pPr>
          </w:p>
        </w:tc>
        <w:tc>
          <w:tcPr>
            <w:tcW w:w="4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color w:val="auto"/>
              </w:rPr>
              <w:t>(principal executive officer)</w:t>
            </w: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ANDREW C. WIECHMANN</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Andrew C. Wiechmann</w:t>
            </w:r>
          </w:p>
        </w:tc>
        <w:tc>
          <w:tcPr>
            <w:tcW w:w="120" w:type="dxa"/>
            <w:vAlign w:val="bottom"/>
          </w:tcPr>
          <w:p>
            <w:pPr>
              <w:spacing w:after="0"/>
              <w:rPr>
                <w:sz w:val="12"/>
                <w:szCs w:val="12"/>
                <w:color w:val="auto"/>
              </w:rPr>
            </w:pPr>
          </w:p>
        </w:tc>
        <w:tc>
          <w:tcPr>
            <w:tcW w:w="4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color w:val="auto"/>
              </w:rPr>
              <w:t>(principal financial officer)</w:t>
            </w: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JENNIFER MAK</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Global Controller and Head of Finance Operations</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Jennifer Mak</w:t>
            </w:r>
          </w:p>
        </w:tc>
        <w:tc>
          <w:tcPr>
            <w:tcW w:w="120" w:type="dxa"/>
            <w:vAlign w:val="bottom"/>
          </w:tcPr>
          <w:p>
            <w:pPr>
              <w:spacing w:after="0"/>
              <w:rPr>
                <w:sz w:val="12"/>
                <w:szCs w:val="12"/>
                <w:color w:val="auto"/>
              </w:rPr>
            </w:pPr>
          </w:p>
        </w:tc>
        <w:tc>
          <w:tcPr>
            <w:tcW w:w="4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color w:val="auto"/>
                <w:w w:val="99"/>
              </w:rPr>
              <w:t>(principal accounting officer)</w:t>
            </w: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ROBERT G. ASHE</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Robert G. Ashe</w:t>
            </w:r>
          </w:p>
        </w:tc>
        <w:tc>
          <w:tcPr>
            <w:tcW w:w="1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BENJAMIN F. DUPONT</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Benjamin F. duPont</w:t>
            </w:r>
          </w:p>
        </w:tc>
        <w:tc>
          <w:tcPr>
            <w:tcW w:w="1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WAYNE EDMUNDS</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Wayne Edmunds</w:t>
            </w:r>
          </w:p>
        </w:tc>
        <w:tc>
          <w:tcPr>
            <w:tcW w:w="1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CATHERINE R. KINNEY</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Catherine R. Kinney</w:t>
            </w:r>
          </w:p>
        </w:tc>
        <w:tc>
          <w:tcPr>
            <w:tcW w:w="1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JACQUES P. PEROLD</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Jacques P. Perold</w:t>
            </w:r>
          </w:p>
        </w:tc>
        <w:tc>
          <w:tcPr>
            <w:tcW w:w="1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SANDY C. RATTRAY</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Sandy C. Rattray</w:t>
            </w:r>
          </w:p>
        </w:tc>
        <w:tc>
          <w:tcPr>
            <w:tcW w:w="1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73"/>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LINDA H. RIEFLER</w:t>
            </w:r>
          </w:p>
        </w:tc>
        <w:tc>
          <w:tcPr>
            <w:tcW w:w="120" w:type="dxa"/>
            <w:vAlign w:val="bottom"/>
          </w:tcPr>
          <w:p>
            <w:pPr>
              <w:spacing w:after="0"/>
              <w:rPr>
                <w:sz w:val="23"/>
                <w:szCs w:val="23"/>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Linda H. Riefler</w:t>
            </w:r>
          </w:p>
        </w:tc>
        <w:tc>
          <w:tcPr>
            <w:tcW w:w="1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MARCUS L. SMITH</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Marcus L. Smith</w:t>
            </w:r>
          </w:p>
        </w:tc>
        <w:tc>
          <w:tcPr>
            <w:tcW w:w="1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PAULA VOLENT</w:t>
            </w:r>
          </w:p>
        </w:tc>
        <w:tc>
          <w:tcPr>
            <w:tcW w:w="120" w:type="dxa"/>
            <w:vAlign w:val="bottom"/>
          </w:tcPr>
          <w:p>
            <w:pPr>
              <w:spacing w:after="0"/>
              <w:rPr>
                <w:sz w:val="18"/>
                <w:szCs w:val="18"/>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12, 2021</w:t>
            </w:r>
          </w:p>
        </w:tc>
      </w:tr>
      <w:tr>
        <w:trPr>
          <w:trHeight w:val="148"/>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Paula Volent</w:t>
            </w:r>
          </w:p>
        </w:tc>
        <w:tc>
          <w:tcPr>
            <w:tcW w:w="1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543"/>
        </w:trPr>
        <w:tc>
          <w:tcPr>
            <w:tcW w:w="4060" w:type="dxa"/>
            <w:vAlign w:val="bottom"/>
          </w:tcPr>
          <w:p>
            <w:pPr>
              <w:spacing w:after="0"/>
              <w:rPr>
                <w:sz w:val="24"/>
                <w:szCs w:val="24"/>
                <w:color w:val="auto"/>
              </w:rPr>
            </w:pPr>
          </w:p>
        </w:tc>
        <w:tc>
          <w:tcPr>
            <w:tcW w:w="4920" w:type="dxa"/>
            <w:vAlign w:val="bottom"/>
            <w:gridSpan w:val="2"/>
          </w:tcPr>
          <w:p>
            <w:pPr>
              <w:jc w:val="right"/>
              <w:ind w:right="3181"/>
              <w:spacing w:after="0"/>
              <w:rPr>
                <w:sz w:val="20"/>
                <w:szCs w:val="20"/>
                <w:color w:val="auto"/>
              </w:rPr>
            </w:pPr>
            <w:r>
              <w:rPr>
                <w:rFonts w:ascii="Times New Roman" w:cs="Times New Roman" w:eastAsia="Times New Roman" w:hAnsi="Times New Roman"/>
                <w:sz w:val="12"/>
                <w:szCs w:val="12"/>
                <w:color w:val="auto"/>
              </w:rPr>
              <w:t>114</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320"/>
          </w:cols>
          <w:pgMar w:left="300" w:top="269" w:right="27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2"/>
          <w:szCs w:val="12"/>
          <w:color w:val="auto"/>
        </w:rPr>
        <w:t>Exhibit 4.14</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9" w:lineRule="exact"/>
        <w:rPr>
          <w:sz w:val="20"/>
          <w:szCs w:val="20"/>
          <w:color w:val="auto"/>
        </w:rPr>
      </w:pPr>
    </w:p>
    <w:p>
      <w:pPr>
        <w:ind w:right="80" w:firstLine="978"/>
        <w:spacing w:after="0" w:line="258" w:lineRule="auto"/>
        <w:rPr>
          <w:sz w:val="20"/>
          <w:szCs w:val="20"/>
          <w:color w:val="auto"/>
        </w:rPr>
      </w:pPr>
      <w:r>
        <w:rPr>
          <w:rFonts w:ascii="Times New Roman" w:cs="Times New Roman" w:eastAsia="Times New Roman" w:hAnsi="Times New Roman"/>
          <w:sz w:val="12"/>
          <w:szCs w:val="12"/>
          <w:color w:val="auto"/>
        </w:rPr>
        <w:t xml:space="preserve">As of December 31, 2020, MSCI Inc. (“MSCI” or the “Company”) has one class of securities registered under Section 12 of the Securities Exchange Act of 1934, as amended (the “Exchange Act”): our common stock. The following summary of the terms of the capital stock of MSCI is not meant to be complete and is qualified by reference to the relevant provisions of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2"/>
          <w:szCs w:val="12"/>
          <w:color w:val="auto"/>
        </w:rPr>
        <w:t xml:space="preserve"> General Corporation Law of the State of Delaware (the “DGCL”) and MSCI’s Third Amended and Restated Certificate of Incorporation (“Certificate of Incorporation”) and Amended and Restated By-laws (“By-laws”). Copies of the MSCI Certificate of Incorporation and By-laws are incorporated herein by reference.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ind w:right="160" w:firstLine="435"/>
        <w:spacing w:after="0" w:line="279" w:lineRule="auto"/>
        <w:rPr>
          <w:sz w:val="20"/>
          <w:szCs w:val="20"/>
          <w:color w:val="auto"/>
        </w:rPr>
      </w:pPr>
      <w:r>
        <w:rPr>
          <w:rFonts w:ascii="Times New Roman" w:cs="Times New Roman" w:eastAsia="Times New Roman" w:hAnsi="Times New Roman"/>
          <w:sz w:val="12"/>
          <w:szCs w:val="12"/>
          <w:color w:val="auto"/>
        </w:rPr>
        <w:t>Our authorized capital stock consists of 850,000,000 shares of stock, of which: (i) 750,000,000 shares are designated as common stock, par value $0.01 per share and (ii) 100,000,000 shares are designated as preferred stock, par value $0.01 per share.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Voting Rights</w:t>
      </w:r>
    </w:p>
    <w:p>
      <w:pPr>
        <w:spacing w:after="0" w:line="150" w:lineRule="exact"/>
        <w:rPr>
          <w:sz w:val="20"/>
          <w:szCs w:val="20"/>
          <w:color w:val="auto"/>
        </w:rPr>
      </w:pPr>
    </w:p>
    <w:p>
      <w:pPr>
        <w:ind w:right="140" w:firstLine="435"/>
        <w:spacing w:after="0" w:line="257" w:lineRule="auto"/>
        <w:rPr>
          <w:sz w:val="20"/>
          <w:szCs w:val="20"/>
          <w:color w:val="auto"/>
        </w:rPr>
      </w:pPr>
      <w:r>
        <w:rPr>
          <w:rFonts w:ascii="Times New Roman" w:cs="Times New Roman" w:eastAsia="Times New Roman" w:hAnsi="Times New Roman"/>
          <w:sz w:val="12"/>
          <w:szCs w:val="12"/>
          <w:color w:val="auto"/>
        </w:rPr>
        <w:t>Except as provided by statute or resolution of our board of directors in connection with the issuance of preferred stock in accordance with our Certificate of Incorporation, holders of our common stock have the sole right and power to vote on all matters on which a vote of stockholders is to be taken. Generally, the holders of a majority of the voting power of all classes of voting stock, in person or by proxy, shall constitute a quorum at a meeting of stockholders. Except when amending or altering any provision of our Certificate of Incorporation or By-laws so as to adversely affect the rights of one class or as otherwise required by Delaware law, matters to be voted on by stockholders must be approved by a majority of all votes cast on the matter by the holders of common stock at a meeting at which a quorum is present, subject to any voting rights granted to holders of any outstanding shares of preferred stock.</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Dividends</w:t>
      </w:r>
    </w:p>
    <w:p>
      <w:pPr>
        <w:spacing w:after="0" w:line="150" w:lineRule="exact"/>
        <w:rPr>
          <w:sz w:val="20"/>
          <w:szCs w:val="20"/>
          <w:color w:val="auto"/>
        </w:rPr>
      </w:pPr>
    </w:p>
    <w:p>
      <w:pPr>
        <w:ind w:right="80" w:firstLine="435"/>
        <w:spacing w:after="0" w:line="279" w:lineRule="auto"/>
        <w:rPr>
          <w:sz w:val="20"/>
          <w:szCs w:val="20"/>
          <w:color w:val="auto"/>
        </w:rPr>
      </w:pPr>
      <w:r>
        <w:rPr>
          <w:rFonts w:ascii="Times New Roman" w:cs="Times New Roman" w:eastAsia="Times New Roman" w:hAnsi="Times New Roman"/>
          <w:sz w:val="12"/>
          <w:szCs w:val="12"/>
          <w:color w:val="auto"/>
        </w:rPr>
        <w:t>On September 17, 2014, the board of directors approved a plan to initiate a quarterly cash dividend. Subject to preferences that may be applicable to any outstanding preferred stock, the holders of common stock are entitled to receive ratably any dividends declared from time to time by the board of directors out of funds legally available therefor. In addition, our Revolving Credit Agreement contains certain restrictions on the payment of dividends.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Other Rights</w:t>
      </w:r>
    </w:p>
    <w:p>
      <w:pPr>
        <w:spacing w:after="0" w:line="150" w:lineRule="exact"/>
        <w:rPr>
          <w:sz w:val="20"/>
          <w:szCs w:val="20"/>
          <w:color w:val="auto"/>
        </w:rPr>
      </w:pPr>
    </w:p>
    <w:p>
      <w:pPr>
        <w:jc w:val="both"/>
        <w:ind w:right="280" w:firstLine="435"/>
        <w:spacing w:after="0" w:line="327" w:lineRule="auto"/>
        <w:rPr>
          <w:sz w:val="20"/>
          <w:szCs w:val="20"/>
          <w:color w:val="auto"/>
        </w:rPr>
      </w:pPr>
      <w:r>
        <w:rPr>
          <w:rFonts w:ascii="Times New Roman" w:cs="Times New Roman" w:eastAsia="Times New Roman" w:hAnsi="Times New Roman"/>
          <w:sz w:val="11"/>
          <w:szCs w:val="11"/>
          <w:color w:val="auto"/>
        </w:rPr>
        <w:t>In the event of any reorganization of MSCI or a merger or share exchange of MSCI with another corporation in which shares of our common stock are converted into or exchangeable for shares of stock, other securities or property, including cash, all holders of our common stock, regardless of class, will be entitled to receive with respect to each share held the same kind and amount of shares of stock and other securities and property, including cash.</w:t>
      </w:r>
    </w:p>
    <w:p>
      <w:pPr>
        <w:spacing w:after="0" w:line="87" w:lineRule="exact"/>
        <w:rPr>
          <w:sz w:val="20"/>
          <w:szCs w:val="20"/>
          <w:color w:val="auto"/>
        </w:rPr>
      </w:pPr>
    </w:p>
    <w:p>
      <w:pPr>
        <w:jc w:val="both"/>
        <w:ind w:firstLine="435"/>
        <w:spacing w:after="0" w:line="265" w:lineRule="auto"/>
        <w:rPr>
          <w:sz w:val="20"/>
          <w:szCs w:val="20"/>
          <w:color w:val="auto"/>
        </w:rPr>
      </w:pPr>
      <w:r>
        <w:rPr>
          <w:rFonts w:ascii="Times New Roman" w:cs="Times New Roman" w:eastAsia="Times New Roman" w:hAnsi="Times New Roman"/>
          <w:sz w:val="12"/>
          <w:szCs w:val="12"/>
          <w:color w:val="auto"/>
        </w:rPr>
        <w:t>In the event of liquidation, dissolution or winding up of MSCI, the holders of common stock are entitled to share ratably in all assets remaining after payment of liabilities, subject to prior distribution rights of preferred stock, if any, then outstanding. There are no redemption or sinking fund provisions applicable to the common stock. All outstanding shares of common stock are fully paid and non-assessable, and any shares of common stock that we may issue in the future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18947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7" w:name="page118"/>
    <w:bookmarkEnd w:id="117"/>
    <w:p>
      <w:pPr>
        <w:ind w:left="220"/>
        <w:spacing w:after="0"/>
        <w:rPr>
          <w:sz w:val="20"/>
          <w:szCs w:val="20"/>
          <w:color w:val="auto"/>
        </w:rPr>
      </w:pPr>
      <w:r>
        <w:rPr>
          <w:rFonts w:ascii="Times New Roman" w:cs="Times New Roman" w:eastAsia="Times New Roman" w:hAnsi="Times New Roman"/>
          <w:sz w:val="12"/>
          <w:szCs w:val="12"/>
          <w:color w:val="auto"/>
        </w:rPr>
        <w:t>Preemption Rights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Holders of common stock have no preemptive rights and have no right to convert their common stock into any other securities. There are no redemption provisions applicable to the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Preferred Stock</w:t>
      </w:r>
    </w:p>
    <w:p>
      <w:pPr>
        <w:spacing w:after="0" w:line="154" w:lineRule="exact"/>
        <w:rPr>
          <w:sz w:val="20"/>
          <w:szCs w:val="20"/>
          <w:color w:val="auto"/>
        </w:rPr>
      </w:pPr>
    </w:p>
    <w:p>
      <w:pPr>
        <w:ind w:right="260" w:firstLine="435"/>
        <w:spacing w:after="0" w:line="279" w:lineRule="auto"/>
        <w:rPr>
          <w:sz w:val="20"/>
          <w:szCs w:val="20"/>
          <w:color w:val="auto"/>
        </w:rPr>
      </w:pPr>
      <w:r>
        <w:rPr>
          <w:rFonts w:ascii="Times New Roman" w:cs="Times New Roman" w:eastAsia="Times New Roman" w:hAnsi="Times New Roman"/>
          <w:sz w:val="12"/>
          <w:szCs w:val="12"/>
          <w:color w:val="auto"/>
        </w:rPr>
        <w:t>The board of directors has the authority to issue 100,000,000 shares of preferred stock in one or more series and to fix the rights, preferences, privileges and restrictions thereof. The authority of the board of directors with respect to each series shall include, but not be limited to, determination of the following:</w:t>
      </w:r>
    </w:p>
    <w:p>
      <w:pPr>
        <w:spacing w:after="0" w:line="39" w:lineRule="exact"/>
        <w:rPr>
          <w:sz w:val="20"/>
          <w:szCs w:val="20"/>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designation of the series, which may be by distinguishing number, letter or title;</w:t>
      </w:r>
    </w:p>
    <w:p>
      <w:pPr>
        <w:spacing w:after="0" w:line="8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the series;</w:t>
      </w:r>
    </w:p>
    <w:p>
      <w:pPr>
        <w:spacing w:after="0" w:line="8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payable on, and the preferences, if any, of shares of the series in respect of dividends, and whether such dividends, if any, shall be cumulative or non-cumulative;</w:t>
      </w:r>
    </w:p>
    <w:p>
      <w:pPr>
        <w:spacing w:after="0" w:line="8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dates at which dividends, if any, shall be payable;</w:t>
      </w:r>
    </w:p>
    <w:p>
      <w:pPr>
        <w:spacing w:after="0" w:line="8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rights and price or prices, if any, for shares of the series;</w:t>
      </w:r>
    </w:p>
    <w:p>
      <w:pPr>
        <w:spacing w:after="0" w:line="8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amount of any sinking fund provided for the purchase or redemption of shares of the series;</w:t>
      </w:r>
    </w:p>
    <w:p>
      <w:pPr>
        <w:spacing w:after="0" w:line="8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payable on, and the preferences, if any, of shares of the series in the event of any voluntary or involuntary liquidation, dissolution or winding up of the affairs of the Company;</w:t>
      </w:r>
    </w:p>
    <w:p>
      <w:pPr>
        <w:spacing w:after="0" w:line="87" w:lineRule="exact"/>
        <w:rPr>
          <w:rFonts w:ascii="Times New Roman" w:cs="Times New Roman" w:eastAsia="Times New Roman" w:hAnsi="Times New Roman"/>
          <w:sz w:val="12"/>
          <w:szCs w:val="12"/>
          <w:color w:val="auto"/>
        </w:rPr>
      </w:pPr>
    </w:p>
    <w:p>
      <w:pPr>
        <w:ind w:left="860" w:hanging="436"/>
        <w:spacing w:after="0" w:line="265" w:lineRule="auto"/>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shares of the series shall be convertible into or exchangeable for shares of any other class or series, or any other security, of the Company or any other corporation, and, if so, the specification of such other class or series of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46"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issuance of shares of the same series or of any other class or series;</w:t>
      </w:r>
    </w:p>
    <w:p>
      <w:pPr>
        <w:spacing w:after="0" w:line="8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voting rights, if any, of the holders of shares of the series; and</w:t>
      </w:r>
    </w:p>
    <w:p>
      <w:pPr>
        <w:spacing w:after="0" w:line="8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powers, preferences and relative, participating, optional and other special rights, and the qualifications, limitations and restrictions thereof, as the board of directors determines.</w:t>
      </w:r>
    </w:p>
    <w:p>
      <w:pPr>
        <w:spacing w:after="0" w:line="159" w:lineRule="exact"/>
        <w:rPr>
          <w:sz w:val="20"/>
          <w:szCs w:val="20"/>
          <w:color w:val="auto"/>
        </w:rPr>
      </w:pPr>
    </w:p>
    <w:p>
      <w:pPr>
        <w:ind w:right="60" w:firstLine="435"/>
        <w:spacing w:after="0" w:line="279" w:lineRule="auto"/>
        <w:rPr>
          <w:sz w:val="20"/>
          <w:szCs w:val="20"/>
          <w:color w:val="auto"/>
        </w:rPr>
      </w:pPr>
      <w:r>
        <w:rPr>
          <w:rFonts w:ascii="Times New Roman" w:cs="Times New Roman" w:eastAsia="Times New Roman" w:hAnsi="Times New Roman"/>
          <w:sz w:val="12"/>
          <w:szCs w:val="12"/>
          <w:color w:val="auto"/>
        </w:rPr>
        <w:t>No shares of preferred stock are currently issued or outstanding. The issuance of preferred stock may have the effect of delaying, deterring or preventing a change in control of MSCI without further action by the stockholders and may adversely affect the voting and other rights of the holders of common stock. The material terms of any preferred stock will be set forth in the applicable prospectus supplement.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Limits on Written Consents</w:t>
      </w:r>
    </w:p>
    <w:p>
      <w:pPr>
        <w:spacing w:after="0" w:line="154" w:lineRule="exact"/>
        <w:rPr>
          <w:sz w:val="20"/>
          <w:szCs w:val="20"/>
          <w:color w:val="auto"/>
        </w:rPr>
      </w:pPr>
    </w:p>
    <w:p>
      <w:pPr>
        <w:ind w:right="340" w:firstLine="435"/>
        <w:spacing w:after="0" w:line="279" w:lineRule="auto"/>
        <w:rPr>
          <w:sz w:val="20"/>
          <w:szCs w:val="20"/>
          <w:color w:val="auto"/>
        </w:rPr>
      </w:pPr>
      <w:r>
        <w:rPr>
          <w:rFonts w:ascii="Times New Roman" w:cs="Times New Roman" w:eastAsia="Times New Roman" w:hAnsi="Times New Roman"/>
          <w:sz w:val="12"/>
          <w:szCs w:val="12"/>
          <w:color w:val="auto"/>
        </w:rPr>
        <w:t>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These limits may have the effect of delaying, deterring or preventing a change in control of MSCI.</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Limits on Special Meetings</w:t>
      </w:r>
    </w:p>
    <w:p>
      <w:pPr>
        <w:spacing w:after="0" w:line="154" w:lineRule="exact"/>
        <w:rPr>
          <w:sz w:val="20"/>
          <w:szCs w:val="20"/>
          <w:color w:val="auto"/>
        </w:rPr>
      </w:pPr>
    </w:p>
    <w:p>
      <w:pPr>
        <w:ind w:right="420" w:firstLine="435"/>
        <w:spacing w:after="0" w:line="279" w:lineRule="auto"/>
        <w:rPr>
          <w:sz w:val="20"/>
          <w:szCs w:val="20"/>
          <w:color w:val="auto"/>
        </w:rPr>
      </w:pPr>
      <w:r>
        <w:rPr>
          <w:rFonts w:ascii="Times New Roman" w:cs="Times New Roman" w:eastAsia="Times New Roman" w:hAnsi="Times New Roman"/>
          <w:sz w:val="12"/>
          <w:szCs w:val="12"/>
          <w:color w:val="auto"/>
        </w:rPr>
        <w:t>Special meetings of the stockholders may be called at any time only by the secretary at the direction of the board of directors pursuant to a resolution adopted by the board of directors. This limit may have the effect of delaying, deterring or preventing a change in control of MSCI.</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18947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426"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54" w:lineRule="exact"/>
        <w:rPr>
          <w:sz w:val="20"/>
          <w:szCs w:val="20"/>
          <w:color w:val="auto"/>
        </w:rPr>
      </w:pPr>
    </w:p>
    <w:p>
      <w:pPr>
        <w:ind w:right="280" w:firstLine="435"/>
        <w:spacing w:after="0" w:line="279" w:lineRule="auto"/>
        <w:rPr>
          <w:sz w:val="20"/>
          <w:szCs w:val="20"/>
          <w:color w:val="auto"/>
        </w:rPr>
      </w:pPr>
      <w:r>
        <w:rPr>
          <w:rFonts w:ascii="Times New Roman" w:cs="Times New Roman" w:eastAsia="Times New Roman" w:hAnsi="Times New Roman"/>
          <w:sz w:val="12"/>
          <w:szCs w:val="12"/>
          <w:color w:val="auto"/>
        </w:rPr>
        <w:t>Pursuant to the Bylaws, the number of directors is fixed exclusively by the board of directors and such number consist of not less than three nor more than fifteen directors. Each director stands for election at each annual meeting of stockholders and holds office until his or her successor has been duly elected and qualified or the director’s earlier resignation, death or removal.</w:t>
      </w:r>
    </w:p>
    <w:p>
      <w:pPr>
        <w:spacing w:after="0" w:line="111" w:lineRule="exact"/>
        <w:rPr>
          <w:sz w:val="20"/>
          <w:szCs w:val="20"/>
          <w:color w:val="auto"/>
        </w:rPr>
      </w:pPr>
    </w:p>
    <w:p>
      <w:pPr>
        <w:jc w:val="both"/>
        <w:ind w:firstLine="435"/>
        <w:spacing w:after="0" w:line="265" w:lineRule="auto"/>
        <w:rPr>
          <w:sz w:val="20"/>
          <w:szCs w:val="20"/>
          <w:color w:val="auto"/>
        </w:rPr>
      </w:pPr>
      <w:r>
        <w:rPr>
          <w:rFonts w:ascii="Times New Roman" w:cs="Times New Roman" w:eastAsia="Times New Roman" w:hAnsi="Times New Roman"/>
          <w:sz w:val="12"/>
          <w:szCs w:val="12"/>
          <w:color w:val="auto"/>
        </w:rPr>
        <w:t>Each director is be elected by the vote of the majority of all stockholder votes cast with respect to that director’s election at any meeting for the election of directors at which a quorum is present, provided that if, as of the tenth day preceding the date the Company first mails its notice of meeting for such meeting to the stockholders of the Company, the number of nominees exceeds the number of directors to be elected, the directors shall be elected by the vote of a plurality of the votes cast.</w:t>
      </w:r>
    </w:p>
    <w:p>
      <w:pPr>
        <w:spacing w:after="0" w:line="119"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2"/>
          <w:szCs w:val="12"/>
          <w:color w:val="auto"/>
        </w:rPr>
        <w:t>The Bylaws also provide that, in order for any incumbent director to become a nominee of the board of directors, the director must submit an irrevocable resignation as director that becomes effective if (i) he or she does not receive a majority of the votes cast in an uncontested election and (ii) the board of directors accepts the resignation. If a director does not receive a majority of the votes cast in an uncontested election, the Nominating and Corporate Governance Committee will consider the director’s resignation and recommend to the board of directors whether to accept or reject the resignation, or whether other action should be taken. The board of directors will decide whether to accept or reject the resignation and publicly disclose its decision, including the rationale behind the decision if it rejects the resignation, within 90 days after the election results are certified. If the board of directors accepts such a director’s resignation, or if a nominee for director is not elected and the nominee is not an incumbent director, then the board of directors may fill the resulting vacancy or may decrease the size of the board of directors. This power, along with the power to increase the size of the board of directors, may have the effect of delaying, deterring or preventing a change in control of MSCI.</w:t>
      </w:r>
    </w:p>
    <w:p>
      <w:pPr>
        <w:spacing w:after="0" w:line="125" w:lineRule="exact"/>
        <w:rPr>
          <w:sz w:val="20"/>
          <w:szCs w:val="20"/>
          <w:color w:val="auto"/>
        </w:rPr>
      </w:pPr>
    </w:p>
    <w:p>
      <w:pPr>
        <w:jc w:val="both"/>
        <w:ind w:firstLine="435"/>
        <w:spacing w:after="0" w:line="265" w:lineRule="auto"/>
        <w:rPr>
          <w:sz w:val="20"/>
          <w:szCs w:val="20"/>
          <w:color w:val="auto"/>
        </w:rPr>
      </w:pPr>
      <w:r>
        <w:rPr>
          <w:rFonts w:ascii="Times New Roman" w:cs="Times New Roman" w:eastAsia="Times New Roman" w:hAnsi="Times New Roman"/>
          <w:sz w:val="12"/>
          <w:szCs w:val="12"/>
          <w:color w:val="auto"/>
        </w:rPr>
        <w:t>Nominations of persons for election to the board of directors may be made at an annual meeting of stockholders only (i) pursuant to the Company’s notice of meeting delivered pursuant to our Bylaws, (ii) by or at the direction of the board of directors or (iii) by any stockholder of the Company who is entitled to vote at the meeting, who complied with the notice procedures set forth in the Bylaws and who was a stockholder of record on the date such notice is delivered to the corporate secretary of the Company and at the time of such annual meeting, or (iv) by a Nominating Stockholder (as defined in the Bylaws).</w:t>
      </w:r>
    </w:p>
    <w:p>
      <w:pPr>
        <w:spacing w:after="0" w:line="119" w:lineRule="exact"/>
        <w:rPr>
          <w:sz w:val="20"/>
          <w:szCs w:val="20"/>
          <w:color w:val="auto"/>
        </w:rPr>
      </w:pPr>
    </w:p>
    <w:p>
      <w:pPr>
        <w:jc w:val="both"/>
        <w:ind w:right="360" w:firstLine="435"/>
        <w:spacing w:after="0" w:line="265" w:lineRule="auto"/>
        <w:rPr>
          <w:sz w:val="20"/>
          <w:szCs w:val="20"/>
          <w:color w:val="auto"/>
        </w:rPr>
      </w:pPr>
      <w:r>
        <w:rPr>
          <w:rFonts w:ascii="Times New Roman" w:cs="Times New Roman" w:eastAsia="Times New Roman" w:hAnsi="Times New Roman"/>
          <w:sz w:val="12"/>
          <w:szCs w:val="12"/>
          <w:color w:val="auto"/>
        </w:rPr>
        <w:t>The Bylaws also permit a shareholder, or a group of up to 20 shareholders, owning at least three percent of the Company’s outstanding common stock continuously for at least three years to nominate and include in the Company’s annual meeting proxy materials director nominees constituting the greater of two (2) directors or twenty percent (20%) of the total number of directors on the board of directors, provided that such shareholder(s) and nominee(s) satisfy the requirements specified in the Bylaws.</w:t>
      </w:r>
    </w:p>
    <w:p>
      <w:pPr>
        <w:spacing w:after="0" w:line="119" w:lineRule="exact"/>
        <w:rPr>
          <w:sz w:val="20"/>
          <w:szCs w:val="20"/>
          <w:color w:val="auto"/>
        </w:rPr>
      </w:pPr>
    </w:p>
    <w:p>
      <w:pPr>
        <w:ind w:firstLine="435"/>
        <w:spacing w:after="0" w:line="265" w:lineRule="auto"/>
        <w:rPr>
          <w:sz w:val="20"/>
          <w:szCs w:val="20"/>
          <w:color w:val="auto"/>
        </w:rPr>
      </w:pPr>
      <w:r>
        <w:rPr>
          <w:rFonts w:ascii="Times New Roman" w:cs="Times New Roman" w:eastAsia="Times New Roman" w:hAnsi="Times New Roman"/>
          <w:sz w:val="12"/>
          <w:szCs w:val="12"/>
          <w:color w:val="auto"/>
        </w:rPr>
        <w:t>Nominations of persons for election to the board of directors may be made at a special meeting of stockholders at which directors are to be elected pursuant to the Company’s notice of meeting (i) by or at the direction of the board of directors or (ii) by any stockholder of the Company who is entitled to vote at the meeting, who complies with the notice procedures set forth in our Bylaws and who is a stockholder of record at the time such notice is delivered to the corporate secretary of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Listing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common stock has been approved for listing on the New York Stock Exchange under the symbol “MSCI.”</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Transfer Agent and Registrar</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Transfer Agent and Registrar for our common stock is Broadridge Financial Solutions, Inc.</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240"/>
          </w:cols>
          <w:pgMar w:left="300" w:top="422" w:right="3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154" w:lineRule="exact"/>
        <w:rPr>
          <w:sz w:val="20"/>
          <w:szCs w:val="20"/>
          <w:color w:val="auto"/>
        </w:rPr>
      </w:pPr>
    </w:p>
    <w:p>
      <w:pPr>
        <w:ind w:left="8" w:right="60" w:hanging="8"/>
        <w:spacing w:after="0" w:line="286" w:lineRule="auto"/>
        <w:tabs>
          <w:tab w:leader="none" w:pos="218" w:val="left"/>
        </w:tabs>
        <w:numPr>
          <w:ilvl w:val="0"/>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u w:val="single" w:color="auto"/>
          <w:color w:val="auto"/>
        </w:rPr>
        <w:t>CONFIDENTIAL</w:t>
      </w:r>
    </w:p>
    <w:p>
      <w:pPr>
        <w:spacing w:after="0" w:line="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MORGAN STANLEY CAPITAL INTERNATIONAL</w:t>
      </w:r>
    </w:p>
    <w:p>
      <w:pPr>
        <w:spacing w:after="0" w:line="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INDEX LICENSE AGREEMENT FOR FUNDS</w:t>
      </w:r>
    </w:p>
    <w:p>
      <w:pPr>
        <w:spacing w:after="0" w:line="14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AGREEMENT, dated as of March 18, 2000, by and between MORGAN STANLEY CAPITAL INTERNATIONAL INC. (“MSCI”),</w:t>
      </w:r>
    </w:p>
    <w:p>
      <w:pPr>
        <w:spacing w:after="0" w:line="21"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a Delaware corporation, having an office at 1585 Broadway, New York, NY 10036, and Barclays Global Investors, N.A. (“Licensee”), having an office at 45 Fremont Street, San Francisco, CA 94105.</w:t>
      </w:r>
    </w:p>
    <w:p>
      <w:pPr>
        <w:spacing w:after="0" w:line="104" w:lineRule="exact"/>
        <w:rPr>
          <w:sz w:val="20"/>
          <w:szCs w:val="20"/>
          <w:color w:val="auto"/>
        </w:rPr>
      </w:pPr>
    </w:p>
    <w:p>
      <w:pPr>
        <w:ind w:left="128" w:right="20" w:firstLine="437"/>
        <w:spacing w:after="0" w:line="296" w:lineRule="auto"/>
        <w:rPr>
          <w:sz w:val="20"/>
          <w:szCs w:val="20"/>
          <w:color w:val="auto"/>
        </w:rPr>
      </w:pPr>
      <w:r>
        <w:rPr>
          <w:rFonts w:ascii="Times New Roman" w:cs="Times New Roman" w:eastAsia="Times New Roman" w:hAnsi="Times New Roman"/>
          <w:sz w:val="11"/>
          <w:szCs w:val="11"/>
          <w:color w:val="auto"/>
        </w:rPr>
        <w:t>WHEREAS, MSCI owns rights to, and engages in a variety of business activities in connection with, certain stock indexes and the proprietary data contained therein, among which are the indexes listed in Exhibit A, annexed hereto and made a part hereof (such indexes and data contained therein are hereinafter referred to as the “Indexes”);</w:t>
      </w:r>
    </w:p>
    <w:p>
      <w:pPr>
        <w:spacing w:after="0" w:line="48"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WHEREAS, MSCI calculates, maintains and publishes the Indexes;</w:t>
      </w:r>
    </w:p>
    <w:p>
      <w:pPr>
        <w:spacing w:after="0" w:line="117" w:lineRule="exact"/>
        <w:rPr>
          <w:sz w:val="20"/>
          <w:szCs w:val="20"/>
          <w:color w:val="auto"/>
        </w:rPr>
      </w:pPr>
    </w:p>
    <w:p>
      <w:pPr>
        <w:ind w:left="128" w:right="20" w:firstLine="437"/>
        <w:spacing w:after="0" w:line="296" w:lineRule="auto"/>
        <w:rPr>
          <w:sz w:val="20"/>
          <w:szCs w:val="20"/>
          <w:color w:val="auto"/>
        </w:rPr>
      </w:pPr>
      <w:r>
        <w:rPr>
          <w:rFonts w:ascii="Times New Roman" w:cs="Times New Roman" w:eastAsia="Times New Roman" w:hAnsi="Times New Roman"/>
          <w:sz w:val="11"/>
          <w:szCs w:val="11"/>
          <w:color w:val="auto"/>
        </w:rPr>
        <w:t>WHEREAS, MSCI uses in commerce and owns trade name, trademark and service mark rights to the designations Morgan Stanley Capital International®; MSCI®; Morgan Stanley Capital International Perspective®; MSCIP; and EAFE® (such rights are hereinafter individually and collectively referred to as the “Marks”);</w:t>
      </w:r>
    </w:p>
    <w:p>
      <w:pPr>
        <w:spacing w:after="0" w:line="57"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WHEREAS, Licensee wishes to use the Indexes as the basis of the exchange traded funds described in Exhibit B, annexed hereto and made a part hereof (the “Funds”);</w:t>
      </w:r>
    </w:p>
    <w:p>
      <w:pPr>
        <w:spacing w:after="0" w:line="117" w:lineRule="exact"/>
        <w:rPr>
          <w:sz w:val="20"/>
          <w:szCs w:val="20"/>
          <w:color w:val="auto"/>
        </w:rPr>
      </w:pPr>
    </w:p>
    <w:p>
      <w:pPr>
        <w:ind w:left="128" w:right="60" w:firstLine="437"/>
        <w:spacing w:after="0" w:line="296" w:lineRule="auto"/>
        <w:rPr>
          <w:sz w:val="20"/>
          <w:szCs w:val="20"/>
          <w:color w:val="auto"/>
        </w:rPr>
      </w:pPr>
      <w:r>
        <w:rPr>
          <w:rFonts w:ascii="Times New Roman" w:cs="Times New Roman" w:eastAsia="Times New Roman" w:hAnsi="Times New Roman"/>
          <w:sz w:val="11"/>
          <w:szCs w:val="11"/>
          <w:color w:val="auto"/>
        </w:rPr>
        <w:t>WHEREAS, Licensee wishes to use the Indexes and the Marks to sponsor, issue, establish, organize, structure, operate, manage, offer, sell, market, promote, write, list, trade, exchange and distribute (collectively “sponsor”) the Funds and to make disclosure about the Funds under applicable laws, rules and regulations in order to indicate that MSCI is the source of the Indexes; and</w:t>
      </w:r>
    </w:p>
    <w:p>
      <w:pPr>
        <w:spacing w:after="0" w:line="57"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WHEREAS, Licensee wishes to obtain MSCI’s authorization to use the Indexes and refer to the Indexes and the Marks in connection with the Funds pursuant to the terms and conditions hereinafter set forth.</w:t>
      </w:r>
    </w:p>
    <w:p>
      <w:pPr>
        <w:spacing w:after="0" w:line="99"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NOW, THEREFORE, the parties hereto agree as follows:</w:t>
      </w:r>
    </w:p>
    <w:p>
      <w:pPr>
        <w:spacing w:after="0" w:line="207" w:lineRule="exact"/>
        <w:rPr>
          <w:sz w:val="20"/>
          <w:szCs w:val="20"/>
          <w:color w:val="auto"/>
        </w:rPr>
      </w:pPr>
    </w:p>
    <w:p>
      <w:pPr>
        <w:ind w:left="968" w:hanging="419"/>
        <w:spacing w:after="0"/>
        <w:tabs>
          <w:tab w:leader="none" w:pos="968"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Grant of License</w:t>
      </w:r>
    </w:p>
    <w:p>
      <w:pPr>
        <w:spacing w:after="0" w:line="80" w:lineRule="exact"/>
        <w:rPr>
          <w:rFonts w:ascii="Times New Roman" w:cs="Times New Roman" w:eastAsia="Times New Roman" w:hAnsi="Times New Roman"/>
          <w:sz w:val="11"/>
          <w:szCs w:val="11"/>
          <w:color w:val="auto"/>
        </w:rPr>
      </w:pPr>
    </w:p>
    <w:p>
      <w:pPr>
        <w:jc w:val="both"/>
        <w:ind w:left="128" w:right="100" w:firstLine="431"/>
        <w:spacing w:after="0" w:line="276" w:lineRule="auto"/>
        <w:tabs>
          <w:tab w:leader="none" w:pos="1183" w:val="left"/>
        </w:tabs>
        <w:numPr>
          <w:ilvl w:val="1"/>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Subject to the terms and conditions of this Agreement, MSCI grants to Licensee a non-transferable, non-exclusive, license (i) to use one or more of the Indexes as the basis, or as a component, of the Funds (in accordance with the restrictions set forth in Exhibit B) to sponsor the Funds; and (ii) to use and refer to the Indexes and the Marks (in accordance with the restrictions set forth in Exhibit B) in the names of the Funds; to sponsor the Funds; and to make such disclosure about the Funds as Licensee deems necessary, electronically or otherwise, under any applicable laws, rules or regulations. Licensee shall not disseminate electronically or in any other fashion to</w:t>
      </w: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8947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312" w:right="2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1"/>
          <w:szCs w:val="11"/>
          <w:color w:val="auto"/>
        </w:rPr>
        <w:t>any third party any information related to the Indexes that is designated as “Confidential” or “Proprietary” by MSCI (except as provided in Paragraph 8(c) below).</w:t>
      </w:r>
    </w:p>
    <w:p>
      <w:pPr>
        <w:spacing w:after="0" w:line="117" w:lineRule="exact"/>
        <w:rPr>
          <w:sz w:val="20"/>
          <w:szCs w:val="20"/>
          <w:color w:val="auto"/>
        </w:rPr>
      </w:pPr>
    </w:p>
    <w:p>
      <w:pPr>
        <w:jc w:val="both"/>
        <w:ind w:right="60" w:firstLine="431"/>
        <w:spacing w:after="0" w:line="269" w:lineRule="auto"/>
        <w:tabs>
          <w:tab w:leader="none" w:pos="1062" w:val="left"/>
        </w:tabs>
        <w:numPr>
          <w:ilvl w:val="1"/>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have a right to sublicense any or all of the rights granted hereunder to (i) any affiliate of Licensee; provided such affiliate will not have the power to further sublicense those rights to any third parties other than to the Funds and (ii) any of the Funds; provided the Funds will not have the further power to sublicense those rights to any third parties. Licensee shall require any such sublicensee to comply with Licensee’s obligations under this Agreement and shall remain obligated under the terms of the Agreement with respect to any actions taken by the sublicensee pursuant to any sublicense. No further license shall be required from MSCI of any securities exchange, stock market or other entity to list and trade the Funds in accordance with the terms and conditions set forth herein.</w:t>
      </w:r>
    </w:p>
    <w:p>
      <w:pPr>
        <w:spacing w:after="0" w:line="71" w:lineRule="exact"/>
        <w:rPr>
          <w:rFonts w:ascii="Times New Roman" w:cs="Times New Roman" w:eastAsia="Times New Roman" w:hAnsi="Times New Roman"/>
          <w:sz w:val="11"/>
          <w:szCs w:val="11"/>
          <w:color w:val="auto"/>
        </w:rPr>
      </w:pPr>
    </w:p>
    <w:p>
      <w:pPr>
        <w:ind w:right="60" w:firstLine="431"/>
        <w:spacing w:after="0" w:line="264" w:lineRule="auto"/>
        <w:tabs>
          <w:tab w:leader="none" w:pos="1055" w:val="left"/>
        </w:tabs>
        <w:numPr>
          <w:ilvl w:val="1"/>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Unless otherwise agreed by the parties, Licensee will initiate appropriate regulatory filings with respect to each of the Funds within 90 days after execution of this Agreement or after execution of an amendment to this Agreement. Within 30 days after receipt of any required regulatory approval for each of the Funds, Licensee will launch such Funds; provided, however, MSCI will not unreasonable withhold its consent to delay the launching of the Funds for a tiered roll-out. If (i) Licensee shall fail to initiate any filings for any Fund within said 90 day period, (ii) Licensee shall fail to launch any Fund within said specified periods, or (iii) if MSCI reasonably determines, after consultation with Licensee, that regulatory approval for any such Fund is not likely to be received within a reasonable time period (taking into account such factors as past experiences for similar regulatory approvals), MSCI may, as its exclusive remedy under this Agreement and upon written notice to Licensee, terminate the license granted hereunder with respect to the particular Index underlying such Fund. Licensee shall have no obligation to launch any Fund based on an Index. After a Fund is launched, Licensee may terminate the Fund or the Fund’s use of an Index at any time.</w:t>
      </w:r>
    </w:p>
    <w:p>
      <w:pPr>
        <w:spacing w:after="0" w:line="155" w:lineRule="exact"/>
        <w:rPr>
          <w:rFonts w:ascii="Times New Roman" w:cs="Times New Roman" w:eastAsia="Times New Roman" w:hAnsi="Times New Roman"/>
          <w:sz w:val="11"/>
          <w:szCs w:val="11"/>
          <w:color w:val="auto"/>
        </w:rPr>
      </w:pPr>
    </w:p>
    <w:p>
      <w:pPr>
        <w:ind w:left="840" w:hanging="419"/>
        <w:spacing w:after="0"/>
        <w:tabs>
          <w:tab w:leader="none" w:pos="84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Term</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The term of the license granted hereunder shall commence on March 18, 2000 and shall continue for 5 years.</w:t>
      </w:r>
    </w:p>
    <w:p>
      <w:pPr>
        <w:spacing w:after="0" w:line="207" w:lineRule="exact"/>
        <w:rPr>
          <w:sz w:val="20"/>
          <w:szCs w:val="20"/>
          <w:color w:val="auto"/>
        </w:rPr>
      </w:pPr>
    </w:p>
    <w:p>
      <w:pPr>
        <w:ind w:left="840" w:hanging="419"/>
        <w:spacing w:after="0"/>
        <w:tabs>
          <w:tab w:leader="none" w:pos="84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License Fees</w:t>
      </w:r>
    </w:p>
    <w:p>
      <w:pPr>
        <w:spacing w:after="0" w:line="81" w:lineRule="exact"/>
        <w:rPr>
          <w:sz w:val="20"/>
          <w:szCs w:val="20"/>
          <w:color w:val="auto"/>
        </w:rPr>
      </w:pPr>
    </w:p>
    <w:p>
      <w:pPr>
        <w:ind w:firstLine="437"/>
        <w:spacing w:after="0" w:line="269" w:lineRule="auto"/>
        <w:rPr>
          <w:sz w:val="20"/>
          <w:szCs w:val="20"/>
          <w:color w:val="auto"/>
        </w:rPr>
      </w:pPr>
      <w:r>
        <w:rPr>
          <w:rFonts w:ascii="Times New Roman" w:cs="Times New Roman" w:eastAsia="Times New Roman" w:hAnsi="Times New Roman"/>
          <w:sz w:val="11"/>
          <w:szCs w:val="11"/>
          <w:color w:val="auto"/>
        </w:rPr>
        <w:t>Licensee shall pay MSCI a quarterly license fee with respect to each Index (listed on Exhibit A) which is used by Licensee as the basis for, or a component of, a Fund (listed on Exhibit B) under Licensee’s management. Commencing on March 18 and continuing through December 31, 2000, the license fee shall be ****. Commencing on January 1, 2001 and continuing through the remainder of the term, the license fee shall be ****. The license fee shall be based on each Fund’s average daily net assets during the relevant quarter. The license fees shall be calculated by Licensee and shall be paid in arrears to MSCI by the fifteenth day of the following quarter. Such license fees shall be accompanied by a statement from Licensee stating that the license fees paid to MSCI are accurate.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Licensee shall maintain detailed and accurate records with respect to the assets of the Funds and its payments to MSCI 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Licensee shall, upon written request by MSCI, provide</w:t>
      </w:r>
    </w:p>
    <w:p>
      <w:pPr>
        <w:spacing w:after="0" w:line="1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148590</wp:posOffset>
            </wp:positionV>
            <wp:extent cx="718947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80"/>
          </w:cols>
          <w:pgMar w:left="420" w:top="494" w:right="299" w:bottom="1440" w:gutter="0" w:footer="0" w:header="0"/>
        </w:sectPr>
      </w:pPr>
    </w:p>
    <w:bookmarkStart w:id="121" w:name="page122"/>
    <w:bookmarkEnd w:id="121"/>
    <w:p>
      <w:pPr>
        <w:ind w:right="100"/>
        <w:spacing w:after="0" w:line="276" w:lineRule="auto"/>
        <w:rPr>
          <w:sz w:val="20"/>
          <w:szCs w:val="20"/>
          <w:color w:val="auto"/>
        </w:rPr>
      </w:pPr>
      <w:r>
        <w:rPr>
          <w:rFonts w:ascii="Times New Roman" w:cs="Times New Roman" w:eastAsia="Times New Roman" w:hAnsi="Times New Roman"/>
          <w:sz w:val="11"/>
          <w:szCs w:val="11"/>
          <w:color w:val="auto"/>
        </w:rPr>
        <w:t>reasonable access to its records with respect to the assets of the Funds during normal business hours, to an independent accounting organization chosen and compensated by MSCI, for purposes of a confirming audit with respect to such payments. Licensee shall promptly pay any under-reported fees determined by such audit. If such audit determines that license fees in excess of **** of reported license fees were not reported during any of the four previously reported quarters, then the Licensee shall also pay for the reasonable costs of such audit.</w:t>
      </w:r>
    </w:p>
    <w:p>
      <w:pPr>
        <w:spacing w:after="0" w:line="149" w:lineRule="exact"/>
        <w:rPr>
          <w:sz w:val="20"/>
          <w:szCs w:val="20"/>
          <w:color w:val="auto"/>
        </w:rPr>
      </w:pPr>
    </w:p>
    <w:p>
      <w:pPr>
        <w:ind w:left="840" w:hanging="419"/>
        <w:spacing w:after="0"/>
        <w:tabs>
          <w:tab w:leader="none" w:pos="84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Termination</w:t>
      </w:r>
    </w:p>
    <w:p>
      <w:pPr>
        <w:spacing w:after="0" w:line="89" w:lineRule="exact"/>
        <w:rPr>
          <w:rFonts w:ascii="Times New Roman" w:cs="Times New Roman" w:eastAsia="Times New Roman" w:hAnsi="Times New Roman"/>
          <w:sz w:val="11"/>
          <w:szCs w:val="11"/>
          <w:color w:val="auto"/>
        </w:rPr>
      </w:pPr>
    </w:p>
    <w:p>
      <w:pPr>
        <w:jc w:val="both"/>
        <w:ind w:firstLine="431"/>
        <w:spacing w:after="0" w:line="276" w:lineRule="auto"/>
        <w:tabs>
          <w:tab w:leader="none" w:pos="1055" w:val="left"/>
        </w:tabs>
        <w:numPr>
          <w:ilvl w:val="1"/>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any time during the term of this Agreement, either party may give the other party thirty days’ prior written notice of termination if the terminating party believes in good faith that material damage or harm is occurring to the reputation or goodwill of the terminating party by reason of the other’s continued performance hereunder, and such notice shall be effective on the date of such termination unless the other party shall correct the condition causing such damage or harm within the notice period.</w:t>
      </w:r>
    </w:p>
    <w:p>
      <w:pPr>
        <w:spacing w:after="0" w:line="58" w:lineRule="exact"/>
        <w:rPr>
          <w:rFonts w:ascii="Times New Roman" w:cs="Times New Roman" w:eastAsia="Times New Roman" w:hAnsi="Times New Roman"/>
          <w:sz w:val="11"/>
          <w:szCs w:val="11"/>
          <w:color w:val="auto"/>
        </w:rPr>
      </w:pPr>
    </w:p>
    <w:p>
      <w:pPr>
        <w:jc w:val="both"/>
        <w:ind w:firstLine="431"/>
        <w:spacing w:after="0" w:line="276" w:lineRule="auto"/>
        <w:tabs>
          <w:tab w:leader="none" w:pos="1062" w:val="left"/>
        </w:tabs>
        <w:numPr>
          <w:ilvl w:val="1"/>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the case of breach of any of the material terms and conditions of this Agreement by either party, the non-breaching party may terminate this Agreement by giving thirty days’ prior written notice of its intent to terminate, and such notice shall be effective on the date of such termination (at the option of the non-breaching party) unless the breaching party shall correct such breach within the notice period or, if the breach is not capable of being cured within such thirty day period, unless the breaching party has undertaken to correct such breach and diligently prosecutes such correction until completion; provided that such cure period shall not exceed ninety days in total.</w:t>
      </w:r>
    </w:p>
    <w:p>
      <w:pPr>
        <w:spacing w:after="0" w:line="67" w:lineRule="exact"/>
        <w:rPr>
          <w:rFonts w:ascii="Times New Roman" w:cs="Times New Roman" w:eastAsia="Times New Roman" w:hAnsi="Times New Roman"/>
          <w:sz w:val="11"/>
          <w:szCs w:val="11"/>
          <w:color w:val="auto"/>
        </w:rPr>
      </w:pPr>
    </w:p>
    <w:p>
      <w:pPr>
        <w:jc w:val="both"/>
        <w:ind w:right="20" w:firstLine="431"/>
        <w:spacing w:after="0" w:line="269" w:lineRule="auto"/>
        <w:tabs>
          <w:tab w:leader="none" w:pos="1055" w:val="left"/>
        </w:tabs>
        <w:numPr>
          <w:ilvl w:val="1"/>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shall have the right, in its sole discretion, to cease compilation and publication of any of the Indexes and, in the event that any of the Indexes is discontinued, to terminate the Agreement with respect to that index only, if MSCI does not offer a replacement or substitute Index. In the event that MSCI intends to discontinue any index, MSCI shall exercise reasonable efforts to give Licensee as much advance written notice prior to such discontinuance as practicable, which notice shall specify whether a replacement or substitute index will be available. In no event, however, will such advance written notice be less than sixty days. Licensee shall have the option hereunder within ninety days after receiving such written notice from MSCI to notify MSCI in writing of its intent to use the replacement index under the terms of this Agreement.</w:t>
      </w:r>
    </w:p>
    <w:p>
      <w:pPr>
        <w:spacing w:after="0" w:line="71" w:lineRule="exact"/>
        <w:rPr>
          <w:rFonts w:ascii="Times New Roman" w:cs="Times New Roman" w:eastAsia="Times New Roman" w:hAnsi="Times New Roman"/>
          <w:sz w:val="11"/>
          <w:szCs w:val="11"/>
          <w:color w:val="auto"/>
        </w:rPr>
      </w:pPr>
    </w:p>
    <w:p>
      <w:pPr>
        <w:ind w:right="40" w:firstLine="431"/>
        <w:spacing w:after="0" w:line="296" w:lineRule="auto"/>
        <w:tabs>
          <w:tab w:leader="none" w:pos="1062" w:val="left"/>
        </w:tabs>
        <w:numPr>
          <w:ilvl w:val="1"/>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may terminate this Agreement with respect to a specific Index or Indexes upon sixty days written notice to MSCI if Licensee is informed of the final adoption of any legislation or regulation that materially impairs Licensee’s ability to offer, sell, distribute, write, market or promote such Index-related fund or funds.</w:t>
      </w:r>
    </w:p>
    <w:p>
      <w:pPr>
        <w:spacing w:after="0" w:line="47" w:lineRule="exact"/>
        <w:rPr>
          <w:rFonts w:ascii="Times New Roman" w:cs="Times New Roman" w:eastAsia="Times New Roman" w:hAnsi="Times New Roman"/>
          <w:sz w:val="11"/>
          <w:szCs w:val="11"/>
          <w:color w:val="auto"/>
        </w:rPr>
      </w:pPr>
    </w:p>
    <w:p>
      <w:pPr>
        <w:ind w:firstLine="431"/>
        <w:spacing w:after="0" w:line="296" w:lineRule="auto"/>
        <w:tabs>
          <w:tab w:leader="none" w:pos="1055" w:val="left"/>
        </w:tabs>
        <w:numPr>
          <w:ilvl w:val="1"/>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Agreement with respect to a specific Index or Indexes if MSCI is informed of the final adoption of any legislation or regulation that materially impairs MSCI’s ability to license and provide the license rights set forth herein with respect to such Indexes under this Agreement. MSCI will use reasonable efforts to give Licensee as much advance written notice as possible.</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148590</wp:posOffset>
            </wp:positionV>
            <wp:extent cx="718947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00"/>
          </w:cols>
          <w:pgMar w:left="420" w:top="341" w:right="379" w:bottom="1440" w:gutter="0" w:footer="0" w:header="0"/>
        </w:sectPr>
      </w:pPr>
    </w:p>
    <w:bookmarkStart w:id="122" w:name="page123"/>
    <w:bookmarkEnd w:id="122"/>
    <w:p>
      <w:pPr>
        <w:ind w:left="840" w:hanging="419"/>
        <w:spacing w:after="0"/>
        <w:tabs>
          <w:tab w:leader="none" w:pos="84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Ri</w:t>
      </w:r>
      <w:r>
        <w:rPr>
          <w:rFonts w:ascii="Times New Roman" w:cs="Times New Roman" w:eastAsia="Times New Roman" w:hAnsi="Times New Roman"/>
          <w:sz w:val="11"/>
          <w:szCs w:val="11"/>
          <w:color w:val="auto"/>
        </w:rPr>
        <w:t>g</w:t>
      </w:r>
      <w:r>
        <w:rPr>
          <w:rFonts w:ascii="Times New Roman" w:cs="Times New Roman" w:eastAsia="Times New Roman" w:hAnsi="Times New Roman"/>
          <w:sz w:val="11"/>
          <w:szCs w:val="11"/>
          <w:u w:val="single" w:color="auto"/>
          <w:color w:val="auto"/>
        </w:rPr>
        <w:t>hts Upon Termination</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Upon termination of this Agreement, Licensee shall cease to use the Indexes and cease referring to the Indexes and the Marks with the Funds.</w:t>
      </w:r>
    </w:p>
    <w:p>
      <w:pPr>
        <w:spacing w:after="0" w:line="189" w:lineRule="exact"/>
        <w:rPr>
          <w:sz w:val="20"/>
          <w:szCs w:val="20"/>
          <w:color w:val="auto"/>
        </w:rPr>
      </w:pPr>
    </w:p>
    <w:p>
      <w:pPr>
        <w:ind w:left="840" w:hanging="419"/>
        <w:spacing w:after="0"/>
        <w:tabs>
          <w:tab w:leader="none" w:pos="84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Fund Promotion</w:t>
      </w:r>
    </w:p>
    <w:p>
      <w:pPr>
        <w:spacing w:after="0" w:line="80" w:lineRule="exact"/>
        <w:rPr>
          <w:rFonts w:ascii="Times New Roman" w:cs="Times New Roman" w:eastAsia="Times New Roman" w:hAnsi="Times New Roman"/>
          <w:sz w:val="11"/>
          <w:szCs w:val="11"/>
          <w:color w:val="auto"/>
        </w:rPr>
      </w:pPr>
    </w:p>
    <w:p>
      <w:pPr>
        <w:ind w:right="20" w:firstLine="431"/>
        <w:spacing w:after="0" w:line="276" w:lineRule="auto"/>
        <w:tabs>
          <w:tab w:leader="none" w:pos="1055" w:val="left"/>
        </w:tabs>
        <w:numPr>
          <w:ilvl w:val="1"/>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use its best efforts to protect the goodwill and reputation of MSCI in connections with its use of the Indexes and the Marks under this Agreement. Licensee shall submit to MSCI for its preview and approval all of the Funds advertisements, brochures, and promotional and information material (other than price quotations for a Fund) (collectively “Informational Materials”) relating to or referring to MSCI, the Indexes or the Marks. MSCI’s approval shall be confined solely to the use of or description of MSCI, the Marks, and the Indexes and shall not be unreasonably withheld or delayed by MSCI. It is MSCI’s goal to respond to any such requests for approval within four business days.</w:t>
      </w:r>
    </w:p>
    <w:p>
      <w:pPr>
        <w:spacing w:after="0" w:line="67" w:lineRule="exact"/>
        <w:rPr>
          <w:rFonts w:ascii="Times New Roman" w:cs="Times New Roman" w:eastAsia="Times New Roman" w:hAnsi="Times New Roman"/>
          <w:sz w:val="11"/>
          <w:szCs w:val="11"/>
          <w:color w:val="auto"/>
        </w:rPr>
      </w:pPr>
    </w:p>
    <w:p>
      <w:pPr>
        <w:ind w:left="1060" w:hanging="629"/>
        <w:spacing w:after="0"/>
        <w:tabs>
          <w:tab w:leader="none" w:pos="1060" w:val="left"/>
        </w:tabs>
        <w:numPr>
          <w:ilvl w:val="1"/>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is not obligated to engage in any marketing or promotional activities in connection with the Funds or in making any representation or statement to investors or prospective investors in connection with the promotion by</w:t>
      </w:r>
    </w:p>
    <w:p>
      <w:pPr>
        <w:spacing w:after="0" w:line="20"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of the Funds.</w:t>
      </w:r>
    </w:p>
    <w:p>
      <w:pPr>
        <w:spacing w:after="0" w:line="95" w:lineRule="exact"/>
        <w:rPr>
          <w:rFonts w:ascii="Times New Roman" w:cs="Times New Roman" w:eastAsia="Times New Roman" w:hAnsi="Times New Roman"/>
          <w:sz w:val="11"/>
          <w:szCs w:val="11"/>
          <w:color w:val="auto"/>
        </w:rPr>
      </w:pPr>
    </w:p>
    <w:p>
      <w:pPr>
        <w:jc w:val="both"/>
        <w:ind w:right="400" w:firstLine="431"/>
        <w:spacing w:after="0" w:line="296" w:lineRule="auto"/>
        <w:tabs>
          <w:tab w:leader="none" w:pos="1055" w:val="left"/>
        </w:tabs>
        <w:numPr>
          <w:ilvl w:val="1"/>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acknowledges and agrees that MSCI, in granting the permission contained in this Agreement, does not express or imply any approval of the Funds or of Licensee and Licensee further agrees not to make any statement which expresses or implies that MSCI approves, endorses or consents to the promotion, marketing, and arrangement by Licensee of the Funds or that MSCI makes any judgment or expresses any opinion in respect of the Licensee.</w:t>
      </w:r>
    </w:p>
    <w:p>
      <w:pPr>
        <w:spacing w:after="0" w:line="47" w:lineRule="exact"/>
        <w:rPr>
          <w:rFonts w:ascii="Times New Roman" w:cs="Times New Roman" w:eastAsia="Times New Roman" w:hAnsi="Times New Roman"/>
          <w:sz w:val="11"/>
          <w:szCs w:val="11"/>
          <w:color w:val="auto"/>
        </w:rPr>
      </w:pPr>
    </w:p>
    <w:p>
      <w:pPr>
        <w:ind w:right="60" w:firstLine="431"/>
        <w:spacing w:after="0" w:line="296" w:lineRule="auto"/>
        <w:tabs>
          <w:tab w:leader="none" w:pos="1062" w:val="left"/>
        </w:tabs>
        <w:numPr>
          <w:ilvl w:val="1"/>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agrees to promote the Funds based on the MSCI Index family as an integral part of the iShares family. Licensee agrees that Funds based on the MSCI index family will be afforded an equitable portion of Licensee’s overall promotion, marketing and advertising budget for iShares in comparison to other index fund families. As used herein, iShares means the iShares Trust, a Delaware Business Trust that was established in December 16, 1999.</w:t>
      </w:r>
    </w:p>
    <w:p>
      <w:pPr>
        <w:spacing w:after="0" w:line="146" w:lineRule="exact"/>
        <w:rPr>
          <w:rFonts w:ascii="Times New Roman" w:cs="Times New Roman" w:eastAsia="Times New Roman" w:hAnsi="Times New Roman"/>
          <w:sz w:val="11"/>
          <w:szCs w:val="11"/>
          <w:color w:val="auto"/>
        </w:rPr>
      </w:pPr>
    </w:p>
    <w:p>
      <w:pPr>
        <w:ind w:left="840" w:hanging="419"/>
        <w:spacing w:after="0"/>
        <w:tabs>
          <w:tab w:leader="none" w:pos="84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Protection Of Value Of License</w:t>
      </w:r>
    </w:p>
    <w:p>
      <w:pPr>
        <w:spacing w:after="0" w:line="80" w:lineRule="exact"/>
        <w:rPr>
          <w:rFonts w:ascii="Times New Roman" w:cs="Times New Roman" w:eastAsia="Times New Roman" w:hAnsi="Times New Roman"/>
          <w:sz w:val="11"/>
          <w:szCs w:val="11"/>
          <w:color w:val="auto"/>
        </w:rPr>
      </w:pPr>
    </w:p>
    <w:p>
      <w:pPr>
        <w:ind w:firstLine="431"/>
        <w:spacing w:after="0" w:line="276" w:lineRule="auto"/>
        <w:tabs>
          <w:tab w:leader="none" w:pos="1055" w:val="left"/>
        </w:tabs>
        <w:numPr>
          <w:ilvl w:val="1"/>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cooperate reasonably with MSCI in the maintenance of all MSCI common law and statutory rights in the Indexes and the Marks, including copyrights and other proprietary rights, and shall take such acts and execute such instruments as are reasonably necessary and appropriate to such purposes, including the use by the Licensee of the following notice when referring to the Indexes or the Marks in any advertisement, offering circular, prospectus, brochure, or promotional or informational material relating to the Funds:</w:t>
      </w: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The [Name of particular index] index is the exclusive property of MSCI. Morgan Stanley Capital International and MSCI are service marks of MSCI and has been licensed for use by [Name of Licensee].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or such similar language as may be approved in advance by MSCI.</w:t>
      </w:r>
    </w:p>
    <w:p>
      <w:pPr>
        <w:spacing w:after="0" w:line="1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148590</wp:posOffset>
            </wp:positionV>
            <wp:extent cx="7189470"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6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40"/>
          </w:cols>
          <w:pgMar w:left="420" w:top="341" w:right="339" w:bottom="1440" w:gutter="0" w:footer="0" w:header="0"/>
        </w:sectPr>
      </w:pPr>
    </w:p>
    <w:bookmarkStart w:id="123" w:name="page124"/>
    <w:bookmarkEnd w:id="123"/>
    <w:p>
      <w:pPr>
        <w:ind w:left="1060" w:hanging="629"/>
        <w:spacing w:after="0"/>
        <w:tabs>
          <w:tab w:leader="none" w:pos="1060" w:val="left"/>
        </w:tabs>
        <w:numPr>
          <w:ilvl w:val="1"/>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not refer to the names of the Indexes in any manner which might cause confusion as to MSCI’s responsibility for preparing and disseminating the Indexes or as to the identity of Licensee and its relationship to</w:t>
      </w:r>
    </w:p>
    <w:p>
      <w:pPr>
        <w:spacing w:after="0" w:line="20"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Funds.</w:t>
      </w:r>
    </w:p>
    <w:p>
      <w:pPr>
        <w:spacing w:after="0" w:line="176" w:lineRule="exact"/>
        <w:rPr>
          <w:rFonts w:ascii="Times New Roman" w:cs="Times New Roman" w:eastAsia="Times New Roman" w:hAnsi="Times New Roman"/>
          <w:sz w:val="11"/>
          <w:szCs w:val="11"/>
          <w:color w:val="auto"/>
        </w:rPr>
      </w:pPr>
    </w:p>
    <w:p>
      <w:pPr>
        <w:ind w:left="840" w:hanging="419"/>
        <w:spacing w:after="0"/>
        <w:tabs>
          <w:tab w:leader="none" w:pos="8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Proprietary Rights</w:t>
      </w:r>
    </w:p>
    <w:p>
      <w:pPr>
        <w:spacing w:after="0" w:line="89" w:lineRule="exact"/>
        <w:rPr>
          <w:rFonts w:ascii="Times New Roman" w:cs="Times New Roman" w:eastAsia="Times New Roman" w:hAnsi="Times New Roman"/>
          <w:sz w:val="11"/>
          <w:szCs w:val="11"/>
          <w:color w:val="auto"/>
        </w:rPr>
      </w:pPr>
    </w:p>
    <w:p>
      <w:pPr>
        <w:ind w:right="60" w:firstLine="431"/>
        <w:spacing w:after="0" w:line="296" w:lineRule="auto"/>
        <w:tabs>
          <w:tab w:leader="none" w:pos="1055" w:val="left"/>
        </w:tabs>
        <w:numPr>
          <w:ilvl w:val="1"/>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acknowledges that the Indexes are selected, arranged and prepared by MSCI through the application of methods and standards of judgment used and developed through the expenditure of considerable work, time and money by MSCI. Licensee also acknowledges that the Indexes and the Marks are the exclusive property of MSCI, and the Indexes and their compilation and composition and changes therein are in the control and discretion of MSCI.</w:t>
      </w:r>
    </w:p>
    <w:p>
      <w:pPr>
        <w:spacing w:after="0" w:line="47" w:lineRule="exact"/>
        <w:rPr>
          <w:rFonts w:ascii="Times New Roman" w:cs="Times New Roman" w:eastAsia="Times New Roman" w:hAnsi="Times New Roman"/>
          <w:sz w:val="11"/>
          <w:szCs w:val="11"/>
          <w:color w:val="auto"/>
        </w:rPr>
      </w:pPr>
    </w:p>
    <w:p>
      <w:pPr>
        <w:ind w:left="700" w:hanging="270"/>
        <w:spacing w:after="0"/>
        <w:tabs>
          <w:tab w:leader="none" w:pos="700" w:val="left"/>
        </w:tabs>
        <w:numPr>
          <w:ilvl w:val="1"/>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reserves all rights with respect to the Indexes and the Marks except those expressly licensed to Licensee hereunder.</w:t>
      </w:r>
    </w:p>
    <w:p>
      <w:pPr>
        <w:spacing w:after="0" w:line="143" w:lineRule="exact"/>
        <w:rPr>
          <w:rFonts w:ascii="Times New Roman" w:cs="Times New Roman" w:eastAsia="Times New Roman" w:hAnsi="Times New Roman"/>
          <w:sz w:val="11"/>
          <w:szCs w:val="11"/>
          <w:color w:val="auto"/>
        </w:rPr>
      </w:pPr>
    </w:p>
    <w:p>
      <w:pPr>
        <w:ind w:firstLine="431"/>
        <w:spacing w:after="0" w:line="261" w:lineRule="auto"/>
        <w:tabs>
          <w:tab w:leader="none" w:pos="1055" w:val="left"/>
        </w:tabs>
        <w:numPr>
          <w:ilvl w:val="1"/>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party shall treat as confidential and shall not disclose or transmit to any third party any confidential and proprietary information of the other party, including the terms of this Agreement or (in the case of MSCI) Informational Materials submitted to MSCI pursuant to paragraph 6(a) hereof, provided that the documentation or other written materials containing such information are designated as “Confidential” or “Proprietary” by the providing party and such information is not available generally to the public or otherwise available to the receiving party from a source other than the providing party. Notwithstanding the foregoing, Licensee or its affiliates may publish daily through the National Securities Clearing Corporation for distribution to NSCC members only and through Bloomberg L.P., or some other organization mutually agreed upon by the parties hereto, by electronic or in other means, each Fund’s daily market basket (including each Fund’s constituents and weights); provided, however, that MSCI may withdraw any such distribution approval in the event that such distribution materially adversely affects other MSCI business initiatives. In addition, if requested or required (by interrogatories, requests for information or documents, subpoena, or other process) either party may reveal such information if such information to be disclosed is (i) approved in writing by the other party for disclosure or (ii) required by law (in the opinion of counsel), regulatory agency or court order to be disclosed by a party, provided prior written notice of such required disclosure is given to the other party. In addition, except with respect to disclosure made pursuant to (i) and (ii) in the immediately preceding sentence, each party shall treat as confidential the terms of this Agreement. The provisions of this paragraph shall survive any termination of this Agreement for five (5) years from disclosure by either party to the other party of the last such confidential and proprietary information.</w:t>
      </w:r>
    </w:p>
    <w:p>
      <w:pPr>
        <w:spacing w:after="0" w:line="156" w:lineRule="exact"/>
        <w:rPr>
          <w:rFonts w:ascii="Times New Roman" w:cs="Times New Roman" w:eastAsia="Times New Roman" w:hAnsi="Times New Roman"/>
          <w:sz w:val="11"/>
          <w:szCs w:val="11"/>
          <w:color w:val="auto"/>
        </w:rPr>
      </w:pPr>
    </w:p>
    <w:p>
      <w:pPr>
        <w:ind w:left="840" w:hanging="419"/>
        <w:spacing w:after="0"/>
        <w:tabs>
          <w:tab w:leader="none" w:pos="8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Ownership and Protection of Composite Marks</w:t>
      </w:r>
    </w:p>
    <w:p>
      <w:pPr>
        <w:spacing w:after="0" w:line="80" w:lineRule="exact"/>
        <w:rPr>
          <w:rFonts w:ascii="Times New Roman" w:cs="Times New Roman" w:eastAsia="Times New Roman" w:hAnsi="Times New Roman"/>
          <w:sz w:val="11"/>
          <w:szCs w:val="11"/>
          <w:color w:val="auto"/>
        </w:rPr>
      </w:pPr>
    </w:p>
    <w:p>
      <w:pPr>
        <w:ind w:right="240" w:firstLine="431"/>
        <w:spacing w:after="0" w:line="296" w:lineRule="auto"/>
        <w:tabs>
          <w:tab w:leader="none" w:pos="1055" w:val="left"/>
        </w:tabs>
        <w:numPr>
          <w:ilvl w:val="1"/>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Fund based on an Index will be named or identified as the “iShares MSCI XXX (the “Composite Mark”), with the XXX representing the MSCI index (after the transition from the WEBS to iShares). Licensee will use MSCI approved Marks in the Composite Mark.</w:t>
      </w:r>
    </w:p>
    <w:p>
      <w:pPr>
        <w:spacing w:after="0" w:line="56" w:lineRule="exact"/>
        <w:rPr>
          <w:rFonts w:ascii="Times New Roman" w:cs="Times New Roman" w:eastAsia="Times New Roman" w:hAnsi="Times New Roman"/>
          <w:sz w:val="11"/>
          <w:szCs w:val="11"/>
          <w:color w:val="auto"/>
        </w:rPr>
      </w:pPr>
    </w:p>
    <w:p>
      <w:pPr>
        <w:ind w:right="60" w:firstLine="431"/>
        <w:spacing w:after="0" w:line="296" w:lineRule="auto"/>
        <w:tabs>
          <w:tab w:leader="none" w:pos="1062" w:val="left"/>
        </w:tabs>
        <w:numPr>
          <w:ilvl w:val="1"/>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acknowledges and agrees that the iShares Marks are and will remain the exclusive property of Licensee, and that all goodwill that attaches to the iShares and other Licensee Marks as a result their use in the Composite Marks will redound to the exclusive benefit of Licensee. Licensee acknowledges and agrees that the MSCI Marks are and will remain the exclusive property</w:t>
      </w:r>
    </w:p>
    <w:p>
      <w:pPr>
        <w:spacing w:after="0" w:line="1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148590</wp:posOffset>
            </wp:positionV>
            <wp:extent cx="7189470"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80"/>
          </w:cols>
          <w:pgMar w:left="420" w:top="341" w:right="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1"/>
          <w:szCs w:val="11"/>
          <w:color w:val="auto"/>
        </w:rPr>
        <w:t>of MSCI, and that all goodwill that attaches to the MSCI Marks as a result of their use by Licensee including, without limitation, in the Composite Marks, will redound to the exclusive benefit of MSCI.</w:t>
      </w:r>
    </w:p>
    <w:p>
      <w:pPr>
        <w:spacing w:after="0" w:line="117" w:lineRule="exact"/>
        <w:rPr>
          <w:sz w:val="20"/>
          <w:szCs w:val="20"/>
          <w:color w:val="auto"/>
        </w:rPr>
      </w:pPr>
    </w:p>
    <w:p>
      <w:pPr>
        <w:ind w:left="1040" w:hanging="609"/>
        <w:spacing w:after="0"/>
        <w:tabs>
          <w:tab w:leader="none" w:pos="10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Composite Marks will be owned neither by Licensee nor MSCI. Licensee will have the exclusive right to use the Composite Marks. Neither party will register or apply for registration of the Composite Marks.</w:t>
      </w:r>
    </w:p>
    <w:p>
      <w:pPr>
        <w:spacing w:after="0" w:line="107" w:lineRule="exact"/>
        <w:rPr>
          <w:rFonts w:ascii="Times New Roman" w:cs="Times New Roman" w:eastAsia="Times New Roman" w:hAnsi="Times New Roman"/>
          <w:sz w:val="11"/>
          <w:szCs w:val="11"/>
          <w:color w:val="auto"/>
        </w:rPr>
      </w:pPr>
    </w:p>
    <w:p>
      <w:pPr>
        <w:ind w:right="100" w:firstLine="431"/>
        <w:spacing w:after="0" w:line="296" w:lineRule="auto"/>
        <w:tabs>
          <w:tab w:leader="none" w:pos="1062"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Upon termination of this Agreement, neither party will have ownership of or the right to use the Composite Marks. However, the parties’ respective ownership rights will persist in the constituent MSCI Marks and iShares and Licensee Marks that together comprise the Composite Marks.</w:t>
      </w:r>
    </w:p>
    <w:p>
      <w:pPr>
        <w:spacing w:after="0" w:line="138" w:lineRule="exact"/>
        <w:rPr>
          <w:sz w:val="20"/>
          <w:szCs w:val="20"/>
          <w:color w:val="auto"/>
        </w:rPr>
      </w:pPr>
    </w:p>
    <w:p>
      <w:pPr>
        <w:ind w:left="840" w:hanging="419"/>
        <w:spacing w:after="0"/>
        <w:tabs>
          <w:tab w:leader="none" w:pos="84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Warranties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Disclaimers</w:t>
      </w:r>
    </w:p>
    <w:p>
      <w:pPr>
        <w:spacing w:after="0" w:line="81" w:lineRule="exact"/>
        <w:rPr>
          <w:sz w:val="20"/>
          <w:szCs w:val="20"/>
          <w:color w:val="auto"/>
        </w:rPr>
      </w:pPr>
    </w:p>
    <w:p>
      <w:pPr>
        <w:ind w:right="260" w:firstLine="431"/>
        <w:spacing w:after="0" w:line="296" w:lineRule="auto"/>
        <w:tabs>
          <w:tab w:leader="none" w:pos="1055"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represents and warrants that MSCI is the owner of rights granted to Licensee herein and that use of the Indexes as provided herein shall not infringe any trademark, service mark, copyright, other proprietary right, or contractual right of any person not a party to this Agreement.</w:t>
      </w:r>
    </w:p>
    <w:p>
      <w:pPr>
        <w:spacing w:after="0" w:line="56" w:lineRule="exact"/>
        <w:rPr>
          <w:rFonts w:ascii="Times New Roman" w:cs="Times New Roman" w:eastAsia="Times New Roman" w:hAnsi="Times New Roman"/>
          <w:sz w:val="11"/>
          <w:szCs w:val="11"/>
          <w:color w:val="auto"/>
        </w:rPr>
      </w:pPr>
    </w:p>
    <w:p>
      <w:pPr>
        <w:ind w:left="1060" w:hanging="629"/>
        <w:spacing w:after="0"/>
        <w:tabs>
          <w:tab w:leader="none" w:pos="106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agrees expressly to be bound itself by and furthermore to include all of the following disclaimers and limitations in the prospectus and any contract(s) relating to the Funds and upon request to furnish a copy (copies)</w:t>
      </w:r>
    </w:p>
    <w:p>
      <w:pPr>
        <w:spacing w:after="0" w:line="20"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thereof to MSCI:</w:t>
      </w:r>
    </w:p>
    <w:p>
      <w:pPr>
        <w:spacing w:after="0" w:line="42" w:lineRule="exact"/>
        <w:rPr>
          <w:sz w:val="20"/>
          <w:szCs w:val="20"/>
          <w:color w:val="auto"/>
        </w:rPr>
      </w:pPr>
    </w:p>
    <w:p>
      <w:pPr>
        <w:ind w:left="440" w:firstLine="403"/>
        <w:spacing w:after="0" w:line="266" w:lineRule="auto"/>
        <w:rPr>
          <w:sz w:val="20"/>
          <w:szCs w:val="20"/>
          <w:color w:val="auto"/>
        </w:rPr>
      </w:pPr>
      <w:r>
        <w:rPr>
          <w:rFonts w:ascii="Times New Roman" w:cs="Times New Roman" w:eastAsia="Times New Roman" w:hAnsi="Times New Roman"/>
          <w:sz w:val="11"/>
          <w:szCs w:val="11"/>
          <w:color w:val="auto"/>
        </w:rPr>
        <w:t>This fund is not sponsored, endorsed, sold or promoted by MSCI or any affiliate of MSCI. Neither MSCI nor any other party makes any representation or warranty, express or implied, to the owners of this fund or any member of the public regarding the advisability of investing in funds generally or in this fund particularly or the ability of the [ ] index to track general stock market performance. MSCI is the licensor of certain trademarks, service marks and trade names of MSCI and of the [ ] index which is determined, composed and calculated by MSCI without regard to the issuer of this fund or this fund. MSCI has no obligation to take the needs of the issuer of this fund or the owners of this fund into consideration in determining, composing or calculating the [ ] index. MSCI is not responsible for and has not participated in the determination of the timing of, prices at, or quantities of this fund to be issued or in the determination or calculation of the equation by which this fund is redeemable for cash. Neither MSCI nor any other party has any obligation or liability to owners of this fund in connection with the administration, marketing or trading of this fund.</w:t>
      </w:r>
    </w:p>
    <w:p>
      <w:pPr>
        <w:spacing w:after="0" w:line="28" w:lineRule="exact"/>
        <w:rPr>
          <w:sz w:val="20"/>
          <w:szCs w:val="20"/>
          <w:color w:val="auto"/>
        </w:rPr>
      </w:pPr>
    </w:p>
    <w:p>
      <w:pPr>
        <w:jc w:val="both"/>
        <w:ind w:left="440" w:right="40" w:firstLine="403"/>
        <w:spacing w:after="0" w:line="276" w:lineRule="auto"/>
        <w:rPr>
          <w:sz w:val="20"/>
          <w:szCs w:val="20"/>
          <w:color w:val="auto"/>
        </w:rPr>
      </w:pPr>
      <w:r>
        <w:rPr>
          <w:rFonts w:ascii="Times New Roman" w:cs="Times New Roman" w:eastAsia="Times New Roman" w:hAnsi="Times New Roman"/>
          <w:sz w:val="11"/>
          <w:szCs w:val="11"/>
          <w:color w:val="auto"/>
        </w:rPr>
        <w:t>ALTHOUGH MSCI SHALL OBTAIN INFORMATION FOR INCLUSION IN OR FOR USE IN THE CALCULATION OF THE INDEXES FROM SOURCES WHICH MSCI CONSIDERS RELIABLE, NEITHER MSCI NOR ANY OTHER PARTY GUARANTEES THE ACCURACY AND/OR THE COMPLETENESS OF THE INDEXES OR ANY DATA INCLUDED THEREIN. NEITHER MSCI NOR ANY OTHER PARTY MAKES ANY WARRANTY, EXPRESS OR IMPLIED, AS TO RESULTS TO BE OBTAINED BY LICENSEE, LICENSEE’S</w:t>
      </w:r>
    </w:p>
    <w:p>
      <w:pPr>
        <w:spacing w:after="0" w:line="1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148590</wp:posOffset>
            </wp:positionV>
            <wp:extent cx="7189470"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60"/>
          </w:cols>
          <w:pgMar w:left="420" w:top="341" w:right="319" w:bottom="1440" w:gutter="0" w:footer="0" w:header="0"/>
        </w:sectPr>
      </w:pPr>
    </w:p>
    <w:bookmarkStart w:id="125" w:name="page126"/>
    <w:bookmarkEnd w:id="125"/>
    <w:p>
      <w:pPr>
        <w:ind w:left="440" w:right="60"/>
        <w:spacing w:after="0" w:line="266" w:lineRule="auto"/>
        <w:rPr>
          <w:sz w:val="20"/>
          <w:szCs w:val="20"/>
          <w:color w:val="auto"/>
        </w:rPr>
      </w:pPr>
      <w:r>
        <w:rPr>
          <w:rFonts w:ascii="Times New Roman" w:cs="Times New Roman" w:eastAsia="Times New Roman" w:hAnsi="Times New Roman"/>
          <w:sz w:val="11"/>
          <w:szCs w:val="11"/>
          <w:color w:val="auto"/>
        </w:rPr>
        <w:t>CUSTOMERS AND COUNTERPARTIES, OWNERS OF THE FUNDS, OR ANY OTHER PERSON OR ENTITY FROM THE USE OF THE INDEXES OR ANY DATA INCLUDED THEREIN IN CONNECTION WITH THE RIGHTS LICENSED HEREUNDER OR FOR ANY OTHER USE. NEITHER MSCI NOR ANY OTHER PARTY MAKES ANY EXPRESS OR IMPLIED WARRANTIES, AND MSCI HEREBY EXPRESSLYDISCLAIMS ALL WARRANTIESOF MERCHANTABILITY OR FITNESS FOR A PARTICULAR PURPOSE WITH RESPECT TO THE INDEXES OR ANY DATAINCLUDED THEREIN. WITHOUT LIMITING ANY OF THE FOREGOING, IN NO EVENT SHALL MSCI OR ANY OTHER PARTY HAVE ANY LIABILITY FOR ANY DIRECT, INDIRECT, SPECIAL, PUNITIVE, CONSEQUENTIAL OR ANY OTHER DAMAGES (INCLUDING LOST PROFITS) EVEN IF NOTIFIED OF THE POSSIBILITY OF SUCH DAMAGES.</w:t>
      </w:r>
    </w:p>
    <w:p>
      <w:pPr>
        <w:spacing w:after="0" w:line="73" w:lineRule="exact"/>
        <w:rPr>
          <w:sz w:val="20"/>
          <w:szCs w:val="20"/>
          <w:color w:val="auto"/>
        </w:rPr>
      </w:pPr>
    </w:p>
    <w:p>
      <w:pPr>
        <w:ind w:right="200" w:firstLine="431"/>
        <w:spacing w:after="0" w:line="296" w:lineRule="auto"/>
        <w:tabs>
          <w:tab w:leader="none" w:pos="1055"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agrees expressly to be bound itself by and furthermore to include all of the following disclaimers and limitations in any Informational Materials (other than the prospectus) relating to the Funds and upon request to furnish a copy (copies) thereof to MSCI:</w:t>
      </w:r>
    </w:p>
    <w:p>
      <w:pPr>
        <w:spacing w:after="0" w:line="3" w:lineRule="exact"/>
        <w:rPr>
          <w:sz w:val="20"/>
          <w:szCs w:val="20"/>
          <w:color w:val="auto"/>
        </w:rPr>
      </w:pPr>
    </w:p>
    <w:p>
      <w:pPr>
        <w:ind w:left="440" w:right="140" w:firstLine="403"/>
        <w:spacing w:after="0" w:line="296" w:lineRule="auto"/>
        <w:rPr>
          <w:sz w:val="20"/>
          <w:szCs w:val="20"/>
          <w:color w:val="auto"/>
        </w:rPr>
      </w:pPr>
      <w:r>
        <w:rPr>
          <w:rFonts w:ascii="Times New Roman" w:cs="Times New Roman" w:eastAsia="Times New Roman" w:hAnsi="Times New Roman"/>
          <w:sz w:val="11"/>
          <w:szCs w:val="11"/>
          <w:color w:val="auto"/>
        </w:rPr>
        <w:t>MSCI, Morgan Stanley Capital International and MSCI Index are service marks of Morgan Stanley Capital International and have been licensed for use by Barclays Global Investors, N.A. The Funds are not sponsored, endorsed, sold or promoted by Morgan Stanley Capital International. Nor does Morgan Stanley Capital International make any representation regarding the advisability of investing in any the Funds.</w:t>
      </w:r>
    </w:p>
    <w:p>
      <w:pPr>
        <w:spacing w:after="0" w:line="57" w:lineRule="exact"/>
        <w:rPr>
          <w:sz w:val="20"/>
          <w:szCs w:val="20"/>
          <w:color w:val="auto"/>
        </w:rPr>
      </w:pPr>
    </w:p>
    <w:p>
      <w:pPr>
        <w:ind w:left="1060" w:hanging="629"/>
        <w:spacing w:after="0"/>
        <w:tabs>
          <w:tab w:leader="none" w:pos="1060" w:val="left"/>
        </w:tabs>
        <w:numPr>
          <w:ilvl w:val="1"/>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represents and warrants that it has the authority to enter into this Agreement according to its terms and that its performance does not violate any laws, regulations or agreements applicable to it.</w:t>
      </w:r>
    </w:p>
    <w:p>
      <w:pPr>
        <w:spacing w:after="0" w:line="98" w:lineRule="exact"/>
        <w:rPr>
          <w:rFonts w:ascii="Times New Roman" w:cs="Times New Roman" w:eastAsia="Times New Roman" w:hAnsi="Times New Roman"/>
          <w:sz w:val="11"/>
          <w:szCs w:val="11"/>
          <w:color w:val="auto"/>
        </w:rPr>
      </w:pPr>
    </w:p>
    <w:p>
      <w:pPr>
        <w:ind w:left="1040" w:hanging="609"/>
        <w:spacing w:after="0"/>
        <w:tabs>
          <w:tab w:leader="none" w:pos="1040" w:val="left"/>
        </w:tabs>
        <w:numPr>
          <w:ilvl w:val="1"/>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represents and warrants that it has the authority to enter into this Agreement and that its performance does not violate any applicable laws, regulations or agreements, including but not limited to banking, commodities</w:t>
      </w:r>
    </w:p>
    <w:p>
      <w:pPr>
        <w:spacing w:after="0" w:line="20"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and securities laws.</w:t>
      </w:r>
    </w:p>
    <w:p>
      <w:pPr>
        <w:spacing w:after="0" w:line="95" w:lineRule="exact"/>
        <w:rPr>
          <w:rFonts w:ascii="Times New Roman" w:cs="Times New Roman" w:eastAsia="Times New Roman" w:hAnsi="Times New Roman"/>
          <w:sz w:val="11"/>
          <w:szCs w:val="11"/>
          <w:color w:val="auto"/>
        </w:rPr>
      </w:pPr>
    </w:p>
    <w:p>
      <w:pPr>
        <w:ind w:left="700" w:hanging="270"/>
        <w:spacing w:after="0"/>
        <w:tabs>
          <w:tab w:leader="none" w:pos="700" w:val="left"/>
        </w:tabs>
        <w:numPr>
          <w:ilvl w:val="1"/>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Neither party shall have any liability for lost profits or consequential damages arising out of this Agreement.</w:t>
      </w:r>
    </w:p>
    <w:p>
      <w:pPr>
        <w:spacing w:after="0" w:line="134" w:lineRule="exact"/>
        <w:rPr>
          <w:rFonts w:ascii="Times New Roman" w:cs="Times New Roman" w:eastAsia="Times New Roman" w:hAnsi="Times New Roman"/>
          <w:sz w:val="11"/>
          <w:szCs w:val="11"/>
          <w:color w:val="auto"/>
        </w:rPr>
      </w:pPr>
    </w:p>
    <w:p>
      <w:pPr>
        <w:ind w:left="680" w:hanging="250"/>
        <w:spacing w:after="0"/>
        <w:tabs>
          <w:tab w:leader="none" w:pos="680" w:val="left"/>
        </w:tabs>
        <w:numPr>
          <w:ilvl w:val="1"/>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provisions of this Section 9 shall survive any termination of this Agreement.</w:t>
      </w:r>
    </w:p>
    <w:p>
      <w:pPr>
        <w:spacing w:after="0" w:line="224" w:lineRule="exact"/>
        <w:rPr>
          <w:rFonts w:ascii="Times New Roman" w:cs="Times New Roman" w:eastAsia="Times New Roman" w:hAnsi="Times New Roman"/>
          <w:sz w:val="11"/>
          <w:szCs w:val="11"/>
          <w:color w:val="auto"/>
        </w:rPr>
      </w:pPr>
    </w:p>
    <w:p>
      <w:pPr>
        <w:ind w:left="840" w:hanging="419"/>
        <w:spacing w:after="0"/>
        <w:tabs>
          <w:tab w:leader="none" w:pos="84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Indemnification</w:t>
      </w:r>
    </w:p>
    <w:p>
      <w:pPr>
        <w:spacing w:after="0" w:line="80" w:lineRule="exact"/>
        <w:rPr>
          <w:rFonts w:ascii="Times New Roman" w:cs="Times New Roman" w:eastAsia="Times New Roman" w:hAnsi="Times New Roman"/>
          <w:sz w:val="11"/>
          <w:szCs w:val="11"/>
          <w:color w:val="auto"/>
        </w:rPr>
      </w:pPr>
    </w:p>
    <w:p>
      <w:pPr>
        <w:jc w:val="both"/>
        <w:ind w:right="20" w:firstLine="431"/>
        <w:spacing w:after="0" w:line="276" w:lineRule="auto"/>
        <w:tabs>
          <w:tab w:leader="none" w:pos="1055" w:val="left"/>
        </w:tabs>
        <w:numPr>
          <w:ilvl w:val="1"/>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indemnify and hold harmless MSCI, its parent, subsidiaries, affiliates, and their officers, directors, employees and agents against any and all judgments, damages, costs or losses of any kind (including reasonable attorneys’ and experts’ fees) as a result of claims or actions brought by third parties against MSCI which arise from any act or omission of Licensee which constitutes a breach of this Agreement or is in any manner related to the Funds (except with respect to any claim or action alleging that Licensee’s or Funds’ use of the Indexes and Marks violates or infringes any trademark, service mark, copyright or other proprietary right of</w:t>
      </w:r>
    </w:p>
    <w:p>
      <w:pPr>
        <w:spacing w:after="0" w:line="1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148590</wp:posOffset>
            </wp:positionV>
            <wp:extent cx="7189470" cy="11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40"/>
          </w:cols>
          <w:pgMar w:left="420" w:top="341" w:right="339" w:bottom="1440" w:gutter="0" w:footer="0" w:header="0"/>
        </w:sectPr>
      </w:pPr>
    </w:p>
    <w:bookmarkStart w:id="126" w:name="page127"/>
    <w:bookmarkEnd w:id="126"/>
    <w:p>
      <w:pPr>
        <w:ind w:left="20"/>
        <w:spacing w:after="0"/>
        <w:rPr>
          <w:sz w:val="20"/>
          <w:szCs w:val="20"/>
          <w:color w:val="auto"/>
        </w:rPr>
      </w:pPr>
      <w:r>
        <w:rPr>
          <w:rFonts w:ascii="Times New Roman" w:cs="Times New Roman" w:eastAsia="Times New Roman" w:hAnsi="Times New Roman"/>
          <w:sz w:val="11"/>
          <w:szCs w:val="11"/>
          <w:color w:val="auto"/>
        </w:rPr>
        <w:t>any person not a party to this Agreement); provided, however, that (i) MSCI notifies Licensee promptly of any such claim or action, and</w:t>
      </w:r>
    </w:p>
    <w:p>
      <w:pPr>
        <w:spacing w:after="0" w:line="21" w:lineRule="exact"/>
        <w:rPr>
          <w:sz w:val="20"/>
          <w:szCs w:val="20"/>
          <w:color w:val="auto"/>
        </w:rPr>
      </w:pPr>
    </w:p>
    <w:p>
      <w:pPr>
        <w:ind w:left="20" w:right="80" w:hanging="7"/>
        <w:spacing w:after="0" w:line="260" w:lineRule="auto"/>
        <w:tabs>
          <w:tab w:leader="none" w:pos="181"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have no liability to MSCI if such judgments, damages, costs or losses are attributable to any breach of the Agreement, negligent act or omission by MSCI, its parent, affiliates, subsidiaries or any of their employees or agents. Licensee shall bear all expenses in connection with the defense and/or settlement of any such claim or action. MSCI shall have the right, at its own expense, to participate in the defense of any claim or action against which it is indemnified hereunder; provided, however, it shall have no right to control the defense, consent to judgment, or agree to settle any such claim or action, without the written consent of Licensee. Licensee, in the defense of any such claim, except with the written consent of MSCI, shall not consent to entry of any judgment or enter into any settlement which</w:t>
      </w:r>
    </w:p>
    <w:p>
      <w:pPr>
        <w:ind w:left="240" w:hanging="231"/>
        <w:spacing w:after="0"/>
        <w:tabs>
          <w:tab w:leader="none" w:pos="24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does not include, as an unconditional term, the grant by the claimant to MSCI of a release of all liabilities in respect of such claims or</w:t>
      </w:r>
    </w:p>
    <w:p>
      <w:pPr>
        <w:spacing w:after="0" w:line="32" w:lineRule="exact"/>
        <w:rPr>
          <w:rFonts w:ascii="Times New Roman" w:cs="Times New Roman" w:eastAsia="Times New Roman" w:hAnsi="Times New Roman"/>
          <w:sz w:val="11"/>
          <w:szCs w:val="11"/>
          <w:color w:val="auto"/>
        </w:rPr>
      </w:pPr>
    </w:p>
    <w:p>
      <w:pPr>
        <w:ind w:left="300" w:hanging="291"/>
        <w:spacing w:after="0"/>
        <w:tabs>
          <w:tab w:leader="none" w:pos="30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otherwise adversely affects the rights of MSCI. This provision shall survive the termination of this Agreement.</w:t>
      </w:r>
    </w:p>
    <w:p>
      <w:pPr>
        <w:spacing w:after="0" w:line="125" w:lineRule="exact"/>
        <w:rPr>
          <w:rFonts w:ascii="Times New Roman" w:cs="Times New Roman" w:eastAsia="Times New Roman" w:hAnsi="Times New Roman"/>
          <w:sz w:val="11"/>
          <w:szCs w:val="11"/>
          <w:color w:val="auto"/>
        </w:rPr>
      </w:pPr>
    </w:p>
    <w:p>
      <w:pPr>
        <w:ind w:left="20" w:firstLine="431"/>
        <w:spacing w:after="0" w:line="261" w:lineRule="auto"/>
        <w:tabs>
          <w:tab w:leader="none" w:pos="1082" w:val="left"/>
        </w:tabs>
        <w:numPr>
          <w:ilvl w:val="2"/>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shall indemnify and hold harmless Licensee, its parent, subsidiaries, affiliates, and their officers, directors, employees and agents against any and all judgments, damages, costs or losses of any kind (including reasonable attorneys’ and experts’ fees) as a result of claims or actions brought by third parties against Licensee alleging that Licensee’s or Funds’ use of the Indexes and Marks violates or infringes any trademark, service mark, copyright or other proprietary right of any person not a party to this Agreement; provided, however, that (i) Licensee notifies MSCI promptly of any such claim or action, and (ii) MSCI shall have no liability to Licensee if such judgments, damages, costs or losses are attributable to any breach of the Agreement, negligent act or omission by Licensee, its parent, affiliates, subsidiaries or any of their employees or agents. MSCI shall bear all expenses in connection with the defense and/or settlement of any such claim or action. Licensee shall have the right, at its own expense, to participate in the defense of any claim or action against which it is indemnified hereunder; provided, however, it shall have no right to control the defense, consent to judgment, or agree to settle any such claim or action, without the written consent of MSCI. MSCI, in the defense of any such claim, except with the written consent of Licensee, shall not consent to entry of any judgment or enter into any settlement which (i) does not include, as an unconditional term, the grant by the claimant to Licensee of a release of all liabilities in respect of such claims or (ii) otherwise adversely affects the rights of Licensee other than with respect to the rights granted licensee under this Agreement. This provision shall survive the termination of this Agreement.</w:t>
      </w:r>
    </w:p>
    <w:p>
      <w:pPr>
        <w:spacing w:after="0" w:line="169" w:lineRule="exact"/>
        <w:rPr>
          <w:sz w:val="20"/>
          <w:szCs w:val="20"/>
          <w:color w:val="auto"/>
        </w:rPr>
      </w:pPr>
    </w:p>
    <w:p>
      <w:pPr>
        <w:ind w:left="860" w:hanging="419"/>
        <w:spacing w:after="0"/>
        <w:tabs>
          <w:tab w:leader="none" w:pos="86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Force Ma</w:t>
      </w:r>
      <w:r>
        <w:rPr>
          <w:rFonts w:ascii="Times New Roman" w:cs="Times New Roman" w:eastAsia="Times New Roman" w:hAnsi="Times New Roman"/>
          <w:sz w:val="11"/>
          <w:szCs w:val="11"/>
          <w:color w:val="auto"/>
        </w:rPr>
        <w:t>j</w:t>
      </w:r>
      <w:r>
        <w:rPr>
          <w:rFonts w:ascii="Times New Roman" w:cs="Times New Roman" w:eastAsia="Times New Roman" w:hAnsi="Times New Roman"/>
          <w:sz w:val="11"/>
          <w:szCs w:val="11"/>
          <w:u w:val="single" w:color="auto"/>
          <w:color w:val="auto"/>
        </w:rPr>
        <w:t>eure</w:t>
      </w:r>
    </w:p>
    <w:p>
      <w:pPr>
        <w:spacing w:after="0" w:line="81" w:lineRule="exact"/>
        <w:rPr>
          <w:sz w:val="20"/>
          <w:szCs w:val="20"/>
          <w:color w:val="auto"/>
        </w:rPr>
      </w:pPr>
    </w:p>
    <w:p>
      <w:pPr>
        <w:ind w:left="20" w:right="100" w:firstLine="437"/>
        <w:spacing w:after="0" w:line="276" w:lineRule="auto"/>
        <w:rPr>
          <w:sz w:val="20"/>
          <w:szCs w:val="20"/>
          <w:color w:val="auto"/>
        </w:rPr>
      </w:pPr>
      <w:r>
        <w:rPr>
          <w:rFonts w:ascii="Times New Roman" w:cs="Times New Roman" w:eastAsia="Times New Roman" w:hAnsi="Times New Roman"/>
          <w:sz w:val="11"/>
          <w:szCs w:val="11"/>
          <w:color w:val="auto"/>
        </w:rPr>
        <w:t>Neither MSCI nor Licensee shall bear responsibility or liability for any losses arising out of any delay in or interruptions of their respective performance of their obligations under this Agreement due to any act of God, act of governmental authority, act of the public enemy, or due to war, alien invasion, riot, fire, flood, civil commotion, insurrection, labor difficulty (including, without limitation, any strike, or other work stoppage or slowdown), or other cause beyond the reasonable control of the party so affected, provided that such party had exercised due diligence as the circumstances reasonably required.</w:t>
      </w:r>
    </w:p>
    <w:p>
      <w:pPr>
        <w:spacing w:after="0" w:line="1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148590</wp:posOffset>
            </wp:positionV>
            <wp:extent cx="7189470" cy="11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40"/>
          </w:cols>
          <w:pgMar w:left="400" w:top="341" w:right="359" w:bottom="1440" w:gutter="0" w:footer="0" w:header="0"/>
        </w:sectPr>
      </w:pPr>
    </w:p>
    <w:bookmarkStart w:id="127" w:name="page128"/>
    <w:bookmarkEnd w:id="127"/>
    <w:p>
      <w:pPr>
        <w:ind w:left="960" w:hanging="419"/>
        <w:spacing w:after="0"/>
        <w:tabs>
          <w:tab w:leader="none" w:pos="96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Other Matters</w:t>
      </w:r>
    </w:p>
    <w:p>
      <w:pPr>
        <w:spacing w:after="0" w:line="90" w:lineRule="exact"/>
        <w:rPr>
          <w:sz w:val="20"/>
          <w:szCs w:val="20"/>
          <w:color w:val="auto"/>
        </w:rPr>
      </w:pPr>
    </w:p>
    <w:p>
      <w:pPr>
        <w:ind w:left="120" w:firstLine="431"/>
        <w:spacing w:after="0" w:line="276" w:lineRule="auto"/>
        <w:tabs>
          <w:tab w:leader="none" w:pos="1175"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Agreement is solely and exclusively between the parties as now constituted and, unless otherwise provided, shall not be assigned or transferred by either party, without prior written consent of the other party, which shall not be unreasonably withheld, and any attempt to so assign or transfer this Agreement without such written consent shall be null and void. Notwithstanding the foregoing, this Agreement may be assigned by MSCI to its parent or any of its subsidiaries or affiliates without the consent of Licensee.</w:t>
      </w:r>
    </w:p>
    <w:p>
      <w:pPr>
        <w:spacing w:after="0" w:line="58" w:lineRule="exact"/>
        <w:rPr>
          <w:rFonts w:ascii="Times New Roman" w:cs="Times New Roman" w:eastAsia="Times New Roman" w:hAnsi="Times New Roman"/>
          <w:sz w:val="11"/>
          <w:szCs w:val="11"/>
          <w:color w:val="auto"/>
        </w:rPr>
      </w:pPr>
    </w:p>
    <w:p>
      <w:pPr>
        <w:ind w:left="120" w:right="160" w:firstLine="431"/>
        <w:spacing w:after="0" w:line="296" w:lineRule="auto"/>
        <w:tabs>
          <w:tab w:leader="none" w:pos="1182"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Agreement constitutes the entire agreement of the parties hereto with respect to its subject matter and may be amended or modified only by a writing signed by duly authorized officers of both parties. This Agreement supersedes all previous Agreements between the parties with respect to the subject matter of this Agreement. There are no oral or written collateral representations, agreements, or understandings except as provided herein.</w:t>
      </w:r>
    </w:p>
    <w:p>
      <w:pPr>
        <w:spacing w:after="0" w:line="56" w:lineRule="exact"/>
        <w:rPr>
          <w:rFonts w:ascii="Times New Roman" w:cs="Times New Roman" w:eastAsia="Times New Roman" w:hAnsi="Times New Roman"/>
          <w:sz w:val="11"/>
          <w:szCs w:val="11"/>
          <w:color w:val="auto"/>
        </w:rPr>
      </w:pPr>
    </w:p>
    <w:p>
      <w:pPr>
        <w:ind w:left="120" w:firstLine="431"/>
        <w:spacing w:after="0" w:line="296" w:lineRule="auto"/>
        <w:tabs>
          <w:tab w:leader="none" w:pos="1175"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 breach, default, or threatened breach of this Agreement by either party shall relieve the other party of its obligations or liabilities under this Agreement with respect to the protection of the property or proprietary nature of any property which is the subject of this Agreement.</w:t>
      </w:r>
    </w:p>
    <w:p>
      <w:pPr>
        <w:spacing w:after="0" w:line="56" w:lineRule="exact"/>
        <w:rPr>
          <w:rFonts w:ascii="Times New Roman" w:cs="Times New Roman" w:eastAsia="Times New Roman" w:hAnsi="Times New Roman"/>
          <w:sz w:val="11"/>
          <w:szCs w:val="11"/>
          <w:color w:val="auto"/>
        </w:rPr>
      </w:pPr>
    </w:p>
    <w:p>
      <w:pPr>
        <w:ind w:left="120" w:right="40" w:firstLine="431"/>
        <w:spacing w:after="0" w:line="296" w:lineRule="auto"/>
        <w:tabs>
          <w:tab w:leader="none" w:pos="1182"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notices and other communications under this Agreement shall be (i) in writing, (ii) delivered by hand or by registered or certified mall, return receipt requested, to the addresses set forth below or such addresses as either party shall specify by a written notice to the other and (iii) deemed given upon receipt.</w:t>
      </w:r>
    </w:p>
    <w:p>
      <w:pPr>
        <w:spacing w:after="0" w:line="47" w:lineRule="exact"/>
        <w:rPr>
          <w:rFonts w:ascii="Times New Roman" w:cs="Times New Roman" w:eastAsia="Times New Roman" w:hAnsi="Times New Roman"/>
          <w:sz w:val="11"/>
          <w:szCs w:val="11"/>
          <w:color w:val="auto"/>
        </w:rPr>
      </w:pPr>
    </w:p>
    <w:p>
      <w:pPr>
        <w:ind w:left="1160" w:hanging="609"/>
        <w:spacing w:after="0"/>
        <w:tabs>
          <w:tab w:leader="none" w:pos="116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Agreement shall be interpreted, construed and enforced in accordance with the laws of the State of New York, without regard to its conflict of laws principles.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Notice to MSCI:</w:t>
            </w: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Morgan Stanley Capital International Inc.</w:t>
            </w:r>
          </w:p>
        </w:tc>
      </w:tr>
      <w:tr>
        <w:trPr>
          <w:trHeight w:val="127"/>
        </w:trPr>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1221 Avenue of the Americas New York, New York 10020</w:t>
            </w:r>
          </w:p>
        </w:tc>
      </w:tr>
      <w:tr>
        <w:trPr>
          <w:trHeight w:val="148"/>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Attn: Publisher</w:t>
            </w:r>
          </w:p>
        </w:tc>
      </w:tr>
      <w:tr>
        <w:trPr>
          <w:trHeight w:val="270"/>
        </w:trPr>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and</w:t>
            </w:r>
          </w:p>
        </w:tc>
      </w:tr>
      <w:tr>
        <w:trPr>
          <w:trHeight w:val="257"/>
        </w:trPr>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Morgan Stanley Capital International Inc. 1221 Avenue of the Americas</w:t>
            </w: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New York, New York 10020</w:t>
            </w: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Attn: Legal Department – Technology Unit</w:t>
            </w:r>
          </w:p>
        </w:tc>
      </w:tr>
      <w:tr>
        <w:trPr>
          <w:trHeight w:val="123"/>
        </w:trPr>
        <w:tc>
          <w:tcPr>
            <w:tcW w:w="3260" w:type="dxa"/>
            <w:vAlign w:val="bottom"/>
            <w:gridSpan w:val="3"/>
          </w:tcPr>
          <w:p>
            <w:pPr>
              <w:spacing w:after="0" w:line="123" w:lineRule="exact"/>
              <w:rPr>
                <w:sz w:val="20"/>
                <w:szCs w:val="20"/>
                <w:color w:val="auto"/>
              </w:rPr>
            </w:pPr>
            <w:r>
              <w:rPr>
                <w:rFonts w:ascii="Times New Roman" w:cs="Times New Roman" w:eastAsia="Times New Roman" w:hAnsi="Times New Roman"/>
                <w:sz w:val="11"/>
                <w:szCs w:val="11"/>
                <w:color w:val="auto"/>
              </w:rPr>
              <w:t>Notice to Licensee:</w:t>
            </w:r>
          </w:p>
        </w:tc>
        <w:tc>
          <w:tcPr>
            <w:tcW w:w="5660" w:type="dxa"/>
            <w:vAlign w:val="bottom"/>
          </w:tcPr>
          <w:p>
            <w:pPr>
              <w:ind w:left="2380"/>
              <w:spacing w:after="0" w:line="123" w:lineRule="exact"/>
              <w:rPr>
                <w:sz w:val="20"/>
                <w:szCs w:val="20"/>
                <w:color w:val="auto"/>
              </w:rPr>
            </w:pPr>
            <w:r>
              <w:rPr>
                <w:rFonts w:ascii="Times New Roman" w:cs="Times New Roman" w:eastAsia="Times New Roman" w:hAnsi="Times New Roman"/>
                <w:sz w:val="11"/>
                <w:szCs w:val="11"/>
                <w:color w:val="auto"/>
              </w:rPr>
              <w:t>Barclays Global Investors, N.A.</w:t>
            </w:r>
          </w:p>
        </w:tc>
      </w:tr>
      <w:tr>
        <w:trPr>
          <w:trHeight w:val="127"/>
        </w:trPr>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45 Fremont Street</w:t>
            </w: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San Francisco, CA 94105</w:t>
            </w:r>
          </w:p>
        </w:tc>
      </w:tr>
      <w:tr>
        <w:trPr>
          <w:trHeight w:val="148"/>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66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Attn. Fund Administration</w:t>
            </w:r>
          </w:p>
        </w:tc>
      </w:tr>
    </w:tbl>
    <w:p>
      <w:pPr>
        <w:spacing w:after="0" w:line="19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1"/>
          <w:szCs w:val="11"/>
          <w:color w:val="auto"/>
        </w:rPr>
        <w:t>and</w:t>
      </w:r>
    </w:p>
    <w:p>
      <w:pPr>
        <w:spacing w:after="0" w:line="2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1"/>
          <w:szCs w:val="11"/>
          <w:color w:val="auto"/>
        </w:rPr>
        <w:t>Barclays Global Investors, N.A. 45 Fremont Street</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1"/>
          <w:szCs w:val="11"/>
          <w:color w:val="auto"/>
        </w:rPr>
        <w:t xml:space="preserve">San Francisco, CA 94105 </w:t>
      </w:r>
      <w:r>
        <w:rPr>
          <w:rFonts w:ascii="Times New Roman" w:cs="Times New Roman" w:eastAsia="Times New Roman" w:hAnsi="Times New Roman"/>
          <w:sz w:val="11"/>
          <w:szCs w:val="11"/>
          <w:u w:val="single" w:color="auto"/>
          <w:color w:val="auto"/>
        </w:rPr>
        <w:t>Attn.</w:t>
      </w:r>
      <w:r>
        <w:rPr>
          <w:rFonts w:ascii="Times New Roman" w:cs="Times New Roman" w:eastAsia="Times New Roman" w:hAnsi="Times New Roman"/>
          <w:sz w:val="11"/>
          <w:szCs w:val="11"/>
          <w:color w:val="auto"/>
        </w:rPr>
        <w:t xml:space="preserve"> Legal Department</w:t>
      </w:r>
    </w:p>
    <w:p>
      <w:pPr>
        <w:spacing w:after="0" w:line="105" w:lineRule="exact"/>
        <w:rPr>
          <w:sz w:val="20"/>
          <w:szCs w:val="20"/>
          <w:color w:val="auto"/>
        </w:rPr>
      </w:pPr>
    </w:p>
    <w:p>
      <w:pPr>
        <w:ind w:left="560" w:right="2520" w:hanging="9"/>
        <w:spacing w:after="0" w:line="483" w:lineRule="auto"/>
        <w:tabs>
          <w:tab w:leader="none" w:pos="1137"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Agreement may be executed in several counterparts, each of which shall be deemed an original and all of which together shall constitute on and the same instrument. IN WITNESS WHEREOF, the parties have caused this Agreement to be executed as of the date first set forth above.</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MORGANSTANLEYCAPITALINTERNATIONAL INC.</w:t>
            </w:r>
          </w:p>
        </w:tc>
        <w:tc>
          <w:tcPr>
            <w:tcW w:w="25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color w:val="auto"/>
              </w:rPr>
              <w:t>BARCLAYS GLOBAL INVESTORS</w:t>
            </w:r>
          </w:p>
        </w:tc>
        <w:tc>
          <w:tcPr>
            <w:tcW w:w="0" w:type="dxa"/>
            <w:vAlign w:val="bottom"/>
          </w:tcPr>
          <w:p>
            <w:pPr>
              <w:spacing w:after="0"/>
              <w:rPr>
                <w:sz w:val="1"/>
                <w:szCs w:val="1"/>
                <w:color w:val="auto"/>
              </w:rPr>
            </w:pPr>
          </w:p>
        </w:tc>
      </w:tr>
      <w:tr>
        <w:trPr>
          <w:trHeight w:val="45"/>
        </w:trPr>
        <w:tc>
          <w:tcPr>
            <w:tcW w:w="10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25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6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By:/s/ Henry Fernandez</w:t>
            </w:r>
          </w:p>
        </w:tc>
        <w:tc>
          <w:tcPr>
            <w:tcW w:w="2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By:/s/ Lee Kranefuss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Name: Henry Fernandez</w:t>
            </w:r>
          </w:p>
        </w:tc>
        <w:tc>
          <w:tcPr>
            <w:tcW w:w="2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Name:  Lee Kranefuss</w:t>
            </w: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  President and CEO</w:t>
            </w:r>
          </w:p>
        </w:tc>
        <w:tc>
          <w:tcPr>
            <w:tcW w:w="2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Title:Managing Director</w:t>
            </w:r>
          </w:p>
        </w:tc>
        <w:tc>
          <w:tcPr>
            <w:tcW w:w="0" w:type="dxa"/>
            <w:vAlign w:val="bottom"/>
          </w:tcPr>
          <w:p>
            <w:pPr>
              <w:spacing w:after="0"/>
              <w:rPr>
                <w:sz w:val="1"/>
                <w:szCs w:val="1"/>
                <w:color w:val="auto"/>
              </w:rPr>
            </w:pPr>
          </w:p>
        </w:tc>
      </w:tr>
      <w:tr>
        <w:trPr>
          <w:trHeight w:val="245"/>
        </w:trPr>
        <w:tc>
          <w:tcPr>
            <w:tcW w:w="6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 May 18, 2000</w:t>
            </w:r>
          </w:p>
        </w:tc>
        <w:tc>
          <w:tcPr>
            <w:tcW w:w="2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By:/s/ Michael Latham</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08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Name: Michael Latham</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Title:Managing Director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Date: ________________________________________</w:t>
            </w: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89470" cy="11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1" w:right="339" w:bottom="1440" w:gutter="0" w:footer="0" w:header="0"/>
        </w:sectPr>
      </w:pPr>
    </w:p>
    <w:bookmarkStart w:id="128" w:name="page129"/>
    <w:bookmarkEnd w:id="128"/>
    <w:p>
      <w:pPr>
        <w:jc w:val="center"/>
        <w:ind w:right="-1020"/>
        <w:spacing w:after="0"/>
        <w:rPr>
          <w:sz w:val="20"/>
          <w:szCs w:val="20"/>
          <w:color w:val="auto"/>
        </w:rPr>
      </w:pPr>
      <w:r>
        <w:rPr>
          <w:rFonts w:ascii="Times New Roman" w:cs="Times New Roman" w:eastAsia="Times New Roman" w:hAnsi="Times New Roman"/>
          <w:sz w:val="11"/>
          <w:szCs w:val="11"/>
          <w:color w:val="auto"/>
        </w:rPr>
        <w:t>ATBIXHIE</w:t>
      </w:r>
    </w:p>
    <w:p>
      <w:pPr>
        <w:spacing w:after="0" w:line="144"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11"/>
          <w:szCs w:val="11"/>
          <w:color w:val="auto"/>
        </w:rPr>
        <w:t>List of the MSCI Indexes: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Australia Index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Austria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Belgium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Brazil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Canada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France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Germany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Hong Kong Index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Indonesia Index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Italy Index</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Japan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Malaysia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Mexico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Netherlands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Singapore Index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South Africa Index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Korea Index</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Spain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Sweden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Switzerland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Taiwan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UK Index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USA Index</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EMU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EAFE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ACWI Index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as may be amended from time to time, by MSCI.</w:t>
      </w:r>
    </w:p>
    <w:p>
      <w:pPr>
        <w:spacing w:after="0" w:line="2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148590</wp:posOffset>
            </wp:positionV>
            <wp:extent cx="718947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079"/>
          </w:cols>
          <w:pgMar w:left="380" w:top="341" w:right="1440" w:bottom="1440" w:gutter="0" w:footer="0" w:header="0"/>
        </w:sectPr>
      </w:pPr>
    </w:p>
    <w:bookmarkStart w:id="129" w:name="page130"/>
    <w:bookmarkEnd w:id="129"/>
    <w:p>
      <w:pPr>
        <w:jc w:val="center"/>
        <w:ind w:right="-1000"/>
        <w:spacing w:after="0"/>
        <w:rPr>
          <w:sz w:val="20"/>
          <w:szCs w:val="20"/>
          <w:color w:val="auto"/>
        </w:rPr>
      </w:pPr>
      <w:r>
        <w:rPr>
          <w:rFonts w:ascii="Times New Roman" w:cs="Times New Roman" w:eastAsia="Times New Roman" w:hAnsi="Times New Roman"/>
          <w:sz w:val="11"/>
          <w:szCs w:val="11"/>
          <w:u w:val="single" w:color="auto"/>
          <w:color w:val="auto"/>
        </w:rPr>
        <w:t>EXHIBIT B</w:t>
      </w:r>
    </w:p>
    <w:p>
      <w:pPr>
        <w:spacing w:after="0" w:line="1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1"/>
          <w:szCs w:val="11"/>
          <w:color w:val="auto"/>
        </w:rPr>
        <w:t>Description of the Funds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Funds are to be issued, sold and traded on a public basis in accordance with the U.S. federal securities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Funds shall be limited to: Registered open-end investment companies, whose shares may be listed and traded on national securities exchanges or stock markets.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Funds shall be exchange traded. They must be listed and traded on an U.S. domiciled stock exchange only. The Funds shall not include Unit Investment Trusts, futures, options and other derivatives.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Licensee or an affiliate of Licensee is the asset manager the Funds.</w:t>
      </w:r>
    </w:p>
    <w:p>
      <w:pPr>
        <w:spacing w:after="0" w:line="38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039"/>
          </w:cols>
          <w:pgMar w:left="420" w:top="269" w:right="1440"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1"/>
          <w:szCs w:val="11"/>
          <w:b w:val="1"/>
          <w:bCs w:val="1"/>
          <w:color w:val="auto"/>
        </w:rPr>
        <w:t>Exhibit 10.2</w:t>
      </w:r>
    </w:p>
    <w:p>
      <w:pPr>
        <w:spacing w:after="0" w:line="161" w:lineRule="exact"/>
        <w:rPr>
          <w:sz w:val="20"/>
          <w:szCs w:val="20"/>
          <w:color w:val="auto"/>
        </w:rPr>
      </w:pPr>
    </w:p>
    <w:p>
      <w:pPr>
        <w:ind w:left="8" w:hanging="8"/>
        <w:spacing w:after="0" w:line="299" w:lineRule="auto"/>
        <w:tabs>
          <w:tab w:leader="none" w:pos="235" w:val="left"/>
        </w:tabs>
        <w:numPr>
          <w:ilvl w:val="0"/>
          <w:numId w:val="7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19" w:lineRule="exact"/>
        <w:rPr>
          <w:sz w:val="20"/>
          <w:szCs w:val="20"/>
          <w:color w:val="auto"/>
        </w:rPr>
      </w:pPr>
    </w:p>
    <w:p>
      <w:pPr>
        <w:ind w:left="9808"/>
        <w:spacing w:after="0"/>
        <w:rPr>
          <w:sz w:val="20"/>
          <w:szCs w:val="20"/>
          <w:color w:val="auto"/>
        </w:rPr>
      </w:pPr>
      <w:r>
        <w:rPr>
          <w:rFonts w:ascii="Times New Roman" w:cs="Times New Roman" w:eastAsia="Times New Roman" w:hAnsi="Times New Roman"/>
          <w:sz w:val="11"/>
          <w:szCs w:val="11"/>
          <w:color w:val="auto"/>
        </w:rPr>
        <w:t>Client Code/Reference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6997065</wp:posOffset>
            </wp:positionH>
            <wp:positionV relativeFrom="paragraph">
              <wp:posOffset>-1905</wp:posOffset>
            </wp:positionV>
            <wp:extent cx="18097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9">
                      <a:extLst>
                        <a:ext uri="{28A0092B-C50C-407E-A947-70E740481C1C}"/>
                      </a:extLst>
                    </a:blip>
                    <a:srcRect/>
                    <a:stretch>
                      <a:fillRect/>
                    </a:stretch>
                  </pic:blipFill>
                  <pic:spPr bwMode="auto">
                    <a:xfrm>
                      <a:off x="0" y="0"/>
                      <a:ext cx="180975" cy="5715"/>
                    </a:xfrm>
                    <a:prstGeom prst="rect">
                      <a:avLst/>
                    </a:prstGeom>
                    <a:noFill/>
                  </pic:spPr>
                </pic:pic>
              </a:graphicData>
            </a:graphic>
          </wp:anchor>
        </w:drawing>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-1905</wp:posOffset>
            </wp:positionV>
            <wp:extent cx="27114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0">
                      <a:extLst>
                        <a:ext uri="{28A0092B-C50C-407E-A947-70E740481C1C}"/>
                      </a:extLst>
                    </a:blip>
                    <a:srcRect/>
                    <a:stretch>
                      <a:fillRect/>
                    </a:stretch>
                  </pic:blipFill>
                  <pic:spPr bwMode="auto">
                    <a:xfrm>
                      <a:off x="0" y="0"/>
                      <a:ext cx="271145" cy="5715"/>
                    </a:xfrm>
                    <a:prstGeom prst="rect">
                      <a:avLst/>
                    </a:prstGeom>
                    <a:noFill/>
                  </pic:spPr>
                </pic:pic>
              </a:graphicData>
            </a:graphic>
          </wp:anchor>
        </w:drawing>
      </w:r>
    </w:p>
    <w:p>
      <w:pPr>
        <w:spacing w:after="0" w:line="151" w:lineRule="exact"/>
        <w:rPr>
          <w:sz w:val="20"/>
          <w:szCs w:val="20"/>
          <w:color w:val="auto"/>
        </w:rPr>
      </w:pPr>
    </w:p>
    <w:p>
      <w:pPr>
        <w:ind w:left="288" w:right="140" w:firstLine="271"/>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w:t>
      </w:r>
      <w:r>
        <w:rPr>
          <w:rFonts w:ascii="Times New Roman" w:cs="Times New Roman" w:eastAsia="Times New Roman" w:hAnsi="Times New Roman"/>
          <w:sz w:val="11"/>
          <w:szCs w:val="11"/>
          <w:u w:val="single" w:color="auto"/>
          <w:color w:val="auto"/>
        </w:rPr>
        <w:t>Agreement</w:t>
      </w:r>
      <w:r>
        <w:rPr>
          <w:rFonts w:ascii="Times New Roman" w:cs="Times New Roman" w:eastAsia="Times New Roman" w:hAnsi="Times New Roman"/>
          <w:sz w:val="11"/>
          <w:szCs w:val="11"/>
          <w:color w:val="auto"/>
        </w:rPr>
        <w:t>”), dated as of March 18, 2000 and as subsequently amended, by and between Morgan Stanley Capital International Inc. (“</w:t>
      </w:r>
      <w:r>
        <w:rPr>
          <w:rFonts w:ascii="Times New Roman" w:cs="Times New Roman" w:eastAsia="Times New Roman" w:hAnsi="Times New Roman"/>
          <w:sz w:val="11"/>
          <w:szCs w:val="11"/>
          <w:u w:val="single" w:color="auto"/>
          <w:color w:val="auto"/>
        </w:rPr>
        <w:t>MSCI</w:t>
      </w:r>
      <w:r>
        <w:rPr>
          <w:rFonts w:ascii="Times New Roman" w:cs="Times New Roman" w:eastAsia="Times New Roman" w:hAnsi="Times New Roman"/>
          <w:sz w:val="11"/>
          <w:szCs w:val="11"/>
          <w:color w:val="auto"/>
        </w:rPr>
        <w:t>”) and Barclays Global Investors, N.A (“</w:t>
      </w:r>
      <w:r>
        <w:rPr>
          <w:rFonts w:ascii="Times New Roman" w:cs="Times New Roman" w:eastAsia="Times New Roman" w:hAnsi="Times New Roman"/>
          <w:sz w:val="11"/>
          <w:szCs w:val="11"/>
          <w:u w:val="single" w:color="auto"/>
          <w:color w:val="auto"/>
        </w:rPr>
        <w:t>Licensee</w:t>
      </w:r>
      <w:r>
        <w:rPr>
          <w:rFonts w:ascii="Times New Roman" w:cs="Times New Roman" w:eastAsia="Times New Roman" w:hAnsi="Times New Roman"/>
          <w:sz w:val="11"/>
          <w:szCs w:val="11"/>
          <w:color w:val="auto"/>
        </w:rPr>
        <w:t>”), as amended.</w:t>
      </w:r>
    </w:p>
    <w:p>
      <w:pPr>
        <w:spacing w:after="0" w:line="102" w:lineRule="exact"/>
        <w:rPr>
          <w:sz w:val="20"/>
          <w:szCs w:val="20"/>
          <w:color w:val="auto"/>
        </w:rPr>
      </w:pPr>
    </w:p>
    <w:p>
      <w:pPr>
        <w:ind w:left="688" w:hanging="418"/>
        <w:spacing w:after="0"/>
        <w:tabs>
          <w:tab w:leader="none" w:pos="688"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additional indices:</w:t>
      </w:r>
    </w:p>
    <w:p>
      <w:pPr>
        <w:spacing w:after="0" w:line="96" w:lineRule="exact"/>
        <w:rPr>
          <w:rFonts w:ascii="Times New Roman" w:cs="Times New Roman" w:eastAsia="Times New Roman" w:hAnsi="Times New Roman"/>
          <w:sz w:val="11"/>
          <w:szCs w:val="1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80"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MSCI Chile Index</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MSCI BRIC Index</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MSCI Israel Capped Index</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MSCI EM (Emerging Markets) Eastern Europe Index</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98" w:lineRule="exact"/>
        <w:rPr>
          <w:rFonts w:ascii="Times New Roman" w:cs="Times New Roman" w:eastAsia="Times New Roman" w:hAnsi="Times New Roman"/>
          <w:sz w:val="11"/>
          <w:szCs w:val="11"/>
          <w:b w:val="1"/>
          <w:bCs w:val="1"/>
          <w:color w:val="auto"/>
        </w:rPr>
      </w:pPr>
    </w:p>
    <w:p>
      <w:pPr>
        <w:ind w:left="1108" w:hanging="415"/>
        <w:spacing w:after="0"/>
        <w:tabs>
          <w:tab w:leader="none" w:pos="1108" w:val="left"/>
        </w:tabs>
        <w:numPr>
          <w:ilvl w:val="1"/>
          <w:numId w:val="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p>
    <w:p>
      <w:pPr>
        <w:spacing w:after="0" w:line="172" w:lineRule="exact"/>
        <w:rPr>
          <w:rFonts w:ascii="Times New Roman" w:cs="Times New Roman" w:eastAsia="Times New Roman" w:hAnsi="Times New Roman"/>
          <w:sz w:val="11"/>
          <w:szCs w:val="11"/>
          <w:b w:val="1"/>
          <w:bCs w:val="1"/>
          <w:color w:val="auto"/>
        </w:rPr>
      </w:pPr>
    </w:p>
    <w:p>
      <w:pPr>
        <w:ind w:left="688" w:right="60" w:hanging="418"/>
        <w:spacing w:after="0" w:line="296" w:lineRule="auto"/>
        <w:tabs>
          <w:tab w:leader="none" w:pos="688"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No right or license of any kind is granted to Licensee except as expressly provided in the Agreement and this Amendment.</w:t>
      </w:r>
    </w:p>
    <w:p>
      <w:pPr>
        <w:spacing w:after="0" w:line="101" w:lineRule="exact"/>
        <w:rPr>
          <w:rFonts w:ascii="Times New Roman" w:cs="Times New Roman" w:eastAsia="Times New Roman" w:hAnsi="Times New Roman"/>
          <w:sz w:val="11"/>
          <w:szCs w:val="11"/>
          <w:color w:val="auto"/>
        </w:rPr>
      </w:pPr>
    </w:p>
    <w:p>
      <w:pPr>
        <w:ind w:left="688" w:hanging="418"/>
        <w:spacing w:after="0"/>
        <w:tabs>
          <w:tab w:leader="none" w:pos="688"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BARCLAYS GLOBALINVESTORS, N.A.</w:t>
            </w:r>
          </w:p>
        </w:tc>
        <w:tc>
          <w:tcPr>
            <w:tcW w:w="7020" w:type="dxa"/>
            <w:vAlign w:val="bottom"/>
            <w:gridSpan w:val="2"/>
          </w:tcPr>
          <w:p>
            <w:pPr>
              <w:ind w:left="1680"/>
              <w:spacing w:after="0"/>
              <w:rPr>
                <w:sz w:val="20"/>
                <w:szCs w:val="20"/>
                <w:color w:val="auto"/>
              </w:rPr>
            </w:pPr>
            <w:r>
              <w:rPr>
                <w:rFonts w:ascii="Times New Roman" w:cs="Times New Roman" w:eastAsia="Times New Roman" w:hAnsi="Times New Roman"/>
                <w:sz w:val="11"/>
                <w:szCs w:val="11"/>
                <w:color w:val="auto"/>
              </w:rPr>
              <w:t>MORGAN STANLEY CAPITAL INTERNATIONALINC.</w:t>
            </w:r>
          </w:p>
        </w:tc>
      </w:tr>
      <w:tr>
        <w:trPr>
          <w:trHeight w:val="163"/>
        </w:trPr>
        <w:tc>
          <w:tcPr>
            <w:tcW w:w="72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D. Wojnar</w:t>
            </w:r>
          </w:p>
        </w:tc>
        <w:tc>
          <w:tcPr>
            <w:tcW w:w="2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Dennis Sidlauskas</w:t>
            </w:r>
          </w:p>
        </w:tc>
      </w:tr>
      <w:tr>
        <w:trPr>
          <w:trHeight w:val="137"/>
        </w:trPr>
        <w:tc>
          <w:tcPr>
            <w:tcW w:w="72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D. WOJNAR</w:t>
            </w:r>
          </w:p>
        </w:tc>
        <w:tc>
          <w:tcPr>
            <w:tcW w:w="2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Name</w:t>
            </w:r>
          </w:p>
        </w:tc>
        <w:tc>
          <w:tcPr>
            <w:tcW w:w="4760" w:type="dxa"/>
            <w:vAlign w:val="bottom"/>
          </w:tcPr>
          <w:p>
            <w:pPr>
              <w:spacing w:after="0"/>
              <w:rPr>
                <w:sz w:val="20"/>
                <w:szCs w:val="20"/>
                <w:color w:val="auto"/>
              </w:rPr>
            </w:pPr>
            <w:r>
              <w:rPr>
                <w:rFonts w:ascii="Times New Roman" w:cs="Times New Roman" w:eastAsia="Times New Roman" w:hAnsi="Times New Roman"/>
                <w:sz w:val="11"/>
                <w:szCs w:val="11"/>
                <w:color w:val="auto"/>
              </w:rPr>
              <w:t>Dennis Sidlauskas</w:t>
            </w:r>
          </w:p>
        </w:tc>
      </w:tr>
      <w:tr>
        <w:trPr>
          <w:trHeight w:val="148"/>
        </w:trPr>
        <w:tc>
          <w:tcPr>
            <w:tcW w:w="7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2260" w:type="dxa"/>
            <w:vAlign w:val="bottom"/>
          </w:tcPr>
          <w:p>
            <w:pPr>
              <w:spacing w:after="0"/>
              <w:rPr>
                <w:sz w:val="12"/>
                <w:szCs w:val="12"/>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r>
      <w:tr>
        <w:trPr>
          <w:trHeight w:val="162"/>
        </w:trPr>
        <w:tc>
          <w:tcPr>
            <w:tcW w:w="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r>
      <w:tr>
        <w:trPr>
          <w:trHeight w:val="162"/>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BARCLAYS GLOBAL INVESTORS, N.A</w:t>
            </w:r>
          </w:p>
        </w:tc>
        <w:tc>
          <w:tcPr>
            <w:tcW w:w="226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3"/>
        </w:trPr>
        <w:tc>
          <w:tcPr>
            <w:tcW w:w="72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Mike Latham</w:t>
            </w:r>
          </w:p>
        </w:tc>
        <w:tc>
          <w:tcPr>
            <w:tcW w:w="226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50"/>
        </w:trPr>
        <w:tc>
          <w:tcPr>
            <w:tcW w:w="72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Mike Latham</w:t>
            </w:r>
          </w:p>
        </w:tc>
        <w:tc>
          <w:tcPr>
            <w:tcW w:w="2260" w:type="dxa"/>
            <w:vAlign w:val="bottom"/>
          </w:tcPr>
          <w:p>
            <w:pPr>
              <w:spacing w:after="0"/>
              <w:rPr>
                <w:sz w:val="13"/>
                <w:szCs w:val="13"/>
                <w:color w:val="auto"/>
              </w:rPr>
            </w:pPr>
          </w:p>
        </w:tc>
        <w:tc>
          <w:tcPr>
            <w:tcW w:w="4760" w:type="dxa"/>
            <w:vAlign w:val="bottom"/>
          </w:tcPr>
          <w:p>
            <w:pPr>
              <w:spacing w:after="0"/>
              <w:rPr>
                <w:sz w:val="13"/>
                <w:szCs w:val="13"/>
                <w:color w:val="auto"/>
              </w:rPr>
            </w:pPr>
          </w:p>
        </w:tc>
      </w:tr>
      <w:tr>
        <w:trPr>
          <w:trHeight w:val="162"/>
        </w:trPr>
        <w:tc>
          <w:tcPr>
            <w:tcW w:w="7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2260" w:type="dxa"/>
            <w:vAlign w:val="bottom"/>
          </w:tcPr>
          <w:p>
            <w:pPr>
              <w:spacing w:after="0"/>
              <w:rPr>
                <w:sz w:val="14"/>
                <w:szCs w:val="14"/>
                <w:color w:val="auto"/>
              </w:rPr>
            </w:pPr>
          </w:p>
        </w:tc>
        <w:tc>
          <w:tcPr>
            <w:tcW w:w="4760" w:type="dxa"/>
            <w:vAlign w:val="bottom"/>
          </w:tcPr>
          <w:p>
            <w:pPr>
              <w:spacing w:after="0"/>
              <w:rPr>
                <w:sz w:val="14"/>
                <w:szCs w:val="14"/>
                <w:color w:val="auto"/>
              </w:rPr>
            </w:pPr>
          </w:p>
        </w:tc>
      </w:tr>
    </w:tbl>
    <w:p>
      <w:pPr>
        <w:sectPr>
          <w:pgSz w:w="11900" w:h="16838" w:orient="portrait"/>
          <w:cols w:equalWidth="0" w:num="1">
            <w:col w:w="11308"/>
          </w:cols>
          <w:pgMar w:left="292" w:top="124" w:right="2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1"/>
          <w:szCs w:val="11"/>
          <w:b w:val="1"/>
          <w:bCs w:val="1"/>
          <w:color w:val="auto"/>
        </w:rPr>
        <w:t>Exhibit 10.3</w:t>
      </w:r>
    </w:p>
    <w:p>
      <w:pPr>
        <w:spacing w:after="0" w:line="163" w:lineRule="exact"/>
        <w:rPr>
          <w:sz w:val="20"/>
          <w:szCs w:val="20"/>
          <w:color w:val="auto"/>
        </w:rPr>
      </w:pPr>
    </w:p>
    <w:p>
      <w:pPr>
        <w:ind w:left="8" w:right="60" w:hanging="8"/>
        <w:spacing w:after="0" w:line="286" w:lineRule="auto"/>
        <w:tabs>
          <w:tab w:leader="none" w:pos="218"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62"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b w:val="1"/>
          <w:bCs w:val="1"/>
          <w:i w:val="1"/>
          <w:iCs w:val="1"/>
          <w:color w:val="auto"/>
        </w:rPr>
        <w:t>MSCI</w:t>
      </w:r>
    </w:p>
    <w:p>
      <w:pPr>
        <w:spacing w:after="0" w:line="19" w:lineRule="exact"/>
        <w:rPr>
          <w:sz w:val="20"/>
          <w:szCs w:val="20"/>
          <w:color w:val="auto"/>
        </w:rPr>
      </w:pPr>
    </w:p>
    <w:tbl>
      <w:tblPr>
        <w:tblLayout w:type="fixed"/>
        <w:tblInd w:w="68" w:type="dxa"/>
        <w:tblCellMar>
          <w:top w:w="0" w:type="dxa"/>
          <w:left w:w="0" w:type="dxa"/>
          <w:bottom w:w="0" w:type="dxa"/>
          <w:right w:w="0" w:type="dxa"/>
        </w:tblCellMar>
      </w:tblPr>
      <w:tr>
        <w:trPr>
          <w:trHeight w:val="126"/>
        </w:trPr>
        <w:tc>
          <w:tcPr>
            <w:tcW w:w="39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ADL_00074</w:t>
            </w:r>
          </w:p>
        </w:tc>
        <w:tc>
          <w:tcPr>
            <w:tcW w:w="4720" w:type="dxa"/>
            <w:vAlign w:val="bottom"/>
          </w:tcPr>
          <w:p>
            <w:pPr>
              <w:ind w:left="3400"/>
              <w:spacing w:after="0"/>
              <w:rPr>
                <w:sz w:val="20"/>
                <w:szCs w:val="20"/>
                <w:color w:val="auto"/>
              </w:rPr>
            </w:pPr>
            <w:r>
              <w:rPr>
                <w:rFonts w:ascii="Times New Roman" w:cs="Times New Roman" w:eastAsia="Times New Roman" w:hAnsi="Times New Roman"/>
                <w:sz w:val="11"/>
                <w:szCs w:val="11"/>
                <w:i w:val="1"/>
                <w:iCs w:val="1"/>
                <w:color w:val="auto"/>
              </w:rPr>
              <w:t>1221 Avenue of the Americas</w:t>
            </w:r>
          </w:p>
        </w:tc>
        <w:tc>
          <w:tcPr>
            <w:tcW w:w="0" w:type="dxa"/>
            <w:vAlign w:val="bottom"/>
          </w:tcPr>
          <w:p>
            <w:pPr>
              <w:spacing w:after="0"/>
              <w:rPr>
                <w:sz w:val="1"/>
                <w:szCs w:val="1"/>
                <w:color w:val="auto"/>
              </w:rPr>
            </w:pPr>
          </w:p>
        </w:tc>
      </w:tr>
      <w:tr>
        <w:trPr>
          <w:trHeight w:val="60"/>
        </w:trPr>
        <w:tc>
          <w:tcPr>
            <w:tcW w:w="3980" w:type="dxa"/>
            <w:vAlign w:val="bottom"/>
            <w:vMerge w:val="continue"/>
          </w:tcPr>
          <w:p>
            <w:pPr>
              <w:spacing w:after="0"/>
              <w:rPr>
                <w:sz w:val="5"/>
                <w:szCs w:val="5"/>
                <w:color w:val="auto"/>
              </w:rPr>
            </w:pPr>
          </w:p>
        </w:tc>
        <w:tc>
          <w:tcPr>
            <w:tcW w:w="4720" w:type="dxa"/>
            <w:vAlign w:val="bottom"/>
            <w:vMerge w:val="restart"/>
          </w:tcPr>
          <w:p>
            <w:pPr>
              <w:ind w:left="3400"/>
              <w:spacing w:after="0"/>
              <w:rPr>
                <w:sz w:val="20"/>
                <w:szCs w:val="20"/>
                <w:color w:val="auto"/>
              </w:rPr>
            </w:pPr>
            <w:r>
              <w:rPr>
                <w:rFonts w:ascii="Times New Roman" w:cs="Times New Roman" w:eastAsia="Times New Roman" w:hAnsi="Times New Roman"/>
                <w:sz w:val="11"/>
                <w:szCs w:val="11"/>
                <w:i w:val="1"/>
                <w:iCs w:val="1"/>
                <w:color w:val="auto"/>
              </w:rPr>
              <w:t>New York, New York 10020</w:t>
            </w:r>
          </w:p>
        </w:tc>
        <w:tc>
          <w:tcPr>
            <w:tcW w:w="0" w:type="dxa"/>
            <w:vAlign w:val="bottom"/>
          </w:tcPr>
          <w:p>
            <w:pPr>
              <w:spacing w:after="0"/>
              <w:rPr>
                <w:sz w:val="1"/>
                <w:szCs w:val="1"/>
                <w:color w:val="auto"/>
              </w:rPr>
            </w:pPr>
          </w:p>
        </w:tc>
      </w:tr>
      <w:tr>
        <w:trPr>
          <w:trHeight w:val="75"/>
        </w:trPr>
        <w:tc>
          <w:tcPr>
            <w:tcW w:w="3980" w:type="dxa"/>
            <w:vAlign w:val="bottom"/>
          </w:tcPr>
          <w:p>
            <w:pPr>
              <w:spacing w:after="0"/>
              <w:rPr>
                <w:sz w:val="6"/>
                <w:szCs w:val="6"/>
                <w:color w:val="auto"/>
              </w:rPr>
            </w:pPr>
          </w:p>
        </w:tc>
        <w:tc>
          <w:tcPr>
            <w:tcW w:w="4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980" w:type="dxa"/>
            <w:vAlign w:val="bottom"/>
          </w:tcPr>
          <w:p>
            <w:pPr>
              <w:spacing w:after="0"/>
              <w:rPr>
                <w:sz w:val="13"/>
                <w:szCs w:val="13"/>
                <w:color w:val="auto"/>
              </w:rPr>
            </w:pPr>
          </w:p>
        </w:tc>
        <w:tc>
          <w:tcPr>
            <w:tcW w:w="4720" w:type="dxa"/>
            <w:vAlign w:val="bottom"/>
          </w:tcPr>
          <w:p>
            <w:pPr>
              <w:ind w:left="3400"/>
              <w:spacing w:after="0"/>
              <w:rPr>
                <w:sz w:val="20"/>
                <w:szCs w:val="20"/>
                <w:color w:val="auto"/>
              </w:rPr>
            </w:pPr>
            <w:r>
              <w:rPr>
                <w:rFonts w:ascii="Times New Roman" w:cs="Times New Roman" w:eastAsia="Times New Roman" w:hAnsi="Times New Roman"/>
                <w:sz w:val="11"/>
                <w:szCs w:val="11"/>
                <w:i w:val="1"/>
                <w:iCs w:val="1"/>
                <w:color w:val="auto"/>
              </w:rPr>
              <w:t>(212) 762-5800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7448"/>
        <w:spacing w:after="0"/>
        <w:rPr>
          <w:sz w:val="20"/>
          <w:szCs w:val="20"/>
          <w:color w:val="auto"/>
        </w:rPr>
      </w:pPr>
      <w:r>
        <w:rPr>
          <w:rFonts w:ascii="Times New Roman" w:cs="Times New Roman" w:eastAsia="Times New Roman" w:hAnsi="Times New Roman"/>
          <w:sz w:val="13"/>
          <w:szCs w:val="13"/>
          <w:color w:val="auto"/>
        </w:rPr>
        <w:t>June 21, 2001</w:t>
      </w:r>
    </w:p>
    <w:p>
      <w:pPr>
        <w:spacing w:after="0" w:line="3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Barclays Global Investors, N.A.</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45 Fremont Street</w:t>
      </w:r>
    </w:p>
    <w:p>
      <w:pPr>
        <w:spacing w:after="0" w:line="9"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San Francisco, California 94105</w:t>
      </w:r>
    </w:p>
    <w:p>
      <w:pPr>
        <w:spacing w:after="0" w:line="9"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u w:val="single" w:color="auto"/>
          <w:color w:val="auto"/>
        </w:rPr>
        <w:t>Attn</w:t>
      </w:r>
      <w:r>
        <w:rPr>
          <w:rFonts w:ascii="Times New Roman" w:cs="Times New Roman" w:eastAsia="Times New Roman" w:hAnsi="Times New Roman"/>
          <w:sz w:val="11"/>
          <w:szCs w:val="11"/>
          <w:color w:val="auto"/>
        </w:rPr>
        <w:t>: Fund Administration</w:t>
      </w: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Re:</w:t>
            </w:r>
          </w:p>
        </w:tc>
        <w:tc>
          <w:tcPr>
            <w:tcW w:w="35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Letter Agreement To Amend MSCI-BGI Fund Index License Agreement</w:t>
            </w:r>
          </w:p>
        </w:tc>
      </w:tr>
      <w:tr>
        <w:trPr>
          <w:trHeight w:val="140"/>
        </w:trPr>
        <w:tc>
          <w:tcPr>
            <w:tcW w:w="780" w:type="dxa"/>
            <w:vAlign w:val="bottom"/>
          </w:tcPr>
          <w:p>
            <w:pPr>
              <w:spacing w:after="0"/>
              <w:rPr>
                <w:sz w:val="20"/>
                <w:szCs w:val="20"/>
                <w:color w:val="auto"/>
              </w:rPr>
            </w:pPr>
            <w:r>
              <w:rPr>
                <w:rFonts w:ascii="Times New Roman" w:cs="Times New Roman" w:eastAsia="Times New Roman" w:hAnsi="Times New Roman"/>
                <w:sz w:val="11"/>
                <w:szCs w:val="11"/>
                <w:color w:val="auto"/>
              </w:rPr>
              <w:t>Dear Sir:</w:t>
            </w:r>
          </w:p>
        </w:tc>
        <w:tc>
          <w:tcPr>
            <w:tcW w:w="240" w:type="dxa"/>
            <w:vAlign w:val="bottom"/>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r>
    </w:tbl>
    <w:p>
      <w:pPr>
        <w:spacing w:after="0" w:line="131" w:lineRule="exact"/>
        <w:rPr>
          <w:sz w:val="20"/>
          <w:szCs w:val="20"/>
          <w:color w:val="auto"/>
        </w:rPr>
      </w:pPr>
    </w:p>
    <w:p>
      <w:pPr>
        <w:ind w:left="1388"/>
        <w:spacing w:after="0"/>
        <w:rPr>
          <w:sz w:val="20"/>
          <w:szCs w:val="20"/>
          <w:color w:val="auto"/>
        </w:rPr>
      </w:pPr>
      <w:r>
        <w:rPr>
          <w:rFonts w:ascii="Times New Roman" w:cs="Times New Roman" w:eastAsia="Times New Roman" w:hAnsi="Times New Roman"/>
          <w:sz w:val="11"/>
          <w:szCs w:val="11"/>
          <w:color w:val="auto"/>
        </w:rPr>
        <w:t>This letter agreement (“Letter Agreement”) will amend the Index License Agreement For Funds, between Morgan Stanley Capital International Inc. (“MSCI”) and Barlcays Global Investors, N.A. (“Licensee”), dated</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March, 18, 2000 (the “License Agreement” or “Agreement”), as follows:</w:t>
      </w:r>
    </w:p>
    <w:p>
      <w:pPr>
        <w:spacing w:after="0" w:line="141" w:lineRule="exact"/>
        <w:rPr>
          <w:sz w:val="20"/>
          <w:szCs w:val="20"/>
          <w:color w:val="auto"/>
        </w:rPr>
      </w:pPr>
    </w:p>
    <w:p>
      <w:pPr>
        <w:ind w:left="1388" w:hanging="839"/>
        <w:spacing w:after="0"/>
        <w:tabs>
          <w:tab w:leader="none" w:pos="1388"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Exhibit A to the License Agreement, add the following MSCI Indexes:</w:t>
      </w:r>
    </w:p>
    <w:p>
      <w:pPr>
        <w:spacing w:after="0" w:line="98" w:lineRule="exact"/>
        <w:rPr>
          <w:rFonts w:ascii="Times New Roman" w:cs="Times New Roman" w:eastAsia="Times New Roman" w:hAnsi="Times New Roman"/>
          <w:sz w:val="11"/>
          <w:szCs w:val="11"/>
          <w:color w:val="auto"/>
        </w:rPr>
      </w:pPr>
    </w:p>
    <w:p>
      <w:pPr>
        <w:ind w:left="194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80" w:lineRule="exact"/>
        <w:rPr>
          <w:rFonts w:ascii="Times New Roman" w:cs="Times New Roman" w:eastAsia="Times New Roman" w:hAnsi="Times New Roman"/>
          <w:sz w:val="11"/>
          <w:szCs w:val="11"/>
          <w:color w:val="auto"/>
        </w:rPr>
      </w:pPr>
    </w:p>
    <w:p>
      <w:pPr>
        <w:ind w:left="194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Pacific Free ex-Japan</w:t>
      </w:r>
    </w:p>
    <w:p>
      <w:pPr>
        <w:spacing w:after="0" w:line="80" w:lineRule="exact"/>
        <w:rPr>
          <w:rFonts w:ascii="Times New Roman" w:cs="Times New Roman" w:eastAsia="Times New Roman" w:hAnsi="Times New Roman"/>
          <w:sz w:val="11"/>
          <w:szCs w:val="11"/>
          <w:color w:val="auto"/>
        </w:rPr>
      </w:pPr>
    </w:p>
    <w:p>
      <w:pPr>
        <w:ind w:left="194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All Country World Index (ACWI) ex U.S.</w:t>
      </w:r>
    </w:p>
    <w:p>
      <w:pPr>
        <w:spacing w:after="0" w:line="152" w:lineRule="exact"/>
        <w:rPr>
          <w:rFonts w:ascii="Times New Roman" w:cs="Times New Roman" w:eastAsia="Times New Roman" w:hAnsi="Times New Roman"/>
          <w:sz w:val="11"/>
          <w:szCs w:val="11"/>
          <w:color w:val="auto"/>
        </w:rPr>
      </w:pPr>
    </w:p>
    <w:p>
      <w:pPr>
        <w:ind w:left="1388" w:right="160" w:hanging="839"/>
        <w:spacing w:after="0" w:line="296" w:lineRule="auto"/>
        <w:tabs>
          <w:tab w:leader="none" w:pos="1388"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parties acknowledge that MSCI is in the process of revising its calculation methodology for these indexes and has published new Provisional Indexes for the entire MSCI index family. This Letter Agreement shall apply to the MSCI indexes using both the current calculation methodology and any revised methodology, including without limitation, a free-float calculation methodology.</w:t>
      </w:r>
    </w:p>
    <w:p>
      <w:pPr>
        <w:spacing w:after="0" w:line="101" w:lineRule="exact"/>
        <w:rPr>
          <w:rFonts w:ascii="Times New Roman" w:cs="Times New Roman" w:eastAsia="Times New Roman" w:hAnsi="Times New Roman"/>
          <w:sz w:val="11"/>
          <w:szCs w:val="11"/>
          <w:color w:val="auto"/>
        </w:rPr>
      </w:pPr>
    </w:p>
    <w:p>
      <w:pPr>
        <w:ind w:left="1388" w:right="180" w:hanging="839"/>
        <w:spacing w:after="0" w:line="296" w:lineRule="auto"/>
        <w:tabs>
          <w:tab w:leader="none" w:pos="1388"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License Agreement will remain in full force and effect as expressly amended herein. This Letter Agreement along with the License Agreement, as amended, constitutes the entire agreement and understanding of the parties with respect to the subject matter thereof.</w:t>
      </w:r>
    </w:p>
    <w:p>
      <w:pPr>
        <w:spacing w:after="0" w:line="1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89470"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1"/>
          <w:szCs w:val="11"/>
          <w:color w:val="auto"/>
        </w:rPr>
        <w:t>Barclays Global Investors, N.A.</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May 29, 2001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Please indicate your acceptance of this Letter Agreement by signing below.</w:t>
      </w:r>
    </w:p>
    <w:p>
      <w:pPr>
        <w:spacing w:after="0" w:line="17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1"/>
          <w:szCs w:val="11"/>
          <w:color w:val="auto"/>
        </w:rPr>
        <w:t>Sincerely,</w:t>
      </w:r>
    </w:p>
    <w:p>
      <w:pPr>
        <w:spacing w:after="0" w:line="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1"/>
          <w:szCs w:val="11"/>
          <w:u w:val="single" w:color="auto"/>
          <w:color w:val="auto"/>
        </w:rPr>
        <w:t>/s/ Simon Midgen</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1"/>
          <w:szCs w:val="11"/>
          <w:color w:val="auto"/>
        </w:rPr>
        <w:t>Simon Midgen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BARCLAYS GLOBAL INVESTORS, N.A.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By:</w:t>
      </w:r>
      <w:r>
        <w:rPr>
          <w:rFonts w:ascii="Times New Roman" w:cs="Times New Roman" w:eastAsia="Times New Roman" w:hAnsi="Times New Roman"/>
          <w:sz w:val="11"/>
          <w:szCs w:val="11"/>
          <w:u w:val="single" w:color="auto"/>
          <w:color w:val="auto"/>
        </w:rPr>
        <w:t>/s/ Bruce Lavine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Print Name/Title: Bruce Lavine, CFO Individual Investor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Date Signed:6/28/01</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BARCLAYS GLOBAL INVESTORS, N.A.</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By:</w:t>
      </w:r>
      <w:r>
        <w:rPr>
          <w:rFonts w:ascii="Times New Roman" w:cs="Times New Roman" w:eastAsia="Times New Roman" w:hAnsi="Times New Roman"/>
          <w:sz w:val="11"/>
          <w:szCs w:val="11"/>
          <w:u w:val="single" w:color="auto"/>
          <w:color w:val="auto"/>
        </w:rPr>
        <w:t>/s/ James G. Polisson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Print Name/Title: James G. Polisson, Managing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Date Signed:June 28, 2001</w:t>
      </w:r>
    </w:p>
    <w:p>
      <w:pPr>
        <w:spacing w:after="0" w:line="30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1"/>
          <w:szCs w:val="11"/>
          <w:color w:val="auto"/>
        </w:rPr>
        <w:t>2/2</w:t>
      </w:r>
    </w:p>
    <w:p>
      <w:pPr>
        <w:sectPr>
          <w:pgSz w:w="11900" w:h="16838" w:orient="portrait"/>
          <w:cols w:equalWidth="0" w:num="1">
            <w:col w:w="10760"/>
          </w:cols>
          <w:pgMar w:left="840" w:top="269" w:right="2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1"/>
          <w:szCs w:val="11"/>
          <w:b w:val="1"/>
          <w:bCs w:val="1"/>
          <w:color w:val="auto"/>
        </w:rPr>
        <w:t>Exhibit 10.4</w:t>
      </w:r>
    </w:p>
    <w:p>
      <w:pPr>
        <w:spacing w:after="0" w:line="144" w:lineRule="exact"/>
        <w:rPr>
          <w:sz w:val="20"/>
          <w:szCs w:val="20"/>
          <w:color w:val="auto"/>
        </w:rPr>
      </w:pPr>
    </w:p>
    <w:p>
      <w:pPr>
        <w:ind w:left="8" w:hanging="8"/>
        <w:spacing w:after="0" w:line="299" w:lineRule="auto"/>
        <w:tabs>
          <w:tab w:leader="none" w:pos="235" w:val="left"/>
        </w:tabs>
        <w:numPr>
          <w:ilvl w:val="0"/>
          <w:numId w:val="7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90"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1"/>
          <w:szCs w:val="11"/>
          <w:b w:val="1"/>
          <w:bCs w:val="1"/>
          <w:color w:val="auto"/>
        </w:rPr>
        <w:t>ADDENDUM</w:t>
      </w:r>
    </w:p>
    <w:p>
      <w:pPr>
        <w:spacing w:after="0" w:line="23" w:lineRule="exact"/>
        <w:rPr>
          <w:sz w:val="20"/>
          <w:szCs w:val="20"/>
          <w:color w:val="auto"/>
        </w:rPr>
      </w:pPr>
    </w:p>
    <w:p>
      <w:pPr>
        <w:ind w:left="3768"/>
        <w:spacing w:after="0"/>
        <w:rPr>
          <w:sz w:val="20"/>
          <w:szCs w:val="20"/>
          <w:color w:val="auto"/>
        </w:rPr>
      </w:pPr>
      <w:r>
        <w:rPr>
          <w:rFonts w:ascii="Times New Roman" w:cs="Times New Roman" w:eastAsia="Times New Roman" w:hAnsi="Times New Roman"/>
          <w:sz w:val="11"/>
          <w:szCs w:val="11"/>
          <w:b w:val="1"/>
          <w:bCs w:val="1"/>
          <w:color w:val="auto"/>
        </w:rPr>
        <w:t>TO THE INDEX LICENSE AGREEMENT FOR FUNDS BY AND BETWEEN</w:t>
      </w:r>
    </w:p>
    <w:p>
      <w:pPr>
        <w:spacing w:after="0" w:line="1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1"/>
          <w:szCs w:val="11"/>
          <w:b w:val="1"/>
          <w:bCs w:val="1"/>
          <w:color w:val="auto"/>
        </w:rPr>
        <w:t>MORGANSTANLEYCAPITALINTERNATIONALINC. AND</w:t>
      </w:r>
    </w:p>
    <w:p>
      <w:pPr>
        <w:spacing w:after="0" w:line="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1"/>
          <w:szCs w:val="11"/>
          <w:b w:val="1"/>
          <w:bCs w:val="1"/>
          <w:color w:val="auto"/>
        </w:rPr>
        <w:t>BARCLAYS GLOBAL INVESTORS, N.A.</w:t>
      </w:r>
    </w:p>
    <w:p>
      <w:pPr>
        <w:spacing w:after="0" w:line="166" w:lineRule="exact"/>
        <w:rPr>
          <w:sz w:val="20"/>
          <w:szCs w:val="20"/>
          <w:color w:val="auto"/>
        </w:rPr>
      </w:pPr>
    </w:p>
    <w:p>
      <w:pPr>
        <w:ind w:left="268" w:right="740"/>
        <w:spacing w:after="0" w:line="299" w:lineRule="auto"/>
        <w:rPr>
          <w:sz w:val="20"/>
          <w:szCs w:val="20"/>
          <w:color w:val="auto"/>
        </w:rPr>
      </w:pPr>
      <w:r>
        <w:rPr>
          <w:rFonts w:ascii="Times New Roman" w:cs="Times New Roman" w:eastAsia="Times New Roman" w:hAnsi="Times New Roman"/>
          <w:sz w:val="11"/>
          <w:szCs w:val="11"/>
          <w:color w:val="auto"/>
        </w:rPr>
        <w:t xml:space="preserve">This Addendum, effective as of 9/18/02, 2002 (“Effective Date”), supplements and amends the Index License Agreement For Funds between </w:t>
      </w:r>
      <w:r>
        <w:rPr>
          <w:rFonts w:ascii="Times New Roman" w:cs="Times New Roman" w:eastAsia="Times New Roman" w:hAnsi="Times New Roman"/>
          <w:sz w:val="11"/>
          <w:szCs w:val="11"/>
          <w:b w:val="1"/>
          <w:bCs w:val="1"/>
          <w:color w:val="auto"/>
        </w:rPr>
        <w:t>Morgan Stanley Capital International Inc.</w:t>
      </w:r>
      <w:r>
        <w:rPr>
          <w:rFonts w:ascii="Times New Roman" w:cs="Times New Roman" w:eastAsia="Times New Roman" w:hAnsi="Times New Roman"/>
          <w:sz w:val="11"/>
          <w:szCs w:val="11"/>
          <w:color w:val="auto"/>
        </w:rPr>
        <w:t xml:space="preserve"> (“MSCI”) and </w:t>
      </w:r>
      <w:r>
        <w:rPr>
          <w:rFonts w:ascii="Times New Roman" w:cs="Times New Roman" w:eastAsia="Times New Roman" w:hAnsi="Times New Roman"/>
          <w:sz w:val="11"/>
          <w:szCs w:val="11"/>
          <w:b w:val="1"/>
          <w:bCs w:val="1"/>
          <w:color w:val="auto"/>
        </w:rPr>
        <w:t>Barclays Global Investors,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 xml:space="preserve">N.A. </w:t>
      </w:r>
      <w:r>
        <w:rPr>
          <w:rFonts w:ascii="Times New Roman" w:cs="Times New Roman" w:eastAsia="Times New Roman" w:hAnsi="Times New Roman"/>
          <w:sz w:val="11"/>
          <w:szCs w:val="11"/>
          <w:color w:val="auto"/>
        </w:rPr>
        <w:t>(“BGI”) dated March 18, 2000 (the “Agreement”). Capitalized terms not otherwise defined herein shall have the meaning set forth in the Agreement.</w:t>
      </w:r>
    </w:p>
    <w:p>
      <w:pPr>
        <w:spacing w:after="0" w:line="27" w:lineRule="exact"/>
        <w:rPr>
          <w:sz w:val="20"/>
          <w:szCs w:val="20"/>
          <w:color w:val="auto"/>
        </w:rPr>
      </w:pPr>
    </w:p>
    <w:p>
      <w:pPr>
        <w:ind w:left="688" w:hanging="418"/>
        <w:spacing w:after="0"/>
        <w:tabs>
          <w:tab w:leader="none" w:pos="688" w:val="left"/>
        </w:tabs>
        <w:numPr>
          <w:ilvl w:val="0"/>
          <w:numId w:val="7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u w:val="single" w:color="auto"/>
          <w:color w:val="auto"/>
        </w:rPr>
        <w:t>Grant of License</w:t>
      </w:r>
    </w:p>
    <w:p>
      <w:pPr>
        <w:spacing w:after="0" w:line="83" w:lineRule="exact"/>
        <w:rPr>
          <w:sz w:val="20"/>
          <w:szCs w:val="20"/>
          <w:color w:val="auto"/>
        </w:rPr>
      </w:pPr>
    </w:p>
    <w:p>
      <w:pPr>
        <w:ind w:left="708" w:right="800"/>
        <w:spacing w:after="0" w:line="276" w:lineRule="auto"/>
        <w:rPr>
          <w:sz w:val="20"/>
          <w:szCs w:val="20"/>
          <w:color w:val="auto"/>
        </w:rPr>
      </w:pPr>
      <w:r>
        <w:rPr>
          <w:rFonts w:ascii="Times New Roman" w:cs="Times New Roman" w:eastAsia="Times New Roman" w:hAnsi="Times New Roman"/>
          <w:sz w:val="11"/>
          <w:szCs w:val="11"/>
          <w:color w:val="auto"/>
        </w:rPr>
        <w:t>BGI hereby grants MSCI a worldwide license to license third parties: on a non-exclusive basis (a) to sponsor option contracts or other derivative securities products written on, linked to or otherwise based on the Funds (“Options”); (b) to use and refer to the iShares Mark as part of the Composite Mark to promote, market, sell and otherwise sponsor the Options; and (c) to make such disclosures about the Options as necessary under any applicable law, rules and regulations.</w:t>
      </w:r>
    </w:p>
    <w:p>
      <w:pPr>
        <w:spacing w:after="0" w:line="39" w:lineRule="exact"/>
        <w:rPr>
          <w:sz w:val="20"/>
          <w:szCs w:val="20"/>
          <w:color w:val="auto"/>
        </w:rPr>
      </w:pPr>
    </w:p>
    <w:p>
      <w:pPr>
        <w:ind w:left="688" w:hanging="418"/>
        <w:spacing w:after="0"/>
        <w:tabs>
          <w:tab w:leader="none" w:pos="688" w:val="left"/>
        </w:tabs>
        <w:numPr>
          <w:ilvl w:val="0"/>
          <w:numId w:val="7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u w:val="single" w:color="auto"/>
          <w:color w:val="auto"/>
        </w:rPr>
        <w:t>Fee S</w:t>
      </w: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11"/>
          <w:szCs w:val="11"/>
          <w:b w:val="1"/>
          <w:bCs w:val="1"/>
          <w:u w:val="single" w:color="auto"/>
          <w:color w:val="auto"/>
        </w:rPr>
        <w:t>litting/Payment</w:t>
      </w:r>
    </w:p>
    <w:p>
      <w:pPr>
        <w:spacing w:after="0" w:line="83"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1"/>
          <w:szCs w:val="11"/>
          <w:color w:val="auto"/>
        </w:rPr>
        <w:t>In the event that MSCI receives **** for the granting of a license ****, MSCI shall, within sixty (60) days following the close of each calendar quarter **** of all such **** in such calendar quarter.</w:t>
      </w:r>
    </w:p>
    <w:p>
      <w:pPr>
        <w:spacing w:after="0" w:line="79" w:lineRule="exact"/>
        <w:rPr>
          <w:sz w:val="20"/>
          <w:szCs w:val="20"/>
          <w:color w:val="auto"/>
        </w:rPr>
      </w:pPr>
    </w:p>
    <w:p>
      <w:pPr>
        <w:ind w:left="688" w:hanging="418"/>
        <w:spacing w:after="0"/>
        <w:tabs>
          <w:tab w:leader="none" w:pos="688" w:val="left"/>
        </w:tabs>
        <w:numPr>
          <w:ilvl w:val="0"/>
          <w:numId w:val="7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u w:val="single" w:color="auto"/>
          <w:color w:val="auto"/>
        </w:rPr>
        <w:t>Full Disclosure</w:t>
      </w:r>
    </w:p>
    <w:p>
      <w:pPr>
        <w:spacing w:after="0" w:line="83" w:lineRule="exact"/>
        <w:rPr>
          <w:sz w:val="20"/>
          <w:szCs w:val="20"/>
          <w:color w:val="auto"/>
        </w:rPr>
      </w:pPr>
    </w:p>
    <w:p>
      <w:pPr>
        <w:ind w:left="708" w:right="980"/>
        <w:spacing w:after="0" w:line="296" w:lineRule="auto"/>
        <w:rPr>
          <w:sz w:val="20"/>
          <w:szCs w:val="20"/>
          <w:color w:val="auto"/>
        </w:rPr>
      </w:pPr>
      <w:r>
        <w:rPr>
          <w:rFonts w:ascii="Times New Roman" w:cs="Times New Roman" w:eastAsia="Times New Roman" w:hAnsi="Times New Roman"/>
          <w:sz w:val="11"/>
          <w:szCs w:val="11"/>
          <w:color w:val="auto"/>
        </w:rPr>
        <w:t>MSCI shall disclose to BGI the terms of any agreement with any third party granted pursuant to this Addendum. The foregoing obligation shall be met by MSCI providing BGI with a fully executed copy of any such agreement.</w:t>
      </w:r>
    </w:p>
    <w:p>
      <w:pPr>
        <w:spacing w:after="0" w:line="28" w:lineRule="exact"/>
        <w:rPr>
          <w:sz w:val="20"/>
          <w:szCs w:val="20"/>
          <w:color w:val="auto"/>
        </w:rPr>
      </w:pPr>
    </w:p>
    <w:p>
      <w:pPr>
        <w:ind w:left="688" w:hanging="418"/>
        <w:spacing w:after="0"/>
        <w:tabs>
          <w:tab w:leader="none" w:pos="688" w:val="left"/>
        </w:tabs>
        <w:numPr>
          <w:ilvl w:val="0"/>
          <w:numId w:val="8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u w:val="single" w:color="auto"/>
          <w:color w:val="auto"/>
        </w:rPr>
        <w:t>Confidentialit</w:t>
      </w:r>
      <w:r>
        <w:rPr>
          <w:rFonts w:ascii="Times New Roman" w:cs="Times New Roman" w:eastAsia="Times New Roman" w:hAnsi="Times New Roman"/>
          <w:sz w:val="11"/>
          <w:szCs w:val="11"/>
          <w:b w:val="1"/>
          <w:bCs w:val="1"/>
          <w:color w:val="auto"/>
        </w:rPr>
        <w:t>y</w:t>
      </w:r>
    </w:p>
    <w:p>
      <w:pPr>
        <w:spacing w:after="0" w:line="83" w:lineRule="exact"/>
        <w:rPr>
          <w:sz w:val="20"/>
          <w:szCs w:val="20"/>
          <w:color w:val="auto"/>
        </w:rPr>
      </w:pPr>
    </w:p>
    <w:p>
      <w:pPr>
        <w:ind w:left="708" w:right="740"/>
        <w:spacing w:after="0" w:line="296" w:lineRule="auto"/>
        <w:rPr>
          <w:sz w:val="20"/>
          <w:szCs w:val="20"/>
          <w:color w:val="auto"/>
        </w:rPr>
      </w:pPr>
      <w:r>
        <w:rPr>
          <w:rFonts w:ascii="Times New Roman" w:cs="Times New Roman" w:eastAsia="Times New Roman" w:hAnsi="Times New Roman"/>
          <w:sz w:val="11"/>
          <w:szCs w:val="11"/>
          <w:color w:val="auto"/>
        </w:rPr>
        <w:t>MSCI agrees to keep confidential the terms of this Addendum, including the fact that it is being negotiated and the substance of the negotiations, except that MSCI may disclose verbally to its third party licensees only the existence of ****.</w:t>
      </w:r>
    </w:p>
    <w:p>
      <w:pPr>
        <w:spacing w:after="0" w:line="28" w:lineRule="exact"/>
        <w:rPr>
          <w:sz w:val="20"/>
          <w:szCs w:val="20"/>
          <w:color w:val="auto"/>
        </w:rPr>
      </w:pPr>
    </w:p>
    <w:p>
      <w:pPr>
        <w:ind w:left="688" w:hanging="418"/>
        <w:spacing w:after="0"/>
        <w:tabs>
          <w:tab w:leader="none" w:pos="688" w:val="left"/>
        </w:tabs>
        <w:numPr>
          <w:ilvl w:val="0"/>
          <w:numId w:val="8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u w:val="single" w:color="auto"/>
          <w:color w:val="auto"/>
        </w:rPr>
        <w:t>Ownership and Protection of Composite Marks</w:t>
      </w:r>
    </w:p>
    <w:p>
      <w:pPr>
        <w:spacing w:after="0" w:line="83"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1"/>
          <w:szCs w:val="11"/>
          <w:color w:val="auto"/>
        </w:rPr>
        <w:t>The provisions of Section 9 of the Agreement are hereby incorporated herein by reference.</w:t>
      </w:r>
    </w:p>
    <w:p>
      <w:pPr>
        <w:sectPr>
          <w:pgSz w:w="11900" w:h="16838" w:orient="portrait"/>
          <w:cols w:equalWidth="0" w:num="1">
            <w:col w:w="11308"/>
          </w:cols>
          <w:pgMar w:left="292" w:top="258" w:right="2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1"/>
          <w:szCs w:val="11"/>
          <w:b w:val="1"/>
          <w:bCs w:val="1"/>
          <w:color w:val="auto"/>
        </w:rPr>
        <w:t>Exhibit 10.5</w:t>
      </w:r>
    </w:p>
    <w:p>
      <w:pPr>
        <w:spacing w:after="0" w:line="153" w:lineRule="exact"/>
        <w:rPr>
          <w:sz w:val="20"/>
          <w:szCs w:val="20"/>
          <w:color w:val="auto"/>
        </w:rPr>
      </w:pPr>
    </w:p>
    <w:p>
      <w:pPr>
        <w:ind w:left="8" w:hanging="8"/>
        <w:spacing w:after="0" w:line="299" w:lineRule="auto"/>
        <w:tabs>
          <w:tab w:leader="none" w:pos="235" w:val="left"/>
        </w:tabs>
        <w:numPr>
          <w:ilvl w:val="0"/>
          <w:numId w:val="8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29" w:lineRule="exact"/>
        <w:rPr>
          <w:sz w:val="20"/>
          <w:szCs w:val="20"/>
          <w:color w:val="auto"/>
        </w:rPr>
      </w:pPr>
    </w:p>
    <w:p>
      <w:pPr>
        <w:ind w:left="9668"/>
        <w:spacing w:after="0"/>
        <w:rPr>
          <w:sz w:val="20"/>
          <w:szCs w:val="20"/>
          <w:color w:val="auto"/>
        </w:rPr>
      </w:pPr>
      <w:r>
        <w:rPr>
          <w:rFonts w:ascii="Times New Roman" w:cs="Times New Roman" w:eastAsia="Times New Roman" w:hAnsi="Times New Roman"/>
          <w:sz w:val="11"/>
          <w:szCs w:val="11"/>
          <w:color w:val="auto"/>
        </w:rPr>
        <w:t>Client Code/Reference No:</w:t>
      </w:r>
    </w:p>
    <w:p>
      <w:pPr>
        <w:spacing w:after="0" w:line="1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December 3, 2004</w:t>
      </w:r>
    </w:p>
    <w:p>
      <w:pPr>
        <w:spacing w:after="0" w:line="81" w:lineRule="exact"/>
        <w:rPr>
          <w:sz w:val="20"/>
          <w:szCs w:val="20"/>
          <w:color w:val="auto"/>
        </w:rPr>
      </w:pPr>
    </w:p>
    <w:p>
      <w:pPr>
        <w:ind w:left="8" w:right="220"/>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by and between Morgan Stanley Capital International Inc. (“</w:t>
      </w:r>
      <w:r>
        <w:rPr>
          <w:rFonts w:ascii="Times New Roman" w:cs="Times New Roman" w:eastAsia="Times New Roman" w:hAnsi="Times New Roman"/>
          <w:sz w:val="11"/>
          <w:szCs w:val="11"/>
          <w:u w:val="single" w:color="auto"/>
          <w:color w:val="auto"/>
        </w:rPr>
        <w:t>MSCI</w:t>
      </w:r>
      <w:r>
        <w:rPr>
          <w:rFonts w:ascii="Times New Roman" w:cs="Times New Roman" w:eastAsia="Times New Roman" w:hAnsi="Times New Roman"/>
          <w:sz w:val="11"/>
          <w:szCs w:val="11"/>
          <w:color w:val="auto"/>
        </w:rPr>
        <w:t>”) and Barclays Global Investors, N.A. (“</w:t>
      </w:r>
      <w:r>
        <w:rPr>
          <w:rFonts w:ascii="Times New Roman" w:cs="Times New Roman" w:eastAsia="Times New Roman" w:hAnsi="Times New Roman"/>
          <w:sz w:val="11"/>
          <w:szCs w:val="11"/>
          <w:u w:val="single" w:color="auto"/>
          <w:color w:val="auto"/>
        </w:rPr>
        <w:t>Licensee</w:t>
      </w:r>
      <w:r>
        <w:rPr>
          <w:rFonts w:ascii="Times New Roman" w:cs="Times New Roman" w:eastAsia="Times New Roman" w:hAnsi="Times New Roman"/>
          <w:sz w:val="11"/>
          <w:szCs w:val="11"/>
          <w:color w:val="auto"/>
        </w:rPr>
        <w:t>”), dated as of March 18, 2000 (the “</w:t>
      </w:r>
      <w:r>
        <w:rPr>
          <w:rFonts w:ascii="Times New Roman" w:cs="Times New Roman" w:eastAsia="Times New Roman" w:hAnsi="Times New Roman"/>
          <w:sz w:val="11"/>
          <w:szCs w:val="11"/>
          <w:u w:val="single" w:color="auto"/>
          <w:color w:val="auto"/>
        </w:rPr>
        <w:t>US ETF</w:t>
      </w:r>
      <w:r>
        <w:rPr>
          <w:rFonts w:ascii="Times New Roman" w:cs="Times New Roman" w:eastAsia="Times New Roman" w:hAnsi="Times New Roman"/>
          <w:sz w:val="11"/>
          <w:szCs w:val="11"/>
          <w:color w:val="auto"/>
        </w:rPr>
        <w:t xml:space="preserv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Capitalized terms used herein but not otherwise defined herein shall have the meanings ascribed in the US ETF Agreement.</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In consideration of the promises and the mutual covenants and agreements contained herein, MSCI and Licensee hereby agree to amend the US ETF Agreement as follows:</w:t>
      </w:r>
    </w:p>
    <w:p>
      <w:pPr>
        <w:spacing w:after="0" w:line="79" w:lineRule="exact"/>
        <w:rPr>
          <w:sz w:val="20"/>
          <w:szCs w:val="20"/>
          <w:color w:val="auto"/>
        </w:rPr>
      </w:pPr>
    </w:p>
    <w:p>
      <w:pPr>
        <w:ind w:left="368" w:right="320" w:hanging="368"/>
        <w:spacing w:after="0" w:line="299" w:lineRule="auto"/>
        <w:tabs>
          <w:tab w:leader="none" w:pos="368" w:val="left"/>
        </w:tabs>
        <w:numPr>
          <w:ilvl w:val="0"/>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u w:val="single" w:color="auto"/>
          <w:color w:val="auto"/>
        </w:rPr>
        <w:t>Term</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The term of the US ETF Agreement is hereby renewed for an additional five year period commencing on March 18, 2005. Thereafter, the US ETF Agreement shall renew for successive three-year periods unless either party provides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written notice to the other of its intent not to renew ninety days prior to the end of the then-current term.</w:t>
      </w:r>
    </w:p>
    <w:p>
      <w:pPr>
        <w:spacing w:after="0" w:line="26" w:lineRule="exact"/>
        <w:rPr>
          <w:rFonts w:ascii="Times New Roman" w:cs="Times New Roman" w:eastAsia="Times New Roman" w:hAnsi="Times New Roman"/>
          <w:sz w:val="11"/>
          <w:szCs w:val="11"/>
          <w:color w:val="auto"/>
        </w:rPr>
      </w:pPr>
    </w:p>
    <w:p>
      <w:pPr>
        <w:ind w:left="368" w:right="340" w:hanging="368"/>
        <w:spacing w:after="0" w:line="299" w:lineRule="auto"/>
        <w:tabs>
          <w:tab w:leader="none" w:pos="368" w:val="left"/>
        </w:tabs>
        <w:numPr>
          <w:ilvl w:val="0"/>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u w:val="single" w:color="auto"/>
          <w:color w:val="auto"/>
        </w:rPr>
        <w:t>License Fees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The license fees shall be calculated as set forth herein commencing on January 1, 2005, notwithstanding anything to the contrary in the Agreement or any Schedule or Exhibit thereto. Section 3 of the US ETF Agreement is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hereby deleted in its entirety and replaced as follows:</w:t>
      </w:r>
    </w:p>
    <w:p>
      <w:pPr>
        <w:spacing w:after="0" w:line="28" w:lineRule="exact"/>
        <w:rPr>
          <w:rFonts w:ascii="Times New Roman" w:cs="Times New Roman" w:eastAsia="Times New Roman" w:hAnsi="Times New Roman"/>
          <w:sz w:val="11"/>
          <w:szCs w:val="11"/>
          <w:color w:val="auto"/>
        </w:rPr>
      </w:pPr>
    </w:p>
    <w:p>
      <w:pPr>
        <w:ind w:left="788" w:hanging="365"/>
        <w:spacing w:after="0"/>
        <w:tabs>
          <w:tab w:leader="none" w:pos="788" w:val="left"/>
        </w:tabs>
        <w:numPr>
          <w:ilvl w:val="1"/>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pay MSCI a **** license fee with respect to the use of each Index (as listed on Exhibit A) as the basis for, or a component of, a Fund (described on Exhibit B). The **** license fee shall be **** during the applicable</w:t>
      </w:r>
    </w:p>
    <w:p>
      <w:pPr>
        <w:spacing w:after="0" w:line="20" w:lineRule="exact"/>
        <w:rPr>
          <w:rFonts w:ascii="Times New Roman" w:cs="Times New Roman" w:eastAsia="Times New Roman" w:hAnsi="Times New Roman"/>
          <w:sz w:val="11"/>
          <w:szCs w:val="11"/>
          <w:color w:val="auto"/>
        </w:rPr>
      </w:pPr>
    </w:p>
    <w:p>
      <w:pPr>
        <w:ind w:left="7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subject to a **** as follows:</w:t>
      </w:r>
    </w:p>
    <w:p>
      <w:pPr>
        <w:spacing w:after="0" w:line="137" w:lineRule="exact"/>
        <w:rPr>
          <w:sz w:val="20"/>
          <w:szCs w:val="20"/>
          <w:color w:val="auto"/>
        </w:rPr>
      </w:pPr>
    </w:p>
    <w:tbl>
      <w:tblPr>
        <w:tblLayout w:type="fixed"/>
        <w:tblInd w:w="2428"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860" w:type="dxa"/>
            <w:vAlign w:val="bottom"/>
          </w:tcPr>
          <w:p>
            <w:pPr>
              <w:spacing w:after="0"/>
              <w:rPr>
                <w:sz w:val="11"/>
                <w:szCs w:val="11"/>
                <w:color w:val="auto"/>
              </w:rPr>
            </w:pP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127"/>
        </w:trPr>
        <w:tc>
          <w:tcPr>
            <w:tcW w:w="3380" w:type="dxa"/>
            <w:vAlign w:val="bottom"/>
            <w:gridSpan w:val="3"/>
          </w:tcPr>
          <w:p>
            <w:pPr>
              <w:jc w:val="center"/>
              <w:ind w:right="2600"/>
              <w:spacing w:after="0"/>
              <w:rPr>
                <w:sz w:val="20"/>
                <w:szCs w:val="20"/>
                <w:color w:val="auto"/>
              </w:rPr>
            </w:pPr>
            <w:r>
              <w:rPr>
                <w:rFonts w:ascii="Times New Roman" w:cs="Times New Roman" w:eastAsia="Times New Roman" w:hAnsi="Times New Roman"/>
                <w:sz w:val="11"/>
                <w:szCs w:val="11"/>
                <w:color w:val="auto"/>
              </w:rPr>
              <w:t>First ****</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80" w:type="dxa"/>
            <w:vAlign w:val="bottom"/>
            <w:gridSpan w:val="3"/>
          </w:tcPr>
          <w:p>
            <w:pPr>
              <w:jc w:val="center"/>
              <w:ind w:right="2600"/>
              <w:spacing w:after="0"/>
              <w:rPr>
                <w:sz w:val="20"/>
                <w:szCs w:val="20"/>
                <w:color w:val="auto"/>
              </w:rPr>
            </w:pPr>
            <w:r>
              <w:rPr>
                <w:rFonts w:ascii="Times New Roman" w:cs="Times New Roman" w:eastAsia="Times New Roman" w:hAnsi="Times New Roman"/>
                <w:sz w:val="11"/>
                <w:szCs w:val="11"/>
                <w:color w:val="auto"/>
              </w:rPr>
              <w:t>From ****</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80" w:type="dxa"/>
            <w:vAlign w:val="bottom"/>
            <w:gridSpan w:val="3"/>
          </w:tcPr>
          <w:p>
            <w:pPr>
              <w:jc w:val="center"/>
              <w:ind w:right="2600"/>
              <w:spacing w:after="0"/>
              <w:rPr>
                <w:sz w:val="20"/>
                <w:szCs w:val="20"/>
                <w:color w:val="auto"/>
              </w:rPr>
            </w:pPr>
            <w:r>
              <w:rPr>
                <w:rFonts w:ascii="Times New Roman" w:cs="Times New Roman" w:eastAsia="Times New Roman" w:hAnsi="Times New Roman"/>
                <w:sz w:val="11"/>
                <w:szCs w:val="11"/>
                <w:color w:val="auto"/>
              </w:rPr>
              <w:t>From ****</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80" w:type="dxa"/>
            <w:vAlign w:val="bottom"/>
            <w:gridSpan w:val="3"/>
          </w:tcPr>
          <w:p>
            <w:pPr>
              <w:jc w:val="center"/>
              <w:ind w:right="2600"/>
              <w:spacing w:after="0"/>
              <w:rPr>
                <w:sz w:val="20"/>
                <w:szCs w:val="20"/>
                <w:color w:val="auto"/>
              </w:rPr>
            </w:pPr>
            <w:r>
              <w:rPr>
                <w:rFonts w:ascii="Times New Roman" w:cs="Times New Roman" w:eastAsia="Times New Roman" w:hAnsi="Times New Roman"/>
                <w:sz w:val="11"/>
                <w:szCs w:val="11"/>
                <w:color w:val="auto"/>
              </w:rPr>
              <w:t>From ****</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380" w:type="dxa"/>
            <w:vAlign w:val="bottom"/>
            <w:gridSpan w:val="3"/>
          </w:tcPr>
          <w:p>
            <w:pPr>
              <w:jc w:val="center"/>
              <w:ind w:right="2580"/>
              <w:spacing w:after="0"/>
              <w:rPr>
                <w:sz w:val="20"/>
                <w:szCs w:val="20"/>
                <w:color w:val="auto"/>
              </w:rPr>
            </w:pPr>
            <w:r>
              <w:rPr>
                <w:rFonts w:ascii="Times New Roman" w:cs="Times New Roman" w:eastAsia="Times New Roman" w:hAnsi="Times New Roman"/>
                <w:sz w:val="11"/>
                <w:szCs w:val="11"/>
                <w:color w:val="auto"/>
              </w:rPr>
              <w:t>Greater than ****</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131" w:lineRule="exact"/>
        <w:rPr>
          <w:sz w:val="20"/>
          <w:szCs w:val="20"/>
          <w:color w:val="auto"/>
        </w:rPr>
      </w:pPr>
    </w:p>
    <w:p>
      <w:pPr>
        <w:ind w:left="788" w:hanging="365"/>
        <w:spacing w:after="0"/>
        <w:tabs>
          <w:tab w:leader="none" w:pos="788" w:val="left"/>
        </w:tabs>
        <w:numPr>
          <w:ilvl w:val="1"/>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84" w:lineRule="exact"/>
        <w:rPr>
          <w:rFonts w:ascii="Times New Roman" w:cs="Times New Roman" w:eastAsia="Times New Roman" w:hAnsi="Times New Roman"/>
          <w:sz w:val="11"/>
          <w:szCs w:val="11"/>
          <w:color w:val="auto"/>
        </w:rPr>
      </w:pPr>
    </w:p>
    <w:p>
      <w:pPr>
        <w:jc w:val="both"/>
        <w:ind w:left="788" w:right="100" w:hanging="365"/>
        <w:spacing w:after="0" w:line="265" w:lineRule="auto"/>
        <w:tabs>
          <w:tab w:leader="none" w:pos="788" w:val="left"/>
        </w:tabs>
        <w:numPr>
          <w:ilvl w:val="1"/>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The license fee shall be paid in arrears to MSCI by the fifteenth day of the following **** and shall be accompanied by a statement from Licensee stating that such fees are accurate. Any license fees or any other amounts due hereunder that are not timely paid shall accrue interest at the rate of **** per month or the maximum amount permitted by law, whichever is less, which interest charges shall begin accruing on the relevant due date and shall continue to accrue until such license fees and all other amounts due hereunder are paid in full.</w:t>
      </w:r>
    </w:p>
    <w:p>
      <w:pPr>
        <w:spacing w:after="0" w:line="43" w:lineRule="exact"/>
        <w:rPr>
          <w:rFonts w:ascii="Times New Roman" w:cs="Times New Roman" w:eastAsia="Times New Roman" w:hAnsi="Times New Roman"/>
          <w:sz w:val="11"/>
          <w:szCs w:val="11"/>
          <w:color w:val="auto"/>
        </w:rPr>
      </w:pPr>
    </w:p>
    <w:p>
      <w:pPr>
        <w:ind w:left="788" w:right="200" w:hanging="365"/>
        <w:spacing w:after="0" w:line="269" w:lineRule="auto"/>
        <w:tabs>
          <w:tab w:leader="none" w:pos="788" w:val="left"/>
        </w:tabs>
        <w:numPr>
          <w:ilvl w:val="1"/>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maintain detailed and accurate records with respect to the assets of the Funds and any of Licensee’s payments to MSCI hereunder. During the term of the US ETF Agreement and for a period of three (3) years after its termination, Licensee, upon written request by MSCI, shall provide access to such records during normal business hours to MSCI and/or an independent accounting organization chosen and compensated by MSCI. Licensee shall promptly pay any underreported license fees and all other amounts due hereunder determined by such audit ****, or the **** whichever is less, for the period of time during which such amount was owed and unpaid. If such audit reveals an underpayment in excess of **** of the amount due hereunder, then Licensee shall also pay for the reasonable cost of such audit.</w:t>
      </w:r>
    </w:p>
    <w:p>
      <w:pPr>
        <w:spacing w:after="0" w:line="44" w:lineRule="exact"/>
        <w:rPr>
          <w:rFonts w:ascii="Times New Roman" w:cs="Times New Roman" w:eastAsia="Times New Roman" w:hAnsi="Times New Roman"/>
          <w:sz w:val="11"/>
          <w:szCs w:val="11"/>
          <w:color w:val="auto"/>
        </w:rPr>
      </w:pPr>
    </w:p>
    <w:p>
      <w:pPr>
        <w:ind w:left="788" w:hanging="365"/>
        <w:spacing w:after="0"/>
        <w:tabs>
          <w:tab w:leader="none" w:pos="788" w:val="left"/>
        </w:tabs>
        <w:numPr>
          <w:ilvl w:val="1"/>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will promptly pay **** arising as a result of the Agreement, other than ****.</w:t>
      </w:r>
    </w:p>
    <w:p>
      <w:pPr>
        <w:spacing w:after="0" w:line="98" w:lineRule="exact"/>
        <w:rPr>
          <w:rFonts w:ascii="Times New Roman" w:cs="Times New Roman" w:eastAsia="Times New Roman" w:hAnsi="Times New Roman"/>
          <w:sz w:val="11"/>
          <w:szCs w:val="11"/>
          <w:color w:val="auto"/>
        </w:rPr>
      </w:pPr>
    </w:p>
    <w:p>
      <w:pPr>
        <w:ind w:left="788" w:hanging="365"/>
        <w:spacing w:after="0"/>
        <w:tabs>
          <w:tab w:leader="none" w:pos="788" w:val="left"/>
        </w:tabs>
        <w:numPr>
          <w:ilvl w:val="1"/>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avoidance of doubt, the **** license fees that are **** be calculated progressively. For example, the **** would be subject to the **** license fee formula set forth above and the **** license fee formula set forth above.</w:t>
      </w:r>
    </w:p>
    <w:p>
      <w:pPr>
        <w:spacing w:after="0" w:line="98" w:lineRule="exact"/>
        <w:rPr>
          <w:rFonts w:ascii="Times New Roman" w:cs="Times New Roman" w:eastAsia="Times New Roman" w:hAnsi="Times New Roman"/>
          <w:sz w:val="11"/>
          <w:szCs w:val="11"/>
          <w:color w:val="auto"/>
        </w:rPr>
      </w:pPr>
    </w:p>
    <w:p>
      <w:pPr>
        <w:ind w:left="788" w:hanging="365"/>
        <w:spacing w:after="0"/>
        <w:tabs>
          <w:tab w:leader="none" w:pos="788" w:val="left"/>
        </w:tabs>
        <w:numPr>
          <w:ilvl w:val="1"/>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Notwithstanding anything to the contrary contained herein, if any Fund does not have ****, the licensee fee for such Fund shall equal ****.</w:t>
      </w:r>
    </w:p>
    <w:p>
      <w:pPr>
        <w:spacing w:after="0" w:line="98" w:lineRule="exact"/>
        <w:rPr>
          <w:rFonts w:ascii="Times New Roman" w:cs="Times New Roman" w:eastAsia="Times New Roman" w:hAnsi="Times New Roman"/>
          <w:sz w:val="11"/>
          <w:szCs w:val="11"/>
          <w:color w:val="auto"/>
        </w:rPr>
      </w:pPr>
    </w:p>
    <w:p>
      <w:pPr>
        <w:ind w:left="368" w:hanging="368"/>
        <w:spacing w:after="0"/>
        <w:tabs>
          <w:tab w:leader="none" w:pos="368"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w:t>
      </w:r>
      <w:r>
        <w:rPr>
          <w:rFonts w:ascii="Times New Roman" w:cs="Times New Roman" w:eastAsia="Times New Roman" w:hAnsi="Times New Roman"/>
          <w:sz w:val="11"/>
          <w:szCs w:val="11"/>
          <w:u w:val="single" w:color="auto"/>
          <w:color w:val="auto"/>
        </w:rPr>
        <w:t>isclosure</w:t>
      </w:r>
      <w:r>
        <w:rPr>
          <w:rFonts w:ascii="Times New Roman" w:cs="Times New Roman" w:eastAsia="Times New Roman" w:hAnsi="Times New Roman"/>
          <w:sz w:val="11"/>
          <w:szCs w:val="11"/>
          <w:color w:val="auto"/>
        </w:rPr>
        <w:t>.</w:t>
      </w:r>
    </w:p>
    <w:p>
      <w:pPr>
        <w:spacing w:after="0" w:line="80" w:lineRule="exact"/>
        <w:rPr>
          <w:rFonts w:ascii="Times New Roman" w:cs="Times New Roman" w:eastAsia="Times New Roman" w:hAnsi="Times New Roman"/>
          <w:sz w:val="11"/>
          <w:szCs w:val="11"/>
          <w:color w:val="auto"/>
        </w:rPr>
      </w:pPr>
    </w:p>
    <w:p>
      <w:pPr>
        <w:ind w:left="788" w:right="120" w:hanging="365"/>
        <w:spacing w:after="0" w:line="296" w:lineRule="auto"/>
        <w:tabs>
          <w:tab w:leader="none" w:pos="788" w:val="left"/>
        </w:tabs>
        <w:numPr>
          <w:ilvl w:val="1"/>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 the following information at the following frequencies on its web sites, **** and in its printed publications regarding ****, p</w:t>
      </w:r>
      <w:r>
        <w:rPr>
          <w:rFonts w:ascii="Times New Roman" w:cs="Times New Roman" w:eastAsia="Times New Roman" w:hAnsi="Times New Roman"/>
          <w:sz w:val="11"/>
          <w:szCs w:val="11"/>
          <w:u w:val="single" w:color="auto"/>
          <w:color w:val="auto"/>
        </w:rPr>
        <w:t>rovided</w:t>
      </w:r>
      <w:r>
        <w:rPr>
          <w:rFonts w:ascii="Times New Roman" w:cs="Times New Roman" w:eastAsia="Times New Roman" w:hAnsi="Times New Roman"/>
          <w:sz w:val="11"/>
          <w:szCs w:val="11"/>
          <w:color w:val="auto"/>
        </w:rPr>
        <w:t xml:space="preserve"> that (i) each **** containing such information prominently indicates or contains a prominent link to a page that indicates and (ii) each **** containing such information prominently indicates, that no reader of such information may use</w:t>
      </w:r>
    </w:p>
    <w:p>
      <w:pPr>
        <w:spacing w:after="0" w:line="1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89470"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7" w:right="299" w:bottom="1440" w:gutter="0" w:footer="0" w:header="0"/>
        </w:sectPr>
      </w:pPr>
    </w:p>
    <w:bookmarkStart w:id="135" w:name="page136"/>
    <w:bookmarkEnd w:id="135"/>
    <w:tbl>
      <w:tblPr>
        <w:tblLayout w:type="fixed"/>
        <w:tblInd w:w="448" w:type="dxa"/>
        <w:tblCellMar>
          <w:top w:w="0" w:type="dxa"/>
          <w:left w:w="0" w:type="dxa"/>
          <w:bottom w:w="0" w:type="dxa"/>
          <w:right w:w="0" w:type="dxa"/>
        </w:tblCellMar>
      </w:tblPr>
      <w:tr>
        <w:trPr>
          <w:trHeight w:val="148"/>
        </w:trPr>
        <w:tc>
          <w:tcPr>
            <w:tcW w:w="6360" w:type="dxa"/>
            <w:vAlign w:val="bottom"/>
            <w:gridSpan w:val="3"/>
          </w:tcPr>
          <w:p>
            <w:pPr>
              <w:ind w:left="340"/>
              <w:spacing w:after="0"/>
              <w:rPr>
                <w:sz w:val="20"/>
                <w:szCs w:val="20"/>
                <w:color w:val="auto"/>
              </w:rPr>
            </w:pPr>
            <w:r>
              <w:rPr>
                <w:rFonts w:ascii="Times New Roman" w:cs="Times New Roman" w:eastAsia="Times New Roman" w:hAnsi="Times New Roman"/>
                <w:sz w:val="11"/>
                <w:szCs w:val="11"/>
                <w:color w:val="auto"/>
              </w:rPr>
              <w:t>such information to manage or sponsor a fund or other security, investment vehicle or financial product:</w:t>
            </w: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25"/>
        </w:trPr>
        <w:tc>
          <w:tcPr>
            <w:tcW w:w="63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Information regarding ****:</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4"/>
        </w:trPr>
        <w:tc>
          <w:tcPr>
            <w:tcW w:w="636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INFORMATION</w:t>
            </w:r>
          </w:p>
        </w:tc>
        <w:tc>
          <w:tcPr>
            <w:tcW w:w="204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b w:val="1"/>
                <w:bCs w:val="1"/>
                <w:color w:val="auto"/>
              </w:rPr>
              <w:t>FREQUENCY</w:t>
            </w:r>
          </w:p>
        </w:tc>
      </w:tr>
      <w:tr>
        <w:trPr>
          <w:trHeight w:val="127"/>
        </w:trPr>
        <w:tc>
          <w:tcPr>
            <w:tcW w:w="1960" w:type="dxa"/>
            <w:vAlign w:val="bottom"/>
          </w:tcPr>
          <w:p>
            <w:pPr>
              <w:spacing w:after="0"/>
              <w:rPr>
                <w:sz w:val="11"/>
                <w:szCs w:val="11"/>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w:t>
            </w:r>
          </w:p>
        </w:tc>
      </w:tr>
      <w:tr>
        <w:trPr>
          <w:trHeight w:val="135"/>
        </w:trPr>
        <w:tc>
          <w:tcPr>
            <w:tcW w:w="2800" w:type="dxa"/>
            <w:vAlign w:val="bottom"/>
            <w:gridSpan w:val="2"/>
          </w:tcPr>
          <w:p>
            <w:pPr>
              <w:jc w:val="center"/>
              <w:ind w:left="1903"/>
              <w:spacing w:after="0"/>
              <w:rPr>
                <w:sz w:val="20"/>
                <w:szCs w:val="20"/>
                <w:color w:val="auto"/>
              </w:rPr>
            </w:pPr>
            <w:r>
              <w:rPr>
                <w:rFonts w:ascii="Times New Roman" w:cs="Times New Roman" w:eastAsia="Times New Roman" w:hAnsi="Times New Roman"/>
                <w:sz w:val="11"/>
                <w:szCs w:val="11"/>
                <w:color w:val="auto"/>
              </w:rPr>
              <w:t>****</w:t>
            </w:r>
          </w:p>
        </w:tc>
        <w:tc>
          <w:tcPr>
            <w:tcW w:w="3560" w:type="dxa"/>
            <w:vAlign w:val="bottom"/>
          </w:tcPr>
          <w:p>
            <w:pPr>
              <w:spacing w:after="0"/>
              <w:rPr>
                <w:sz w:val="11"/>
                <w:szCs w:val="11"/>
                <w:color w:val="auto"/>
              </w:rPr>
            </w:pPr>
          </w:p>
        </w:tc>
        <w:tc>
          <w:tcPr>
            <w:tcW w:w="204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9"/>
              </w:rPr>
              <w:t>****</w:t>
            </w:r>
          </w:p>
        </w:tc>
      </w:tr>
      <w:tr>
        <w:trPr>
          <w:trHeight w:val="135"/>
        </w:trPr>
        <w:tc>
          <w:tcPr>
            <w:tcW w:w="2800" w:type="dxa"/>
            <w:vAlign w:val="bottom"/>
            <w:gridSpan w:val="2"/>
          </w:tcPr>
          <w:p>
            <w:pPr>
              <w:jc w:val="center"/>
              <w:ind w:left="1903"/>
              <w:spacing w:after="0"/>
              <w:rPr>
                <w:sz w:val="20"/>
                <w:szCs w:val="20"/>
                <w:color w:val="auto"/>
              </w:rPr>
            </w:pPr>
            <w:r>
              <w:rPr>
                <w:rFonts w:ascii="Times New Roman" w:cs="Times New Roman" w:eastAsia="Times New Roman" w:hAnsi="Times New Roman"/>
                <w:sz w:val="11"/>
                <w:szCs w:val="11"/>
                <w:color w:val="auto"/>
              </w:rPr>
              <w:t>****</w:t>
            </w:r>
          </w:p>
        </w:tc>
        <w:tc>
          <w:tcPr>
            <w:tcW w:w="3560" w:type="dxa"/>
            <w:vAlign w:val="bottom"/>
          </w:tcPr>
          <w:p>
            <w:pPr>
              <w:spacing w:after="0"/>
              <w:rPr>
                <w:sz w:val="11"/>
                <w:szCs w:val="11"/>
                <w:color w:val="auto"/>
              </w:rPr>
            </w:pPr>
          </w:p>
        </w:tc>
        <w:tc>
          <w:tcPr>
            <w:tcW w:w="204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9"/>
              </w:rPr>
              <w:t>****</w:t>
            </w:r>
          </w:p>
        </w:tc>
      </w:tr>
      <w:tr>
        <w:trPr>
          <w:trHeight w:val="135"/>
        </w:trPr>
        <w:tc>
          <w:tcPr>
            <w:tcW w:w="2800" w:type="dxa"/>
            <w:vAlign w:val="bottom"/>
            <w:gridSpan w:val="2"/>
          </w:tcPr>
          <w:p>
            <w:pPr>
              <w:jc w:val="center"/>
              <w:ind w:left="1903"/>
              <w:spacing w:after="0"/>
              <w:rPr>
                <w:sz w:val="20"/>
                <w:szCs w:val="20"/>
                <w:color w:val="auto"/>
              </w:rPr>
            </w:pPr>
            <w:r>
              <w:rPr>
                <w:rFonts w:ascii="Times New Roman" w:cs="Times New Roman" w:eastAsia="Times New Roman" w:hAnsi="Times New Roman"/>
                <w:sz w:val="11"/>
                <w:szCs w:val="11"/>
                <w:color w:val="auto"/>
              </w:rPr>
              <w:t>****</w:t>
            </w:r>
          </w:p>
        </w:tc>
        <w:tc>
          <w:tcPr>
            <w:tcW w:w="3560" w:type="dxa"/>
            <w:vAlign w:val="bottom"/>
          </w:tcPr>
          <w:p>
            <w:pPr>
              <w:spacing w:after="0"/>
              <w:rPr>
                <w:sz w:val="11"/>
                <w:szCs w:val="11"/>
                <w:color w:val="auto"/>
              </w:rPr>
            </w:pPr>
          </w:p>
        </w:tc>
        <w:tc>
          <w:tcPr>
            <w:tcW w:w="204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9"/>
              </w:rPr>
              <w:t>****</w:t>
            </w:r>
          </w:p>
        </w:tc>
      </w:tr>
      <w:tr>
        <w:trPr>
          <w:trHeight w:val="135"/>
        </w:trPr>
        <w:tc>
          <w:tcPr>
            <w:tcW w:w="1960" w:type="dxa"/>
            <w:vAlign w:val="bottom"/>
          </w:tcPr>
          <w:p>
            <w:pPr>
              <w:spacing w:after="0"/>
              <w:rPr>
                <w:sz w:val="11"/>
                <w:szCs w:val="11"/>
                <w:color w:val="auto"/>
              </w:rPr>
            </w:pPr>
          </w:p>
        </w:tc>
        <w:tc>
          <w:tcPr>
            <w:tcW w:w="4400" w:type="dxa"/>
            <w:vAlign w:val="bottom"/>
            <w:gridSpan w:val="2"/>
          </w:tcPr>
          <w:p>
            <w:pPr>
              <w:jc w:val="center"/>
              <w:ind w:right="3580"/>
              <w:spacing w:after="0"/>
              <w:rPr>
                <w:sz w:val="20"/>
                <w:szCs w:val="20"/>
                <w:color w:val="auto"/>
              </w:rPr>
            </w:pPr>
            <w:r>
              <w:rPr>
                <w:rFonts w:ascii="Times New Roman" w:cs="Times New Roman" w:eastAsia="Times New Roman" w:hAnsi="Times New Roman"/>
                <w:sz w:val="11"/>
                <w:szCs w:val="11"/>
                <w:color w:val="auto"/>
              </w:rPr>
              <w:t>Number of ****</w:t>
            </w:r>
          </w:p>
        </w:tc>
        <w:tc>
          <w:tcPr>
            <w:tcW w:w="204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9"/>
              </w:rPr>
              <w:t>****</w:t>
            </w:r>
          </w:p>
        </w:tc>
      </w:tr>
      <w:tr>
        <w:trPr>
          <w:trHeight w:val="135"/>
        </w:trPr>
        <w:tc>
          <w:tcPr>
            <w:tcW w:w="1960" w:type="dxa"/>
            <w:vAlign w:val="bottom"/>
          </w:tcPr>
          <w:p>
            <w:pPr>
              <w:spacing w:after="0"/>
              <w:rPr>
                <w:sz w:val="11"/>
                <w:szCs w:val="11"/>
                <w:color w:val="auto"/>
              </w:rPr>
            </w:pPr>
          </w:p>
        </w:tc>
        <w:tc>
          <w:tcPr>
            <w:tcW w:w="4400" w:type="dxa"/>
            <w:vAlign w:val="bottom"/>
            <w:gridSpan w:val="2"/>
          </w:tcPr>
          <w:p>
            <w:pPr>
              <w:jc w:val="center"/>
              <w:ind w:right="3560"/>
              <w:spacing w:after="0"/>
              <w:rPr>
                <w:sz w:val="20"/>
                <w:szCs w:val="20"/>
                <w:color w:val="auto"/>
              </w:rPr>
            </w:pPr>
            <w:r>
              <w:rPr>
                <w:rFonts w:ascii="Times New Roman" w:cs="Times New Roman" w:eastAsia="Times New Roman" w:hAnsi="Times New Roman"/>
                <w:sz w:val="11"/>
                <w:szCs w:val="11"/>
                <w:color w:val="auto"/>
              </w:rPr>
              <w:t>Financial ****</w:t>
            </w:r>
          </w:p>
        </w:tc>
        <w:tc>
          <w:tcPr>
            <w:tcW w:w="204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9"/>
              </w:rPr>
              <w:t>****</w:t>
            </w:r>
          </w:p>
        </w:tc>
      </w:tr>
      <w:tr>
        <w:trPr>
          <w:trHeight w:val="135"/>
        </w:trPr>
        <w:tc>
          <w:tcPr>
            <w:tcW w:w="2800" w:type="dxa"/>
            <w:vAlign w:val="bottom"/>
            <w:gridSpan w:val="2"/>
          </w:tcPr>
          <w:p>
            <w:pPr>
              <w:jc w:val="center"/>
              <w:ind w:left="1903"/>
              <w:spacing w:after="0"/>
              <w:rPr>
                <w:sz w:val="20"/>
                <w:szCs w:val="20"/>
                <w:color w:val="auto"/>
              </w:rPr>
            </w:pPr>
            <w:r>
              <w:rPr>
                <w:rFonts w:ascii="Times New Roman" w:cs="Times New Roman" w:eastAsia="Times New Roman" w:hAnsi="Times New Roman"/>
                <w:sz w:val="11"/>
                <w:szCs w:val="11"/>
                <w:color w:val="auto"/>
              </w:rPr>
              <w:t>****</w:t>
            </w:r>
          </w:p>
        </w:tc>
        <w:tc>
          <w:tcPr>
            <w:tcW w:w="3560" w:type="dxa"/>
            <w:vAlign w:val="bottom"/>
          </w:tcPr>
          <w:p>
            <w:pPr>
              <w:spacing w:after="0"/>
              <w:rPr>
                <w:sz w:val="11"/>
                <w:szCs w:val="11"/>
                <w:color w:val="auto"/>
              </w:rPr>
            </w:pPr>
          </w:p>
        </w:tc>
        <w:tc>
          <w:tcPr>
            <w:tcW w:w="204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9"/>
              </w:rPr>
              <w:t>****</w:t>
            </w:r>
          </w:p>
        </w:tc>
      </w:tr>
      <w:tr>
        <w:trPr>
          <w:trHeight w:val="148"/>
        </w:trPr>
        <w:tc>
          <w:tcPr>
            <w:tcW w:w="2800" w:type="dxa"/>
            <w:vAlign w:val="bottom"/>
            <w:gridSpan w:val="2"/>
          </w:tcPr>
          <w:p>
            <w:pPr>
              <w:jc w:val="center"/>
              <w:ind w:left="1903"/>
              <w:spacing w:after="0"/>
              <w:rPr>
                <w:sz w:val="20"/>
                <w:szCs w:val="20"/>
                <w:color w:val="auto"/>
              </w:rPr>
            </w:pPr>
            <w:r>
              <w:rPr>
                <w:rFonts w:ascii="Times New Roman" w:cs="Times New Roman" w:eastAsia="Times New Roman" w:hAnsi="Times New Roman"/>
                <w:sz w:val="11"/>
                <w:szCs w:val="11"/>
                <w:color w:val="auto"/>
              </w:rPr>
              <w:t>****</w:t>
            </w:r>
          </w:p>
        </w:tc>
        <w:tc>
          <w:tcPr>
            <w:tcW w:w="3560" w:type="dxa"/>
            <w:vAlign w:val="bottom"/>
          </w:tcPr>
          <w:p>
            <w:pPr>
              <w:spacing w:after="0"/>
              <w:rPr>
                <w:sz w:val="12"/>
                <w:szCs w:val="12"/>
                <w:color w:val="auto"/>
              </w:rPr>
            </w:pPr>
          </w:p>
        </w:tc>
        <w:tc>
          <w:tcPr>
            <w:tcW w:w="204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9"/>
              </w:rPr>
              <w:t>****</w:t>
            </w:r>
          </w:p>
        </w:tc>
      </w:tr>
      <w:tr>
        <w:trPr>
          <w:trHeight w:val="279"/>
        </w:trPr>
        <w:tc>
          <w:tcPr>
            <w:tcW w:w="63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Information regarding ****:</w:t>
            </w: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28" w:lineRule="exact"/>
        <w:rPr>
          <w:sz w:val="20"/>
          <w:szCs w:val="20"/>
          <w:color w:val="auto"/>
        </w:rPr>
      </w:pPr>
    </w:p>
    <w:tbl>
      <w:tblPr>
        <w:tblLayout w:type="fixed"/>
        <w:tblInd w:w="2408" w:type="dxa"/>
        <w:tblCellMar>
          <w:top w:w="0" w:type="dxa"/>
          <w:left w:w="0" w:type="dxa"/>
          <w:bottom w:w="0" w:type="dxa"/>
          <w:right w:w="0" w:type="dxa"/>
        </w:tblCellMar>
      </w:tblPr>
      <w:tr>
        <w:trPr>
          <w:trHeight w:val="126"/>
        </w:trPr>
        <w:tc>
          <w:tcPr>
            <w:tcW w:w="2680" w:type="dxa"/>
            <w:vAlign w:val="bottom"/>
            <w:gridSpan w:val="2"/>
          </w:tcPr>
          <w:p>
            <w:pPr>
              <w:jc w:val="center"/>
              <w:ind w:right="1840"/>
              <w:spacing w:after="0"/>
              <w:rPr>
                <w:sz w:val="20"/>
                <w:szCs w:val="20"/>
                <w:color w:val="auto"/>
              </w:rPr>
            </w:pPr>
            <w:r>
              <w:rPr>
                <w:rFonts w:ascii="Times New Roman" w:cs="Times New Roman" w:eastAsia="Times New Roman" w:hAnsi="Times New Roman"/>
                <w:sz w:val="11"/>
                <w:szCs w:val="11"/>
                <w:b w:val="1"/>
                <w:bCs w:val="1"/>
                <w:color w:val="auto"/>
              </w:rPr>
              <w:t>INFORMATION</w:t>
            </w:r>
          </w:p>
        </w:tc>
        <w:tc>
          <w:tcPr>
            <w:tcW w:w="3040" w:type="dxa"/>
            <w:vAlign w:val="bottom"/>
          </w:tcPr>
          <w:p>
            <w:pPr>
              <w:spacing w:after="0"/>
              <w:rPr>
                <w:sz w:val="11"/>
                <w:szCs w:val="11"/>
                <w:color w:val="auto"/>
              </w:rPr>
            </w:pPr>
          </w:p>
        </w:tc>
        <w:tc>
          <w:tcPr>
            <w:tcW w:w="1900" w:type="dxa"/>
            <w:vAlign w:val="bottom"/>
            <w:gridSpan w:val="2"/>
          </w:tcPr>
          <w:p>
            <w:pPr>
              <w:jc w:val="center"/>
              <w:ind w:right="1180"/>
              <w:spacing w:after="0"/>
              <w:rPr>
                <w:sz w:val="20"/>
                <w:szCs w:val="20"/>
                <w:color w:val="auto"/>
              </w:rPr>
            </w:pPr>
            <w:r>
              <w:rPr>
                <w:rFonts w:ascii="Times New Roman" w:cs="Times New Roman" w:eastAsia="Times New Roman" w:hAnsi="Times New Roman"/>
                <w:sz w:val="11"/>
                <w:szCs w:val="11"/>
                <w:b w:val="1"/>
                <w:bCs w:val="1"/>
                <w:color w:val="auto"/>
              </w:rPr>
              <w:t>FREQUENCY</w:t>
            </w:r>
          </w:p>
        </w:tc>
      </w:tr>
      <w:tr>
        <w:trPr>
          <w:trHeight w:val="127"/>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w:t>
            </w:r>
          </w:p>
        </w:tc>
        <w:tc>
          <w:tcPr>
            <w:tcW w:w="1180" w:type="dxa"/>
            <w:vAlign w:val="bottom"/>
          </w:tcPr>
          <w:p>
            <w:pPr>
              <w:spacing w:after="0"/>
              <w:rPr>
                <w:sz w:val="11"/>
                <w:szCs w:val="11"/>
                <w:color w:val="auto"/>
              </w:rPr>
            </w:pPr>
          </w:p>
        </w:tc>
      </w:tr>
      <w:tr>
        <w:trPr>
          <w:trHeight w:val="135"/>
        </w:trPr>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Pr>
          <w:p>
            <w:pPr>
              <w:spacing w:after="0"/>
              <w:rPr>
                <w:sz w:val="11"/>
                <w:szCs w:val="11"/>
                <w:color w:val="auto"/>
              </w:rPr>
            </w:pPr>
          </w:p>
        </w:tc>
        <w:tc>
          <w:tcPr>
            <w:tcW w:w="3760" w:type="dxa"/>
            <w:vAlign w:val="bottom"/>
            <w:gridSpan w:val="2"/>
          </w:tcPr>
          <w:p>
            <w:pPr>
              <w:jc w:val="center"/>
              <w:ind w:left="2963"/>
              <w:spacing w:after="0"/>
              <w:rPr>
                <w:sz w:val="20"/>
                <w:szCs w:val="20"/>
                <w:color w:val="auto"/>
              </w:rPr>
            </w:pPr>
            <w:r>
              <w:rPr>
                <w:rFonts w:ascii="Times New Roman" w:cs="Times New Roman" w:eastAsia="Times New Roman" w:hAnsi="Times New Roman"/>
                <w:sz w:val="11"/>
                <w:szCs w:val="11"/>
                <w:color w:val="auto"/>
                <w:w w:val="99"/>
              </w:rPr>
              <w:t>****</w:t>
            </w:r>
          </w:p>
        </w:tc>
        <w:tc>
          <w:tcPr>
            <w:tcW w:w="1180" w:type="dxa"/>
            <w:vAlign w:val="bottom"/>
          </w:tcPr>
          <w:p>
            <w:pPr>
              <w:spacing w:after="0"/>
              <w:rPr>
                <w:sz w:val="11"/>
                <w:szCs w:val="11"/>
                <w:color w:val="auto"/>
              </w:rPr>
            </w:pPr>
          </w:p>
        </w:tc>
      </w:tr>
      <w:tr>
        <w:trPr>
          <w:trHeight w:val="135"/>
        </w:trPr>
        <w:tc>
          <w:tcPr>
            <w:tcW w:w="2680" w:type="dxa"/>
            <w:vAlign w:val="bottom"/>
            <w:gridSpan w:val="2"/>
          </w:tcPr>
          <w:p>
            <w:pPr>
              <w:jc w:val="center"/>
              <w:ind w:right="1820"/>
              <w:spacing w:after="0"/>
              <w:rPr>
                <w:sz w:val="20"/>
                <w:szCs w:val="20"/>
                <w:color w:val="auto"/>
              </w:rPr>
            </w:pPr>
            <w:r>
              <w:rPr>
                <w:rFonts w:ascii="Times New Roman" w:cs="Times New Roman" w:eastAsia="Times New Roman" w:hAnsi="Times New Roman"/>
                <w:sz w:val="11"/>
                <w:szCs w:val="11"/>
                <w:color w:val="auto"/>
              </w:rPr>
              <w:t>Number of ****</w:t>
            </w:r>
          </w:p>
        </w:tc>
        <w:tc>
          <w:tcPr>
            <w:tcW w:w="3760" w:type="dxa"/>
            <w:vAlign w:val="bottom"/>
            <w:gridSpan w:val="2"/>
          </w:tcPr>
          <w:p>
            <w:pPr>
              <w:jc w:val="center"/>
              <w:ind w:left="2963"/>
              <w:spacing w:after="0"/>
              <w:rPr>
                <w:sz w:val="20"/>
                <w:szCs w:val="20"/>
                <w:color w:val="auto"/>
              </w:rPr>
            </w:pPr>
            <w:r>
              <w:rPr>
                <w:rFonts w:ascii="Times New Roman" w:cs="Times New Roman" w:eastAsia="Times New Roman" w:hAnsi="Times New Roman"/>
                <w:sz w:val="11"/>
                <w:szCs w:val="11"/>
                <w:color w:val="auto"/>
                <w:w w:val="99"/>
              </w:rPr>
              <w:t>****</w:t>
            </w:r>
          </w:p>
        </w:tc>
        <w:tc>
          <w:tcPr>
            <w:tcW w:w="1180" w:type="dxa"/>
            <w:vAlign w:val="bottom"/>
          </w:tcPr>
          <w:p>
            <w:pPr>
              <w:spacing w:after="0"/>
              <w:rPr>
                <w:sz w:val="11"/>
                <w:szCs w:val="11"/>
                <w:color w:val="auto"/>
              </w:rPr>
            </w:pPr>
          </w:p>
        </w:tc>
      </w:tr>
      <w:tr>
        <w:trPr>
          <w:trHeight w:val="135"/>
        </w:trPr>
        <w:tc>
          <w:tcPr>
            <w:tcW w:w="2680" w:type="dxa"/>
            <w:vAlign w:val="bottom"/>
            <w:gridSpan w:val="2"/>
          </w:tcPr>
          <w:p>
            <w:pPr>
              <w:jc w:val="center"/>
              <w:ind w:right="1840"/>
              <w:spacing w:after="0"/>
              <w:rPr>
                <w:sz w:val="20"/>
                <w:szCs w:val="20"/>
                <w:color w:val="auto"/>
              </w:rPr>
            </w:pPr>
            <w:r>
              <w:rPr>
                <w:rFonts w:ascii="Times New Roman" w:cs="Times New Roman" w:eastAsia="Times New Roman" w:hAnsi="Times New Roman"/>
                <w:sz w:val="11"/>
                <w:szCs w:val="11"/>
                <w:color w:val="auto"/>
              </w:rPr>
              <w:t>Financial ****</w:t>
            </w:r>
          </w:p>
        </w:tc>
        <w:tc>
          <w:tcPr>
            <w:tcW w:w="3760" w:type="dxa"/>
            <w:vAlign w:val="bottom"/>
            <w:gridSpan w:val="2"/>
          </w:tcPr>
          <w:p>
            <w:pPr>
              <w:jc w:val="center"/>
              <w:ind w:left="2963"/>
              <w:spacing w:after="0"/>
              <w:rPr>
                <w:sz w:val="20"/>
                <w:szCs w:val="20"/>
                <w:color w:val="auto"/>
              </w:rPr>
            </w:pPr>
            <w:r>
              <w:rPr>
                <w:rFonts w:ascii="Times New Roman" w:cs="Times New Roman" w:eastAsia="Times New Roman" w:hAnsi="Times New Roman"/>
                <w:sz w:val="11"/>
                <w:szCs w:val="11"/>
                <w:color w:val="auto"/>
                <w:w w:val="99"/>
              </w:rPr>
              <w:t>****</w:t>
            </w:r>
          </w:p>
        </w:tc>
        <w:tc>
          <w:tcPr>
            <w:tcW w:w="1180" w:type="dxa"/>
            <w:vAlign w:val="bottom"/>
          </w:tcPr>
          <w:p>
            <w:pPr>
              <w:spacing w:after="0"/>
              <w:rPr>
                <w:sz w:val="11"/>
                <w:szCs w:val="11"/>
                <w:color w:val="auto"/>
              </w:rPr>
            </w:pPr>
          </w:p>
        </w:tc>
      </w:tr>
      <w:tr>
        <w:trPr>
          <w:trHeight w:val="135"/>
        </w:trPr>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Pr>
          <w:p>
            <w:pPr>
              <w:spacing w:after="0"/>
              <w:rPr>
                <w:sz w:val="11"/>
                <w:szCs w:val="11"/>
                <w:color w:val="auto"/>
              </w:rPr>
            </w:pPr>
          </w:p>
        </w:tc>
        <w:tc>
          <w:tcPr>
            <w:tcW w:w="3760" w:type="dxa"/>
            <w:vAlign w:val="bottom"/>
            <w:gridSpan w:val="2"/>
          </w:tcPr>
          <w:p>
            <w:pPr>
              <w:jc w:val="center"/>
              <w:ind w:left="2963"/>
              <w:spacing w:after="0"/>
              <w:rPr>
                <w:sz w:val="20"/>
                <w:szCs w:val="20"/>
                <w:color w:val="auto"/>
              </w:rPr>
            </w:pPr>
            <w:r>
              <w:rPr>
                <w:rFonts w:ascii="Times New Roman" w:cs="Times New Roman" w:eastAsia="Times New Roman" w:hAnsi="Times New Roman"/>
                <w:sz w:val="11"/>
                <w:szCs w:val="11"/>
                <w:color w:val="auto"/>
                <w:w w:val="99"/>
              </w:rPr>
              <w:t>****</w:t>
            </w:r>
          </w:p>
        </w:tc>
        <w:tc>
          <w:tcPr>
            <w:tcW w:w="1180" w:type="dxa"/>
            <w:vAlign w:val="bottom"/>
          </w:tcPr>
          <w:p>
            <w:pPr>
              <w:spacing w:after="0"/>
              <w:rPr>
                <w:sz w:val="11"/>
                <w:szCs w:val="11"/>
                <w:color w:val="auto"/>
              </w:rPr>
            </w:pPr>
          </w:p>
        </w:tc>
      </w:tr>
      <w:tr>
        <w:trPr>
          <w:trHeight w:val="135"/>
        </w:trPr>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Pr>
          <w:p>
            <w:pPr>
              <w:spacing w:after="0"/>
              <w:rPr>
                <w:sz w:val="11"/>
                <w:szCs w:val="11"/>
                <w:color w:val="auto"/>
              </w:rPr>
            </w:pPr>
          </w:p>
        </w:tc>
        <w:tc>
          <w:tcPr>
            <w:tcW w:w="4940" w:type="dxa"/>
            <w:vAlign w:val="bottom"/>
            <w:gridSpan w:val="3"/>
          </w:tcPr>
          <w:p>
            <w:pPr>
              <w:jc w:val="center"/>
              <w:ind w:left="1803"/>
              <w:spacing w:after="0"/>
              <w:rPr>
                <w:sz w:val="20"/>
                <w:szCs w:val="20"/>
                <w:color w:val="auto"/>
              </w:rPr>
            </w:pPr>
            <w:r>
              <w:rPr>
                <w:rFonts w:ascii="Times New Roman" w:cs="Times New Roman" w:eastAsia="Times New Roman" w:hAnsi="Times New Roman"/>
                <w:sz w:val="11"/>
                <w:szCs w:val="11"/>
                <w:color w:val="auto"/>
              </w:rPr>
              <w:t>**** shall distribute such **** only if they are accompanied by</w:t>
            </w:r>
          </w:p>
        </w:tc>
      </w:tr>
      <w:tr>
        <w:trPr>
          <w:trHeight w:val="135"/>
        </w:trPr>
        <w:tc>
          <w:tcPr>
            <w:tcW w:w="8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940" w:type="dxa"/>
            <w:vAlign w:val="bottom"/>
            <w:gridSpan w:val="3"/>
          </w:tcPr>
          <w:p>
            <w:pPr>
              <w:jc w:val="center"/>
              <w:ind w:left="1803"/>
              <w:spacing w:after="0"/>
              <w:rPr>
                <w:sz w:val="20"/>
                <w:szCs w:val="20"/>
                <w:color w:val="auto"/>
              </w:rPr>
            </w:pPr>
            <w:r>
              <w:rPr>
                <w:rFonts w:ascii="Times New Roman" w:cs="Times New Roman" w:eastAsia="Times New Roman" w:hAnsi="Times New Roman"/>
                <w:sz w:val="11"/>
                <w:szCs w:val="11"/>
                <w:color w:val="auto"/>
              </w:rPr>
              <w:t>**** prohibition on redistribution and certain uses in a form agreed</w:t>
            </w:r>
          </w:p>
        </w:tc>
      </w:tr>
      <w:tr>
        <w:trPr>
          <w:trHeight w:val="148"/>
        </w:trPr>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760" w:type="dxa"/>
            <w:vAlign w:val="bottom"/>
            <w:gridSpan w:val="2"/>
          </w:tcPr>
          <w:p>
            <w:pPr>
              <w:jc w:val="center"/>
              <w:ind w:left="2963"/>
              <w:spacing w:after="0"/>
              <w:rPr>
                <w:sz w:val="20"/>
                <w:szCs w:val="20"/>
                <w:color w:val="auto"/>
              </w:rPr>
            </w:pPr>
            <w:r>
              <w:rPr>
                <w:rFonts w:ascii="Times New Roman" w:cs="Times New Roman" w:eastAsia="Times New Roman" w:hAnsi="Times New Roman"/>
                <w:sz w:val="11"/>
                <w:szCs w:val="11"/>
                <w:color w:val="auto"/>
                <w:w w:val="99"/>
              </w:rPr>
              <w:t>****</w:t>
            </w:r>
          </w:p>
        </w:tc>
        <w:tc>
          <w:tcPr>
            <w:tcW w:w="1180" w:type="dxa"/>
            <w:vAlign w:val="bottom"/>
          </w:tcPr>
          <w:p>
            <w:pPr>
              <w:spacing w:after="0"/>
              <w:rPr>
                <w:sz w:val="12"/>
                <w:szCs w:val="12"/>
                <w:color w:val="auto"/>
              </w:rPr>
            </w:pPr>
          </w:p>
        </w:tc>
      </w:tr>
    </w:tbl>
    <w:p>
      <w:pPr>
        <w:spacing w:after="0" w:line="131" w:lineRule="exact"/>
        <w:rPr>
          <w:sz w:val="20"/>
          <w:szCs w:val="20"/>
          <w:color w:val="auto"/>
        </w:rPr>
      </w:pPr>
    </w:p>
    <w:p>
      <w:pPr>
        <w:ind w:left="788" w:hanging="365"/>
        <w:spacing w:after="0"/>
        <w:tabs>
          <w:tab w:leader="none" w:pos="788"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80"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788" w:hanging="365"/>
        <w:spacing w:after="0"/>
        <w:tabs>
          <w:tab w:leader="none" w:pos="788" w:val="left"/>
        </w:tabs>
        <w:numPr>
          <w:ilvl w:val="0"/>
          <w:numId w:val="8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 on Licensee’s websites, ****, or through ****, the **** for Licensee’s Funds; p</w:t>
      </w:r>
      <w:r>
        <w:rPr>
          <w:rFonts w:ascii="Times New Roman" w:cs="Times New Roman" w:eastAsia="Times New Roman" w:hAnsi="Times New Roman"/>
          <w:sz w:val="11"/>
          <w:szCs w:val="11"/>
          <w:u w:val="single" w:color="auto"/>
          <w:color w:val="auto"/>
        </w:rPr>
        <w:t>rovided</w:t>
      </w:r>
      <w:r>
        <w:rPr>
          <w:rFonts w:ascii="Times New Roman" w:cs="Times New Roman" w:eastAsia="Times New Roman" w:hAnsi="Times New Roman"/>
          <w:sz w:val="11"/>
          <w:szCs w:val="11"/>
          <w:color w:val="auto"/>
        </w:rPr>
        <w:t xml:space="preserve"> that (i) the data is published in a format that may not ****, (ii) all persons accessing such data via **** must affirmatively assent</w:t>
      </w:r>
    </w:p>
    <w:p>
      <w:pPr>
        <w:spacing w:after="0" w:line="20" w:lineRule="exact"/>
        <w:rPr>
          <w:rFonts w:ascii="Times New Roman" w:cs="Times New Roman" w:eastAsia="Times New Roman" w:hAnsi="Times New Roman"/>
          <w:sz w:val="11"/>
          <w:szCs w:val="11"/>
          <w:color w:val="auto"/>
        </w:rPr>
      </w:pPr>
    </w:p>
    <w:p>
      <w:pPr>
        <w:ind w:left="7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and (iii) MSCI may terminate this right on reasonable prior written notice to Licensee if MSCI determines in its good faith reasonable discretion that</w:t>
      </w:r>
    </w:p>
    <w:p>
      <w:pPr>
        <w:spacing w:after="0" w:line="6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788" w:hanging="365"/>
        <w:spacing w:after="0"/>
        <w:tabs>
          <w:tab w:leader="none" w:pos="788"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Notwithstanding anything to the contrary in the Agreement or any Schedule or Exhibit thereto, Licensee may also distribute</w:t>
      </w:r>
    </w:p>
    <w:p>
      <w:pPr>
        <w:spacing w:after="0" w:line="99" w:lineRule="exact"/>
        <w:rPr>
          <w:sz w:val="20"/>
          <w:szCs w:val="20"/>
          <w:color w:val="auto"/>
        </w:rPr>
      </w:pPr>
    </w:p>
    <w:p>
      <w:pPr>
        <w:ind w:left="788" w:right="160" w:hanging="339"/>
        <w:spacing w:after="0" w:line="296" w:lineRule="auto"/>
        <w:rPr>
          <w:sz w:val="20"/>
          <w:szCs w:val="20"/>
          <w:color w:val="auto"/>
        </w:rPr>
      </w:pPr>
      <w:r>
        <w:rPr>
          <w:rFonts w:ascii="Times New Roman" w:cs="Times New Roman" w:eastAsia="Times New Roman" w:hAnsi="Times New Roman"/>
          <w:sz w:val="11"/>
          <w:szCs w:val="11"/>
          <w:color w:val="auto"/>
        </w:rPr>
        <w:t>****; provided that Licensee has **** pursuant to which each **** expressly agrees ****, (ii) not to redistribute **** and (iii) to disclosure of its name to MSCI. MSCI may withdraw any such distribution approval with respect **** at any time on written notice to Licensee.</w:t>
      </w:r>
    </w:p>
    <w:p>
      <w:pPr>
        <w:spacing w:after="0" w:line="28" w:lineRule="exact"/>
        <w:rPr>
          <w:sz w:val="20"/>
          <w:szCs w:val="20"/>
          <w:color w:val="auto"/>
        </w:rPr>
      </w:pPr>
    </w:p>
    <w:p>
      <w:pPr>
        <w:ind w:left="368" w:right="260" w:hanging="368"/>
        <w:spacing w:after="0" w:line="277" w:lineRule="auto"/>
        <w:tabs>
          <w:tab w:leader="none" w:pos="368" w:val="left"/>
        </w:tabs>
        <w:numPr>
          <w:ilvl w:val="0"/>
          <w:numId w:val="8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u w:val="single" w:color="auto"/>
          <w:color w:val="auto"/>
        </w:rPr>
        <w:t>Derivatives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For the avoidance of doubt, the Agreement or any Schedule or Exhibit thereto (i) does not give Licensee the right to create any futures, options or other derivatives based on any Index and (ii) does not give MSCI or Licensee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right to create any futures, options or other derivatives of any Fund without the prior written consent of the other party hereto. Notwithstanding the foregoing, Licensee may hold futures, options or other derivative securities as constituent holdings of any Fund.</w:t>
      </w:r>
    </w:p>
    <w:p>
      <w:pPr>
        <w:spacing w:after="0" w:line="40" w:lineRule="exact"/>
        <w:rPr>
          <w:rFonts w:ascii="Times New Roman" w:cs="Times New Roman" w:eastAsia="Times New Roman" w:hAnsi="Times New Roman"/>
          <w:sz w:val="11"/>
          <w:szCs w:val="11"/>
          <w:color w:val="auto"/>
        </w:rPr>
      </w:pPr>
    </w:p>
    <w:p>
      <w:pPr>
        <w:ind w:left="368" w:right="40" w:hanging="368"/>
        <w:spacing w:after="0" w:line="262" w:lineRule="auto"/>
        <w:tabs>
          <w:tab w:leader="none" w:pos="368" w:val="left"/>
        </w:tabs>
        <w:numPr>
          <w:ilvl w:val="0"/>
          <w:numId w:val="89"/>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b w:val="1"/>
          <w:bCs w:val="1"/>
          <w:color w:val="auto"/>
        </w:rPr>
        <w:t xml:space="preserve">Miscellaneous. </w:t>
      </w:r>
      <w:r>
        <w:rPr>
          <w:rFonts w:ascii="Times New Roman" w:cs="Times New Roman" w:eastAsia="Times New Roman" w:hAnsi="Times New Roman"/>
          <w:sz w:val="12"/>
          <w:szCs w:val="12"/>
          <w:color w:val="auto"/>
        </w:rPr>
        <w:t>This Amendment is intended to amend and operate in conjunction with the US ETF Agreement and together this Amendment and the US ETF Agreement constitute the complete and exclusive statement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between the parties and supersede in full all prior proposals and understandings, oral or written, relating to the subject matter hereof. To the extent that any terms of this Amendment conflict with any terms of the US ETF Agreement, the terms of this Amendment will control. No right or license of any kind is granted to Licensee except as expressly provided in the US ETF Agreement and this Amendment This Amendment shall be governed by, and construed in accordance with, the laws of the State of New York without regard to its conflict or choice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-298450</wp:posOffset>
            </wp:positionV>
            <wp:extent cx="44831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3">
                      <a:extLst>
                        <a:ext uri="{28A0092B-C50C-407E-A947-70E740481C1C}"/>
                      </a:extLst>
                    </a:blip>
                    <a:srcRect/>
                    <a:stretch>
                      <a:fillRect/>
                    </a:stretch>
                  </pic:blipFill>
                  <pic:spPr bwMode="auto">
                    <a:xfrm>
                      <a:off x="0" y="0"/>
                      <a:ext cx="448310" cy="5715"/>
                    </a:xfrm>
                    <a:prstGeom prst="rect">
                      <a:avLst/>
                    </a:prstGeom>
                    <a:noFill/>
                  </pic:spPr>
                </pic:pic>
              </a:graphicData>
            </a:graphic>
          </wp:anchor>
        </w:drawing>
      </w:r>
    </w:p>
    <w:p>
      <w:pPr>
        <w:spacing w:after="0" w:line="98"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BARCLAYS GLOBALINVESTORS, N.A.</w:t>
            </w:r>
          </w:p>
        </w:tc>
        <w:tc>
          <w:tcPr>
            <w:tcW w:w="6680" w:type="dxa"/>
            <w:vAlign w:val="bottom"/>
            <w:gridSpan w:val="2"/>
          </w:tcPr>
          <w:p>
            <w:pPr>
              <w:ind w:left="1600"/>
              <w:spacing w:after="0"/>
              <w:rPr>
                <w:sz w:val="20"/>
                <w:szCs w:val="20"/>
                <w:color w:val="auto"/>
              </w:rPr>
            </w:pPr>
            <w:r>
              <w:rPr>
                <w:rFonts w:ascii="Times New Roman" w:cs="Times New Roman" w:eastAsia="Times New Roman" w:hAnsi="Times New Roman"/>
                <w:sz w:val="11"/>
                <w:szCs w:val="11"/>
                <w:color w:val="auto"/>
              </w:rPr>
              <w:t>MORGAN STANLEY CAPITAL INTERNATIONALINC.</w:t>
            </w:r>
          </w:p>
        </w:tc>
        <w:tc>
          <w:tcPr>
            <w:tcW w:w="20" w:type="dxa"/>
            <w:vAlign w:val="bottom"/>
          </w:tcPr>
          <w:p>
            <w:pPr>
              <w:spacing w:after="0"/>
              <w:rPr>
                <w:sz w:val="11"/>
                <w:szCs w:val="11"/>
                <w:color w:val="auto"/>
              </w:rPr>
            </w:pPr>
          </w:p>
        </w:tc>
      </w:tr>
      <w:tr>
        <w:trPr>
          <w:trHeight w:val="1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Francis Enderle</w:t>
            </w:r>
          </w:p>
        </w:tc>
        <w:tc>
          <w:tcPr>
            <w:tcW w:w="2080" w:type="dxa"/>
            <w:vAlign w:val="bottom"/>
          </w:tcPr>
          <w:p>
            <w:pPr>
              <w:ind w:left="1600"/>
              <w:spacing w:after="0"/>
              <w:rPr>
                <w:sz w:val="20"/>
                <w:szCs w:val="20"/>
                <w:color w:val="auto"/>
              </w:rPr>
            </w:pPr>
            <w:r>
              <w:rPr>
                <w:rFonts w:ascii="Times New Roman" w:cs="Times New Roman" w:eastAsia="Times New Roman" w:hAnsi="Times New Roman"/>
                <w:sz w:val="11"/>
                <w:szCs w:val="11"/>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Allen Heery</w:t>
            </w:r>
          </w:p>
        </w:tc>
        <w:tc>
          <w:tcPr>
            <w:tcW w:w="20" w:type="dxa"/>
            <w:vAlign w:val="bottom"/>
          </w:tcPr>
          <w:p>
            <w:pPr>
              <w:spacing w:after="0"/>
              <w:rPr>
                <w:sz w:val="12"/>
                <w:szCs w:val="12"/>
                <w:color w:val="auto"/>
              </w:rPr>
            </w:pPr>
          </w:p>
        </w:tc>
      </w:tr>
      <w:tr>
        <w:trPr>
          <w:trHeight w:val="111"/>
        </w:trPr>
        <w:tc>
          <w:tcPr>
            <w:tcW w:w="56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406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Francis Enderle</w:t>
            </w:r>
          </w:p>
        </w:tc>
        <w:tc>
          <w:tcPr>
            <w:tcW w:w="2080" w:type="dxa"/>
            <w:vAlign w:val="bottom"/>
          </w:tcPr>
          <w:p>
            <w:pPr>
              <w:ind w:left="1600"/>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460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Allen Heery</w:t>
            </w:r>
          </w:p>
        </w:tc>
        <w:tc>
          <w:tcPr>
            <w:tcW w:w="20" w:type="dxa"/>
            <w:vAlign w:val="bottom"/>
          </w:tcPr>
          <w:p>
            <w:pPr>
              <w:spacing w:after="0"/>
              <w:rPr>
                <w:sz w:val="9"/>
                <w:szCs w:val="9"/>
                <w:color w:val="auto"/>
              </w:rPr>
            </w:pPr>
          </w:p>
        </w:tc>
      </w:tr>
      <w:tr>
        <w:trPr>
          <w:trHeight w:val="135"/>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Managing Director</w:t>
            </w:r>
          </w:p>
        </w:tc>
        <w:tc>
          <w:tcPr>
            <w:tcW w:w="2080" w:type="dxa"/>
            <w:vAlign w:val="bottom"/>
          </w:tcPr>
          <w:p>
            <w:pPr>
              <w:ind w:left="1600"/>
              <w:spacing w:after="0"/>
              <w:rPr>
                <w:sz w:val="20"/>
                <w:szCs w:val="20"/>
                <w:color w:val="auto"/>
              </w:rPr>
            </w:pPr>
            <w:r>
              <w:rPr>
                <w:rFonts w:ascii="Times New Roman" w:cs="Times New Roman" w:eastAsia="Times New Roman" w:hAnsi="Times New Roman"/>
                <w:sz w:val="11"/>
                <w:szCs w:val="11"/>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c>
          <w:tcPr>
            <w:tcW w:w="20" w:type="dxa"/>
            <w:vAlign w:val="bottom"/>
          </w:tcPr>
          <w:p>
            <w:pPr>
              <w:spacing w:after="0"/>
              <w:rPr>
                <w:sz w:val="11"/>
                <w:szCs w:val="11"/>
                <w:color w:val="auto"/>
              </w:rPr>
            </w:pPr>
          </w:p>
        </w:tc>
      </w:tr>
      <w:tr>
        <w:trPr>
          <w:trHeight w:val="135"/>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BARCLAYS GLOBAL INVESTORS, N.A.</w:t>
            </w:r>
          </w:p>
        </w:tc>
        <w:tc>
          <w:tcPr>
            <w:tcW w:w="20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Michael Latham</w:t>
            </w:r>
          </w:p>
        </w:tc>
        <w:tc>
          <w:tcPr>
            <w:tcW w:w="20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1"/>
        </w:trPr>
        <w:tc>
          <w:tcPr>
            <w:tcW w:w="56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406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Michael Latham</w:t>
            </w:r>
          </w:p>
        </w:tc>
        <w:tc>
          <w:tcPr>
            <w:tcW w:w="20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Managing Director</w:t>
            </w:r>
          </w:p>
        </w:tc>
        <w:tc>
          <w:tcPr>
            <w:tcW w:w="20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23"/>
        </w:trPr>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8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2</w:t>
            </w: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
        </w:trPr>
        <w:tc>
          <w:tcPr>
            <w:tcW w:w="560" w:type="dxa"/>
            <w:vAlign w:val="bottom"/>
            <w:tcBorders>
              <w:bottom w:val="single" w:sz="8" w:color="9A9A9A"/>
            </w:tcBorders>
          </w:tcPr>
          <w:p>
            <w:pPr>
              <w:spacing w:after="0"/>
              <w:rPr>
                <w:sz w:val="6"/>
                <w:szCs w:val="6"/>
                <w:color w:val="auto"/>
              </w:rPr>
            </w:pPr>
          </w:p>
        </w:tc>
        <w:tc>
          <w:tcPr>
            <w:tcW w:w="4060" w:type="dxa"/>
            <w:vAlign w:val="bottom"/>
            <w:tcBorders>
              <w:bottom w:val="single" w:sz="8" w:color="9A9A9A"/>
            </w:tcBorders>
          </w:tcPr>
          <w:p>
            <w:pPr>
              <w:spacing w:after="0"/>
              <w:rPr>
                <w:sz w:val="6"/>
                <w:szCs w:val="6"/>
                <w:color w:val="auto"/>
              </w:rPr>
            </w:pPr>
          </w:p>
        </w:tc>
        <w:tc>
          <w:tcPr>
            <w:tcW w:w="2080" w:type="dxa"/>
            <w:vAlign w:val="bottom"/>
            <w:tcBorders>
              <w:bottom w:val="single" w:sz="8" w:color="9A9A9A"/>
            </w:tcBorders>
          </w:tcPr>
          <w:p>
            <w:pPr>
              <w:spacing w:after="0"/>
              <w:rPr>
                <w:sz w:val="6"/>
                <w:szCs w:val="6"/>
                <w:color w:val="auto"/>
              </w:rPr>
            </w:pPr>
          </w:p>
        </w:tc>
        <w:tc>
          <w:tcPr>
            <w:tcW w:w="4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341" w:right="27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EXHIBIT 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8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1"/>
          <w:szCs w:val="11"/>
          <w:color w:val="auto"/>
        </w:rPr>
        <w:t>The MSCI Index names are trademarks of Morgan Stanley Capital International and have been licensed for use by Barclays Global Investors. The product is not sponsored, endorsed, sold, or promoted by Morgan Stanley Capital International and Morgan Stanley Capital International makes no representation regarding this product, the information provided herein or the advisability of investing in any product or security. Neither SEI nor BGI, nor any of their affiliates, are affiliated with Morgan Stanley Capital International. This information is provided for internal informational purposes only and may not be redistributed or reproduced, used in connection with any non-MSCI indices or used in connection with managing or sponsoring any fund or other security, investment vehicle or financial product.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Represents material which has been redacted and filed separately with the Securities and Exchange Commission pursuant to a request for confidential treatment pursuant to Rule 406 under the Securities Act of 1933, as amended.</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3</w:t>
      </w:r>
    </w:p>
    <w:p>
      <w:pPr>
        <w:sectPr>
          <w:pgSz w:w="11900" w:h="16838" w:orient="portrait"/>
          <w:cols w:equalWidth="0" w:num="1">
            <w:col w:w="11260"/>
          </w:cols>
          <w:pgMar w:left="300" w:top="26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1"/>
          <w:szCs w:val="11"/>
          <w:b w:val="1"/>
          <w:bCs w:val="1"/>
          <w:color w:val="auto"/>
        </w:rPr>
        <w:t>Exhibit 10.6</w:t>
      </w:r>
    </w:p>
    <w:p>
      <w:pPr>
        <w:spacing w:after="0" w:line="161" w:lineRule="exact"/>
        <w:rPr>
          <w:sz w:val="20"/>
          <w:szCs w:val="20"/>
          <w:color w:val="auto"/>
        </w:rPr>
      </w:pPr>
    </w:p>
    <w:p>
      <w:pPr>
        <w:ind w:left="8" w:hanging="8"/>
        <w:spacing w:after="0" w:line="283" w:lineRule="auto"/>
        <w:tabs>
          <w:tab w:leader="none" w:pos="235" w:val="left"/>
        </w:tabs>
        <w:numPr>
          <w:ilvl w:val="0"/>
          <w:numId w:val="9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 w:lineRule="exact"/>
        <w:rPr>
          <w:sz w:val="20"/>
          <w:szCs w:val="20"/>
          <w:color w:val="auto"/>
        </w:rPr>
      </w:pPr>
    </w:p>
    <w:p>
      <w:pPr>
        <w:ind w:left="9728"/>
        <w:spacing w:after="0"/>
        <w:rPr>
          <w:sz w:val="20"/>
          <w:szCs w:val="20"/>
          <w:color w:val="auto"/>
        </w:rPr>
      </w:pPr>
      <w:r>
        <w:rPr>
          <w:rFonts w:ascii="Times New Roman" w:cs="Times New Roman" w:eastAsia="Times New Roman" w:hAnsi="Times New Roman"/>
          <w:sz w:val="11"/>
          <w:szCs w:val="11"/>
          <w:color w:val="auto"/>
        </w:rPr>
        <w:t>Client Code/Reference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6960870</wp:posOffset>
            </wp:positionH>
            <wp:positionV relativeFrom="paragraph">
              <wp:posOffset>-1905</wp:posOffset>
            </wp:positionV>
            <wp:extent cx="21717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6">
                      <a:extLst>
                        <a:ext uri="{28A0092B-C50C-407E-A947-70E740481C1C}"/>
                      </a:extLst>
                    </a:blip>
                    <a:srcRect/>
                    <a:stretch>
                      <a:fillRect/>
                    </a:stretch>
                  </pic:blipFill>
                  <pic:spPr bwMode="auto">
                    <a:xfrm>
                      <a:off x="0" y="0"/>
                      <a:ext cx="217170" cy="5715"/>
                    </a:xfrm>
                    <a:prstGeom prst="rect">
                      <a:avLst/>
                    </a:prstGeom>
                    <a:noFill/>
                  </pic:spPr>
                </pic:pic>
              </a:graphicData>
            </a:graphic>
          </wp:anchor>
        </w:drawing>
      </w:r>
    </w:p>
    <w:p>
      <w:pPr>
        <w:spacing w:after="0" w:line="1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5/1/05</w:t>
      </w:r>
    </w:p>
    <w:p>
      <w:pPr>
        <w:spacing w:after="0" w:line="153"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1"/>
          <w:szCs w:val="11"/>
          <w:color w:val="auto"/>
        </w:rPr>
        <w:t>AMENDMENT to the Index License Agreement for Funds (the “</w:t>
      </w:r>
      <w:r>
        <w:rPr>
          <w:rFonts w:ascii="Times New Roman" w:cs="Times New Roman" w:eastAsia="Times New Roman" w:hAnsi="Times New Roman"/>
          <w:sz w:val="11"/>
          <w:szCs w:val="11"/>
          <w:u w:val="single" w:color="auto"/>
          <w:color w:val="auto"/>
        </w:rPr>
        <w:t>Agreement</w:t>
      </w:r>
      <w:r>
        <w:rPr>
          <w:rFonts w:ascii="Times New Roman" w:cs="Times New Roman" w:eastAsia="Times New Roman" w:hAnsi="Times New Roman"/>
          <w:sz w:val="11"/>
          <w:szCs w:val="11"/>
          <w:color w:val="auto"/>
        </w:rPr>
        <w:t>”), dated as of March 18, 2000, by and between Morgan Stanley Capital International Inc. (“</w:t>
      </w:r>
      <w:r>
        <w:rPr>
          <w:rFonts w:ascii="Times New Roman" w:cs="Times New Roman" w:eastAsia="Times New Roman" w:hAnsi="Times New Roman"/>
          <w:sz w:val="11"/>
          <w:szCs w:val="11"/>
          <w:u w:val="single" w:color="auto"/>
          <w:color w:val="auto"/>
        </w:rPr>
        <w:t>MSCI</w:t>
      </w:r>
      <w:r>
        <w:rPr>
          <w:rFonts w:ascii="Times New Roman" w:cs="Times New Roman" w:eastAsia="Times New Roman" w:hAnsi="Times New Roman"/>
          <w:sz w:val="11"/>
          <w:szCs w:val="11"/>
          <w:color w:val="auto"/>
        </w:rPr>
        <w:t>”) and Barclays Global Investors, N.A (“L</w:t>
      </w:r>
      <w:r>
        <w:rPr>
          <w:rFonts w:ascii="Times New Roman" w:cs="Times New Roman" w:eastAsia="Times New Roman" w:hAnsi="Times New Roman"/>
          <w:sz w:val="11"/>
          <w:szCs w:val="11"/>
          <w:u w:val="single" w:color="auto"/>
          <w:color w:val="auto"/>
        </w:rPr>
        <w:t>icensee</w:t>
      </w:r>
      <w:r>
        <w:rPr>
          <w:rFonts w:ascii="Times New Roman" w:cs="Times New Roman" w:eastAsia="Times New Roman" w:hAnsi="Times New Roman"/>
          <w:sz w:val="11"/>
          <w:szCs w:val="11"/>
          <w:color w:val="auto"/>
        </w:rPr>
        <w:t>”), as amended.</w:t>
      </w:r>
    </w:p>
    <w:p>
      <w:pPr>
        <w:spacing w:after="0" w:line="81" w:lineRule="exact"/>
        <w:rPr>
          <w:sz w:val="20"/>
          <w:szCs w:val="20"/>
          <w:color w:val="auto"/>
        </w:rPr>
      </w:pPr>
    </w:p>
    <w:p>
      <w:pPr>
        <w:ind w:left="428" w:hanging="428"/>
        <w:spacing w:after="0"/>
        <w:tabs>
          <w:tab w:leader="none" w:pos="428" w:val="left"/>
        </w:tabs>
        <w:numPr>
          <w:ilvl w:val="0"/>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additional indices:</w:t>
      </w:r>
    </w:p>
    <w:p>
      <w:pPr>
        <w:spacing w:after="0" w:line="80" w:lineRule="exact"/>
        <w:rPr>
          <w:rFonts w:ascii="Times New Roman" w:cs="Times New Roman" w:eastAsia="Times New Roman" w:hAnsi="Times New Roman"/>
          <w:sz w:val="11"/>
          <w:szCs w:val="11"/>
          <w:color w:val="auto"/>
        </w:rPr>
      </w:pPr>
    </w:p>
    <w:p>
      <w:pPr>
        <w:ind w:left="908" w:hanging="467"/>
        <w:spacing w:after="0"/>
        <w:tabs>
          <w:tab w:leader="none" w:pos="908" w:val="left"/>
        </w:tabs>
        <w:numPr>
          <w:ilvl w:val="1"/>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EAFE Value Index</w:t>
      </w:r>
    </w:p>
    <w:p>
      <w:pPr>
        <w:spacing w:after="0" w:line="80" w:lineRule="exact"/>
        <w:rPr>
          <w:rFonts w:ascii="Times New Roman" w:cs="Times New Roman" w:eastAsia="Times New Roman" w:hAnsi="Times New Roman"/>
          <w:sz w:val="11"/>
          <w:szCs w:val="11"/>
          <w:color w:val="auto"/>
        </w:rPr>
      </w:pPr>
    </w:p>
    <w:p>
      <w:pPr>
        <w:ind w:left="908" w:hanging="467"/>
        <w:spacing w:after="0"/>
        <w:tabs>
          <w:tab w:leader="none" w:pos="908" w:val="left"/>
        </w:tabs>
        <w:numPr>
          <w:ilvl w:val="1"/>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EAFE Growth Index</w:t>
      </w:r>
    </w:p>
    <w:p>
      <w:pPr>
        <w:spacing w:after="0" w:line="80" w:lineRule="exact"/>
        <w:rPr>
          <w:rFonts w:ascii="Times New Roman" w:cs="Times New Roman" w:eastAsia="Times New Roman" w:hAnsi="Times New Roman"/>
          <w:sz w:val="11"/>
          <w:szCs w:val="11"/>
          <w:color w:val="auto"/>
        </w:rPr>
      </w:pPr>
    </w:p>
    <w:p>
      <w:pPr>
        <w:ind w:left="908" w:hanging="467"/>
        <w:spacing w:after="0"/>
        <w:tabs>
          <w:tab w:leader="none" w:pos="908" w:val="left"/>
        </w:tabs>
        <w:numPr>
          <w:ilvl w:val="1"/>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80" w:lineRule="exact"/>
        <w:rPr>
          <w:rFonts w:ascii="Times New Roman" w:cs="Times New Roman" w:eastAsia="Times New Roman" w:hAnsi="Times New Roman"/>
          <w:sz w:val="11"/>
          <w:szCs w:val="11"/>
          <w:color w:val="auto"/>
        </w:rPr>
      </w:pPr>
    </w:p>
    <w:p>
      <w:pPr>
        <w:ind w:left="428" w:hanging="428"/>
        <w:spacing w:after="0"/>
        <w:tabs>
          <w:tab w:leader="none" w:pos="428" w:val="left"/>
        </w:tabs>
        <w:numPr>
          <w:ilvl w:val="0"/>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notice and disclaimer set forth in Section 10(b) of the Agreement is hereby deleted in its entirety and replaced with the following:</w:t>
      </w:r>
    </w:p>
    <w:p>
      <w:pPr>
        <w:spacing w:after="0" w:line="80" w:lineRule="exact"/>
        <w:rPr>
          <w:rFonts w:ascii="Times New Roman" w:cs="Times New Roman" w:eastAsia="Times New Roman" w:hAnsi="Times New Roman"/>
          <w:sz w:val="11"/>
          <w:szCs w:val="11"/>
          <w:color w:val="auto"/>
        </w:rPr>
      </w:pPr>
    </w:p>
    <w:p>
      <w:pPr>
        <w:ind w:left="448" w:right="20"/>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FUND IS NOT SPONSORED, ENDORSED, SOLD OR PROMOTED BY MORGAN STANLEY CAPITAL INTERNATIONAL INC. (“MSCI”), ANY OF ITS AFFILIATES, ANY OF ITS INFORMATION PROVIDERS OR ANY OTHER THIRD PARTY INVOLVED IN, OR RELATED TO, COMPILING, COMPUTING OR CREATING ANY MSCI INDEX (COLLECTIVELY, THE “MSCI PARTIES”). THE MSCI INDEXES ARE THE EXCLUSIVE PROPERTY OF MSCI. MSCI AND THE MSCI INDEX NAMES ARE SERVICE MARK(S) OF MSCI OR ITS AFFILIATES AND HAVE BEEN LICENSED FOR USE FOR CERTAIN PURPOSES BY [BGI]. NONE OF THE MSCI PARTIES MAKES ANY REPRESENTATION OR WARRANTY, EXPRESS OR IMPLIED, TO THE ISSUER OR OWNERS OF THIS FUND OR ANY OTHER PERSON OR ENTITY REGARDING THE ADVISABILITY OF INVESTING IN FUNDS GENERALLY OR IN THIS FUND PARTICULARLY OR THE ABILITY OF ANY MSCI INDEX TO TRACK CORRESPONDING STOCK MARKET PERFORMANCE. MSCI OR ITS AFFILIATES ARE THE LICENSORS OF CERTAIN TRADEMARKS, SERVICE MARKS AND TRADE NAMES AND OF THE MSCI INDEXES WHICH ARE DETERMINED, COMPOSED AND CALCULATED BY MSCI WITHOUT REGARD TO THIS FUND OR THE ISSUER OR OWNERS OF THIS FUND OR ANY OTHER PERSON OR ENTITY. NONE OF THE MSCI PARTIES HAS ANY OBLIGATION TO TAKE THE NEEDS OF THE ISSUER OR OWNERS OF THIS FUND OR ANY OTHER PERSON OR ENTITY INTO CONSIDERATION IN DETERMINING, COMPOSING OR CALCULATING THE MSCI INDEXES. NONE OF THE MSCI PARTIES IS RESPONSIBLE FOR OR HAS PARTICIPATED IN THE DETERMINATION OF THE TIMING OF, PRICES AT,OR QUANTITIES OF THIS FUND TO BE ISSUED OR IN THE DETERMINATION OR CALCULATION OF THE EQUATION BY OR THE CONSIDERATION INTO WHICH THIS FUND IS REDEEMABLE. FURTHER, NONE OF THE MSCI PARTIES HAS ANY OBLIGATION OR LIABILITY TO THE ISSUER OR OWNERS OF THIS FUND OR ANY OTHER PERSON OR ENTITY IN CONNECTION WITH THE ADMINISTRATION, MARKETING OR OFFERING OF THIS FUND.</w:t>
      </w:r>
    </w:p>
    <w:p>
      <w:pPr>
        <w:spacing w:after="0" w:line="49" w:lineRule="exact"/>
        <w:rPr>
          <w:rFonts w:ascii="Times New Roman" w:cs="Times New Roman" w:eastAsia="Times New Roman" w:hAnsi="Times New Roman"/>
          <w:sz w:val="11"/>
          <w:szCs w:val="11"/>
          <w:color w:val="auto"/>
        </w:rPr>
      </w:pPr>
    </w:p>
    <w:p>
      <w:pPr>
        <w:ind w:left="448" w:right="200"/>
        <w:spacing w:after="0" w:line="26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ALTHOUGH MSCI SHALL OBTAIN INFORMATION FOR INCLUSION IN OR FOR USE IN THE CALCULATION OF THE MSCI INDEXES FROM SOURCES THAT MSCI CONSIDERS RELIABLE, NONE OF THE MSCI PARTIES WARRANTS OR GUARANTEES THE ORIGINALITY,ACCURACY AND/OR THE COMPLETENESS OF ANY MSCI INDEX OR ANY DATA INCLUDED THEREIN. NONE OF THE MSCI PARTIES MAKES ANY WARRANTY, EXPRESS OR IMPLIED, AS TO RESULTS TO BE OBTAINED BY THE ISSUER OF THE FUND, OWNERS OF THE FUND, OR ANY OTHER PERSON OR ENTITY, FROM THE USE OF ANY MSCI INDEX OR ANY DATA INCLUDED THEREIN. NONE OF THE MSCI PARTIES SHALL HAVE ANY LIABILITY FOR ANY ERRORS, OMISSIONS OR INTERRUPTIONS OF OR IN CONNECTION WITH ANY MSCI INDEX OR ANY DATA INCLUDED THEREIN. FURTHER, NONE OF THE MSCI PARTIES MAKES ANY EXPRESS OR IMPLIED WARRANTIES OF ANY KIND, AND THE MSCI PARITES HEREBY EXPRESSLY DISCLAIM ALL WARRANTIES OF MERCHANTABILITY AND FITNESS FOR A PARTICULAR PURPOSE, WITH RESPECT TO EACH MSCI INDEX AND ANY DATAINCLUDED THEREIN. WITHOUT LIMITING ANY OF THE FOREGOING, IN NO EVENT SHALL ANY OF THE MSCI PARTIES HAVE ANY LIABILITY FOR ANY DIRECT, INDIRECT, SPECIAL, PUNITIVE, CONSEQUENTIAL OR ANY OTHER DAMAGES (INCLUDING LOST PROFITS) EVEN IF NOTIFIED OF THE POSSIBILITY OF SUCH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316230</wp:posOffset>
            </wp:positionV>
            <wp:extent cx="7189470"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38" w:name="page139"/>
    <w:bookmarkEnd w:id="138"/>
    <w:p>
      <w:pPr>
        <w:ind w:left="428" w:hanging="428"/>
        <w:spacing w:after="0" w:line="296" w:lineRule="auto"/>
        <w:tabs>
          <w:tab w:leader="none" w:pos="428" w:val="left"/>
        </w:tabs>
        <w:numPr>
          <w:ilvl w:val="0"/>
          <w:numId w:val="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No right or license of any kind is granted to Licensee except as expressly provided in the Agreement and this Amendment.</w:t>
      </w:r>
    </w:p>
    <w:p>
      <w:pPr>
        <w:spacing w:after="0" w:line="29" w:lineRule="exact"/>
        <w:rPr>
          <w:rFonts w:ascii="Times New Roman" w:cs="Times New Roman" w:eastAsia="Times New Roman" w:hAnsi="Times New Roman"/>
          <w:sz w:val="11"/>
          <w:szCs w:val="11"/>
          <w:color w:val="auto"/>
        </w:rPr>
      </w:pPr>
    </w:p>
    <w:p>
      <w:pPr>
        <w:ind w:left="428" w:hanging="428"/>
        <w:spacing w:after="0"/>
        <w:tabs>
          <w:tab w:leader="none" w:pos="428" w:val="left"/>
        </w:tabs>
        <w:numPr>
          <w:ilvl w:val="0"/>
          <w:numId w:val="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40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BARCLAYS GLOBALINVESTORS, N.A.</w:t>
            </w:r>
          </w:p>
        </w:tc>
        <w:tc>
          <w:tcPr>
            <w:tcW w:w="4840" w:type="dxa"/>
            <w:vAlign w:val="bottom"/>
            <w:gridSpan w:val="3"/>
          </w:tcPr>
          <w:p>
            <w:pPr>
              <w:ind w:left="2140"/>
              <w:spacing w:after="0"/>
              <w:rPr>
                <w:sz w:val="20"/>
                <w:szCs w:val="20"/>
                <w:color w:val="auto"/>
              </w:rPr>
            </w:pPr>
            <w:r>
              <w:rPr>
                <w:rFonts w:ascii="Times New Roman" w:cs="Times New Roman" w:eastAsia="Times New Roman" w:hAnsi="Times New Roman"/>
                <w:sz w:val="11"/>
                <w:szCs w:val="11"/>
                <w:color w:val="auto"/>
              </w:rPr>
              <w:t>MORGAN STANLEY CAPITAL INTERNATIONALINC.</w:t>
            </w:r>
          </w:p>
        </w:tc>
      </w:tr>
      <w:tr>
        <w:trPr>
          <w:trHeight w:val="123"/>
        </w:trPr>
        <w:tc>
          <w:tcPr>
            <w:tcW w:w="4060" w:type="dxa"/>
            <w:vAlign w:val="bottom"/>
            <w:gridSpan w:val="3"/>
          </w:tcPr>
          <w:p>
            <w:pPr>
              <w:spacing w:after="0" w:line="123" w:lineRule="exact"/>
              <w:rPr>
                <w:sz w:val="20"/>
                <w:szCs w:val="20"/>
                <w:color w:val="auto"/>
              </w:rPr>
            </w:pPr>
            <w:r>
              <w:rPr>
                <w:rFonts w:ascii="Times New Roman" w:cs="Times New Roman" w:eastAsia="Times New Roman" w:hAnsi="Times New Roman"/>
                <w:sz w:val="11"/>
                <w:szCs w:val="11"/>
                <w:color w:val="auto"/>
              </w:rPr>
              <w:t>By/s/ Michael Latham</w:t>
            </w:r>
          </w:p>
        </w:tc>
        <w:tc>
          <w:tcPr>
            <w:tcW w:w="4840" w:type="dxa"/>
            <w:vAlign w:val="bottom"/>
            <w:gridSpan w:val="3"/>
          </w:tcPr>
          <w:p>
            <w:pPr>
              <w:ind w:left="2140"/>
              <w:spacing w:after="0" w:line="123" w:lineRule="exact"/>
              <w:rPr>
                <w:sz w:val="20"/>
                <w:szCs w:val="20"/>
                <w:color w:val="auto"/>
              </w:rPr>
            </w:pPr>
            <w:r>
              <w:rPr>
                <w:rFonts w:ascii="Times New Roman" w:cs="Times New Roman" w:eastAsia="Times New Roman" w:hAnsi="Times New Roman"/>
                <w:sz w:val="11"/>
                <w:szCs w:val="11"/>
                <w:color w:val="auto"/>
              </w:rPr>
              <w:t>By/s/ Allen Heery</w:t>
            </w:r>
          </w:p>
        </w:tc>
      </w:tr>
      <w:tr>
        <w:trPr>
          <w:trHeight w:val="20"/>
        </w:trPr>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27"/>
        </w:trPr>
        <w:tc>
          <w:tcPr>
            <w:tcW w:w="40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Name Michael Latham</w:t>
            </w:r>
          </w:p>
        </w:tc>
        <w:tc>
          <w:tcPr>
            <w:tcW w:w="4840" w:type="dxa"/>
            <w:vAlign w:val="bottom"/>
            <w:gridSpan w:val="3"/>
          </w:tcPr>
          <w:p>
            <w:pPr>
              <w:ind w:left="2140"/>
              <w:spacing w:after="0"/>
              <w:rPr>
                <w:sz w:val="20"/>
                <w:szCs w:val="20"/>
                <w:color w:val="auto"/>
              </w:rPr>
            </w:pPr>
            <w:r>
              <w:rPr>
                <w:rFonts w:ascii="Times New Roman" w:cs="Times New Roman" w:eastAsia="Times New Roman" w:hAnsi="Times New Roman"/>
                <w:sz w:val="11"/>
                <w:szCs w:val="11"/>
                <w:color w:val="auto"/>
              </w:rPr>
              <w:t>Name Allen Heery</w:t>
            </w:r>
          </w:p>
        </w:tc>
      </w:tr>
      <w:tr>
        <w:trPr>
          <w:trHeight w:val="148"/>
        </w:trPr>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840" w:type="dxa"/>
            <w:vAlign w:val="bottom"/>
            <w:gridSpan w:val="3"/>
          </w:tcPr>
          <w:p>
            <w:pPr>
              <w:ind w:left="2460"/>
              <w:spacing w:after="0"/>
              <w:rPr>
                <w:sz w:val="20"/>
                <w:szCs w:val="20"/>
                <w:color w:val="auto"/>
              </w:rPr>
            </w:pPr>
            <w:r>
              <w:rPr>
                <w:rFonts w:ascii="Times New Roman" w:cs="Times New Roman" w:eastAsia="Times New Roman" w:hAnsi="Times New Roman"/>
                <w:sz w:val="11"/>
                <w:szCs w:val="11"/>
                <w:color w:val="auto"/>
              </w:rPr>
              <w:t>CFO</w:t>
            </w:r>
          </w:p>
        </w:tc>
      </w:tr>
    </w:tbl>
    <w:p>
      <w:pPr>
        <w:sectPr>
          <w:pgSz w:w="11900" w:h="16838" w:orient="portrait"/>
          <w:cols w:equalWidth="0" w:num="1">
            <w:col w:w="11288"/>
          </w:cols>
          <w:pgMar w:left="292" w:top="494"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2"/>
          <w:szCs w:val="12"/>
          <w:b w:val="1"/>
          <w:bCs w:val="1"/>
          <w:color w:val="auto"/>
        </w:rPr>
        <w:t>Exhibit 10.7</w:t>
      </w:r>
    </w:p>
    <w:p>
      <w:pPr>
        <w:spacing w:after="0" w:line="114" w:lineRule="exact"/>
        <w:rPr>
          <w:sz w:val="20"/>
          <w:szCs w:val="20"/>
          <w:color w:val="auto"/>
        </w:rPr>
      </w:pPr>
    </w:p>
    <w:p>
      <w:pPr>
        <w:ind w:left="8" w:right="60" w:hanging="8"/>
        <w:spacing w:after="0" w:line="286" w:lineRule="auto"/>
        <w:tabs>
          <w:tab w:leader="none" w:pos="218" w:val="left"/>
        </w:tabs>
        <w:numPr>
          <w:ilvl w:val="0"/>
          <w:numId w:val="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71" w:lineRule="exact"/>
        <w:rPr>
          <w:sz w:val="20"/>
          <w:szCs w:val="20"/>
          <w:color w:val="auto"/>
        </w:rPr>
      </w:pPr>
    </w:p>
    <w:p>
      <w:pPr>
        <w:ind w:left="9868"/>
        <w:spacing w:after="0"/>
        <w:rPr>
          <w:sz w:val="20"/>
          <w:szCs w:val="20"/>
          <w:color w:val="auto"/>
        </w:rPr>
      </w:pPr>
      <w:r>
        <w:rPr>
          <w:rFonts w:ascii="Times New Roman" w:cs="Times New Roman" w:eastAsia="Times New Roman" w:hAnsi="Times New Roman"/>
          <w:sz w:val="12"/>
          <w:szCs w:val="12"/>
          <w:color w:val="auto"/>
        </w:rPr>
        <w:t>Client Code/Reference No:</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Effective Date as of July 1, 2006</w:t>
      </w:r>
    </w:p>
    <w:p>
      <w:pPr>
        <w:spacing w:after="0" w:line="114" w:lineRule="exact"/>
        <w:rPr>
          <w:sz w:val="20"/>
          <w:szCs w:val="20"/>
          <w:color w:val="auto"/>
        </w:rPr>
      </w:pPr>
    </w:p>
    <w:p>
      <w:pPr>
        <w:ind w:left="8" w:right="80" w:firstLine="365"/>
        <w:spacing w:after="0" w:line="279" w:lineRule="auto"/>
        <w:rPr>
          <w:sz w:val="20"/>
          <w:szCs w:val="20"/>
          <w:color w:val="auto"/>
        </w:rPr>
      </w:pPr>
      <w:r>
        <w:rPr>
          <w:rFonts w:ascii="Times New Roman" w:cs="Times New Roman" w:eastAsia="Times New Roman" w:hAnsi="Times New Roman"/>
          <w:sz w:val="12"/>
          <w:szCs w:val="12"/>
          <w:color w:val="auto"/>
        </w:rPr>
        <w:t>AMENDMENT to the Index License Agreement for Funds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dated as of March 18, 2000, by and between Morgan Stanley Capital International Inc. (“MSCI”) and Barclays Global Investors, N.A. (“Licensee”), as previously amended.</w:t>
      </w:r>
    </w:p>
    <w:p>
      <w:pPr>
        <w:spacing w:after="0" w:line="75" w:lineRule="exact"/>
        <w:rPr>
          <w:sz w:val="20"/>
          <w:szCs w:val="20"/>
          <w:color w:val="auto"/>
        </w:rPr>
      </w:pPr>
    </w:p>
    <w:p>
      <w:pPr>
        <w:ind w:left="368" w:right="360" w:hanging="368"/>
        <w:spacing w:after="0" w:line="279" w:lineRule="auto"/>
        <w:tabs>
          <w:tab w:leader="none" w:pos="368"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t>
      </w:r>
      <w:r>
        <w:rPr>
          <w:rFonts w:ascii="Times New Roman" w:cs="Times New Roman" w:eastAsia="Times New Roman" w:hAnsi="Times New Roman"/>
          <w:sz w:val="12"/>
          <w:szCs w:val="12"/>
          <w:u w:val="single" w:color="auto"/>
          <w:color w:val="auto"/>
        </w:rPr>
        <w:t>erm</w:t>
      </w:r>
      <w:r>
        <w:rPr>
          <w:rFonts w:ascii="Times New Roman" w:cs="Times New Roman" w:eastAsia="Times New Roman" w:hAnsi="Times New Roman"/>
          <w:sz w:val="12"/>
          <w:szCs w:val="12"/>
          <w:color w:val="auto"/>
        </w:rPr>
        <w:t>: Section 1 of the Amendment dated as of December 3, 2004 to the Agreement is hereby deleted. The term of the Agreement is extended until ****, unless earlier terminated as provided therein or herein. Thereafter, the Agreement shall renew for successive one-year periods unless either party provides written notice to the other of its intent not to renew at least ninety (90) days prior to the end of the then-current term.</w:t>
      </w:r>
    </w:p>
    <w:p>
      <w:pPr>
        <w:spacing w:after="0" w:line="75"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w:t>
      </w:r>
      <w:r>
        <w:rPr>
          <w:rFonts w:ascii="Times New Roman" w:cs="Times New Roman" w:eastAsia="Times New Roman" w:hAnsi="Times New Roman"/>
          <w:sz w:val="12"/>
          <w:szCs w:val="12"/>
          <w:u w:val="single" w:color="auto"/>
          <w:color w:val="auto"/>
        </w:rPr>
        <w:t>ees</w:t>
      </w:r>
      <w:r>
        <w:rPr>
          <w:rFonts w:ascii="Times New Roman" w:cs="Times New Roman" w:eastAsia="Times New Roman" w:hAnsi="Times New Roman"/>
          <w:sz w:val="12"/>
          <w:szCs w:val="12"/>
          <w:color w:val="auto"/>
        </w:rPr>
        <w:t>: Section 2 of the Amendment dated as of December 3, 2004 to the Agreement is hereby deleted. The license fees shall be calculated and payable on a calendar quarterly basis as follows commencing as of July 1, 2006:</w:t>
      </w:r>
    </w:p>
    <w:p>
      <w:pPr>
        <w:spacing w:after="0" w:line="114" w:lineRule="exact"/>
        <w:rPr>
          <w:rFonts w:ascii="Times New Roman" w:cs="Times New Roman" w:eastAsia="Times New Roman" w:hAnsi="Times New Roman"/>
          <w:sz w:val="12"/>
          <w:szCs w:val="12"/>
          <w:color w:val="auto"/>
        </w:rPr>
      </w:pPr>
    </w:p>
    <w:p>
      <w:pPr>
        <w:ind w:left="4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t>
      </w:r>
      <w:r>
        <w:rPr>
          <w:rFonts w:ascii="Times New Roman" w:cs="Times New Roman" w:eastAsia="Times New Roman" w:hAnsi="Times New Roman"/>
          <w:sz w:val="11"/>
          <w:szCs w:val="11"/>
          <w:color w:val="auto"/>
        </w:rPr>
        <w:t>****: Licensee shall pay MSCI a **** with respect to the use of the MSCI Standard International Equity Index **** as the basis for, or a component of, any passively managed fund. The **** license fee shall equal:</w:t>
      </w:r>
    </w:p>
    <w:p>
      <w:pPr>
        <w:spacing w:after="0" w:line="123"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 multiplied by **** subject to a ****.</w:t>
      </w:r>
    </w:p>
    <w:p>
      <w:pPr>
        <w:spacing w:after="0" w:line="20" w:lineRule="exact"/>
        <w:rPr>
          <w:sz w:val="20"/>
          <w:szCs w:val="20"/>
          <w:color w:val="auto"/>
        </w:rPr>
      </w:pPr>
    </w:p>
    <w:p>
      <w:pPr>
        <w:spacing w:after="0" w:line="103" w:lineRule="exact"/>
        <w:rPr>
          <w:sz w:val="20"/>
          <w:szCs w:val="20"/>
          <w:color w:val="auto"/>
        </w:rPr>
      </w:pPr>
    </w:p>
    <w:p>
      <w:pPr>
        <w:ind w:left="848" w:right="140"/>
        <w:spacing w:after="0" w:line="279" w:lineRule="auto"/>
        <w:rPr>
          <w:sz w:val="20"/>
          <w:szCs w:val="20"/>
          <w:color w:val="auto"/>
        </w:rPr>
      </w:pPr>
      <w:r>
        <w:rPr>
          <w:rFonts w:ascii="Times New Roman" w:cs="Times New Roman" w:eastAsia="Times New Roman" w:hAnsi="Times New Roman"/>
          <w:sz w:val="12"/>
          <w:szCs w:val="12"/>
          <w:color w:val="auto"/>
        </w:rPr>
        <w:t>To the extent that the license fees payable to MSCI for a passively managed Fund based on **** such licensee fees payable to MSCI, when expressed as **** the applicable period **** such Fund **** when expressed as **** for such ****.</w:t>
      </w:r>
    </w:p>
    <w:p>
      <w:pPr>
        <w:spacing w:after="0" w:line="75" w:lineRule="exact"/>
        <w:rPr>
          <w:sz w:val="20"/>
          <w:szCs w:val="20"/>
          <w:color w:val="auto"/>
        </w:rPr>
      </w:pPr>
    </w:p>
    <w:p>
      <w:pPr>
        <w:ind w:left="848" w:right="380" w:hanging="353"/>
        <w:spacing w:after="0" w:line="279" w:lineRule="auto"/>
        <w:tabs>
          <w:tab w:leader="none" w:pos="84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Times New Roman" w:cs="Times New Roman" w:eastAsia="Times New Roman" w:hAnsi="Times New Roman"/>
          <w:sz w:val="12"/>
          <w:szCs w:val="12"/>
          <w:u w:val="single" w:color="auto"/>
          <w:color w:val="auto"/>
        </w:rPr>
        <w:t>THER MSCI INDICES</w:t>
      </w:r>
      <w:r>
        <w:rPr>
          <w:rFonts w:ascii="Times New Roman" w:cs="Times New Roman" w:eastAsia="Times New Roman" w:hAnsi="Times New Roman"/>
          <w:sz w:val="12"/>
          <w:szCs w:val="12"/>
          <w:color w:val="auto"/>
        </w:rPr>
        <w:t>: For use of all other MSCI Indices licensed under the Agreement, Licensee shall pay MSCI a **** license fee with respect to the use of each such Index as the basis for, or a component of a passively managed Fund. The **** license fee shall be calculated as **** during the applicable **** per Fund and a **** as follows:</w:t>
      </w:r>
    </w:p>
    <w:p>
      <w:pPr>
        <w:spacing w:after="0" w:line="20" w:lineRule="exact"/>
        <w:rPr>
          <w:sz w:val="20"/>
          <w:szCs w:val="20"/>
          <w:color w:val="auto"/>
        </w:rPr>
      </w:pPr>
    </w:p>
    <w:p>
      <w:pPr>
        <w:spacing w:after="0" w:line="72" w:lineRule="exact"/>
        <w:rPr>
          <w:sz w:val="20"/>
          <w:szCs w:val="20"/>
          <w:color w:val="auto"/>
        </w:rPr>
      </w:pPr>
    </w:p>
    <w:tbl>
      <w:tblPr>
        <w:tblLayout w:type="fixed"/>
        <w:tblInd w:w="2308"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900" w:type="dxa"/>
            <w:vAlign w:val="bottom"/>
          </w:tcPr>
          <w:p>
            <w:pPr>
              <w:spacing w:after="0"/>
              <w:rPr>
                <w:sz w:val="12"/>
                <w:szCs w:val="12"/>
                <w:color w:val="auto"/>
              </w:rPr>
            </w:pPr>
          </w:p>
        </w:tc>
        <w:tc>
          <w:tcPr>
            <w:tcW w:w="2780" w:type="dxa"/>
            <w:vAlign w:val="bottom"/>
            <w:gridSpan w:val="3"/>
          </w:tcPr>
          <w:p>
            <w:pPr>
              <w:jc w:val="center"/>
              <w:ind w:left="2500"/>
              <w:spacing w:after="0"/>
              <w:rPr>
                <w:sz w:val="20"/>
                <w:szCs w:val="20"/>
                <w:color w:val="auto"/>
              </w:rPr>
            </w:pPr>
            <w:r>
              <w:rPr>
                <w:rFonts w:ascii="Times New Roman" w:cs="Times New Roman" w:eastAsia="Times New Roman" w:hAnsi="Times New Roman"/>
                <w:sz w:val="12"/>
                <w:szCs w:val="12"/>
                <w:b w:val="1"/>
                <w:bCs w:val="1"/>
                <w:color w:val="auto"/>
                <w:w w:val="99"/>
              </w:rPr>
              <w:t>***</w:t>
            </w: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3420" w:type="dxa"/>
            <w:vAlign w:val="bottom"/>
            <w:gridSpan w:val="3"/>
          </w:tcPr>
          <w:p>
            <w:pPr>
              <w:jc w:val="center"/>
              <w:ind w:right="2560"/>
              <w:spacing w:after="0"/>
              <w:rPr>
                <w:sz w:val="20"/>
                <w:szCs w:val="20"/>
                <w:color w:val="auto"/>
              </w:rPr>
            </w:pPr>
            <w:r>
              <w:rPr>
                <w:rFonts w:ascii="Times New Roman" w:cs="Times New Roman" w:eastAsia="Times New Roman" w:hAnsi="Times New Roman"/>
                <w:sz w:val="12"/>
                <w:szCs w:val="12"/>
                <w:color w:val="auto"/>
              </w:rPr>
              <w:t>First ****</w:t>
            </w:r>
          </w:p>
        </w:tc>
        <w:tc>
          <w:tcPr>
            <w:tcW w:w="2780" w:type="dxa"/>
            <w:vAlign w:val="bottom"/>
            <w:gridSpan w:val="3"/>
          </w:tcPr>
          <w:p>
            <w:pPr>
              <w:jc w:val="center"/>
              <w:ind w:left="2480"/>
              <w:spacing w:after="0"/>
              <w:rPr>
                <w:sz w:val="20"/>
                <w:szCs w:val="20"/>
                <w:color w:val="auto"/>
              </w:rPr>
            </w:pPr>
            <w:r>
              <w:rPr>
                <w:rFonts w:ascii="Times New Roman" w:cs="Times New Roman" w:eastAsia="Times New Roman" w:hAnsi="Times New Roman"/>
                <w:sz w:val="12"/>
                <w:szCs w:val="12"/>
                <w:color w:val="auto"/>
                <w:w w:val="99"/>
              </w:rPr>
              <w:t>****</w:t>
            </w:r>
          </w:p>
        </w:tc>
      </w:tr>
      <w:tr>
        <w:trPr>
          <w:trHeight w:val="144"/>
        </w:trPr>
        <w:tc>
          <w:tcPr>
            <w:tcW w:w="3420" w:type="dxa"/>
            <w:vAlign w:val="bottom"/>
            <w:gridSpan w:val="3"/>
          </w:tcPr>
          <w:p>
            <w:pPr>
              <w:jc w:val="center"/>
              <w:ind w:right="2560"/>
              <w:spacing w:after="0"/>
              <w:rPr>
                <w:sz w:val="20"/>
                <w:szCs w:val="20"/>
                <w:color w:val="auto"/>
              </w:rPr>
            </w:pPr>
            <w:r>
              <w:rPr>
                <w:rFonts w:ascii="Times New Roman" w:cs="Times New Roman" w:eastAsia="Times New Roman" w:hAnsi="Times New Roman"/>
                <w:sz w:val="12"/>
                <w:szCs w:val="12"/>
                <w:color w:val="auto"/>
              </w:rPr>
              <w:t>From ****</w:t>
            </w:r>
          </w:p>
        </w:tc>
        <w:tc>
          <w:tcPr>
            <w:tcW w:w="2780" w:type="dxa"/>
            <w:vAlign w:val="bottom"/>
            <w:gridSpan w:val="3"/>
          </w:tcPr>
          <w:p>
            <w:pPr>
              <w:jc w:val="center"/>
              <w:ind w:left="2480"/>
              <w:spacing w:after="0"/>
              <w:rPr>
                <w:sz w:val="20"/>
                <w:szCs w:val="20"/>
                <w:color w:val="auto"/>
              </w:rPr>
            </w:pPr>
            <w:r>
              <w:rPr>
                <w:rFonts w:ascii="Times New Roman" w:cs="Times New Roman" w:eastAsia="Times New Roman" w:hAnsi="Times New Roman"/>
                <w:sz w:val="12"/>
                <w:szCs w:val="12"/>
                <w:color w:val="auto"/>
                <w:w w:val="99"/>
              </w:rPr>
              <w:t>****</w:t>
            </w:r>
          </w:p>
        </w:tc>
      </w:tr>
      <w:tr>
        <w:trPr>
          <w:trHeight w:val="144"/>
        </w:trPr>
        <w:tc>
          <w:tcPr>
            <w:tcW w:w="3420" w:type="dxa"/>
            <w:vAlign w:val="bottom"/>
            <w:gridSpan w:val="3"/>
          </w:tcPr>
          <w:p>
            <w:pPr>
              <w:jc w:val="center"/>
              <w:ind w:right="2560"/>
              <w:spacing w:after="0"/>
              <w:rPr>
                <w:sz w:val="20"/>
                <w:szCs w:val="20"/>
                <w:color w:val="auto"/>
              </w:rPr>
            </w:pPr>
            <w:r>
              <w:rPr>
                <w:rFonts w:ascii="Times New Roman" w:cs="Times New Roman" w:eastAsia="Times New Roman" w:hAnsi="Times New Roman"/>
                <w:sz w:val="12"/>
                <w:szCs w:val="12"/>
                <w:color w:val="auto"/>
              </w:rPr>
              <w:t>From ****</w:t>
            </w:r>
          </w:p>
        </w:tc>
        <w:tc>
          <w:tcPr>
            <w:tcW w:w="2780" w:type="dxa"/>
            <w:vAlign w:val="bottom"/>
            <w:gridSpan w:val="3"/>
          </w:tcPr>
          <w:p>
            <w:pPr>
              <w:jc w:val="center"/>
              <w:ind w:left="2480"/>
              <w:spacing w:after="0"/>
              <w:rPr>
                <w:sz w:val="20"/>
                <w:szCs w:val="20"/>
                <w:color w:val="auto"/>
              </w:rPr>
            </w:pPr>
            <w:r>
              <w:rPr>
                <w:rFonts w:ascii="Times New Roman" w:cs="Times New Roman" w:eastAsia="Times New Roman" w:hAnsi="Times New Roman"/>
                <w:sz w:val="12"/>
                <w:szCs w:val="12"/>
                <w:color w:val="auto"/>
                <w:w w:val="99"/>
              </w:rPr>
              <w:t>****</w:t>
            </w:r>
          </w:p>
        </w:tc>
      </w:tr>
      <w:tr>
        <w:trPr>
          <w:trHeight w:val="144"/>
        </w:trPr>
        <w:tc>
          <w:tcPr>
            <w:tcW w:w="3420" w:type="dxa"/>
            <w:vAlign w:val="bottom"/>
            <w:gridSpan w:val="3"/>
          </w:tcPr>
          <w:p>
            <w:pPr>
              <w:jc w:val="center"/>
              <w:ind w:right="2560"/>
              <w:spacing w:after="0"/>
              <w:rPr>
                <w:sz w:val="20"/>
                <w:szCs w:val="20"/>
                <w:color w:val="auto"/>
              </w:rPr>
            </w:pPr>
            <w:r>
              <w:rPr>
                <w:rFonts w:ascii="Times New Roman" w:cs="Times New Roman" w:eastAsia="Times New Roman" w:hAnsi="Times New Roman"/>
                <w:sz w:val="12"/>
                <w:szCs w:val="12"/>
                <w:color w:val="auto"/>
              </w:rPr>
              <w:t>From ****</w:t>
            </w:r>
          </w:p>
        </w:tc>
        <w:tc>
          <w:tcPr>
            <w:tcW w:w="2780" w:type="dxa"/>
            <w:vAlign w:val="bottom"/>
            <w:gridSpan w:val="3"/>
          </w:tcPr>
          <w:p>
            <w:pPr>
              <w:jc w:val="center"/>
              <w:ind w:left="2480"/>
              <w:spacing w:after="0"/>
              <w:rPr>
                <w:sz w:val="20"/>
                <w:szCs w:val="20"/>
                <w:color w:val="auto"/>
              </w:rPr>
            </w:pPr>
            <w:r>
              <w:rPr>
                <w:rFonts w:ascii="Times New Roman" w:cs="Times New Roman" w:eastAsia="Times New Roman" w:hAnsi="Times New Roman"/>
                <w:sz w:val="12"/>
                <w:szCs w:val="12"/>
                <w:color w:val="auto"/>
                <w:w w:val="99"/>
              </w:rPr>
              <w:t>****</w:t>
            </w:r>
          </w:p>
        </w:tc>
      </w:tr>
      <w:tr>
        <w:trPr>
          <w:trHeight w:val="155"/>
        </w:trPr>
        <w:tc>
          <w:tcPr>
            <w:tcW w:w="3420" w:type="dxa"/>
            <w:vAlign w:val="bottom"/>
            <w:gridSpan w:val="3"/>
          </w:tcPr>
          <w:p>
            <w:pPr>
              <w:jc w:val="center"/>
              <w:ind w:right="2560"/>
              <w:spacing w:after="0"/>
              <w:rPr>
                <w:sz w:val="20"/>
                <w:szCs w:val="20"/>
                <w:color w:val="auto"/>
              </w:rPr>
            </w:pPr>
            <w:r>
              <w:rPr>
                <w:rFonts w:ascii="Times New Roman" w:cs="Times New Roman" w:eastAsia="Times New Roman" w:hAnsi="Times New Roman"/>
                <w:sz w:val="12"/>
                <w:szCs w:val="12"/>
                <w:color w:val="auto"/>
                <w:w w:val="99"/>
              </w:rPr>
              <w:t>Greater than ****</w:t>
            </w:r>
          </w:p>
        </w:tc>
        <w:tc>
          <w:tcPr>
            <w:tcW w:w="2780" w:type="dxa"/>
            <w:vAlign w:val="bottom"/>
            <w:gridSpan w:val="3"/>
          </w:tcPr>
          <w:p>
            <w:pPr>
              <w:jc w:val="center"/>
              <w:ind w:left="2480"/>
              <w:spacing w:after="0"/>
              <w:rPr>
                <w:sz w:val="20"/>
                <w:szCs w:val="20"/>
                <w:color w:val="auto"/>
              </w:rPr>
            </w:pPr>
            <w:r>
              <w:rPr>
                <w:rFonts w:ascii="Times New Roman" w:cs="Times New Roman" w:eastAsia="Times New Roman" w:hAnsi="Times New Roman"/>
                <w:sz w:val="12"/>
                <w:szCs w:val="12"/>
                <w:color w:val="auto"/>
                <w:w w:val="99"/>
              </w:rPr>
              <w:t>****</w:t>
            </w:r>
          </w:p>
        </w:tc>
      </w:tr>
    </w:tbl>
    <w:p>
      <w:pPr>
        <w:spacing w:after="0" w:line="124" w:lineRule="exact"/>
        <w:rPr>
          <w:sz w:val="20"/>
          <w:szCs w:val="20"/>
          <w:color w:val="auto"/>
        </w:rPr>
      </w:pPr>
    </w:p>
    <w:p>
      <w:pPr>
        <w:ind w:left="848" w:hanging="353"/>
        <w:spacing w:after="0"/>
        <w:tabs>
          <w:tab w:leader="none" w:pos="848"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14" w:lineRule="exact"/>
        <w:rPr>
          <w:rFonts w:ascii="Times New Roman" w:cs="Times New Roman" w:eastAsia="Times New Roman" w:hAnsi="Times New Roman"/>
          <w:sz w:val="12"/>
          <w:szCs w:val="12"/>
          <w:color w:val="auto"/>
        </w:rPr>
      </w:pPr>
    </w:p>
    <w:p>
      <w:pPr>
        <w:ind w:left="848" w:right="60" w:hanging="353"/>
        <w:spacing w:after="0" w:line="265" w:lineRule="auto"/>
        <w:tabs>
          <w:tab w:leader="none" w:pos="848" w:val="left"/>
        </w:tabs>
        <w:numPr>
          <w:ilvl w:val="1"/>
          <w:numId w:val="96"/>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P</w:t>
      </w:r>
      <w:r>
        <w:rPr>
          <w:rFonts w:ascii="Times New Roman" w:cs="Times New Roman" w:eastAsia="Times New Roman" w:hAnsi="Times New Roman"/>
          <w:sz w:val="12"/>
          <w:szCs w:val="12"/>
          <w:u w:val="single" w:color="auto"/>
          <w:color w:val="auto"/>
        </w:rPr>
        <w:t>a</w:t>
      </w:r>
      <w:r>
        <w:rPr>
          <w:rFonts w:ascii="Times New Roman" w:cs="Times New Roman" w:eastAsia="Times New Roman" w:hAnsi="Times New Roman"/>
          <w:sz w:val="12"/>
          <w:szCs w:val="12"/>
          <w:color w:val="auto"/>
        </w:rPr>
        <w:t>y</w:t>
      </w:r>
      <w:r>
        <w:rPr>
          <w:rFonts w:ascii="Times New Roman" w:cs="Times New Roman" w:eastAsia="Times New Roman" w:hAnsi="Times New Roman"/>
          <w:sz w:val="12"/>
          <w:szCs w:val="12"/>
          <w:u w:val="single" w:color="auto"/>
          <w:color w:val="auto"/>
        </w:rPr>
        <w:t>ment</w:t>
      </w:r>
      <w:r>
        <w:rPr>
          <w:rFonts w:ascii="Times New Roman" w:cs="Times New Roman" w:eastAsia="Times New Roman" w:hAnsi="Times New Roman"/>
          <w:sz w:val="12"/>
          <w:szCs w:val="12"/>
          <w:color w:val="auto"/>
        </w:rPr>
        <w:t>: The license fees shall be paid in arrears to MSCI by the fifteenth day of the following quarter and shall be accompanied by a statement from Licensee stating that such fees are accurate. Any license fees or any other amounts due hereunder that are not timely paid shall accrue interest at the rate of **** or the maximum amount permitted by law, whichever is less, which interest charges shall begin accruing on the relevant due date and shall continue to accrue until such license fees and all other amounts due hereunder are paid in full.</w:t>
      </w:r>
    </w:p>
    <w:p>
      <w:pPr>
        <w:spacing w:after="0" w:line="82" w:lineRule="exact"/>
        <w:rPr>
          <w:rFonts w:ascii="Times New Roman" w:cs="Times New Roman" w:eastAsia="Times New Roman" w:hAnsi="Times New Roman"/>
          <w:sz w:val="11"/>
          <w:szCs w:val="11"/>
          <w:color w:val="auto"/>
        </w:rPr>
      </w:pPr>
    </w:p>
    <w:p>
      <w:pPr>
        <w:ind w:left="848" w:right="40" w:hanging="353"/>
        <w:spacing w:after="0" w:line="260" w:lineRule="auto"/>
        <w:tabs>
          <w:tab w:leader="none" w:pos="848" w:val="left"/>
        </w:tabs>
        <w:numPr>
          <w:ilvl w:val="1"/>
          <w:numId w:val="96"/>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R</w:t>
      </w:r>
      <w:r>
        <w:rPr>
          <w:rFonts w:ascii="Times New Roman" w:cs="Times New Roman" w:eastAsia="Times New Roman" w:hAnsi="Times New Roman"/>
          <w:sz w:val="12"/>
          <w:szCs w:val="12"/>
          <w:u w:val="single" w:color="auto"/>
          <w:color w:val="auto"/>
        </w:rPr>
        <w:t>ecords</w:t>
      </w:r>
      <w:r>
        <w:rPr>
          <w:rFonts w:ascii="Times New Roman" w:cs="Times New Roman" w:eastAsia="Times New Roman" w:hAnsi="Times New Roman"/>
          <w:sz w:val="12"/>
          <w:szCs w:val="12"/>
          <w:color w:val="auto"/>
        </w:rPr>
        <w:t>: Licensee shall maintain detailed and accurate records with respect to the assets of the Funds and any of Licensee’s payment to MSCI hereunder. During the term of the Agreement and for a period of **** after its termination, Licensee, upon written request by MSCI, shall provide access to such records during normal business hours to MSCI and/or an independent accounting organization, chosen and compensated by MSCI. Licensee shall promptly pay any underreported license fees and all other amounts due hereunder determined by such audit ****, whichever is less, for the period of time during which such amount was owed and unpaid. If such audit reveals an underpayment in excess **** of the amount due hereunder, then Licensee shall also pay for the reasonable cost of such audit.</w:t>
      </w:r>
    </w:p>
    <w:p>
      <w:pPr>
        <w:spacing w:after="0" w:line="86" w:lineRule="exact"/>
        <w:rPr>
          <w:rFonts w:ascii="Times New Roman" w:cs="Times New Roman" w:eastAsia="Times New Roman" w:hAnsi="Times New Roman"/>
          <w:sz w:val="11"/>
          <w:szCs w:val="11"/>
          <w:color w:val="auto"/>
        </w:rPr>
      </w:pPr>
    </w:p>
    <w:p>
      <w:pPr>
        <w:ind w:left="848" w:hanging="353"/>
        <w:spacing w:after="0"/>
        <w:tabs>
          <w:tab w:leader="none" w:pos="848" w:val="left"/>
        </w:tabs>
        <w:numPr>
          <w:ilvl w:val="1"/>
          <w:numId w:val="96"/>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w:t>
      </w:r>
      <w:r>
        <w:rPr>
          <w:rFonts w:ascii="Times New Roman" w:cs="Times New Roman" w:eastAsia="Times New Roman" w:hAnsi="Times New Roman"/>
          <w:sz w:val="12"/>
          <w:szCs w:val="12"/>
          <w:u w:val="single" w:color="auto"/>
          <w:color w:val="auto"/>
        </w:rPr>
        <w:t>axes</w:t>
      </w:r>
      <w:r>
        <w:rPr>
          <w:rFonts w:ascii="Times New Roman" w:cs="Times New Roman" w:eastAsia="Times New Roman" w:hAnsi="Times New Roman"/>
          <w:sz w:val="12"/>
          <w:szCs w:val="12"/>
          <w:color w:val="auto"/>
        </w:rPr>
        <w:t>: Licensee will promptly pay **** arising as a result of the Agreement, other than ****.</w:t>
      </w:r>
    </w:p>
    <w:p>
      <w:pPr>
        <w:spacing w:after="0" w:line="123" w:lineRule="exact"/>
        <w:rPr>
          <w:rFonts w:ascii="Times New Roman" w:cs="Times New Roman" w:eastAsia="Times New Roman" w:hAnsi="Times New Roman"/>
          <w:sz w:val="11"/>
          <w:szCs w:val="11"/>
          <w:color w:val="auto"/>
        </w:rPr>
      </w:pPr>
    </w:p>
    <w:p>
      <w:pPr>
        <w:ind w:left="368" w:hanging="368"/>
        <w:spacing w:after="0"/>
        <w:tabs>
          <w:tab w:leader="none" w:pos="368"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Licensees:</w:t>
      </w:r>
    </w:p>
    <w:p>
      <w:pPr>
        <w:spacing w:after="0" w:line="114" w:lineRule="exact"/>
        <w:rPr>
          <w:rFonts w:ascii="Times New Roman" w:cs="Times New Roman" w:eastAsia="Times New Roman" w:hAnsi="Times New Roman"/>
          <w:sz w:val="12"/>
          <w:szCs w:val="12"/>
          <w:color w:val="auto"/>
        </w:rPr>
      </w:pPr>
    </w:p>
    <w:p>
      <w:pPr>
        <w:ind w:left="848" w:right="180" w:hanging="353"/>
        <w:spacing w:after="0" w:line="279" w:lineRule="auto"/>
        <w:tabs>
          <w:tab w:leader="none" w:pos="848" w:val="left"/>
        </w:tabs>
        <w:numPr>
          <w:ilvl w:val="1"/>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MSCI grants **** after the effective date of this Amendment a **** the basis for any passively managed fund to be listed by the licensee for trading on an exchange ****, then the license fees payable hereunder for the relevant Index shall ****. For purposes of clarity and by way of illustration only, the parties acknowledge that **** licensed after the date hereof **** to serve as the ****, only the license fees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89470" cy="11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8">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-281940</wp:posOffset>
            </wp:positionV>
            <wp:extent cx="66611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9">
                      <a:extLst>
                        <a:ext uri="{28A0092B-C50C-407E-A947-70E740481C1C}"/>
                      </a:extLst>
                    </a:blip>
                    <a:srcRect/>
                    <a:stretch>
                      <a:fillRect/>
                    </a:stretch>
                  </pic:blipFill>
                  <pic:spPr bwMode="auto">
                    <a:xfrm>
                      <a:off x="0" y="0"/>
                      <a:ext cx="666115"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40" w:name="page141"/>
    <w:bookmarkEnd w:id="140"/>
    <w:p>
      <w:pPr>
        <w:ind w:left="848" w:hanging="353"/>
        <w:spacing w:after="0"/>
        <w:tabs>
          <w:tab w:leader="none" w:pos="848"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acknowledges that prior to the effective date of this Amendment MSCI has **** confidential basis to ****.</w:t>
      </w:r>
    </w:p>
    <w:p>
      <w:pPr>
        <w:spacing w:after="0" w:line="123" w:lineRule="exact"/>
        <w:rPr>
          <w:rFonts w:ascii="Times New Roman" w:cs="Times New Roman" w:eastAsia="Times New Roman" w:hAnsi="Times New Roman"/>
          <w:sz w:val="12"/>
          <w:szCs w:val="12"/>
          <w:color w:val="auto"/>
        </w:rPr>
      </w:pPr>
    </w:p>
    <w:p>
      <w:pPr>
        <w:jc w:val="both"/>
        <w:ind w:left="848" w:right="60"/>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 which the parties agree is not subject to Section 3(a) above. If the **** MSCI shall inform Licensee and the parties shall negotiate in good faith to consider whether **** (as defined in Section 5 below) payable hereunder for Licensee’s Funds based on **** is appropriate. Any **** would consider the **** Licensee’s ability to continue paying ****. MSCI and BGI will jointly consider any impact of the **** over a reasonable period of time (not less than one year), including factors such as</w:t>
      </w:r>
    </w:p>
    <w:p>
      <w:pPr>
        <w:spacing w:after="0" w:line="82"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14" w:lineRule="exact"/>
        <w:rPr>
          <w:rFonts w:ascii="Times New Roman" w:cs="Times New Roman" w:eastAsia="Times New Roman" w:hAnsi="Times New Roman"/>
          <w:sz w:val="12"/>
          <w:szCs w:val="12"/>
          <w:color w:val="auto"/>
        </w:rPr>
      </w:pPr>
    </w:p>
    <w:p>
      <w:pPr>
        <w:ind w:left="848" w:hanging="362"/>
        <w:spacing w:after="0" w:line="279" w:lineRule="auto"/>
        <w:tabs>
          <w:tab w:leader="none" w:pos="848"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Licenses granted by MSCI **** based on customized versions, or sub-indices (e.g., sector indices or market-cap sub-indices) or aggregated indices (e.g., regional indices), of **** are not subject to Section 3(a) above. If the name of any such **** based on a **** index includes the **** it shall use a **** index name (e.g., ****).</w:t>
      </w:r>
    </w:p>
    <w:p>
      <w:pPr>
        <w:spacing w:after="0" w:line="75"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Further, for purposes of clarity and by way of illustration only the parties acknowledge that licenses granted by MSCI ****</w:t>
      </w:r>
    </w:p>
    <w:p>
      <w:pPr>
        <w:spacing w:after="0" w:line="114" w:lineRule="exact"/>
        <w:rPr>
          <w:rFonts w:ascii="Times New Roman" w:cs="Times New Roman" w:eastAsia="Times New Roman" w:hAnsi="Times New Roman"/>
          <w:sz w:val="12"/>
          <w:szCs w:val="12"/>
          <w:color w:val="auto"/>
        </w:rPr>
      </w:pPr>
    </w:p>
    <w:p>
      <w:pPr>
        <w:ind w:left="1008" w:hanging="156"/>
        <w:spacing w:after="0"/>
        <w:tabs>
          <w:tab w:leader="none" w:pos="1008"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benchmark for actively managed funds or (y) as the basis for, or a component of, funds that aim to provide a **** (e.g., ****) or an **** (e.g., ****) linked to such Indices, are also ****.</w:t>
      </w:r>
    </w:p>
    <w:p>
      <w:pPr>
        <w:spacing w:after="0" w:line="114" w:lineRule="exact"/>
        <w:rPr>
          <w:rFonts w:ascii="Times New Roman" w:cs="Times New Roman" w:eastAsia="Times New Roman" w:hAnsi="Times New Roman"/>
          <w:sz w:val="12"/>
          <w:szCs w:val="12"/>
          <w:color w:val="auto"/>
        </w:rPr>
      </w:pPr>
    </w:p>
    <w:p>
      <w:pPr>
        <w:ind w:left="848" w:hanging="353"/>
        <w:spacing w:after="0"/>
        <w:tabs>
          <w:tab w:leader="none" w:pos="848"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 that **** may license the relevant **** without the **** otherwise required by Section 3(a) above.</w:t>
      </w:r>
    </w:p>
    <w:p>
      <w:pPr>
        <w:spacing w:after="0" w:line="123" w:lineRule="exact"/>
        <w:rPr>
          <w:rFonts w:ascii="Times New Roman" w:cs="Times New Roman" w:eastAsia="Times New Roman" w:hAnsi="Times New Roman"/>
          <w:sz w:val="12"/>
          <w:szCs w:val="12"/>
          <w:color w:val="auto"/>
        </w:rPr>
      </w:pPr>
    </w:p>
    <w:p>
      <w:pPr>
        <w:ind w:left="848" w:right="10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determination of whether an index **** an MSCI Index shall be based on the information available **** based on such other index. To determine whether an index **** with **** the parties agree that factors to be considered should include the following:</w:t>
      </w:r>
    </w:p>
    <w:p>
      <w:pPr>
        <w:spacing w:after="0" w:line="75" w:lineRule="exact"/>
        <w:rPr>
          <w:rFonts w:ascii="Times New Roman" w:cs="Times New Roman" w:eastAsia="Times New Roman" w:hAnsi="Times New Roman"/>
          <w:sz w:val="12"/>
          <w:szCs w:val="12"/>
          <w:color w:val="auto"/>
        </w:rPr>
      </w:pPr>
    </w:p>
    <w:p>
      <w:pPr>
        <w:ind w:left="1908" w:hanging="369"/>
        <w:spacing w:after="0"/>
        <w:tabs>
          <w:tab w:leader="none" w:pos="1908" w:val="left"/>
        </w:tabs>
        <w:numPr>
          <w:ilvl w:val="2"/>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14" w:lineRule="exact"/>
        <w:rPr>
          <w:rFonts w:ascii="Times New Roman" w:cs="Times New Roman" w:eastAsia="Times New Roman" w:hAnsi="Times New Roman"/>
          <w:sz w:val="12"/>
          <w:szCs w:val="12"/>
          <w:color w:val="auto"/>
        </w:rPr>
      </w:pPr>
    </w:p>
    <w:p>
      <w:pPr>
        <w:ind w:left="1908" w:hanging="369"/>
        <w:spacing w:after="0"/>
        <w:tabs>
          <w:tab w:leader="none" w:pos="1908" w:val="left"/>
        </w:tabs>
        <w:numPr>
          <w:ilvl w:val="2"/>
          <w:numId w:val="98"/>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1"/>
          <w:szCs w:val="11"/>
          <w:color w:val="auto"/>
        </w:rPr>
      </w:pPr>
    </w:p>
    <w:p>
      <w:pPr>
        <w:ind w:left="1908" w:hanging="369"/>
        <w:spacing w:after="0"/>
        <w:tabs>
          <w:tab w:leader="none" w:pos="1908" w:val="left"/>
        </w:tabs>
        <w:numPr>
          <w:ilvl w:val="2"/>
          <w:numId w:val="98"/>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For purposes of illustration, the parties agree that as of today (x) a ****, (y) a ****, and (z) a ****.</w:t>
      </w:r>
    </w:p>
    <w:p>
      <w:pPr>
        <w:spacing w:after="0" w:line="112"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xml:space="preserve">Additionally, the parties agree that **** (e.g., a third party ****) do not ****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 is reflected in the index name and the Fund name.</w:t>
      </w:r>
    </w:p>
    <w:p>
      <w:pPr>
        <w:spacing w:after="0" w:line="116" w:lineRule="exact"/>
        <w:rPr>
          <w:sz w:val="20"/>
          <w:szCs w:val="20"/>
          <w:color w:val="auto"/>
        </w:rPr>
      </w:pPr>
    </w:p>
    <w:p>
      <w:pPr>
        <w:ind w:left="368" w:hanging="368"/>
        <w:spacing w:after="0"/>
        <w:tabs>
          <w:tab w:leader="none" w:pos="368"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Index Definitions:</w:t>
      </w:r>
    </w:p>
    <w:p>
      <w:pPr>
        <w:spacing w:after="0" w:line="114" w:lineRule="exact"/>
        <w:rPr>
          <w:rFonts w:ascii="Times New Roman" w:cs="Times New Roman" w:eastAsia="Times New Roman" w:hAnsi="Times New Roman"/>
          <w:sz w:val="12"/>
          <w:szCs w:val="12"/>
          <w:color w:val="auto"/>
        </w:rPr>
      </w:pPr>
    </w:p>
    <w:p>
      <w:pPr>
        <w:ind w:left="368" w:right="12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the parties acknowledge that the **** are defined as the then-current versions of such indices as part of the MSCI Standard International Equity Index Series, and the Agreement and this Amendment shall apply with respect to any successor index, or any methodology changes to, any such Index; resulting in such index remaining an MSCI Standard International Equity Index.</w:t>
      </w:r>
    </w:p>
    <w:p>
      <w:pPr>
        <w:spacing w:after="0" w:line="75"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Index Marketing:</w:t>
      </w:r>
    </w:p>
    <w:p>
      <w:pPr>
        <w:spacing w:after="0" w:line="114" w:lineRule="exact"/>
        <w:rPr>
          <w:rFonts w:ascii="Times New Roman" w:cs="Times New Roman" w:eastAsia="Times New Roman" w:hAnsi="Times New Roman"/>
          <w:sz w:val="12"/>
          <w:szCs w:val="12"/>
          <w:color w:val="auto"/>
        </w:rPr>
      </w:pPr>
    </w:p>
    <w:p>
      <w:pPr>
        <w:ind w:left="848" w:right="140" w:hanging="353"/>
        <w:spacing w:after="0" w:line="279" w:lineRule="auto"/>
        <w:tabs>
          <w:tab w:leader="none" w:pos="848"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acknowledge that immediately prior to the effective date of this Amendment, the license fees payable to MSCI under the Agreement for **** as the basis for, or a component of, any Fund were calculated using the formulas set forth in the table in Section 2(b) above.</w:t>
      </w:r>
    </w:p>
    <w:p>
      <w:pPr>
        <w:spacing w:after="0" w:line="75" w:lineRule="exact"/>
        <w:rPr>
          <w:rFonts w:ascii="Times New Roman" w:cs="Times New Roman" w:eastAsia="Times New Roman" w:hAnsi="Times New Roman"/>
          <w:sz w:val="12"/>
          <w:szCs w:val="12"/>
          <w:color w:val="auto"/>
        </w:rPr>
      </w:pPr>
    </w:p>
    <w:p>
      <w:pPr>
        <w:ind w:left="848" w:hanging="353"/>
        <w:spacing w:after="0"/>
        <w:tabs>
          <w:tab w:leader="none" w:pos="848"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means the difference (if any) in the **** for the use of **** collectively, as the basis for or a component of any Fund calculated using the formula set forth in Section 2(a) above ****.</w:t>
      </w:r>
    </w:p>
    <w:p>
      <w:pPr>
        <w:spacing w:after="0" w:line="123" w:lineRule="exact"/>
        <w:rPr>
          <w:rFonts w:ascii="Times New Roman" w:cs="Times New Roman" w:eastAsia="Times New Roman" w:hAnsi="Times New Roman"/>
          <w:sz w:val="12"/>
          <w:szCs w:val="12"/>
          <w:color w:val="auto"/>
        </w:rPr>
      </w:pPr>
    </w:p>
    <w:p>
      <w:pPr>
        <w:ind w:left="848" w:right="160" w:hanging="353"/>
        <w:spacing w:after="0" w:line="279" w:lineRule="auto"/>
        <w:tabs>
          <w:tab w:leader="none" w:pos="848"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 received by MSCI in each annual period measured from the effective date of this Amendment and **** during the succeeding annual period. Such marketing or promotional efforts may include the cost of advertisements, road-shows, sales and marketing personnel, speaking engagements, research articles and other publications, conference sponsorships and other such activities.</w:t>
      </w:r>
    </w:p>
    <w:p>
      <w:pPr>
        <w:spacing w:after="0" w:line="75" w:lineRule="exact"/>
        <w:rPr>
          <w:rFonts w:ascii="Times New Roman" w:cs="Times New Roman" w:eastAsia="Times New Roman" w:hAnsi="Times New Roman"/>
          <w:sz w:val="12"/>
          <w:szCs w:val="12"/>
          <w:color w:val="auto"/>
        </w:rPr>
      </w:pPr>
    </w:p>
    <w:p>
      <w:pPr>
        <w:ind w:left="848" w:right="40" w:hanging="362"/>
        <w:spacing w:after="0" w:line="279" w:lineRule="auto"/>
        <w:tabs>
          <w:tab w:leader="none" w:pos="848"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acknowledges that MSCI’s marketing and promotional efforts shall be limited to MSCI’s international indices, and that MSCI has no obligation or intent to market or promote any Funds or Licensee’s products or services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89470"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0">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-1362075</wp:posOffset>
            </wp:positionV>
            <wp:extent cx="5340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1">
                      <a:extLst>
                        <a:ext uri="{28A0092B-C50C-407E-A947-70E740481C1C}"/>
                      </a:extLst>
                    </a:blip>
                    <a:srcRect/>
                    <a:stretch>
                      <a:fillRect/>
                    </a:stretch>
                  </pic:blipFill>
                  <pic:spPr bwMode="auto">
                    <a:xfrm>
                      <a:off x="0" y="0"/>
                      <a:ext cx="534035" cy="571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-950595</wp:posOffset>
            </wp:positionV>
            <wp:extent cx="47053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82">
                      <a:extLst>
                        <a:ext uri="{28A0092B-C50C-407E-A947-70E740481C1C}"/>
                      </a:extLst>
                    </a:blip>
                    <a:srcRect/>
                    <a:stretch>
                      <a:fillRect/>
                    </a:stretch>
                  </pic:blipFill>
                  <pic:spPr bwMode="auto">
                    <a:xfrm>
                      <a:off x="0" y="0"/>
                      <a:ext cx="470535" cy="5715"/>
                    </a:xfrm>
                    <a:prstGeom prst="rect">
                      <a:avLst/>
                    </a:prstGeom>
                    <a:noFill/>
                  </pic:spPr>
                </pic:pic>
              </a:graphicData>
            </a:graphic>
          </wp:anchor>
        </w:drawing>
      </w:r>
    </w:p>
    <w:p>
      <w:pPr>
        <w:sectPr>
          <w:pgSz w:w="11900" w:h="16838" w:orient="portrait"/>
          <w:cols w:equalWidth="0" w:num="1">
            <w:col w:w="11228"/>
          </w:cols>
          <w:pgMar w:left="292" w:top="381" w:right="379" w:bottom="1440" w:gutter="0" w:footer="0" w:header="0"/>
        </w:sectPr>
      </w:pPr>
    </w:p>
    <w:bookmarkStart w:id="141" w:name="page142"/>
    <w:bookmarkEnd w:id="141"/>
    <w:p>
      <w:pPr>
        <w:ind w:left="368" w:hanging="368"/>
        <w:spacing w:after="0"/>
        <w:tabs>
          <w:tab w:leader="none" w:pos="368"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w:t>
      </w:r>
      <w:r>
        <w:rPr>
          <w:rFonts w:ascii="Times New Roman" w:cs="Times New Roman" w:eastAsia="Times New Roman" w:hAnsi="Times New Roman"/>
          <w:sz w:val="12"/>
          <w:szCs w:val="12"/>
          <w:u w:val="single" w:color="auto"/>
          <w:color w:val="auto"/>
        </w:rPr>
        <w:t>iscellaneous</w:t>
      </w:r>
      <w:r>
        <w:rPr>
          <w:rFonts w:ascii="Times New Roman" w:cs="Times New Roman" w:eastAsia="Times New Roman" w:hAnsi="Times New Roman"/>
          <w:sz w:val="12"/>
          <w:szCs w:val="12"/>
          <w:color w:val="auto"/>
        </w:rPr>
        <w:t>:</w:t>
      </w:r>
    </w:p>
    <w:p>
      <w:pPr>
        <w:spacing w:after="0" w:line="114" w:lineRule="exact"/>
        <w:rPr>
          <w:rFonts w:ascii="Times New Roman" w:cs="Times New Roman" w:eastAsia="Times New Roman" w:hAnsi="Times New Roman"/>
          <w:sz w:val="12"/>
          <w:szCs w:val="12"/>
          <w:color w:val="auto"/>
        </w:rPr>
      </w:pPr>
    </w:p>
    <w:p>
      <w:pPr>
        <w:ind w:left="368" w:right="80"/>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 oral or written, relating to the subject matter hereof. No right or license of any kind is granted to Licensee except as expressly provided in the Agreement and this Amendment. This Amendment shall be governed by, and construed in accordance with, the laws of the State of New York without regard to its conflict or choice of laws principles.</w:t>
      </w:r>
    </w:p>
    <w:p>
      <w:pPr>
        <w:spacing w:after="0" w:line="20" w:lineRule="exact"/>
        <w:rPr>
          <w:sz w:val="20"/>
          <w:szCs w:val="20"/>
          <w:color w:val="auto"/>
        </w:rPr>
      </w:pP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BARCLAYS GLOBALINVESTORS, N.A</w:t>
            </w:r>
          </w:p>
        </w:tc>
        <w:tc>
          <w:tcPr>
            <w:tcW w:w="518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MORGAN STANLEY CAPITAL INTERNATIONALINC.</w:t>
            </w:r>
          </w:p>
        </w:tc>
      </w:tr>
      <w:tr>
        <w:trPr>
          <w:trHeight w:val="288"/>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Latham</w:t>
            </w:r>
          </w:p>
        </w:tc>
        <w:tc>
          <w:tcPr>
            <w:tcW w:w="170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Allen Heery</w:t>
            </w:r>
          </w:p>
        </w:tc>
      </w:tr>
      <w:tr>
        <w:trPr>
          <w:trHeight w:val="122"/>
        </w:trPr>
        <w:tc>
          <w:tcPr>
            <w:tcW w:w="612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Name and Title Michael Latham</w:t>
            </w:r>
          </w:p>
        </w:tc>
        <w:tc>
          <w:tcPr>
            <w:tcW w:w="5180" w:type="dxa"/>
            <w:vAlign w:val="bottom"/>
            <w:gridSpan w:val="2"/>
          </w:tcPr>
          <w:p>
            <w:pPr>
              <w:ind w:left="1100"/>
              <w:spacing w:after="0" w:line="122" w:lineRule="exact"/>
              <w:rPr>
                <w:sz w:val="20"/>
                <w:szCs w:val="20"/>
                <w:color w:val="auto"/>
              </w:rPr>
            </w:pPr>
            <w:r>
              <w:rPr>
                <w:rFonts w:ascii="Times New Roman" w:cs="Times New Roman" w:eastAsia="Times New Roman" w:hAnsi="Times New Roman"/>
                <w:sz w:val="12"/>
                <w:szCs w:val="12"/>
                <w:color w:val="auto"/>
              </w:rPr>
              <w:t>Name and Title Allen Heery</w:t>
            </w:r>
          </w:p>
        </w:tc>
      </w:tr>
      <w:tr>
        <w:trPr>
          <w:trHeight w:val="155"/>
        </w:trPr>
        <w:tc>
          <w:tcPr>
            <w:tcW w:w="6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BARCLAYS GLOBAL INVESTORS, N.A.</w:t>
            </w:r>
          </w:p>
        </w:tc>
        <w:tc>
          <w:tcPr>
            <w:tcW w:w="170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288"/>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/s/ Greg Friedman</w:t>
            </w:r>
          </w:p>
        </w:tc>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ind w:left="8"/>
        <w:spacing w:after="0"/>
        <w:rPr>
          <w:sz w:val="20"/>
          <w:szCs w:val="20"/>
          <w:color w:val="auto"/>
        </w:rPr>
      </w:pPr>
      <w:r>
        <w:rPr>
          <w:rFonts w:ascii="Times New Roman" w:cs="Times New Roman" w:eastAsia="Times New Roman" w:hAnsi="Times New Roman"/>
          <w:sz w:val="12"/>
          <w:szCs w:val="12"/>
          <w:color w:val="auto"/>
        </w:rPr>
        <w:t>Name and Title Greg Friedman</w:t>
      </w:r>
    </w:p>
    <w:p>
      <w:pPr>
        <w:sectPr>
          <w:pgSz w:w="11900" w:h="16838" w:orient="portrait"/>
          <w:cols w:equalWidth="0" w:num="1">
            <w:col w:w="11308"/>
          </w:cols>
          <w:pgMar w:left="292" w:top="273" w:right="2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2"/>
          <w:szCs w:val="12"/>
          <w:b w:val="1"/>
          <w:bCs w:val="1"/>
          <w:color w:val="auto"/>
        </w:rPr>
        <w:t>Exhibit 10.10</w:t>
      </w:r>
    </w:p>
    <w:p>
      <w:pPr>
        <w:spacing w:after="0" w:line="114" w:lineRule="exact"/>
        <w:rPr>
          <w:sz w:val="20"/>
          <w:szCs w:val="20"/>
          <w:color w:val="auto"/>
        </w:rPr>
      </w:pPr>
    </w:p>
    <w:p>
      <w:pPr>
        <w:ind w:left="8" w:right="60" w:hanging="8"/>
        <w:spacing w:after="0" w:line="286" w:lineRule="auto"/>
        <w:tabs>
          <w:tab w:leader="none" w:pos="218" w:val="left"/>
        </w:tabs>
        <w:numPr>
          <w:ilvl w:val="0"/>
          <w:numId w:val="10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December 9, 2008</w:t>
      </w:r>
    </w:p>
    <w:p>
      <w:pPr>
        <w:spacing w:after="0" w:line="114" w:lineRule="exact"/>
        <w:rPr>
          <w:sz w:val="20"/>
          <w:szCs w:val="20"/>
          <w:color w:val="auto"/>
        </w:rPr>
      </w:pPr>
    </w:p>
    <w:p>
      <w:pPr>
        <w:ind w:left="8" w:right="400" w:firstLine="498"/>
        <w:spacing w:after="0" w:line="279" w:lineRule="auto"/>
        <w:rPr>
          <w:sz w:val="20"/>
          <w:szCs w:val="20"/>
          <w:color w:val="auto"/>
        </w:rPr>
      </w:pPr>
      <w:r>
        <w:rPr>
          <w:rFonts w:ascii="Times New Roman" w:cs="Times New Roman" w:eastAsia="Times New Roman" w:hAnsi="Times New Roman"/>
          <w:sz w:val="12"/>
          <w:szCs w:val="12"/>
          <w:color w:val="auto"/>
        </w:rPr>
        <w:t>AMENDMENT to the Index License Agreement for Funds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March 18, 2000, by and between MSCI Inc. (f/k/a/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as previously amended. Capitalized terms used herein but not otherwise defined herein shall have the meanings ascribed in the Agreement.</w:t>
      </w:r>
    </w:p>
    <w:p>
      <w:pPr>
        <w:spacing w:after="0" w:line="75" w:lineRule="exact"/>
        <w:rPr>
          <w:sz w:val="20"/>
          <w:szCs w:val="20"/>
          <w:color w:val="auto"/>
        </w:rPr>
      </w:pPr>
    </w:p>
    <w:p>
      <w:pPr>
        <w:ind w:left="848" w:right="160" w:hanging="353"/>
        <w:spacing w:after="0" w:line="279" w:lineRule="auto"/>
        <w:tabs>
          <w:tab w:leader="none" w:pos="84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MSCI *********** and MSCI All Peru Capped custom Indexes. For the avoidance of doubt, the terms contained in Exhibit B of the Agreement, including, but not limited to the requirement that all Funds be listed on an U.S. domiciled stock exchange only, shall apply to all Funds based on the MSCI *********** and MSCI All Peru Capped custom Indexes.</w:t>
      </w:r>
    </w:p>
    <w:p>
      <w:pPr>
        <w:spacing w:after="0" w:line="75" w:lineRule="exact"/>
        <w:rPr>
          <w:rFonts w:ascii="Times New Roman" w:cs="Times New Roman" w:eastAsia="Times New Roman" w:hAnsi="Times New Roman"/>
          <w:sz w:val="12"/>
          <w:szCs w:val="12"/>
          <w:color w:val="auto"/>
        </w:rPr>
      </w:pPr>
    </w:p>
    <w:p>
      <w:pPr>
        <w:ind w:left="8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the license fees set forth in the Agreement, as amended, shall apply with respect to all Funds based on the MSCI *********** and MSCI All Peru Capped custom Indexes.</w:t>
      </w:r>
    </w:p>
    <w:p>
      <w:pPr>
        <w:spacing w:after="0" w:line="114" w:lineRule="exact"/>
        <w:rPr>
          <w:rFonts w:ascii="Times New Roman" w:cs="Times New Roman" w:eastAsia="Times New Roman" w:hAnsi="Times New Roman"/>
          <w:sz w:val="12"/>
          <w:szCs w:val="12"/>
          <w:color w:val="auto"/>
        </w:rPr>
      </w:pPr>
    </w:p>
    <w:p>
      <w:pPr>
        <w:jc w:val="both"/>
        <w:ind w:left="848" w:right="140" w:hanging="353"/>
        <w:spacing w:after="0" w:line="265" w:lineRule="auto"/>
        <w:tabs>
          <w:tab w:leader="none" w:pos="84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will control. No right or license of any kind is granted to Licensee except as expressly provided in the Agreement and this Amendment.</w:t>
      </w:r>
    </w:p>
    <w:p>
      <w:pPr>
        <w:spacing w:after="0" w:line="82" w:lineRule="exact"/>
        <w:rPr>
          <w:rFonts w:ascii="Times New Roman" w:cs="Times New Roman" w:eastAsia="Times New Roman" w:hAnsi="Times New Roman"/>
          <w:sz w:val="12"/>
          <w:szCs w:val="12"/>
          <w:color w:val="auto"/>
        </w:rPr>
      </w:pPr>
    </w:p>
    <w:p>
      <w:pPr>
        <w:ind w:left="848" w:hanging="353"/>
        <w:spacing w:after="0"/>
        <w:tabs>
          <w:tab w:leader="none" w:pos="84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Barclays Global Investors</w:t>
            </w:r>
          </w:p>
        </w:tc>
        <w:tc>
          <w:tcPr>
            <w:tcW w:w="170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MSCI Inc.</w:t>
            </w:r>
          </w:p>
        </w:tc>
        <w:tc>
          <w:tcPr>
            <w:tcW w:w="3480" w:type="dxa"/>
            <w:vAlign w:val="bottom"/>
          </w:tcPr>
          <w:p>
            <w:pPr>
              <w:spacing w:after="0"/>
              <w:rPr>
                <w:sz w:val="13"/>
                <w:szCs w:val="13"/>
                <w:color w:val="auto"/>
              </w:rPr>
            </w:pPr>
          </w:p>
        </w:tc>
      </w:tr>
      <w:tr>
        <w:trPr>
          <w:trHeight w:val="288"/>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Raman Suri</w:t>
            </w:r>
          </w:p>
        </w:tc>
        <w:tc>
          <w:tcPr>
            <w:tcW w:w="170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Joseph A. Gagliardi</w:t>
            </w:r>
          </w:p>
        </w:tc>
      </w:tr>
      <w:tr>
        <w:trPr>
          <w:trHeight w:val="122"/>
        </w:trPr>
        <w:tc>
          <w:tcPr>
            <w:tcW w:w="5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5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Raman Suri</w:t>
            </w:r>
          </w:p>
        </w:tc>
        <w:tc>
          <w:tcPr>
            <w:tcW w:w="1700" w:type="dxa"/>
            <w:vAlign w:val="bottom"/>
          </w:tcPr>
          <w:p>
            <w:pPr>
              <w:ind w:left="110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4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Joseph A. Gagliardi</w:t>
            </w:r>
          </w:p>
        </w:tc>
      </w:tr>
      <w:tr>
        <w:trPr>
          <w:trHeight w:val="144"/>
        </w:trPr>
        <w:tc>
          <w:tcPr>
            <w:tcW w:w="58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(printed)</w:t>
            </w:r>
          </w:p>
        </w:tc>
        <w:tc>
          <w:tcPr>
            <w:tcW w:w="1700" w:type="dxa"/>
            <w:vAlign w:val="bottom"/>
          </w:tcPr>
          <w:p>
            <w:pPr>
              <w:spacing w:after="0"/>
              <w:rPr>
                <w:sz w:val="12"/>
                <w:szCs w:val="12"/>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(printed)</w:t>
            </w:r>
          </w:p>
        </w:tc>
      </w:tr>
      <w:tr>
        <w:trPr>
          <w:trHeight w:val="155"/>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170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bl>
    <w:p>
      <w:pPr>
        <w:ind w:left="8"/>
        <w:spacing w:after="0"/>
        <w:rPr>
          <w:sz w:val="20"/>
          <w:szCs w:val="20"/>
          <w:color w:val="auto"/>
        </w:rPr>
      </w:pPr>
      <w:r>
        <w:rPr>
          <w:rFonts w:ascii="Times New Roman" w:cs="Times New Roman" w:eastAsia="Times New Roman" w:hAnsi="Times New Roman"/>
          <w:sz w:val="12"/>
          <w:szCs w:val="12"/>
          <w:color w:val="auto"/>
        </w:rPr>
        <w:t>/s/ Elaine Orr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Principal</w:t>
      </w:r>
    </w:p>
    <w:p>
      <w:pPr>
        <w:sectPr>
          <w:pgSz w:w="11900" w:h="16838" w:orient="portrait"/>
          <w:cols w:equalWidth="0" w:num="1">
            <w:col w:w="11308"/>
          </w:cols>
          <w:pgMar w:left="292" w:top="278" w:right="29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1"/>
          <w:szCs w:val="11"/>
          <w:b w:val="1"/>
          <w:bCs w:val="1"/>
          <w:color w:val="auto"/>
        </w:rPr>
        <w:t>Exhibit 10.12</w:t>
      </w:r>
    </w:p>
    <w:p>
      <w:pPr>
        <w:spacing w:after="0" w:line="153" w:lineRule="exact"/>
        <w:rPr>
          <w:sz w:val="20"/>
          <w:szCs w:val="20"/>
          <w:color w:val="auto"/>
        </w:rPr>
      </w:pPr>
    </w:p>
    <w:p>
      <w:pPr>
        <w:ind w:left="8" w:hanging="8"/>
        <w:spacing w:after="0" w:line="299" w:lineRule="auto"/>
        <w:tabs>
          <w:tab w:leader="none" w:pos="235" w:val="left"/>
        </w:tabs>
        <w:numPr>
          <w:ilvl w:val="0"/>
          <w:numId w:val="10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55"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1"/>
          <w:szCs w:val="11"/>
          <w:color w:val="auto"/>
        </w:rPr>
        <w:t>Date of Amendment: May 21, 2009</w:t>
      </w:r>
    </w:p>
    <w:p>
      <w:pPr>
        <w:spacing w:after="0" w:line="153" w:lineRule="exact"/>
        <w:rPr>
          <w:sz w:val="20"/>
          <w:szCs w:val="20"/>
          <w:color w:val="auto"/>
        </w:rPr>
      </w:pPr>
    </w:p>
    <w:p>
      <w:pPr>
        <w:ind w:left="268" w:right="700"/>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(f/k/a Morgan Stanley Capital International Inc.) (“MSCI”) and Barclays Global Investors, N.A. (“Licensee”), as previously amended. Capitalized terms used herein but not otherwise defined herein shall have the meanings ascribed in the Agreement</w:t>
      </w:r>
    </w:p>
    <w:p>
      <w:pPr>
        <w:spacing w:after="0" w:line="102" w:lineRule="exact"/>
        <w:rPr>
          <w:sz w:val="20"/>
          <w:szCs w:val="20"/>
          <w:color w:val="auto"/>
        </w:rPr>
      </w:pPr>
    </w:p>
    <w:p>
      <w:pPr>
        <w:ind w:left="688" w:hanging="418"/>
        <w:spacing w:after="0"/>
        <w:tabs>
          <w:tab w:leader="none" w:pos="688" w:val="left"/>
        </w:tabs>
        <w:numPr>
          <w:ilvl w:val="0"/>
          <w:numId w:val="1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MSCI *********** Index, MSCI *********** Index, MSCI</w:t>
      </w:r>
    </w:p>
    <w:p>
      <w:pPr>
        <w:spacing w:after="0" w:line="26" w:lineRule="exact"/>
        <w:rPr>
          <w:rFonts w:ascii="Times New Roman" w:cs="Times New Roman" w:eastAsia="Times New Roman" w:hAnsi="Times New Roman"/>
          <w:sz w:val="11"/>
          <w:szCs w:val="11"/>
          <w:color w:val="auto"/>
        </w:rPr>
      </w:pPr>
    </w:p>
    <w:p>
      <w:pPr>
        <w:ind w:left="688" w:right="340"/>
        <w:spacing w:after="0" w:line="26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Index, and MSCI *********** Index. For the avoidance of doubt, the terms contained in Exhibit B of the Agreement, including, but not limited to the requirement that all Funds be listed on an U.S. domiciled stock exchange only, shall apply to all Funds based on the MSCI *********** Index, MSCI *********** Index, MSCI ***********Index, and MSCI*********** Index.</w:t>
      </w:r>
    </w:p>
    <w:p>
      <w:pPr>
        <w:ind w:left="70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Funds based on the MSCI *********** Index, MSCI *********** Index, MSCI *********** Index, and MSCI</w:t>
      </w:r>
    </w:p>
    <w:p>
      <w:pPr>
        <w:spacing w:after="0" w:line="8" w:lineRule="exact"/>
        <w:rPr>
          <w:rFonts w:ascii="Times New Roman" w:cs="Times New Roman" w:eastAsia="Times New Roman" w:hAnsi="Times New Roman"/>
          <w:sz w:val="11"/>
          <w:szCs w:val="11"/>
          <w:color w:val="auto"/>
        </w:rPr>
      </w:pPr>
    </w:p>
    <w:p>
      <w:pPr>
        <w:ind w:left="70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Index subject to the following modifications:</w:t>
      </w:r>
    </w:p>
    <w:p>
      <w:pPr>
        <w:spacing w:after="0" w:line="141" w:lineRule="exact"/>
        <w:rPr>
          <w:sz w:val="20"/>
          <w:szCs w:val="20"/>
          <w:color w:val="auto"/>
        </w:rPr>
      </w:pPr>
    </w:p>
    <w:p>
      <w:pPr>
        <w:ind w:left="1008" w:hanging="306"/>
        <w:spacing w:after="0"/>
        <w:tabs>
          <w:tab w:leader="none" w:pos="1008" w:val="left"/>
        </w:tabs>
        <w:numPr>
          <w:ilvl w:val="1"/>
          <w:numId w:val="10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 per Fund. However, if the Licensee is *********** on the relevant index, *********** shall be</w:t>
      </w:r>
    </w:p>
    <w:p>
      <w:pPr>
        <w:spacing w:after="0" w:line="26" w:lineRule="exact"/>
        <w:rPr>
          <w:rFonts w:ascii="Times New Roman" w:cs="Times New Roman" w:eastAsia="Times New Roman" w:hAnsi="Times New Roman"/>
          <w:sz w:val="11"/>
          <w:szCs w:val="11"/>
          <w:color w:val="auto"/>
        </w:rPr>
      </w:pPr>
    </w:p>
    <w:p>
      <w:pPr>
        <w:ind w:left="70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per Fund. The *********** shall be *********** per Fund. However *********** on the relevant index,</w:t>
      </w:r>
    </w:p>
    <w:p>
      <w:pPr>
        <w:spacing w:after="0" w:line="20" w:lineRule="exact"/>
        <w:rPr>
          <w:rFonts w:ascii="Times New Roman" w:cs="Times New Roman" w:eastAsia="Times New Roman" w:hAnsi="Times New Roman"/>
          <w:sz w:val="11"/>
          <w:szCs w:val="11"/>
          <w:color w:val="auto"/>
        </w:rPr>
      </w:pPr>
    </w:p>
    <w:p>
      <w:pPr>
        <w:ind w:left="70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per fund.</w:t>
      </w:r>
    </w:p>
    <w:p>
      <w:pPr>
        <w:spacing w:after="0" w:line="140" w:lineRule="exact"/>
        <w:rPr>
          <w:rFonts w:ascii="Times New Roman" w:cs="Times New Roman" w:eastAsia="Times New Roman" w:hAnsi="Times New Roman"/>
          <w:sz w:val="11"/>
          <w:szCs w:val="11"/>
          <w:color w:val="auto"/>
        </w:rPr>
      </w:pPr>
    </w:p>
    <w:p>
      <w:pPr>
        <w:ind w:left="688" w:right="220" w:hanging="418"/>
        <w:spacing w:after="0" w:line="276" w:lineRule="auto"/>
        <w:tabs>
          <w:tab w:leader="none" w:pos="688" w:val="left"/>
        </w:tabs>
        <w:numPr>
          <w:ilvl w:val="0"/>
          <w:numId w:val="10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will control. No right or license of any kind is granted to Licensee except as expressly provided in the Agreement and this Amendment.</w:t>
      </w:r>
    </w:p>
    <w:p>
      <w:pPr>
        <w:spacing w:after="0" w:line="112" w:lineRule="exact"/>
        <w:rPr>
          <w:rFonts w:ascii="Times New Roman" w:cs="Times New Roman" w:eastAsia="Times New Roman" w:hAnsi="Times New Roman"/>
          <w:sz w:val="11"/>
          <w:szCs w:val="11"/>
          <w:color w:val="auto"/>
        </w:rPr>
      </w:pPr>
    </w:p>
    <w:p>
      <w:pPr>
        <w:ind w:left="688" w:hanging="418"/>
        <w:spacing w:after="0"/>
        <w:tabs>
          <w:tab w:leader="none" w:pos="688" w:val="left"/>
        </w:tabs>
        <w:numPr>
          <w:ilvl w:val="0"/>
          <w:numId w:val="10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71" w:lineRule="exact"/>
        <w:rPr>
          <w:sz w:val="20"/>
          <w:szCs w:val="20"/>
          <w:color w:val="auto"/>
        </w:rPr>
      </w:pPr>
    </w:p>
    <w:tbl>
      <w:tblPr>
        <w:tblLayout w:type="fixed"/>
        <w:tblInd w:w="508" w:type="dxa"/>
        <w:tblCellMar>
          <w:top w:w="0" w:type="dxa"/>
          <w:left w:w="0" w:type="dxa"/>
          <w:bottom w:w="0" w:type="dxa"/>
          <w:right w:w="0" w:type="dxa"/>
        </w:tblCellMar>
      </w:tblPr>
      <w:tr>
        <w:trPr>
          <w:trHeight w:val="135"/>
        </w:trPr>
        <w:tc>
          <w:tcPr>
            <w:tcW w:w="4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LICENSEE: Barclays Global Investors, NA</w:t>
            </w:r>
          </w:p>
        </w:tc>
        <w:tc>
          <w:tcPr>
            <w:tcW w:w="1100" w:type="dxa"/>
            <w:vAlign w:val="bottom"/>
          </w:tcPr>
          <w:p>
            <w:pPr>
              <w:spacing w:after="0"/>
              <w:rPr>
                <w:sz w:val="20"/>
                <w:szCs w:val="20"/>
                <w:color w:val="auto"/>
              </w:rPr>
            </w:pPr>
            <w:r>
              <w:rPr>
                <w:rFonts w:ascii="Times New Roman" w:cs="Times New Roman" w:eastAsia="Times New Roman" w:hAnsi="Times New Roman"/>
                <w:sz w:val="11"/>
                <w:szCs w:val="11"/>
                <w:color w:val="auto"/>
              </w:rPr>
              <w:t>MSCI Inc.</w:t>
            </w:r>
          </w:p>
        </w:tc>
        <w:tc>
          <w:tcPr>
            <w:tcW w:w="4480" w:type="dxa"/>
            <w:vAlign w:val="bottom"/>
          </w:tcPr>
          <w:p>
            <w:pPr>
              <w:spacing w:after="0"/>
              <w:rPr>
                <w:sz w:val="11"/>
                <w:szCs w:val="11"/>
                <w:color w:val="auto"/>
              </w:rPr>
            </w:pPr>
          </w:p>
        </w:tc>
      </w:tr>
      <w:tr>
        <w:trPr>
          <w:trHeight w:val="148"/>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/s/ Greg Friedman</w:t>
            </w:r>
          </w:p>
        </w:tc>
        <w:tc>
          <w:tcPr>
            <w:tcW w:w="110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48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/s/ Theresa A. Balog</w:t>
            </w:r>
          </w:p>
        </w:tc>
      </w:tr>
      <w:tr>
        <w:trPr>
          <w:trHeight w:val="111"/>
        </w:trPr>
        <w:tc>
          <w:tcPr>
            <w:tcW w:w="68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3880" w:type="dxa"/>
            <w:vAlign w:val="bottom"/>
            <w:tcBorders>
              <w:top w:val="single" w:sz="8" w:color="auto"/>
            </w:tcBorders>
          </w:tcPr>
          <w:p>
            <w:pPr>
              <w:ind w:left="420"/>
              <w:spacing w:after="0" w:line="112" w:lineRule="exact"/>
              <w:rPr>
                <w:sz w:val="20"/>
                <w:szCs w:val="20"/>
                <w:color w:val="auto"/>
              </w:rPr>
            </w:pPr>
            <w:r>
              <w:rPr>
                <w:rFonts w:ascii="Times New Roman" w:cs="Times New Roman" w:eastAsia="Times New Roman" w:hAnsi="Times New Roman"/>
                <w:sz w:val="11"/>
                <w:szCs w:val="11"/>
                <w:color w:val="auto"/>
              </w:rPr>
              <w:t>Greg Friedman</w:t>
            </w:r>
          </w:p>
        </w:tc>
        <w:tc>
          <w:tcPr>
            <w:tcW w:w="140" w:type="dxa"/>
            <w:vAlign w:val="bottom"/>
          </w:tcPr>
          <w:p>
            <w:pPr>
              <w:spacing w:after="0"/>
              <w:rPr>
                <w:sz w:val="9"/>
                <w:szCs w:val="9"/>
                <w:color w:val="auto"/>
              </w:rPr>
            </w:pPr>
          </w:p>
        </w:tc>
        <w:tc>
          <w:tcPr>
            <w:tcW w:w="110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4480" w:type="dxa"/>
            <w:vAlign w:val="bottom"/>
            <w:tcBorders>
              <w:top w:val="single" w:sz="8" w:color="auto"/>
            </w:tcBorders>
          </w:tcPr>
          <w:p>
            <w:pPr>
              <w:ind w:left="620"/>
              <w:spacing w:after="0" w:line="112" w:lineRule="exact"/>
              <w:rPr>
                <w:sz w:val="20"/>
                <w:szCs w:val="20"/>
                <w:color w:val="auto"/>
              </w:rPr>
            </w:pPr>
            <w:r>
              <w:rPr>
                <w:rFonts w:ascii="Times New Roman" w:cs="Times New Roman" w:eastAsia="Times New Roman" w:hAnsi="Times New Roman"/>
                <w:sz w:val="11"/>
                <w:szCs w:val="11"/>
                <w:color w:val="auto"/>
              </w:rPr>
              <w:t>Theresa A. Balog</w:t>
            </w:r>
          </w:p>
        </w:tc>
      </w:tr>
      <w:tr>
        <w:trPr>
          <w:trHeight w:val="135"/>
        </w:trPr>
        <w:tc>
          <w:tcPr>
            <w:tcW w:w="680" w:type="dxa"/>
            <w:vAlign w:val="bottom"/>
          </w:tcPr>
          <w:p>
            <w:pPr>
              <w:spacing w:after="0"/>
              <w:rPr>
                <w:sz w:val="11"/>
                <w:szCs w:val="11"/>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(printed)</w:t>
            </w:r>
          </w:p>
        </w:tc>
        <w:tc>
          <w:tcPr>
            <w:tcW w:w="1100" w:type="dxa"/>
            <w:vAlign w:val="bottom"/>
          </w:tcPr>
          <w:p>
            <w:pPr>
              <w:spacing w:after="0"/>
              <w:rPr>
                <w:sz w:val="11"/>
                <w:szCs w:val="11"/>
                <w:color w:val="auto"/>
              </w:rPr>
            </w:pPr>
          </w:p>
        </w:tc>
        <w:tc>
          <w:tcPr>
            <w:tcW w:w="448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(printed)</w:t>
            </w:r>
          </w:p>
        </w:tc>
      </w:tr>
      <w:tr>
        <w:trPr>
          <w:trHeight w:val="148"/>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Managing Director</w:t>
            </w:r>
          </w:p>
        </w:tc>
        <w:tc>
          <w:tcPr>
            <w:tcW w:w="110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48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Executive Director</w:t>
            </w:r>
          </w:p>
        </w:tc>
      </w:tr>
    </w:tbl>
    <w:p>
      <w:pPr>
        <w:spacing w:after="0" w:line="122" w:lineRule="exact"/>
        <w:rPr>
          <w:sz w:val="20"/>
          <w:szCs w:val="20"/>
          <w:color w:val="auto"/>
        </w:rPr>
      </w:pPr>
    </w:p>
    <w:p>
      <w:pPr>
        <w:ind w:left="1608"/>
        <w:spacing w:after="0"/>
        <w:rPr>
          <w:sz w:val="20"/>
          <w:szCs w:val="20"/>
          <w:color w:val="auto"/>
        </w:rPr>
      </w:pPr>
      <w:r>
        <w:rPr>
          <w:rFonts w:ascii="Times New Roman" w:cs="Times New Roman" w:eastAsia="Times New Roman" w:hAnsi="Times New Roman"/>
          <w:sz w:val="11"/>
          <w:szCs w:val="11"/>
          <w:u w:val="single" w:color="auto"/>
          <w:color w:val="auto"/>
        </w:rPr>
        <w:t>/s/ Elaine Orr</w:t>
      </w:r>
    </w:p>
    <w:p>
      <w:pPr>
        <w:spacing w:after="0" w:line="21" w:lineRule="exact"/>
        <w:rPr>
          <w:sz w:val="20"/>
          <w:szCs w:val="20"/>
          <w:color w:val="auto"/>
        </w:rPr>
      </w:pPr>
    </w:p>
    <w:p>
      <w:pPr>
        <w:ind w:left="1608"/>
        <w:spacing w:after="0"/>
        <w:rPr>
          <w:sz w:val="20"/>
          <w:szCs w:val="20"/>
          <w:color w:val="auto"/>
        </w:rPr>
      </w:pPr>
      <w:r>
        <w:rPr>
          <w:rFonts w:ascii="Times New Roman" w:cs="Times New Roman" w:eastAsia="Times New Roman" w:hAnsi="Times New Roman"/>
          <w:sz w:val="11"/>
          <w:szCs w:val="11"/>
          <w:color w:val="auto"/>
        </w:rPr>
        <w:t>Principal</w:t>
      </w:r>
    </w:p>
    <w:p>
      <w:pPr>
        <w:spacing w:after="0" w:line="9" w:lineRule="exact"/>
        <w:rPr>
          <w:sz w:val="20"/>
          <w:szCs w:val="20"/>
          <w:color w:val="auto"/>
        </w:rPr>
      </w:pPr>
    </w:p>
    <w:p>
      <w:pPr>
        <w:ind w:left="1608"/>
        <w:spacing w:after="0"/>
        <w:rPr>
          <w:sz w:val="20"/>
          <w:szCs w:val="20"/>
          <w:color w:val="auto"/>
        </w:rPr>
      </w:pPr>
      <w:r>
        <w:rPr>
          <w:rFonts w:ascii="Times New Roman" w:cs="Times New Roman" w:eastAsia="Times New Roman" w:hAnsi="Times New Roman"/>
          <w:sz w:val="11"/>
          <w:szCs w:val="11"/>
          <w:color w:val="auto"/>
        </w:rPr>
        <w:t>June 15, 2009</w:t>
      </w:r>
    </w:p>
    <w:p>
      <w:pPr>
        <w:sectPr>
          <w:pgSz w:w="11900" w:h="16838" w:orient="portrait"/>
          <w:cols w:equalWidth="0" w:num="1">
            <w:col w:w="11308"/>
          </w:cols>
          <w:pgMar w:left="292" w:top="258" w:right="29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1"/>
          <w:szCs w:val="11"/>
          <w:b w:val="1"/>
          <w:bCs w:val="1"/>
          <w:color w:val="auto"/>
        </w:rPr>
        <w:t>Exhibit 10.15</w:t>
      </w:r>
    </w:p>
    <w:p>
      <w:pPr>
        <w:spacing w:after="0" w:line="153" w:lineRule="exact"/>
        <w:rPr>
          <w:sz w:val="20"/>
          <w:szCs w:val="20"/>
          <w:color w:val="auto"/>
        </w:rPr>
      </w:pPr>
    </w:p>
    <w:p>
      <w:pPr>
        <w:ind w:left="8" w:hanging="8"/>
        <w:spacing w:after="0" w:line="299" w:lineRule="auto"/>
        <w:tabs>
          <w:tab w:leader="none" w:pos="235" w:val="left"/>
        </w:tabs>
        <w:numPr>
          <w:ilvl w:val="0"/>
          <w:numId w:val="10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A.N.: 130339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AMD_00403</w:t>
      </w:r>
    </w:p>
    <w:p>
      <w:pPr>
        <w:spacing w:after="0" w:line="130"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October 4, 2011</w:t>
      </w:r>
    </w:p>
    <w:p>
      <w:pPr>
        <w:spacing w:after="0" w:line="42" w:lineRule="exact"/>
        <w:rPr>
          <w:sz w:val="20"/>
          <w:szCs w:val="20"/>
          <w:color w:val="auto"/>
        </w:rPr>
      </w:pPr>
    </w:p>
    <w:p>
      <w:pPr>
        <w:ind w:left="128" w:right="300" w:firstLine="437"/>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“Agreement”), dated as of March 18, 2000, by and between MSCI Inc. (f/k/a Morgan Stanley Capital International Inc.) (“MSCI”) and BlackRock Institutional Trust Company, N.A. (formerly known as Barclays Global Investors, N.A.) (“Licensee”), as previously amended. Capitalized terms used herein but not otherwise defined herein shall have the meanings ascribed in the Agreement.</w:t>
      </w:r>
    </w:p>
    <w:p>
      <w:pPr>
        <w:spacing w:after="0" w:line="12" w:lineRule="exact"/>
        <w:rPr>
          <w:sz w:val="20"/>
          <w:szCs w:val="20"/>
          <w:color w:val="auto"/>
        </w:rPr>
      </w:pPr>
    </w:p>
    <w:p>
      <w:pPr>
        <w:ind w:left="548" w:right="180" w:hanging="431"/>
        <w:spacing w:after="0" w:line="296" w:lineRule="auto"/>
        <w:tabs>
          <w:tab w:leader="none" w:pos="548" w:val="left"/>
        </w:tabs>
        <w:numPr>
          <w:ilvl w:val="0"/>
          <w:numId w:val="10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MSCI Emerging Markets Minimum Volatility Index, MSCI EAFE Minimum Volatility Index, MSCI All Country World Minimum Volatility Index and MSCI USA Minimum Volatility Index (collectively the “Minimum Volatility Indexes”).</w:t>
      </w:r>
    </w:p>
    <w:p>
      <w:pPr>
        <w:spacing w:after="0" w:line="3"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Funds based on the Minimum Volatility Indexes, subject to the following:</w:t>
      </w:r>
    </w:p>
    <w:p>
      <w:pPr>
        <w:spacing w:after="0" w:line="54" w:lineRule="exact"/>
        <w:rPr>
          <w:sz w:val="20"/>
          <w:szCs w:val="20"/>
          <w:color w:val="auto"/>
        </w:rPr>
      </w:pPr>
    </w:p>
    <w:p>
      <w:pPr>
        <w:ind w:left="988" w:hanging="322"/>
        <w:spacing w:after="0"/>
        <w:tabs>
          <w:tab w:leader="none" w:pos="988"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w:t>
      </w:r>
    </w:p>
    <w:p>
      <w:pPr>
        <w:spacing w:after="0" w:line="71" w:lineRule="exact"/>
        <w:rPr>
          <w:rFonts w:ascii="Times New Roman" w:cs="Times New Roman" w:eastAsia="Times New Roman" w:hAnsi="Times New Roman"/>
          <w:sz w:val="11"/>
          <w:szCs w:val="11"/>
          <w:color w:val="auto"/>
        </w:rPr>
      </w:pPr>
    </w:p>
    <w:p>
      <w:pPr>
        <w:ind w:left="988" w:hanging="322"/>
        <w:spacing w:after="0"/>
        <w:tabs>
          <w:tab w:leader="none" w:pos="988"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w:t>
      </w:r>
    </w:p>
    <w:p>
      <w:pPr>
        <w:spacing w:after="0" w:line="71" w:lineRule="exact"/>
        <w:rPr>
          <w:rFonts w:ascii="Times New Roman" w:cs="Times New Roman" w:eastAsia="Times New Roman" w:hAnsi="Times New Roman"/>
          <w:sz w:val="11"/>
          <w:szCs w:val="11"/>
          <w:color w:val="auto"/>
        </w:rPr>
      </w:pPr>
    </w:p>
    <w:p>
      <w:pPr>
        <w:ind w:left="988" w:hanging="322"/>
        <w:spacing w:after="0"/>
        <w:tabs>
          <w:tab w:leader="none" w:pos="988"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the *********** for a Fund increases beyond the *********** shall automatically change to ***********, applied on a fund by fund basis. The *********** is defined as the *********** version of the fund as follows:</w:t>
      </w:r>
    </w:p>
    <w:p>
      <w:pPr>
        <w:spacing w:after="0" w:line="162" w:lineRule="exact"/>
        <w:rPr>
          <w:sz w:val="20"/>
          <w:szCs w:val="20"/>
          <w:color w:val="auto"/>
        </w:rPr>
      </w:pPr>
    </w:p>
    <w:tbl>
      <w:tblPr>
        <w:tblLayout w:type="fixed"/>
        <w:tblInd w:w="2248" w:type="dxa"/>
        <w:tblCellMar>
          <w:top w:w="0" w:type="dxa"/>
          <w:left w:w="0" w:type="dxa"/>
          <w:bottom w:w="0" w:type="dxa"/>
          <w:right w:w="0" w:type="dxa"/>
        </w:tblCellMar>
      </w:tblPr>
      <w:tr>
        <w:trPr>
          <w:trHeight w:val="135"/>
        </w:trPr>
        <w:tc>
          <w:tcPr>
            <w:tcW w:w="3220" w:type="dxa"/>
            <w:vAlign w:val="bottom"/>
          </w:tcPr>
          <w:p>
            <w:pPr>
              <w:jc w:val="center"/>
              <w:ind w:right="2023"/>
              <w:spacing w:after="0"/>
              <w:rPr>
                <w:sz w:val="20"/>
                <w:szCs w:val="20"/>
                <w:color w:val="auto"/>
              </w:rPr>
            </w:pPr>
            <w:r>
              <w:rPr>
                <w:rFonts w:ascii="Times New Roman" w:cs="Times New Roman" w:eastAsia="Times New Roman" w:hAnsi="Times New Roman"/>
                <w:sz w:val="11"/>
                <w:szCs w:val="11"/>
                <w:color w:val="auto"/>
                <w:w w:val="99"/>
              </w:rPr>
              <w:t>Minimum Volatility Fund</w:t>
            </w:r>
          </w:p>
        </w:tc>
        <w:tc>
          <w:tcPr>
            <w:tcW w:w="3960" w:type="dxa"/>
            <w:vAlign w:val="bottom"/>
          </w:tcPr>
          <w:p>
            <w:pPr>
              <w:jc w:val="center"/>
              <w:ind w:left="2003"/>
              <w:spacing w:after="0"/>
              <w:rPr>
                <w:sz w:val="20"/>
                <w:szCs w:val="20"/>
                <w:color w:val="auto"/>
              </w:rPr>
            </w:pPr>
            <w:r>
              <w:rPr>
                <w:rFonts w:ascii="Times New Roman" w:cs="Times New Roman" w:eastAsia="Times New Roman" w:hAnsi="Times New Roman"/>
                <w:sz w:val="11"/>
                <w:szCs w:val="11"/>
                <w:color w:val="auto"/>
              </w:rPr>
              <w:t>Relevant ETF Based on the ***********</w:t>
            </w:r>
          </w:p>
        </w:tc>
      </w:tr>
      <w:tr>
        <w:trPr>
          <w:trHeight w:val="135"/>
        </w:trPr>
        <w:tc>
          <w:tcPr>
            <w:tcW w:w="3220" w:type="dxa"/>
            <w:vAlign w:val="bottom"/>
          </w:tcPr>
          <w:p>
            <w:pPr>
              <w:jc w:val="center"/>
              <w:ind w:right="2003"/>
              <w:spacing w:after="0"/>
              <w:rPr>
                <w:sz w:val="20"/>
                <w:szCs w:val="20"/>
                <w:color w:val="auto"/>
              </w:rPr>
            </w:pPr>
            <w:r>
              <w:rPr>
                <w:rFonts w:ascii="Times New Roman" w:cs="Times New Roman" w:eastAsia="Times New Roman" w:hAnsi="Times New Roman"/>
                <w:sz w:val="11"/>
                <w:szCs w:val="11"/>
                <w:color w:val="auto"/>
              </w:rPr>
              <w:t>***********</w:t>
            </w:r>
          </w:p>
        </w:tc>
        <w:tc>
          <w:tcPr>
            <w:tcW w:w="3960" w:type="dxa"/>
            <w:vAlign w:val="bottom"/>
          </w:tcPr>
          <w:p>
            <w:pPr>
              <w:jc w:val="center"/>
              <w:ind w:left="200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220" w:type="dxa"/>
            <w:vAlign w:val="bottom"/>
          </w:tcPr>
          <w:p>
            <w:pPr>
              <w:jc w:val="center"/>
              <w:ind w:right="2003"/>
              <w:spacing w:after="0"/>
              <w:rPr>
                <w:sz w:val="20"/>
                <w:szCs w:val="20"/>
                <w:color w:val="auto"/>
              </w:rPr>
            </w:pPr>
            <w:r>
              <w:rPr>
                <w:rFonts w:ascii="Times New Roman" w:cs="Times New Roman" w:eastAsia="Times New Roman" w:hAnsi="Times New Roman"/>
                <w:sz w:val="11"/>
                <w:szCs w:val="11"/>
                <w:color w:val="auto"/>
              </w:rPr>
              <w:t>***********</w:t>
            </w:r>
          </w:p>
        </w:tc>
        <w:tc>
          <w:tcPr>
            <w:tcW w:w="3960" w:type="dxa"/>
            <w:vAlign w:val="bottom"/>
          </w:tcPr>
          <w:p>
            <w:pPr>
              <w:jc w:val="center"/>
              <w:ind w:left="200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220" w:type="dxa"/>
            <w:vAlign w:val="bottom"/>
          </w:tcPr>
          <w:p>
            <w:pPr>
              <w:jc w:val="center"/>
              <w:ind w:right="2003"/>
              <w:spacing w:after="0"/>
              <w:rPr>
                <w:sz w:val="20"/>
                <w:szCs w:val="20"/>
                <w:color w:val="auto"/>
              </w:rPr>
            </w:pPr>
            <w:r>
              <w:rPr>
                <w:rFonts w:ascii="Times New Roman" w:cs="Times New Roman" w:eastAsia="Times New Roman" w:hAnsi="Times New Roman"/>
                <w:sz w:val="11"/>
                <w:szCs w:val="11"/>
                <w:color w:val="auto"/>
              </w:rPr>
              <w:t>***********</w:t>
            </w:r>
          </w:p>
        </w:tc>
        <w:tc>
          <w:tcPr>
            <w:tcW w:w="3960" w:type="dxa"/>
            <w:vAlign w:val="bottom"/>
          </w:tcPr>
          <w:p>
            <w:pPr>
              <w:jc w:val="center"/>
              <w:ind w:left="2003"/>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220" w:type="dxa"/>
            <w:vAlign w:val="bottom"/>
          </w:tcPr>
          <w:p>
            <w:pPr>
              <w:jc w:val="center"/>
              <w:ind w:right="2003"/>
              <w:spacing w:after="0"/>
              <w:rPr>
                <w:sz w:val="20"/>
                <w:szCs w:val="20"/>
                <w:color w:val="auto"/>
              </w:rPr>
            </w:pPr>
            <w:r>
              <w:rPr>
                <w:rFonts w:ascii="Times New Roman" w:cs="Times New Roman" w:eastAsia="Times New Roman" w:hAnsi="Times New Roman"/>
                <w:sz w:val="11"/>
                <w:szCs w:val="11"/>
                <w:color w:val="auto"/>
              </w:rPr>
              <w:t>***********</w:t>
            </w:r>
          </w:p>
        </w:tc>
        <w:tc>
          <w:tcPr>
            <w:tcW w:w="3960" w:type="dxa"/>
            <w:vAlign w:val="bottom"/>
          </w:tcPr>
          <w:p>
            <w:pPr>
              <w:jc w:val="center"/>
              <w:ind w:left="2003"/>
              <w:spacing w:after="0"/>
              <w:rPr>
                <w:sz w:val="20"/>
                <w:szCs w:val="20"/>
                <w:color w:val="auto"/>
              </w:rPr>
            </w:pPr>
            <w:r>
              <w:rPr>
                <w:rFonts w:ascii="Times New Roman" w:cs="Times New Roman" w:eastAsia="Times New Roman" w:hAnsi="Times New Roman"/>
                <w:sz w:val="11"/>
                <w:szCs w:val="11"/>
                <w:color w:val="auto"/>
              </w:rPr>
              <w:t>***********</w:t>
            </w:r>
          </w:p>
        </w:tc>
      </w:tr>
    </w:tbl>
    <w:p>
      <w:pPr>
        <w:spacing w:after="0" w:line="122"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 shall mean the ***********, including without limitation the *********** (or the equivalent) and ***********. A Fund’s *********** shall be the Fund’s *********** as published by a Fund for the relevant period.</w:t>
      </w:r>
    </w:p>
    <w:p>
      <w:pPr>
        <w:spacing w:after="0" w:line="21"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Notwithstanding anything to the contrary contained herein, ***********, the licensee fee for such Fund shall *********** during the relevant period.</w:t>
      </w:r>
    </w:p>
    <w:p>
      <w:pPr>
        <w:spacing w:after="0" w:line="299" w:lineRule="exact"/>
        <w:rPr>
          <w:sz w:val="20"/>
          <w:szCs w:val="20"/>
          <w:color w:val="auto"/>
        </w:rPr>
      </w:pPr>
    </w:p>
    <w:p>
      <w:pPr>
        <w:jc w:val="center"/>
        <w:ind w:right="-247"/>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189470"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8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7" w:right="299" w:bottom="1440" w:gutter="0" w:footer="0" w:header="0"/>
        </w:sectPr>
      </w:pPr>
    </w:p>
    <w:bookmarkStart w:id="145" w:name="page146"/>
    <w:bookmarkEnd w:id="145"/>
    <w:p>
      <w:pPr>
        <w:ind w:left="540" w:right="60" w:hanging="431"/>
        <w:spacing w:after="0" w:line="276" w:lineRule="auto"/>
        <w:tabs>
          <w:tab w:leader="none" w:pos="540" w:val="left"/>
        </w:tabs>
        <w:numPr>
          <w:ilvl w:val="0"/>
          <w:numId w:val="1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rotating to the subject matter hereof. To the extent that any terms of this Amendment conflict with any terms of the Agreement, the terms of this Amendment will control. No right or license of any kind is granted to Licensee except as expressly provided in the Agreement and this Amendment.</w:t>
      </w:r>
    </w:p>
    <w:p>
      <w:pPr>
        <w:spacing w:after="0" w:line="40" w:lineRule="exact"/>
        <w:rPr>
          <w:rFonts w:ascii="Times New Roman" w:cs="Times New Roman" w:eastAsia="Times New Roman" w:hAnsi="Times New Roman"/>
          <w:sz w:val="11"/>
          <w:szCs w:val="11"/>
          <w:color w:val="auto"/>
        </w:rPr>
      </w:pPr>
    </w:p>
    <w:p>
      <w:pPr>
        <w:ind w:left="540" w:hanging="431"/>
        <w:spacing w:after="0"/>
        <w:tabs>
          <w:tab w:leader="none" w:pos="540" w:val="left"/>
        </w:tabs>
        <w:numPr>
          <w:ilvl w:val="0"/>
          <w:numId w:val="1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98" w:lineRule="exact"/>
        <w:rPr>
          <w:rFonts w:ascii="Times New Roman" w:cs="Times New Roman" w:eastAsia="Times New Roman" w:hAnsi="Times New Roman"/>
          <w:sz w:val="11"/>
          <w:szCs w:val="11"/>
          <w:color w:val="auto"/>
        </w:rPr>
      </w:pPr>
    </w:p>
    <w:p>
      <w:pPr>
        <w:ind w:left="540" w:hanging="431"/>
        <w:spacing w:after="0" w:line="296" w:lineRule="auto"/>
        <w:tabs>
          <w:tab w:leader="none" w:pos="540" w:val="left"/>
        </w:tabs>
        <w:numPr>
          <w:ilvl w:val="0"/>
          <w:numId w:val="1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By signing this Amendment, the parties acknowledge and agree that the Amendment between the parties signed by Licensee on October 27, 2009 (internal MSCI reference: AMD_00308) is hereby terminated and replaced in its entirety by this Amendment.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3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10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MSCI INC.</w:t>
            </w:r>
          </w:p>
        </w:tc>
      </w:tr>
      <w:tr>
        <w:trPr>
          <w:trHeight w:val="123"/>
        </w:trPr>
        <w:tc>
          <w:tcPr>
            <w:tcW w:w="7340" w:type="dxa"/>
            <w:vAlign w:val="bottom"/>
            <w:gridSpan w:val="4"/>
          </w:tcPr>
          <w:p>
            <w:pPr>
              <w:spacing w:after="0" w:line="123" w:lineRule="exact"/>
              <w:rPr>
                <w:sz w:val="20"/>
                <w:szCs w:val="20"/>
                <w:color w:val="auto"/>
              </w:rPr>
            </w:pPr>
            <w:r>
              <w:rPr>
                <w:rFonts w:ascii="Times New Roman" w:cs="Times New Roman" w:eastAsia="Times New Roman" w:hAnsi="Times New Roman"/>
                <w:sz w:val="11"/>
                <w:szCs w:val="11"/>
                <w:color w:val="auto"/>
              </w:rPr>
              <w:t>By/s/ Jenni A. Lee</w:t>
            </w:r>
          </w:p>
        </w:tc>
        <w:tc>
          <w:tcPr>
            <w:tcW w:w="1020" w:type="dxa"/>
            <w:vAlign w:val="bottom"/>
            <w:gridSpan w:val="3"/>
          </w:tcPr>
          <w:p>
            <w:pPr>
              <w:spacing w:after="0" w:line="123" w:lineRule="exact"/>
              <w:rPr>
                <w:sz w:val="20"/>
                <w:szCs w:val="20"/>
                <w:color w:val="auto"/>
              </w:rPr>
            </w:pPr>
            <w:r>
              <w:rPr>
                <w:rFonts w:ascii="Times New Roman" w:cs="Times New Roman" w:eastAsia="Times New Roman" w:hAnsi="Times New Roman"/>
                <w:sz w:val="11"/>
                <w:szCs w:val="11"/>
                <w:color w:val="auto"/>
              </w:rPr>
              <w:t>By/s/ Paul Friedman</w:t>
            </w: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7"/>
        </w:trPr>
        <w:tc>
          <w:tcPr>
            <w:tcW w:w="73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Name Jenni A. Lee</w:t>
            </w:r>
          </w:p>
        </w:tc>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99"/>
              </w:rPr>
              <w:t>Paul Friedman</w:t>
            </w:r>
          </w:p>
        </w:tc>
      </w:tr>
      <w:tr>
        <w:trPr>
          <w:trHeight w:val="135"/>
        </w:trPr>
        <w:tc>
          <w:tcPr>
            <w:tcW w:w="240" w:type="dxa"/>
            <w:vAlign w:val="bottom"/>
          </w:tcPr>
          <w:p>
            <w:pPr>
              <w:spacing w:after="0"/>
              <w:rPr>
                <w:sz w:val="11"/>
                <w:szCs w:val="11"/>
                <w:color w:val="auto"/>
              </w:rPr>
            </w:pPr>
          </w:p>
        </w:tc>
        <w:tc>
          <w:tcPr>
            <w:tcW w:w="71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(printed)</w:t>
            </w:r>
          </w:p>
        </w:tc>
        <w:tc>
          <w:tcPr>
            <w:tcW w:w="30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(printed)</w:t>
            </w:r>
          </w:p>
        </w:tc>
      </w:tr>
      <w:tr>
        <w:trPr>
          <w:trHeight w:val="135"/>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710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Director</w:t>
            </w:r>
          </w:p>
        </w:tc>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ED</w:t>
            </w:r>
          </w:p>
        </w:tc>
      </w:tr>
      <w:tr>
        <w:trPr>
          <w:trHeight w:val="135"/>
        </w:trPr>
        <w:tc>
          <w:tcPr>
            <w:tcW w:w="73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3"/>
        </w:trPr>
        <w:tc>
          <w:tcPr>
            <w:tcW w:w="7340" w:type="dxa"/>
            <w:vAlign w:val="bottom"/>
            <w:gridSpan w:val="4"/>
          </w:tcPr>
          <w:p>
            <w:pPr>
              <w:spacing w:after="0" w:line="123" w:lineRule="exact"/>
              <w:rPr>
                <w:sz w:val="20"/>
                <w:szCs w:val="20"/>
                <w:color w:val="auto"/>
              </w:rPr>
            </w:pPr>
            <w:r>
              <w:rPr>
                <w:rFonts w:ascii="Times New Roman" w:cs="Times New Roman" w:eastAsia="Times New Roman" w:hAnsi="Times New Roman"/>
                <w:sz w:val="11"/>
                <w:szCs w:val="11"/>
                <w:color w:val="auto"/>
              </w:rPr>
              <w:t>By/s/ Timothy M. Meyer</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
        </w:trPr>
        <w:tc>
          <w:tcPr>
            <w:tcW w:w="1100" w:type="dxa"/>
            <w:vAlign w:val="bottom"/>
            <w:gridSpan w:val="3"/>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7"/>
        </w:trPr>
        <w:tc>
          <w:tcPr>
            <w:tcW w:w="73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Name Timothy M. Meyer</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40" w:type="dxa"/>
            <w:vAlign w:val="bottom"/>
          </w:tcPr>
          <w:p>
            <w:pPr>
              <w:spacing w:after="0"/>
              <w:rPr>
                <w:sz w:val="11"/>
                <w:szCs w:val="11"/>
                <w:color w:val="auto"/>
              </w:rPr>
            </w:pPr>
          </w:p>
        </w:tc>
        <w:tc>
          <w:tcPr>
            <w:tcW w:w="710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(printed)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M. Director</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0"/>
          <w:szCs w:val="10"/>
          <w:color w:val="auto"/>
        </w:rPr>
        <w:t>2/2</w:t>
      </w:r>
    </w:p>
    <w:p>
      <w:pPr>
        <w:sectPr>
          <w:pgSz w:w="11900" w:h="16838" w:orient="portrait"/>
          <w:cols w:equalWidth="0" w:num="1">
            <w:col w:w="11240"/>
          </w:cols>
          <w:pgMar w:left="300" w:top="494" w:right="359" w:bottom="1440" w:gutter="0" w:footer="0" w:header="0"/>
        </w:sectPr>
      </w:pPr>
    </w:p>
    <w:bookmarkStart w:id="146" w:name="page147"/>
    <w:bookmarkEnd w:id="146"/>
    <w:p>
      <w:pPr>
        <w:ind w:left="10668"/>
        <w:spacing w:after="0"/>
        <w:rPr>
          <w:sz w:val="20"/>
          <w:szCs w:val="20"/>
          <w:color w:val="auto"/>
        </w:rPr>
      </w:pPr>
      <w:r>
        <w:rPr>
          <w:rFonts w:ascii="Times New Roman" w:cs="Times New Roman" w:eastAsia="Times New Roman" w:hAnsi="Times New Roman"/>
          <w:sz w:val="11"/>
          <w:szCs w:val="11"/>
          <w:b w:val="1"/>
          <w:bCs w:val="1"/>
          <w:color w:val="auto"/>
        </w:rPr>
        <w:t>Exhibit 10.46</w:t>
      </w:r>
    </w:p>
    <w:p>
      <w:pPr>
        <w:spacing w:after="0" w:line="145" w:lineRule="exact"/>
        <w:rPr>
          <w:sz w:val="20"/>
          <w:szCs w:val="20"/>
          <w:color w:val="auto"/>
        </w:rPr>
      </w:pPr>
    </w:p>
    <w:p>
      <w:pPr>
        <w:ind w:left="8" w:hanging="8"/>
        <w:spacing w:after="0" w:line="286" w:lineRule="auto"/>
        <w:tabs>
          <w:tab w:leader="none" w:pos="220" w:val="left"/>
        </w:tabs>
        <w:numPr>
          <w:ilvl w:val="0"/>
          <w:numId w:val="1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WFNIA/CA</w:t>
      </w:r>
    </w:p>
    <w:p>
      <w:pPr>
        <w:spacing w:after="0" w:line="23" w:lineRule="exact"/>
        <w:rPr>
          <w:sz w:val="20"/>
          <w:szCs w:val="20"/>
          <w:color w:val="auto"/>
        </w:rPr>
      </w:pPr>
    </w:p>
    <w:p>
      <w:pPr>
        <w:ind w:left="10688"/>
        <w:spacing w:after="0"/>
        <w:rPr>
          <w:sz w:val="20"/>
          <w:szCs w:val="20"/>
          <w:color w:val="auto"/>
        </w:rPr>
      </w:pPr>
      <w:r>
        <w:rPr>
          <w:rFonts w:ascii="Times New Roman" w:cs="Times New Roman" w:eastAsia="Times New Roman" w:hAnsi="Times New Roman"/>
          <w:sz w:val="11"/>
          <w:szCs w:val="11"/>
          <w:b w:val="1"/>
          <w:bCs w:val="1"/>
          <w:color w:val="auto"/>
        </w:rPr>
        <w:t>AMD_01420</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December 15, 2009</w:t>
      </w:r>
    </w:p>
    <w:p>
      <w:pPr>
        <w:spacing w:after="0" w:line="126" w:lineRule="exact"/>
        <w:rPr>
          <w:sz w:val="20"/>
          <w:szCs w:val="20"/>
          <w:color w:val="auto"/>
        </w:rPr>
      </w:pPr>
    </w:p>
    <w:p>
      <w:pPr>
        <w:ind w:left="8" w:right="120" w:firstLine="730"/>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and Blackrock Institutional Trust Company, N.A, (formerly known as Barclays Global Investors, N.A.) (“Licensee”), as previously amended. Capitalized terms used herein but not otherwise defined herein shall have the meanings ascribed to them in the Agreement.</w:t>
      </w:r>
    </w:p>
    <w:p>
      <w:pPr>
        <w:spacing w:after="0" w:line="30" w:lineRule="exact"/>
        <w:rPr>
          <w:sz w:val="20"/>
          <w:szCs w:val="20"/>
          <w:color w:val="auto"/>
        </w:rPr>
      </w:pPr>
    </w:p>
    <w:p>
      <w:pPr>
        <w:ind w:left="588" w:hanging="426"/>
        <w:spacing w:after="0"/>
        <w:tabs>
          <w:tab w:leader="none" w:pos="588" w:val="left"/>
        </w:tabs>
        <w:numPr>
          <w:ilvl w:val="0"/>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additional Indices:</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Brazil Small Cap Index</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China Small Cap Index</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Indonesia Investable Market Index</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New Zealand Investable Market Index</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Philippines Investable Market Index</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Poland Investable Market Index</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Russia 25/50 Index</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Ireland Investable Market Index 25/50 Index</w:t>
      </w:r>
    </w:p>
    <w:p>
      <w:pPr>
        <w:spacing w:after="0" w:line="98" w:lineRule="exact"/>
        <w:rPr>
          <w:rFonts w:ascii="Times New Roman" w:cs="Times New Roman" w:eastAsia="Times New Roman" w:hAnsi="Times New Roman"/>
          <w:sz w:val="11"/>
          <w:szCs w:val="11"/>
          <w:color w:val="auto"/>
        </w:rPr>
      </w:pPr>
    </w:p>
    <w:p>
      <w:pPr>
        <w:ind w:left="588" w:hanging="426"/>
        <w:spacing w:after="0"/>
        <w:tabs>
          <w:tab w:leader="none" w:pos="588" w:val="left"/>
        </w:tabs>
        <w:numPr>
          <w:ilvl w:val="0"/>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Notwithstanding section 9(a) of the Agreement, MSCI Inc acknowledges and agrees that the Funds based on the foregoing MSCI 25/50 Indices may be named as follows by Licensee:</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Russia Capped Investable Market Index Fund - tracks the *****;</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and</w:t>
      </w:r>
    </w:p>
    <w:p>
      <w:pPr>
        <w:spacing w:after="0" w:line="98" w:lineRule="exact"/>
        <w:rPr>
          <w:rFonts w:ascii="Times New Roman" w:cs="Times New Roman" w:eastAsia="Times New Roman" w:hAnsi="Times New Roman"/>
          <w:sz w:val="11"/>
          <w:szCs w:val="11"/>
          <w:color w:val="auto"/>
        </w:rPr>
      </w:pPr>
    </w:p>
    <w:p>
      <w:pPr>
        <w:ind w:left="728" w:hanging="368"/>
        <w:spacing w:after="0"/>
        <w:tabs>
          <w:tab w:leader="none" w:pos="728" w:val="left"/>
        </w:tabs>
        <w:numPr>
          <w:ilvl w:val="1"/>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Ireland Capped Investable Market Index Fund - tracks the *****.</w:t>
      </w:r>
    </w:p>
    <w:p>
      <w:pPr>
        <w:spacing w:after="0" w:line="98" w:lineRule="exact"/>
        <w:rPr>
          <w:rFonts w:ascii="Times New Roman" w:cs="Times New Roman" w:eastAsia="Times New Roman" w:hAnsi="Times New Roman"/>
          <w:sz w:val="11"/>
          <w:szCs w:val="11"/>
          <w:color w:val="auto"/>
        </w:rPr>
      </w:pPr>
    </w:p>
    <w:p>
      <w:pPr>
        <w:ind w:left="588" w:right="320" w:hanging="426"/>
        <w:spacing w:after="0" w:line="276" w:lineRule="auto"/>
        <w:tabs>
          <w:tab w:leader="none" w:pos="588" w:val="left"/>
        </w:tabs>
        <w:numPr>
          <w:ilvl w:val="0"/>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 oral or written, relating to the subject matter hereof. To the extent that any terms of this Amendment conflict with any terms of the Agreements, the terms of this Amendment will control. No right or license of any kind is granted to Licensee except as expressly provided in the Agreement and this Amendment.</w:t>
      </w:r>
    </w:p>
    <w:p>
      <w:pPr>
        <w:spacing w:after="0" w:line="40" w:lineRule="exact"/>
        <w:rPr>
          <w:rFonts w:ascii="Times New Roman" w:cs="Times New Roman" w:eastAsia="Times New Roman" w:hAnsi="Times New Roman"/>
          <w:sz w:val="11"/>
          <w:szCs w:val="11"/>
          <w:color w:val="auto"/>
        </w:rPr>
      </w:pPr>
    </w:p>
    <w:p>
      <w:pPr>
        <w:ind w:left="588" w:hanging="426"/>
        <w:spacing w:after="0"/>
        <w:tabs>
          <w:tab w:leader="none" w:pos="588" w:val="left"/>
        </w:tabs>
        <w:numPr>
          <w:ilvl w:val="0"/>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5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BlackRock Institutional Trust Company, N.A.</w:t>
            </w:r>
          </w:p>
        </w:tc>
        <w:tc>
          <w:tcPr>
            <w:tcW w:w="1780" w:type="dxa"/>
            <w:vAlign w:val="bottom"/>
          </w:tcPr>
          <w:p>
            <w:pPr>
              <w:ind w:left="920"/>
              <w:spacing w:after="0"/>
              <w:rPr>
                <w:sz w:val="20"/>
                <w:szCs w:val="20"/>
                <w:color w:val="auto"/>
              </w:rPr>
            </w:pPr>
            <w:r>
              <w:rPr>
                <w:rFonts w:ascii="Times New Roman" w:cs="Times New Roman" w:eastAsia="Times New Roman" w:hAnsi="Times New Roman"/>
                <w:sz w:val="11"/>
                <w:szCs w:val="11"/>
                <w:color w:val="auto"/>
              </w:rPr>
              <w:t>MSCI INC.</w:t>
            </w:r>
          </w:p>
        </w:tc>
        <w:tc>
          <w:tcPr>
            <w:tcW w:w="3040" w:type="dxa"/>
            <w:vAlign w:val="bottom"/>
          </w:tcPr>
          <w:p>
            <w:pPr>
              <w:spacing w:after="0"/>
              <w:rPr>
                <w:sz w:val="12"/>
                <w:szCs w:val="12"/>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Greg Friedman</w:t>
            </w:r>
          </w:p>
        </w:tc>
        <w:tc>
          <w:tcPr>
            <w:tcW w:w="1780" w:type="dxa"/>
            <w:vAlign w:val="bottom"/>
          </w:tcPr>
          <w:p>
            <w:pPr>
              <w:ind w:left="920"/>
              <w:spacing w:after="0"/>
              <w:rPr>
                <w:sz w:val="20"/>
                <w:szCs w:val="20"/>
                <w:color w:val="auto"/>
              </w:rPr>
            </w:pPr>
            <w:r>
              <w:rPr>
                <w:rFonts w:ascii="Times New Roman" w:cs="Times New Roman" w:eastAsia="Times New Roman" w:hAnsi="Times New Roman"/>
                <w:sz w:val="11"/>
                <w:szCs w:val="11"/>
                <w:color w:val="auto"/>
              </w:rPr>
              <w:t>By</w:t>
            </w: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Paul Friedman</w:t>
            </w:r>
          </w:p>
        </w:tc>
      </w:tr>
      <w:tr>
        <w:trPr>
          <w:trHeight w:val="111"/>
        </w:trPr>
        <w:tc>
          <w:tcPr>
            <w:tcW w:w="88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432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Greg Friedman</w:t>
            </w:r>
          </w:p>
        </w:tc>
        <w:tc>
          <w:tcPr>
            <w:tcW w:w="1780" w:type="dxa"/>
            <w:vAlign w:val="bottom"/>
          </w:tcPr>
          <w:p>
            <w:pPr>
              <w:ind w:left="920"/>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304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Paul Friedman</w:t>
            </w:r>
          </w:p>
        </w:tc>
      </w:tr>
      <w:tr>
        <w:trPr>
          <w:trHeight w:val="135"/>
        </w:trPr>
        <w:tc>
          <w:tcPr>
            <w:tcW w:w="880" w:type="dxa"/>
            <w:vAlign w:val="bottom"/>
          </w:tcPr>
          <w:p>
            <w:pPr>
              <w:spacing w:after="0"/>
              <w:rPr>
                <w:sz w:val="11"/>
                <w:szCs w:val="1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1780" w:type="dxa"/>
            <w:vAlign w:val="bottom"/>
          </w:tcPr>
          <w:p>
            <w:pPr>
              <w:spacing w:after="0"/>
              <w:rPr>
                <w:sz w:val="11"/>
                <w:szCs w:val="11"/>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r>
      <w:tr>
        <w:trPr>
          <w:trHeight w:val="148"/>
        </w:trPr>
        <w:tc>
          <w:tcPr>
            <w:tcW w:w="8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Managing Director</w:t>
            </w:r>
          </w:p>
        </w:tc>
        <w:tc>
          <w:tcPr>
            <w:tcW w:w="1780" w:type="dxa"/>
            <w:vAlign w:val="bottom"/>
          </w:tcPr>
          <w:p>
            <w:pPr>
              <w:ind w:left="920"/>
              <w:spacing w:after="0"/>
              <w:rPr>
                <w:sz w:val="20"/>
                <w:szCs w:val="20"/>
                <w:color w:val="auto"/>
              </w:rPr>
            </w:pPr>
            <w:r>
              <w:rPr>
                <w:rFonts w:ascii="Times New Roman" w:cs="Times New Roman" w:eastAsia="Times New Roman" w:hAnsi="Times New Roman"/>
                <w:sz w:val="11"/>
                <w:szCs w:val="11"/>
                <w:color w:val="auto"/>
              </w:rPr>
              <w:t>Title</w:t>
            </w:r>
          </w:p>
        </w:tc>
        <w:tc>
          <w:tcPr>
            <w:tcW w:w="3040" w:type="dxa"/>
            <w:vAlign w:val="bottom"/>
          </w:tcPr>
          <w:p>
            <w:pPr>
              <w:spacing w:after="0"/>
              <w:rPr>
                <w:sz w:val="20"/>
                <w:szCs w:val="20"/>
                <w:color w:val="auto"/>
              </w:rPr>
            </w:pPr>
            <w:r>
              <w:rPr>
                <w:rFonts w:ascii="Times New Roman" w:cs="Times New Roman" w:eastAsia="Times New Roman" w:hAnsi="Times New Roman"/>
                <w:sz w:val="11"/>
                <w:szCs w:val="11"/>
                <w:color w:val="auto"/>
              </w:rPr>
              <w:t>Vice President</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BlackRock Institutional Trust Company, N.A.</w:t>
            </w:r>
          </w:p>
        </w:tc>
        <w:tc>
          <w:tcPr>
            <w:tcW w:w="178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Mark Roberts</w:t>
            </w:r>
          </w:p>
        </w:tc>
        <w:tc>
          <w:tcPr>
            <w:tcW w:w="17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20"/>
        </w:trPr>
        <w:tc>
          <w:tcPr>
            <w:tcW w:w="8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Name</w:t>
            </w:r>
          </w:p>
        </w:tc>
        <w:tc>
          <w:tcPr>
            <w:tcW w:w="432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Mark Roberts</w:t>
            </w:r>
          </w:p>
        </w:tc>
        <w:tc>
          <w:tcPr>
            <w:tcW w:w="1780" w:type="dxa"/>
            <w:vAlign w:val="bottom"/>
          </w:tcPr>
          <w:p>
            <w:pPr>
              <w:spacing w:after="0"/>
              <w:rPr>
                <w:sz w:val="10"/>
                <w:szCs w:val="10"/>
                <w:color w:val="auto"/>
              </w:rPr>
            </w:pPr>
          </w:p>
        </w:tc>
        <w:tc>
          <w:tcPr>
            <w:tcW w:w="3040" w:type="dxa"/>
            <w:vAlign w:val="bottom"/>
          </w:tcPr>
          <w:p>
            <w:pPr>
              <w:spacing w:after="0"/>
              <w:rPr>
                <w:sz w:val="10"/>
                <w:szCs w:val="10"/>
                <w:color w:val="auto"/>
              </w:rPr>
            </w:pPr>
          </w:p>
        </w:tc>
      </w:tr>
      <w:tr>
        <w:trPr>
          <w:trHeight w:val="135"/>
        </w:trPr>
        <w:tc>
          <w:tcPr>
            <w:tcW w:w="880" w:type="dxa"/>
            <w:vAlign w:val="bottom"/>
          </w:tcPr>
          <w:p>
            <w:pPr>
              <w:spacing w:after="0"/>
              <w:rPr>
                <w:sz w:val="11"/>
                <w:szCs w:val="1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1780" w:type="dxa"/>
            <w:vAlign w:val="bottom"/>
          </w:tcPr>
          <w:p>
            <w:pPr>
              <w:spacing w:after="0"/>
              <w:rPr>
                <w:sz w:val="11"/>
                <w:szCs w:val="11"/>
                <w:color w:val="auto"/>
              </w:rPr>
            </w:pPr>
          </w:p>
        </w:tc>
        <w:tc>
          <w:tcPr>
            <w:tcW w:w="3040" w:type="dxa"/>
            <w:vAlign w:val="bottom"/>
          </w:tcPr>
          <w:p>
            <w:pPr>
              <w:spacing w:after="0"/>
              <w:rPr>
                <w:sz w:val="11"/>
                <w:szCs w:val="11"/>
                <w:color w:val="auto"/>
              </w:rPr>
            </w:pPr>
          </w:p>
        </w:tc>
      </w:tr>
      <w:tr>
        <w:trPr>
          <w:trHeight w:val="148"/>
        </w:trPr>
        <w:tc>
          <w:tcPr>
            <w:tcW w:w="8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Director</w:t>
            </w:r>
          </w:p>
        </w:tc>
        <w:tc>
          <w:tcPr>
            <w:tcW w:w="1780" w:type="dxa"/>
            <w:vAlign w:val="bottom"/>
          </w:tcPr>
          <w:p>
            <w:pPr>
              <w:spacing w:after="0"/>
              <w:rPr>
                <w:sz w:val="12"/>
                <w:szCs w:val="12"/>
                <w:color w:val="auto"/>
              </w:rPr>
            </w:pPr>
          </w:p>
        </w:tc>
        <w:tc>
          <w:tcPr>
            <w:tcW w:w="3040" w:type="dxa"/>
            <w:vAlign w:val="bottom"/>
          </w:tcPr>
          <w:p>
            <w:pPr>
              <w:spacing w:after="0"/>
              <w:rPr>
                <w:sz w:val="12"/>
                <w:szCs w:val="12"/>
                <w:color w:val="auto"/>
              </w:rPr>
            </w:pPr>
          </w:p>
        </w:tc>
      </w:tr>
    </w:tbl>
    <w:p>
      <w:pPr>
        <w:sectPr>
          <w:pgSz w:w="11900" w:h="16838" w:orient="portrait"/>
          <w:cols w:equalWidth="0" w:num="1">
            <w:col w:w="11308"/>
          </w:cols>
          <w:pgMar w:left="292" w:top="267" w:right="29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2"/>
          <w:szCs w:val="12"/>
          <w:b w:val="1"/>
          <w:bCs w:val="1"/>
          <w:color w:val="auto"/>
        </w:rPr>
        <w:t>Exhibit 10.49</w:t>
      </w:r>
    </w:p>
    <w:p>
      <w:pPr>
        <w:spacing w:after="0" w:line="114" w:lineRule="exact"/>
        <w:rPr>
          <w:sz w:val="20"/>
          <w:szCs w:val="20"/>
          <w:color w:val="auto"/>
        </w:rPr>
      </w:pPr>
    </w:p>
    <w:p>
      <w:pPr>
        <w:ind w:left="8" w:hanging="8"/>
        <w:spacing w:after="0" w:line="286" w:lineRule="auto"/>
        <w:tabs>
          <w:tab w:leader="none" w:pos="220" w:val="left"/>
        </w:tabs>
        <w:numPr>
          <w:ilvl w:val="0"/>
          <w:numId w:val="1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67" w:lineRule="exact"/>
        <w:rPr>
          <w:sz w:val="20"/>
          <w:szCs w:val="20"/>
          <w:color w:val="auto"/>
        </w:rPr>
      </w:pPr>
    </w:p>
    <w:p>
      <w:pPr>
        <w:ind w:left="10088"/>
        <w:spacing w:after="0"/>
        <w:rPr>
          <w:sz w:val="20"/>
          <w:szCs w:val="20"/>
          <w:color w:val="auto"/>
        </w:rPr>
      </w:pPr>
      <w:r>
        <w:rPr>
          <w:rFonts w:ascii="Times New Roman" w:cs="Times New Roman" w:eastAsia="Times New Roman" w:hAnsi="Times New Roman"/>
          <w:sz w:val="11"/>
          <w:szCs w:val="11"/>
          <w:b w:val="1"/>
          <w:bCs w:val="1"/>
          <w:color w:val="auto"/>
        </w:rPr>
        <w:t>WFNIA/CA SCA-11043</w:t>
      </w:r>
    </w:p>
    <w:p>
      <w:pPr>
        <w:spacing w:after="0" w:line="126" w:lineRule="exact"/>
        <w:rPr>
          <w:sz w:val="20"/>
          <w:szCs w:val="20"/>
          <w:color w:val="auto"/>
        </w:rPr>
      </w:pPr>
    </w:p>
    <w:p>
      <w:pPr>
        <w:ind w:left="4988"/>
        <w:spacing w:after="0"/>
        <w:rPr>
          <w:sz w:val="20"/>
          <w:szCs w:val="20"/>
          <w:color w:val="auto"/>
        </w:rPr>
      </w:pPr>
      <w:r>
        <w:rPr>
          <w:rFonts w:ascii="Times New Roman" w:cs="Times New Roman" w:eastAsia="Times New Roman" w:hAnsi="Times New Roman"/>
          <w:sz w:val="12"/>
          <w:szCs w:val="12"/>
          <w:b w:val="1"/>
          <w:bCs w:val="1"/>
          <w:color w:val="auto"/>
        </w:rPr>
        <w:t>Schedule No. 11043 to the</w:t>
      </w:r>
    </w:p>
    <w:p>
      <w:pPr>
        <w:spacing w:after="0" w:line="114" w:lineRule="exact"/>
        <w:rPr>
          <w:sz w:val="20"/>
          <w:szCs w:val="20"/>
          <w:color w:val="auto"/>
        </w:rPr>
      </w:pPr>
    </w:p>
    <w:p>
      <w:pPr>
        <w:ind w:left="4028"/>
        <w:spacing w:after="0"/>
        <w:rPr>
          <w:sz w:val="20"/>
          <w:szCs w:val="20"/>
          <w:color w:val="auto"/>
        </w:rPr>
      </w:pPr>
      <w:r>
        <w:rPr>
          <w:rFonts w:ascii="Times New Roman" w:cs="Times New Roman" w:eastAsia="Times New Roman" w:hAnsi="Times New Roman"/>
          <w:sz w:val="12"/>
          <w:szCs w:val="12"/>
          <w:b w:val="1"/>
          <w:bCs w:val="1"/>
          <w:color w:val="auto"/>
        </w:rPr>
        <w:t>Master Index License Agreement for Index Based Funds between</w:t>
      </w:r>
    </w:p>
    <w:p>
      <w:pPr>
        <w:spacing w:after="0" w:line="21" w:lineRule="exact"/>
        <w:rPr>
          <w:sz w:val="20"/>
          <w:szCs w:val="20"/>
          <w:color w:val="auto"/>
        </w:rPr>
      </w:pPr>
    </w:p>
    <w:p>
      <w:pPr>
        <w:ind w:left="5008"/>
        <w:spacing w:after="0"/>
        <w:rPr>
          <w:sz w:val="20"/>
          <w:szCs w:val="20"/>
          <w:color w:val="auto"/>
        </w:rPr>
      </w:pPr>
      <w:r>
        <w:rPr>
          <w:rFonts w:ascii="Times New Roman" w:cs="Times New Roman" w:eastAsia="Times New Roman" w:hAnsi="Times New Roman"/>
          <w:sz w:val="12"/>
          <w:szCs w:val="12"/>
          <w:b w:val="1"/>
          <w:bCs w:val="1"/>
          <w:color w:val="auto"/>
        </w:rPr>
        <w:t>MSCI Inc. (“MSCI”) and</w:t>
      </w:r>
    </w:p>
    <w:p>
      <w:pPr>
        <w:spacing w:after="0" w:line="99" w:lineRule="exact"/>
        <w:rPr>
          <w:sz w:val="20"/>
          <w:szCs w:val="20"/>
          <w:color w:val="auto"/>
        </w:rPr>
      </w:pPr>
    </w:p>
    <w:p>
      <w:pPr>
        <w:ind w:left="3428"/>
        <w:spacing w:after="0"/>
        <w:rPr>
          <w:sz w:val="20"/>
          <w:szCs w:val="20"/>
          <w:color w:val="auto"/>
        </w:rPr>
      </w:pPr>
      <w:r>
        <w:rPr>
          <w:rFonts w:ascii="Times New Roman" w:cs="Times New Roman" w:eastAsia="Times New Roman" w:hAnsi="Times New Roman"/>
          <w:sz w:val="12"/>
          <w:szCs w:val="12"/>
          <w:b w:val="1"/>
          <w:bCs w:val="1"/>
          <w:color w:val="auto"/>
        </w:rPr>
        <w:t>BlackRock Institutional Trust Company, N.A. (formerly, Barclays Global Investors, N.A.)</w:t>
      </w:r>
    </w:p>
    <w:p>
      <w:pPr>
        <w:spacing w:after="0" w:line="21"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b w:val="1"/>
          <w:bCs w:val="1"/>
          <w:color w:val="auto"/>
        </w:rPr>
        <w:t>(“Licensee”)</w:t>
      </w:r>
    </w:p>
    <w:p>
      <w:pPr>
        <w:spacing w:after="0" w:line="99" w:lineRule="exact"/>
        <w:rPr>
          <w:sz w:val="20"/>
          <w:szCs w:val="20"/>
          <w:color w:val="auto"/>
        </w:rPr>
      </w:pPr>
    </w:p>
    <w:p>
      <w:pPr>
        <w:ind w:left="4468"/>
        <w:spacing w:after="0"/>
        <w:rPr>
          <w:sz w:val="20"/>
          <w:szCs w:val="20"/>
          <w:color w:val="auto"/>
        </w:rPr>
      </w:pPr>
      <w:r>
        <w:rPr>
          <w:rFonts w:ascii="Times New Roman" w:cs="Times New Roman" w:eastAsia="Times New Roman" w:hAnsi="Times New Roman"/>
          <w:sz w:val="12"/>
          <w:szCs w:val="12"/>
          <w:b w:val="1"/>
          <w:bCs w:val="1"/>
          <w:color w:val="auto"/>
        </w:rPr>
        <w:t>dated as of March 18, 2000 (the “Ag</w:t>
      </w:r>
      <w:r>
        <w:rPr>
          <w:rFonts w:ascii="Times New Roman" w:cs="Times New Roman" w:eastAsia="Times New Roman" w:hAnsi="Times New Roman"/>
          <w:sz w:val="12"/>
          <w:szCs w:val="12"/>
          <w:b w:val="1"/>
          <w:bCs w:val="1"/>
          <w:u w:val="single" w:color="auto"/>
          <w:color w:val="auto"/>
        </w:rPr>
        <w:t>reement</w:t>
      </w:r>
      <w:r>
        <w:rPr>
          <w:rFonts w:ascii="Times New Roman" w:cs="Times New Roman" w:eastAsia="Times New Roman" w:hAnsi="Times New Roman"/>
          <w:sz w:val="12"/>
          <w:szCs w:val="12"/>
          <w:b w:val="1"/>
          <w:bCs w:val="1"/>
          <w:color w:val="auto"/>
        </w:rPr>
        <w: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Effective Date of this Schedule No. 11043 is September 1, 2010. This Schedule shall not be effective until signed by both parties.</w:t>
      </w:r>
    </w:p>
    <w:p>
      <w:pPr>
        <w:spacing w:after="0" w:line="110" w:lineRule="exact"/>
        <w:rPr>
          <w:sz w:val="20"/>
          <w:szCs w:val="20"/>
          <w:color w:val="auto"/>
        </w:rPr>
      </w:pPr>
    </w:p>
    <w:p>
      <w:pPr>
        <w:ind w:left="368" w:hanging="368"/>
        <w:spacing w:after="0"/>
        <w:tabs>
          <w:tab w:leader="none" w:pos="368" w:val="left"/>
        </w:tabs>
        <w:numPr>
          <w:ilvl w:val="0"/>
          <w:numId w:val="1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NAME OF THE INDEX(ES):</w:t>
      </w:r>
    </w:p>
    <w:p>
      <w:pPr>
        <w:spacing w:after="0" w:line="73" w:lineRule="exact"/>
        <w:rPr>
          <w:rFonts w:ascii="Times New Roman" w:cs="Times New Roman" w:eastAsia="Times New Roman" w:hAnsi="Times New Roman"/>
          <w:sz w:val="12"/>
          <w:szCs w:val="12"/>
          <w:b w:val="1"/>
          <w:bCs w:val="1"/>
          <w:color w:val="auto"/>
        </w:rPr>
      </w:pPr>
    </w:p>
    <w:p>
      <w:pPr>
        <w:ind w:left="3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MSCI KLD Social 400 Index MSCI USA ESG Select Index</w:t>
      </w:r>
    </w:p>
    <w:p>
      <w:pPr>
        <w:spacing w:after="0" w:line="74" w:lineRule="exact"/>
        <w:rPr>
          <w:sz w:val="20"/>
          <w:szCs w:val="20"/>
          <w:color w:val="auto"/>
        </w:rPr>
      </w:pPr>
    </w:p>
    <w:p>
      <w:pPr>
        <w:ind w:left="368" w:hanging="368"/>
        <w:spacing w:after="0"/>
        <w:tabs>
          <w:tab w:leader="none" w:pos="368" w:val="left"/>
        </w:tabs>
        <w:numPr>
          <w:ilvl w:val="0"/>
          <w:numId w:val="1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DESCRIPTION OF THE FUND(S)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Licensee may use the Index and Marks solely with respect to the Fund(s) listed in this Schedule No. 11043.</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Fund(s) are to be issued, sold and traded on a public basis in accordance with the applicable rules of the exchange(s) below and all applicable securities laws, rules and regulations.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Funds(s) shall be limited to: United States domestic unit trust shares, whose interests may be listed and traded on national securities exchanges or stock markets.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Fund(s) shall be exchange traded. They must be listed and traded on a U.S. regulated securities exchange, automated quote system or other regulated U.S. securities market.</w:t>
      </w:r>
    </w:p>
    <w:p>
      <w:pPr>
        <w:spacing w:after="0" w:line="114" w:lineRule="exact"/>
        <w:rPr>
          <w:sz w:val="20"/>
          <w:szCs w:val="20"/>
          <w:color w:val="auto"/>
        </w:rPr>
      </w:pPr>
    </w:p>
    <w:p>
      <w:pPr>
        <w:ind w:left="8" w:right="420"/>
        <w:spacing w:after="0" w:line="279" w:lineRule="auto"/>
        <w:rPr>
          <w:sz w:val="20"/>
          <w:szCs w:val="20"/>
          <w:color w:val="auto"/>
        </w:rPr>
      </w:pPr>
      <w:r>
        <w:rPr>
          <w:rFonts w:ascii="Times New Roman" w:cs="Times New Roman" w:eastAsia="Times New Roman" w:hAnsi="Times New Roman"/>
          <w:sz w:val="12"/>
          <w:szCs w:val="12"/>
          <w:color w:val="auto"/>
        </w:rPr>
        <w:t>Neither the Agreement nor this Schedule gives Licensee the right to create or offer any futures, options or other derivatives based on the Indexes. Notwithstanding the foregoing, Licensee may hold futures, options or other derivative securities as constituent holdings of the Fund(s).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A copy of the relevant prospectus or offering document of the Fund(s) is attached hereto as Exhibit 1. The Fund(s) may not contain any share class other than those specified in the relevant prospectus or offering documents attached hereto.</w:t>
      </w:r>
    </w:p>
    <w:p>
      <w:pPr>
        <w:spacing w:after="0" w:line="200" w:lineRule="exact"/>
        <w:rPr>
          <w:sz w:val="20"/>
          <w:szCs w:val="20"/>
          <w:color w:val="auto"/>
        </w:rPr>
      </w:pPr>
    </w:p>
    <w:p>
      <w:pPr>
        <w:spacing w:after="0" w:line="2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48" w:name="page149"/>
    <w:bookmarkEnd w:id="148"/>
    <w:p>
      <w:pPr>
        <w:ind w:left="8"/>
        <w:spacing w:after="0"/>
        <w:rPr>
          <w:sz w:val="20"/>
          <w:szCs w:val="20"/>
          <w:color w:val="auto"/>
        </w:rPr>
      </w:pPr>
      <w:r>
        <w:rPr>
          <w:rFonts w:ascii="Times New Roman" w:cs="Times New Roman" w:eastAsia="Times New Roman" w:hAnsi="Times New Roman"/>
          <w:sz w:val="12"/>
          <w:szCs w:val="12"/>
          <w:color w:val="auto"/>
        </w:rPr>
        <w:t>Name and Detailed Description of the Fund(s):</w:t>
      </w:r>
    </w:p>
    <w:p>
      <w:pPr>
        <w:spacing w:after="0" w:line="114"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iShares MSCI USA ESG Select Social Index Fund</w:t>
      </w:r>
    </w:p>
    <w:p>
      <w:pPr>
        <w:spacing w:after="0" w:line="114"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iShares MSCI KLD 400 Social Index Fund</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Each of the funds seeks to provide exposure to the appropriate underlying index before fees and expenses.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Each Fund will be named or identified as indicated above. Licensee may not materially change the name or description of any of the Fund(s) above without the prior written consent of MSCI.</w:t>
      </w:r>
    </w:p>
    <w:p>
      <w:pPr>
        <w:spacing w:after="0" w:line="114" w:lineRule="exact"/>
        <w:rPr>
          <w:sz w:val="20"/>
          <w:szCs w:val="20"/>
          <w:color w:val="auto"/>
        </w:rPr>
      </w:pPr>
    </w:p>
    <w:p>
      <w:pPr>
        <w:ind w:left="8"/>
        <w:spacing w:after="0" w:line="257" w:lineRule="auto"/>
        <w:rPr>
          <w:sz w:val="20"/>
          <w:szCs w:val="20"/>
          <w:color w:val="auto"/>
        </w:rPr>
      </w:pPr>
      <w:r>
        <w:rPr>
          <w:rFonts w:ascii="Times New Roman" w:cs="Times New Roman" w:eastAsia="Times New Roman" w:hAnsi="Times New Roman"/>
          <w:sz w:val="12"/>
          <w:szCs w:val="12"/>
          <w:color w:val="auto"/>
        </w:rPr>
        <w:t>MSCI acknowledges and agrees that the Licensee marks are and will remain the exclusive property of Licensee, and that all goodwill that attaches to the Licensee marks as a result of their use in the Composite Marks will redound to the exclusive benefit of Licensee. Licensee acknowledges and agrees that the MSCI Marks are and will remain the exclusive property of MSCI, and that all goodwill that attaches to the MSCI Marks as a result of their use by Licensee including, without limitation, in the Composite Marks, will redound to the exclusive benefit of MSCI. The Composite Marks will be owned neither by Licensee nor MSCI. Neither party will register or apply for registration of the Composite Marks. Upon termination of this Schedule, neither party will have ownership of or the right to use the Composite Marks. However, the parties’ respective ownership rights will persist in the constituent MSCI Marks and Licensee Marks that together comprise the Composite Marks.</w:t>
      </w: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00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III.   LICENSE FEES:</w:t>
            </w:r>
          </w:p>
        </w:tc>
        <w:tc>
          <w:tcPr>
            <w:tcW w:w="940" w:type="dxa"/>
            <w:vAlign w:val="bottom"/>
          </w:tcPr>
          <w:p>
            <w:pPr>
              <w:spacing w:after="0"/>
              <w:rPr>
                <w:sz w:val="13"/>
                <w:szCs w:val="13"/>
                <w:color w:val="auto"/>
              </w:rPr>
            </w:pPr>
          </w:p>
        </w:tc>
      </w:tr>
      <w:tr>
        <w:trPr>
          <w:trHeight w:val="252"/>
        </w:trPr>
        <w:tc>
          <w:tcPr>
            <w:tcW w:w="80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If Licensee is the only ETF licensee in the United States for the specified index below, the following annual license fees will apply:</w:t>
            </w:r>
          </w:p>
        </w:tc>
        <w:tc>
          <w:tcPr>
            <w:tcW w:w="940" w:type="dxa"/>
            <w:vAlign w:val="bottom"/>
          </w:tcPr>
          <w:p>
            <w:pPr>
              <w:spacing w:after="0"/>
              <w:rPr>
                <w:sz w:val="21"/>
                <w:szCs w:val="21"/>
                <w:color w:val="auto"/>
              </w:rPr>
            </w:pPr>
          </w:p>
        </w:tc>
      </w:tr>
      <w:tr>
        <w:trPr>
          <w:trHeight w:val="225"/>
        </w:trPr>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8"/>
              </w:rPr>
              <w:t>MSCI USA ESG Select Index</w:t>
            </w:r>
          </w:p>
        </w:tc>
        <w:tc>
          <w:tcPr>
            <w:tcW w:w="6560" w:type="dxa"/>
            <w:vAlign w:val="bottom"/>
            <w:gridSpan w:val="3"/>
          </w:tcPr>
          <w:p>
            <w:pPr>
              <w:spacing w:after="0"/>
              <w:rPr>
                <w:sz w:val="19"/>
                <w:szCs w:val="19"/>
                <w:color w:val="auto"/>
              </w:rPr>
            </w:pPr>
          </w:p>
        </w:tc>
        <w:tc>
          <w:tcPr>
            <w:tcW w:w="940" w:type="dxa"/>
            <w:vAlign w:val="bottom"/>
          </w:tcPr>
          <w:p>
            <w:pPr>
              <w:spacing w:after="0"/>
              <w:rPr>
                <w:sz w:val="19"/>
                <w:szCs w:val="19"/>
                <w:color w:val="auto"/>
              </w:rPr>
            </w:pPr>
          </w:p>
        </w:tc>
      </w:tr>
      <w:tr>
        <w:trPr>
          <w:trHeight w:val="259"/>
        </w:trPr>
        <w:tc>
          <w:tcPr>
            <w:tcW w:w="80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Licensee will pay an annual License Fee ***********.</w:t>
            </w:r>
          </w:p>
        </w:tc>
        <w:tc>
          <w:tcPr>
            <w:tcW w:w="940" w:type="dxa"/>
            <w:vAlign w:val="bottom"/>
          </w:tcPr>
          <w:p>
            <w:pPr>
              <w:spacing w:after="0"/>
              <w:rPr>
                <w:sz w:val="22"/>
                <w:szCs w:val="22"/>
                <w:color w:val="auto"/>
              </w:rPr>
            </w:pPr>
          </w:p>
        </w:tc>
      </w:tr>
      <w:tr>
        <w:trPr>
          <w:trHeight w:val="225"/>
        </w:trPr>
        <w:tc>
          <w:tcPr>
            <w:tcW w:w="80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MSCI KLD Social 400 Index</w:t>
            </w:r>
          </w:p>
        </w:tc>
        <w:tc>
          <w:tcPr>
            <w:tcW w:w="940" w:type="dxa"/>
            <w:vAlign w:val="bottom"/>
          </w:tcPr>
          <w:p>
            <w:pPr>
              <w:spacing w:after="0"/>
              <w:rPr>
                <w:sz w:val="19"/>
                <w:szCs w:val="19"/>
                <w:color w:val="auto"/>
              </w:rPr>
            </w:pPr>
          </w:p>
        </w:tc>
      </w:tr>
      <w:tr>
        <w:trPr>
          <w:trHeight w:val="259"/>
        </w:trPr>
        <w:tc>
          <w:tcPr>
            <w:tcW w:w="14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8"/>
              </w:rPr>
              <w:t>AUM of the Relevant Fund</w:t>
            </w:r>
          </w:p>
        </w:tc>
        <w:tc>
          <w:tcPr>
            <w:tcW w:w="452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Annual License Fee</w:t>
            </w:r>
          </w:p>
        </w:tc>
      </w:tr>
      <w:tr>
        <w:trPr>
          <w:trHeight w:val="140"/>
        </w:trPr>
        <w:tc>
          <w:tcPr>
            <w:tcW w:w="3480" w:type="dxa"/>
            <w:vAlign w:val="bottom"/>
            <w:gridSpan w:val="4"/>
          </w:tcPr>
          <w:p>
            <w:pPr>
              <w:ind w:left="2480"/>
              <w:spacing w:after="0"/>
              <w:rPr>
                <w:sz w:val="20"/>
                <w:szCs w:val="20"/>
                <w:color w:val="auto"/>
              </w:rPr>
            </w:pPr>
            <w:r>
              <w:rPr>
                <w:rFonts w:ascii="Times New Roman" w:cs="Times New Roman" w:eastAsia="Times New Roman" w:hAnsi="Times New Roman"/>
                <w:sz w:val="12"/>
                <w:szCs w:val="12"/>
                <w:color w:val="auto"/>
              </w:rPr>
              <w:t>***********</w:t>
            </w:r>
          </w:p>
        </w:tc>
        <w:tc>
          <w:tcPr>
            <w:tcW w:w="45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44"/>
        </w:trPr>
        <w:tc>
          <w:tcPr>
            <w:tcW w:w="3480" w:type="dxa"/>
            <w:vAlign w:val="bottom"/>
            <w:gridSpan w:val="4"/>
          </w:tcPr>
          <w:p>
            <w:pPr>
              <w:ind w:left="2480"/>
              <w:spacing w:after="0"/>
              <w:rPr>
                <w:sz w:val="20"/>
                <w:szCs w:val="20"/>
                <w:color w:val="auto"/>
              </w:rPr>
            </w:pPr>
            <w:r>
              <w:rPr>
                <w:rFonts w:ascii="Times New Roman" w:cs="Times New Roman" w:eastAsia="Times New Roman" w:hAnsi="Times New Roman"/>
                <w:sz w:val="12"/>
                <w:szCs w:val="12"/>
                <w:color w:val="auto"/>
              </w:rPr>
              <w:t>***********</w:t>
            </w:r>
          </w:p>
        </w:tc>
        <w:tc>
          <w:tcPr>
            <w:tcW w:w="45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5"/>
        </w:trPr>
        <w:tc>
          <w:tcPr>
            <w:tcW w:w="3480" w:type="dxa"/>
            <w:vAlign w:val="bottom"/>
            <w:gridSpan w:val="4"/>
          </w:tcPr>
          <w:p>
            <w:pPr>
              <w:ind w:left="2480"/>
              <w:spacing w:after="0"/>
              <w:rPr>
                <w:sz w:val="20"/>
                <w:szCs w:val="20"/>
                <w:color w:val="auto"/>
              </w:rPr>
            </w:pPr>
            <w:r>
              <w:rPr>
                <w:rFonts w:ascii="Times New Roman" w:cs="Times New Roman" w:eastAsia="Times New Roman" w:hAnsi="Times New Roman"/>
                <w:sz w:val="12"/>
                <w:szCs w:val="12"/>
                <w:color w:val="auto"/>
              </w:rPr>
              <w:t>***********</w:t>
            </w:r>
          </w:p>
        </w:tc>
        <w:tc>
          <w:tcPr>
            <w:tcW w:w="45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bl>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each index above, in the event that Licensee is not the sole licensee for ETFs in the United States based on the index, Licensee will pay an annual License Fee ***********.</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For purposes of this Schedule, “AUM” shall mean a Fund’s average daily assets under management during the relevant period. “Expense Ratio” shall mean the amount of a Fund’s assets used to pay its expenses during a given time period, expressed as a percentage of the Fund’s average daily net assets over the same time period, including without limitation, the total management fee, rule 12b-1 fees (or the equivalent) and all other Fund expenses. A Fund’s Expense Ratio shall be the Fund’s “Total Fund Operating Expense” as published by a Fund for the relevant period. Notwithstanding anything to the contrary contained herein, ***********.</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purposes of clarity, the fees are calculated per Fund and not in aggregate.</w:t>
      </w:r>
    </w:p>
    <w:p>
      <w:pPr>
        <w:spacing w:after="0" w:line="110"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2"/>
          <w:szCs w:val="12"/>
          <w:b w:val="1"/>
          <w:bCs w:val="1"/>
          <w:color w:val="auto"/>
        </w:rPr>
        <w:t>IV.</w:t>
      </w:r>
      <w:r>
        <w:rPr>
          <w:sz w:val="20"/>
          <w:szCs w:val="20"/>
          <w:color w:val="auto"/>
        </w:rPr>
        <w:tab/>
      </w:r>
      <w:r>
        <w:rPr>
          <w:rFonts w:ascii="Times New Roman" w:cs="Times New Roman" w:eastAsia="Times New Roman" w:hAnsi="Times New Roman"/>
          <w:sz w:val="12"/>
          <w:szCs w:val="12"/>
          <w:b w:val="1"/>
          <w:bCs w:val="1"/>
          <w:color w:val="auto"/>
        </w:rPr>
        <w:t>SPECIAL CONDITIONS: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Licensee acknowledges and agrees that:</w:t>
      </w:r>
    </w:p>
    <w:p>
      <w:pPr>
        <w:spacing w:after="0" w:line="114" w:lineRule="exact"/>
        <w:rPr>
          <w:sz w:val="20"/>
          <w:szCs w:val="20"/>
          <w:color w:val="auto"/>
        </w:rPr>
      </w:pPr>
    </w:p>
    <w:p>
      <w:pPr>
        <w:ind w:left="368" w:hanging="368"/>
        <w:spacing w:after="0"/>
        <w:tabs>
          <w:tab w:leader="none" w:pos="368"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is the owner or licensor of the Services under this Schedule and all title and ownership rights in and to the Services, and all rights therein and legal protections with respect thereto, remain exclusively with</w:t>
      </w:r>
    </w:p>
    <w:p>
      <w:pPr>
        <w:spacing w:after="0" w:line="200" w:lineRule="exact"/>
        <w:rPr>
          <w:rFonts w:ascii="Times New Roman" w:cs="Times New Roman" w:eastAsia="Times New Roman" w:hAnsi="Times New Roman"/>
          <w:sz w:val="12"/>
          <w:szCs w:val="12"/>
          <w:color w:val="auto"/>
        </w:rPr>
      </w:pPr>
    </w:p>
    <w:p>
      <w:pPr>
        <w:spacing w:after="0" w:line="238" w:lineRule="exact"/>
        <w:rPr>
          <w:rFonts w:ascii="Times New Roman" w:cs="Times New Roman" w:eastAsia="Times New Roman" w:hAnsi="Times New Roman"/>
          <w:sz w:val="12"/>
          <w:szCs w:val="12"/>
          <w:color w:val="auto"/>
        </w:rPr>
      </w:pPr>
    </w:p>
    <w:p>
      <w:pPr>
        <w:ind w:left="55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8"/>
          </w:cols>
          <w:pgMar w:left="292" w:top="426" w:right="319" w:bottom="1440" w:gutter="0" w:footer="0" w:header="0"/>
        </w:sectPr>
      </w:pPr>
    </w:p>
    <w:bookmarkStart w:id="149" w:name="page150"/>
    <w:bookmarkEnd w:id="149"/>
    <w:p>
      <w:pPr>
        <w:ind w:left="8"/>
        <w:spacing w:after="0"/>
        <w:rPr>
          <w:sz w:val="20"/>
          <w:szCs w:val="20"/>
          <w:color w:val="auto"/>
        </w:rPr>
      </w:pPr>
      <w:r>
        <w:rPr>
          <w:rFonts w:ascii="Times New Roman" w:cs="Times New Roman" w:eastAsia="Times New Roman" w:hAnsi="Times New Roman"/>
          <w:sz w:val="12"/>
          <w:szCs w:val="12"/>
          <w:color w:val="auto"/>
        </w:rPr>
        <w:t>MSCI and/or its licensors, if any. Licensee will not challenge or contest, or assist any third party in challenging or contesting the validity of MSCI’s and/or its licensors’ rights in or to the Services.</w:t>
      </w:r>
    </w:p>
    <w:p>
      <w:pPr>
        <w:spacing w:after="0" w:line="114" w:lineRule="exact"/>
        <w:rPr>
          <w:sz w:val="20"/>
          <w:szCs w:val="20"/>
          <w:color w:val="auto"/>
        </w:rPr>
      </w:pPr>
    </w:p>
    <w:p>
      <w:pPr>
        <w:ind w:left="368" w:right="20" w:hanging="368"/>
        <w:spacing w:after="0" w:line="265" w:lineRule="auto"/>
        <w:tabs>
          <w:tab w:leader="none" w:pos="368"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Services do not constitute an offer to sell (or a solicitation of an offer to buy), or a promotion or recommendation of, any security, financial product or other investment vehicle or any trading strategy, and MSCI and its affiliates and information and service providers for the Services do not endorse, approve or otherwise express any opinion regarding any issuer, security, financial product or instrument or trading strategy. The Services are not, and are not intended to constitute, investment advice or a recommendation to make (or refrain from making) any kind of investment decision and may not be relied on as such.</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executed this Schedule No. 11043 as of the effective date set forth above.</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MSCI Inc.</w:t>
            </w:r>
          </w:p>
        </w:tc>
        <w:tc>
          <w:tcPr>
            <w:tcW w:w="28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1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BlackRock Institutional Trust Company, N.A.</w:t>
            </w:r>
          </w:p>
        </w:tc>
        <w:tc>
          <w:tcPr>
            <w:tcW w:w="20" w:type="dxa"/>
            <w:vAlign w:val="bottom"/>
          </w:tcPr>
          <w:p>
            <w:pPr>
              <w:spacing w:after="0"/>
              <w:rPr>
                <w:sz w:val="12"/>
                <w:szCs w:val="12"/>
                <w:color w:val="auto"/>
              </w:rPr>
            </w:pPr>
          </w:p>
        </w:tc>
      </w:tr>
      <w:tr>
        <w:trPr>
          <w:trHeight w:val="155"/>
        </w:trPr>
        <w:tc>
          <w:tcPr>
            <w:tcW w:w="7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1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(formerly, Barclays Global Investors, N.A.)</w:t>
            </w:r>
          </w:p>
        </w:tc>
        <w:tc>
          <w:tcPr>
            <w:tcW w:w="20" w:type="dxa"/>
            <w:vAlign w:val="bottom"/>
          </w:tcPr>
          <w:p>
            <w:pPr>
              <w:spacing w:after="0"/>
              <w:rPr>
                <w:sz w:val="13"/>
                <w:szCs w:val="13"/>
                <w:color w:val="auto"/>
              </w:rPr>
            </w:pPr>
          </w:p>
        </w:tc>
      </w:tr>
      <w:tr>
        <w:trPr>
          <w:trHeight w:val="288"/>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Friedman</w:t>
            </w:r>
          </w:p>
        </w:tc>
        <w:tc>
          <w:tcPr>
            <w:tcW w:w="2580" w:type="dxa"/>
            <w:vAlign w:val="bottom"/>
            <w:tcBorders>
              <w:bottom w:val="single" w:sz="8" w:color="auto"/>
            </w:tcBorders>
          </w:tcPr>
          <w:p>
            <w:pPr>
              <w:spacing w:after="0"/>
              <w:rPr>
                <w:sz w:val="24"/>
                <w:szCs w:val="24"/>
                <w:color w:val="auto"/>
              </w:rPr>
            </w:pPr>
          </w:p>
        </w:tc>
        <w:tc>
          <w:tcPr>
            <w:tcW w:w="158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GD Flynn</w:t>
            </w:r>
          </w:p>
        </w:tc>
        <w:tc>
          <w:tcPr>
            <w:tcW w:w="20" w:type="dxa"/>
            <w:vAlign w:val="bottom"/>
          </w:tcPr>
          <w:p>
            <w:pPr>
              <w:spacing w:after="0"/>
              <w:rPr>
                <w:sz w:val="24"/>
                <w:szCs w:val="24"/>
                <w:color w:val="auto"/>
              </w:rPr>
            </w:pPr>
          </w:p>
        </w:tc>
      </w:tr>
      <w:tr>
        <w:trPr>
          <w:trHeight w:val="122"/>
        </w:trPr>
        <w:tc>
          <w:tcPr>
            <w:tcW w:w="7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28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Paul Friedman</w:t>
            </w:r>
          </w:p>
        </w:tc>
        <w:tc>
          <w:tcPr>
            <w:tcW w:w="2580" w:type="dxa"/>
            <w:vAlign w:val="bottom"/>
          </w:tcPr>
          <w:p>
            <w:pPr>
              <w:spacing w:after="0"/>
              <w:rPr>
                <w:sz w:val="10"/>
                <w:szCs w:val="10"/>
                <w:color w:val="auto"/>
              </w:rPr>
            </w:pPr>
          </w:p>
        </w:tc>
        <w:tc>
          <w:tcPr>
            <w:tcW w:w="1580" w:type="dxa"/>
            <w:vAlign w:val="bottom"/>
          </w:tcPr>
          <w:p>
            <w:pPr>
              <w:ind w:left="9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56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GD Flynn</w:t>
            </w:r>
          </w:p>
        </w:tc>
        <w:tc>
          <w:tcPr>
            <w:tcW w:w="20" w:type="dxa"/>
            <w:vAlign w:val="bottom"/>
          </w:tcPr>
          <w:p>
            <w:pPr>
              <w:spacing w:after="0"/>
              <w:rPr>
                <w:sz w:val="10"/>
                <w:szCs w:val="10"/>
                <w:color w:val="auto"/>
              </w:rPr>
            </w:pPr>
          </w:p>
        </w:tc>
      </w:tr>
      <w:tr>
        <w:trPr>
          <w:trHeight w:val="155"/>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c>
          <w:tcPr>
            <w:tcW w:w="2580" w:type="dxa"/>
            <w:vAlign w:val="bottom"/>
          </w:tcPr>
          <w:p>
            <w:pPr>
              <w:spacing w:after="0"/>
              <w:rPr>
                <w:sz w:val="13"/>
                <w:szCs w:val="13"/>
                <w:color w:val="auto"/>
              </w:rPr>
            </w:pPr>
          </w:p>
        </w:tc>
        <w:tc>
          <w:tcPr>
            <w:tcW w:w="158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Title:</w:t>
            </w:r>
          </w:p>
        </w:tc>
        <w:tc>
          <w:tcPr>
            <w:tcW w:w="3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MD</w:t>
            </w:r>
          </w:p>
        </w:tc>
        <w:tc>
          <w:tcPr>
            <w:tcW w:w="20" w:type="dxa"/>
            <w:vAlign w:val="bottom"/>
          </w:tcPr>
          <w:p>
            <w:pPr>
              <w:spacing w:after="0"/>
              <w:rPr>
                <w:sz w:val="13"/>
                <w:szCs w:val="13"/>
                <w:color w:val="auto"/>
              </w:rPr>
            </w:pPr>
          </w:p>
        </w:tc>
      </w:tr>
      <w:tr>
        <w:trPr>
          <w:trHeight w:val="277"/>
        </w:trPr>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1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BlackRock Institutional Trust Company, N.A. (formerly, Barclays Global Investors,</w:t>
            </w:r>
          </w:p>
        </w:tc>
        <w:tc>
          <w:tcPr>
            <w:tcW w:w="20" w:type="dxa"/>
            <w:vAlign w:val="bottom"/>
          </w:tcPr>
          <w:p>
            <w:pPr>
              <w:spacing w:after="0"/>
              <w:rPr>
                <w:sz w:val="24"/>
                <w:szCs w:val="24"/>
                <w:color w:val="auto"/>
              </w:rPr>
            </w:pPr>
          </w:p>
        </w:tc>
      </w:tr>
      <w:tr>
        <w:trPr>
          <w:trHeight w:val="155"/>
        </w:trPr>
        <w:tc>
          <w:tcPr>
            <w:tcW w:w="7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8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N.A.)</w:t>
            </w: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8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Mark Roberts</w:t>
            </w:r>
          </w:p>
        </w:tc>
        <w:tc>
          <w:tcPr>
            <w:tcW w:w="20" w:type="dxa"/>
            <w:vAlign w:val="bottom"/>
          </w:tcPr>
          <w:p>
            <w:pPr>
              <w:spacing w:after="0"/>
              <w:rPr>
                <w:sz w:val="24"/>
                <w:szCs w:val="24"/>
                <w:color w:val="auto"/>
              </w:rPr>
            </w:pPr>
          </w:p>
        </w:tc>
      </w:tr>
      <w:tr>
        <w:trPr>
          <w:trHeight w:val="122"/>
        </w:trPr>
        <w:tc>
          <w:tcPr>
            <w:tcW w:w="7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580" w:type="dxa"/>
            <w:vAlign w:val="bottom"/>
          </w:tcPr>
          <w:p>
            <w:pPr>
              <w:ind w:left="9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56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Mark Roberts</w:t>
            </w:r>
          </w:p>
        </w:tc>
        <w:tc>
          <w:tcPr>
            <w:tcW w:w="20" w:type="dxa"/>
            <w:vAlign w:val="bottom"/>
          </w:tcPr>
          <w:p>
            <w:pPr>
              <w:spacing w:after="0"/>
              <w:rPr>
                <w:sz w:val="10"/>
                <w:szCs w:val="10"/>
                <w:color w:val="auto"/>
              </w:rPr>
            </w:pPr>
          </w:p>
        </w:tc>
      </w:tr>
      <w:tr>
        <w:trPr>
          <w:trHeight w:val="155"/>
        </w:trPr>
        <w:tc>
          <w:tcPr>
            <w:tcW w:w="7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8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Title:</w:t>
            </w:r>
          </w:p>
        </w:tc>
        <w:tc>
          <w:tcPr>
            <w:tcW w:w="3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20" w:type="dxa"/>
            <w:vAlign w:val="bottom"/>
          </w:tcPr>
          <w:p>
            <w:pPr>
              <w:spacing w:after="0"/>
              <w:rPr>
                <w:sz w:val="13"/>
                <w:szCs w:val="13"/>
                <w:color w:val="auto"/>
              </w:rPr>
            </w:pPr>
          </w:p>
        </w:tc>
      </w:tr>
      <w:tr>
        <w:trPr>
          <w:trHeight w:val="810"/>
        </w:trPr>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160" w:type="dxa"/>
            <w:vAlign w:val="bottom"/>
            <w:gridSpan w:val="2"/>
          </w:tcPr>
          <w:p>
            <w:pPr>
              <w:ind w:left="1980"/>
              <w:spacing w:after="0"/>
              <w:rPr>
                <w:sz w:val="20"/>
                <w:szCs w:val="20"/>
                <w:color w:val="auto"/>
              </w:rPr>
            </w:pPr>
            <w:r>
              <w:rPr>
                <w:rFonts w:ascii="Times New Roman" w:cs="Times New Roman" w:eastAsia="Times New Roman" w:hAnsi="Times New Roman"/>
                <w:sz w:val="12"/>
                <w:szCs w:val="12"/>
                <w:color w:val="auto"/>
              </w:rPr>
              <w:t>A-3</w:t>
            </w: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720" w:type="dxa"/>
            <w:vAlign w:val="bottom"/>
            <w:tcBorders>
              <w:bottom w:val="single" w:sz="8" w:color="9A9A9A"/>
            </w:tcBorders>
          </w:tcPr>
          <w:p>
            <w:pPr>
              <w:spacing w:after="0"/>
              <w:rPr>
                <w:sz w:val="6"/>
                <w:szCs w:val="6"/>
                <w:color w:val="auto"/>
              </w:rPr>
            </w:pPr>
          </w:p>
        </w:tc>
        <w:tc>
          <w:tcPr>
            <w:tcW w:w="2860" w:type="dxa"/>
            <w:vAlign w:val="bottom"/>
            <w:tcBorders>
              <w:bottom w:val="single" w:sz="8" w:color="9A9A9A"/>
            </w:tcBorders>
          </w:tcPr>
          <w:p>
            <w:pPr>
              <w:spacing w:after="0"/>
              <w:rPr>
                <w:sz w:val="6"/>
                <w:szCs w:val="6"/>
                <w:color w:val="auto"/>
              </w:rPr>
            </w:pPr>
          </w:p>
        </w:tc>
        <w:tc>
          <w:tcPr>
            <w:tcW w:w="258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35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426" w:right="27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2"/>
          <w:szCs w:val="12"/>
          <w:color w:val="auto"/>
        </w:rPr>
        <w:t>EXHIBIT 1 TO SCHEDULE NO. 11043</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[copy of relevant prospectus or offering document]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56515</wp:posOffset>
            </wp:positionV>
            <wp:extent cx="7189470" cy="114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9019"/>
          </w:cols>
          <w:pgMar w:left="1440" w:top="426" w:right="1440" w:bottom="1440" w:gutter="0" w:footer="0" w:header="0"/>
        </w:sectPr>
      </w:pPr>
    </w:p>
    <w:bookmarkStart w:id="151" w:name="page152"/>
    <w:bookmarkEnd w:id="151"/>
    <w:p>
      <w:pPr>
        <w:ind w:left="4280"/>
        <w:spacing w:after="0"/>
        <w:rPr>
          <w:sz w:val="20"/>
          <w:szCs w:val="20"/>
          <w:color w:val="auto"/>
        </w:rPr>
      </w:pPr>
      <w:r>
        <w:rPr>
          <w:rFonts w:ascii="Times New Roman" w:cs="Times New Roman" w:eastAsia="Times New Roman" w:hAnsi="Times New Roman"/>
          <w:sz w:val="12"/>
          <w:szCs w:val="12"/>
          <w:u w:val="single" w:color="auto"/>
          <w:color w:val="auto"/>
        </w:rPr>
        <w:t>Exhibit B</w:t>
      </w:r>
    </w:p>
    <w:p>
      <w:pPr>
        <w:spacing w:after="0" w:line="11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2"/>
          <w:szCs w:val="12"/>
          <w:b w:val="1"/>
          <w:bCs w:val="1"/>
          <w:color w:val="auto"/>
        </w:rPr>
        <w:t>DATA LICENSE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(document attached)</w:t>
      </w:r>
    </w:p>
    <w:p>
      <w:pPr>
        <w:sectPr>
          <w:pgSz w:w="11900" w:h="16838" w:orient="portrait"/>
          <w:cols w:equalWidth="0" w:num="1">
            <w:col w:w="9019"/>
          </w:cols>
          <w:pgMar w:left="1440" w:top="426" w:right="1440" w:bottom="1440" w:gutter="0" w:footer="0" w:header="0"/>
        </w:sectPr>
      </w:pPr>
    </w:p>
    <w:bookmarkStart w:id="152" w:name="page153"/>
    <w:bookmarkEnd w:id="152"/>
    <w:p>
      <w:pPr>
        <w:ind w:left="10668"/>
        <w:spacing w:after="0"/>
        <w:rPr>
          <w:sz w:val="20"/>
          <w:szCs w:val="20"/>
          <w:color w:val="auto"/>
        </w:rPr>
      </w:pPr>
      <w:r>
        <w:rPr>
          <w:rFonts w:ascii="Times New Roman" w:cs="Times New Roman" w:eastAsia="Times New Roman" w:hAnsi="Times New Roman"/>
          <w:sz w:val="11"/>
          <w:szCs w:val="11"/>
          <w:b w:val="1"/>
          <w:bCs w:val="1"/>
          <w:color w:val="auto"/>
        </w:rPr>
        <w:t>Exhibit 10.50</w:t>
      </w:r>
    </w:p>
    <w:p>
      <w:pPr>
        <w:spacing w:after="0" w:line="161" w:lineRule="exact"/>
        <w:rPr>
          <w:sz w:val="20"/>
          <w:szCs w:val="20"/>
          <w:color w:val="auto"/>
        </w:rPr>
      </w:pPr>
    </w:p>
    <w:p>
      <w:pPr>
        <w:ind w:left="8" w:hanging="8"/>
        <w:spacing w:after="0" w:line="299" w:lineRule="auto"/>
        <w:tabs>
          <w:tab w:leader="none" w:pos="235" w:val="left"/>
        </w:tabs>
        <w:numPr>
          <w:ilvl w:val="0"/>
          <w:numId w:val="11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AMD_00292</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 xml:space="preserve">Client Code/Reference No: </w:t>
      </w:r>
      <w:r>
        <w:rPr>
          <w:rFonts w:ascii="Times New Roman" w:cs="Times New Roman" w:eastAsia="Times New Roman" w:hAnsi="Times New Roman"/>
          <w:sz w:val="11"/>
          <w:szCs w:val="11"/>
          <w:u w:val="single" w:color="auto"/>
          <w:color w:val="auto"/>
        </w:rPr>
        <w:t>WFNIA/CA</w:t>
      </w:r>
    </w:p>
    <w:p>
      <w:pPr>
        <w:spacing w:after="0" w:line="1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 2</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xml:space="preserve">Date of Amendment: </w:t>
      </w:r>
      <w:r>
        <w:rPr>
          <w:rFonts w:ascii="Times New Roman" w:cs="Times New Roman" w:eastAsia="Times New Roman" w:hAnsi="Times New Roman"/>
          <w:sz w:val="11"/>
          <w:szCs w:val="11"/>
          <w:u w:val="single" w:color="auto"/>
          <w:color w:val="auto"/>
        </w:rPr>
        <w:t>November 19</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2010</w:t>
      </w:r>
    </w:p>
    <w:p>
      <w:pPr>
        <w:spacing w:after="0" w:line="135" w:lineRule="exact"/>
        <w:rPr>
          <w:sz w:val="20"/>
          <w:szCs w:val="20"/>
          <w:color w:val="auto"/>
        </w:rPr>
      </w:pPr>
    </w:p>
    <w:p>
      <w:pPr>
        <w:ind w:left="8" w:right="140" w:firstLine="442"/>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w:t>
      </w:r>
      <w:r>
        <w:rPr>
          <w:rFonts w:ascii="Times New Roman" w:cs="Times New Roman" w:eastAsia="Times New Roman" w:hAnsi="Times New Roman"/>
          <w:sz w:val="11"/>
          <w:szCs w:val="11"/>
          <w:u w:val="single" w:color="auto"/>
          <w:color w:val="auto"/>
        </w:rPr>
        <w:t>MSCI</w:t>
      </w:r>
      <w:r>
        <w:rPr>
          <w:rFonts w:ascii="Times New Roman" w:cs="Times New Roman" w:eastAsia="Times New Roman" w:hAnsi="Times New Roman"/>
          <w:sz w:val="11"/>
          <w:szCs w:val="11"/>
          <w:color w:val="auto"/>
        </w:rPr>
        <w:t>”), a Delaware corporation, and Barclays Global Investors, N.A. (“Licensee”). Capitalized terms used herein but not otherwise defined herein shall have the meanings ascribed in the Agreement.</w:t>
      </w:r>
    </w:p>
    <w:p>
      <w:pPr>
        <w:spacing w:after="0" w:line="75" w:lineRule="exact"/>
        <w:rPr>
          <w:sz w:val="20"/>
          <w:szCs w:val="20"/>
          <w:color w:val="auto"/>
        </w:rPr>
      </w:pPr>
    </w:p>
    <w:p>
      <w:pPr>
        <w:ind w:left="428" w:right="20" w:hanging="428"/>
        <w:spacing w:after="0" w:line="276" w:lineRule="auto"/>
        <w:tabs>
          <w:tab w:leader="none" w:pos="428" w:val="left"/>
        </w:tabs>
        <w:numPr>
          <w:ilvl w:val="0"/>
          <w:numId w:val="1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amended to allow the Funds to be additionally listed and traded on the Chilean domiciled stock or securities exchanges (herein referred to as the “</w:t>
      </w:r>
      <w:r>
        <w:rPr>
          <w:rFonts w:ascii="Times New Roman" w:cs="Times New Roman" w:eastAsia="Times New Roman" w:hAnsi="Times New Roman"/>
          <w:sz w:val="11"/>
          <w:szCs w:val="11"/>
          <w:u w:val="single" w:color="auto"/>
          <w:color w:val="auto"/>
        </w:rPr>
        <w:t>Chilean Listed Funds</w:t>
      </w:r>
      <w:r>
        <w:rPr>
          <w:rFonts w:ascii="Times New Roman" w:cs="Times New Roman" w:eastAsia="Times New Roman" w:hAnsi="Times New Roman"/>
          <w:sz w:val="11"/>
          <w:szCs w:val="11"/>
          <w:color w:val="auto"/>
        </w:rPr>
        <w:t>”). All Listed Funds must be issued, sold and traded on a public basis in accordance with the applicable Chilean securities law. All other terms and restrictions contained in Exhibit B shall apply to the Chilean Listed Funds. Notwithstanding anything to the contrary in Exhibit A, the Chilean Listed Funds may only be based on the following Indexes:</w:t>
      </w:r>
    </w:p>
    <w:p>
      <w:pPr>
        <w:sectPr>
          <w:pgSz w:w="11900" w:h="16838" w:orient="portrait"/>
          <w:cols w:equalWidth="0" w:num="1">
            <w:col w:w="11308"/>
          </w:cols>
          <w:pgMar w:left="292" w:top="124" w:right="299" w:bottom="1440" w:gutter="0" w:footer="0" w:header="0"/>
        </w:sectPr>
      </w:pPr>
    </w:p>
    <w:p>
      <w:pPr>
        <w:spacing w:after="0" w:line="1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Consumer Discretionary Sector Index</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Consumer Staples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Energy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Financials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Health Care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Industrials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Information Technology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Materials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Telecommunications Services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MSCIMM ACWI ex US Utilities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All Country Asia ex Japan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All Country World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All Country World ex-US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All Peru Capped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Australia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Brazil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Brazil Small Cap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BRIC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Canada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Chile Investable Market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MSCIM China Small Cap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EAFE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EAFE Small Cap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Emerging Markets Eastern Europe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Emerging Markets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EMU Index</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France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Germany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Hong Kong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Ireland Capped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Israel Capped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Italy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Japan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Malaysia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MSCIMM Mexico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Netherland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New Zealand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Pacific ex-Japan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Philippines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Russia Capped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Singapore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South Africa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South Korea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Spain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Switzerland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Taiwan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United Kingdom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34" w:lineRule="exact"/>
        <w:rPr>
          <w:sz w:val="20"/>
          <w:szCs w:val="20"/>
          <w:color w:val="auto"/>
        </w:rPr>
      </w:pPr>
    </w:p>
    <w:p>
      <w:pPr>
        <w:sectPr>
          <w:pgSz w:w="11900" w:h="16838" w:orient="portrait"/>
          <w:cols w:equalWidth="0" w:num="2">
            <w:col w:w="4948" w:space="720"/>
            <w:col w:w="5640"/>
          </w:cols>
          <w:pgMar w:left="292" w:top="124" w:right="299" w:bottom="1440" w:gutter="0" w:footer="0" w:header="0"/>
          <w:type w:val="continuous"/>
        </w:sectPr>
      </w:pPr>
    </w:p>
    <w:p>
      <w:pPr>
        <w:spacing w:after="0" w:line="76" w:lineRule="exact"/>
        <w:rPr>
          <w:sz w:val="20"/>
          <w:szCs w:val="20"/>
          <w:color w:val="auto"/>
        </w:rPr>
      </w:pPr>
    </w:p>
    <w:p>
      <w:pPr>
        <w:ind w:left="8" w:right="20"/>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Chilean Listed Funds. For clarity, there shall be no separate licensee fees for the Chilean Listed Funds but any additional assets from the Chilean Listed Funds shall be included in the average daily net assets of the applicable Funds for purposed of calculating license fees.</w:t>
      </w:r>
    </w:p>
    <w:p>
      <w:pPr>
        <w:spacing w:after="0" w:line="30" w:lineRule="exact"/>
        <w:rPr>
          <w:sz w:val="20"/>
          <w:szCs w:val="20"/>
          <w:color w:val="auto"/>
        </w:rPr>
      </w:pPr>
    </w:p>
    <w:p>
      <w:pPr>
        <w:ind w:left="428" w:right="180" w:hanging="428"/>
        <w:spacing w:after="0" w:line="269" w:lineRule="auto"/>
        <w:tabs>
          <w:tab w:leader="none" w:pos="428" w:val="left"/>
        </w:tabs>
        <w:numPr>
          <w:ilvl w:val="0"/>
          <w:numId w:val="1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further amended to allow the Funds to be additionally listed and traded on the Mexican domiciled stock or securities exchanges (herein referred to as the “</w:t>
      </w:r>
      <w:r>
        <w:rPr>
          <w:rFonts w:ascii="Times New Roman" w:cs="Times New Roman" w:eastAsia="Times New Roman" w:hAnsi="Times New Roman"/>
          <w:sz w:val="11"/>
          <w:szCs w:val="11"/>
          <w:u w:val="single" w:color="auto"/>
          <w:color w:val="auto"/>
        </w:rPr>
        <w:t>Mexican Listed Funds</w:t>
      </w:r>
      <w:r>
        <w:rPr>
          <w:rFonts w:ascii="Times New Roman" w:cs="Times New Roman" w:eastAsia="Times New Roman" w:hAnsi="Times New Roman"/>
          <w:sz w:val="11"/>
          <w:szCs w:val="11"/>
          <w:color w:val="auto"/>
        </w:rPr>
        <w:t xml:space="preserve">”). All Listed Funds must be issued, sold and traded on a public basis in accordance with the applicable Mexican securities law. All other terms and restrictions contained in Exhibit B shall apply to </w:t>
      </w:r>
      <w:r>
        <w:rPr>
          <w:rFonts w:ascii="Times New Roman" w:cs="Times New Roman" w:eastAsia="Times New Roman" w:hAnsi="Times New Roman"/>
          <w:sz w:val="13"/>
          <w:szCs w:val="13"/>
          <w:color w:val="auto"/>
        </w:rPr>
        <w:t>the Mexican Listed Funds. Notwithstanding anything to the contrary In</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3"/>
          <w:szCs w:val="13"/>
          <w:color w:val="auto"/>
        </w:rPr>
        <w:t>Exhibit A, the Mexican Listed Funds may only be based on the following Indexes:</w:t>
      </w:r>
    </w:p>
    <w:p>
      <w:pPr>
        <w:spacing w:after="0" w:line="1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89470"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type w:val="continuous"/>
        </w:sectPr>
      </w:pPr>
    </w:p>
    <w:bookmarkStart w:id="153" w:name="page154"/>
    <w:bookmarkEnd w:id="153"/>
    <w:p>
      <w:pPr>
        <w:ind w:left="8"/>
        <w:spacing w:after="0"/>
        <w:rPr>
          <w:sz w:val="20"/>
          <w:szCs w:val="20"/>
          <w:color w:val="auto"/>
        </w:rPr>
      </w:pPr>
      <w:r>
        <w:rPr>
          <w:rFonts w:ascii="Times New Roman" w:cs="Times New Roman" w:eastAsia="Times New Roman" w:hAnsi="Times New Roman"/>
          <w:sz w:val="11"/>
          <w:szCs w:val="11"/>
          <w:color w:val="auto"/>
        </w:rPr>
        <w:t>MSCI ACWI ex US Consumer Discretionary Sector Index</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Consumer Staples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Energy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Financials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Health Care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Industrials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Information Technology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Materials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Telecommunication Services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ex US Utilities Sector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ACWI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All Country Asia ex Japan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All Peru Capped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Australia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Austria Investable Market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Belgium Investable Market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Brazil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Brazil Small Cap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BRIC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Canada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Chile Investable Market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China Small Cap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EAFE Growth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EAFE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EAFE Small Cap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EAFE Value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Emerging Markets Eastern Europe Index</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MSCI Emerging Markets Index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MSCI EMU Index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France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Germany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Hong Kong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Indonesia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Ireland Capped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Israel Capped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Italy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Japan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Japan Small Cap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Kokusai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Malaysia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Netherlands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New Zealand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Pacific ex-Japan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Philippines Investable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Poland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Russia Cap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Singapore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South Africa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South Korea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Spain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Sweden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Switzerland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Taiwan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Thailand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Turkey Investable Market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United Kingdom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USA Index</w:t>
      </w:r>
    </w:p>
    <w:p>
      <w:pPr>
        <w:spacing w:after="0" w:line="141" w:lineRule="exact"/>
        <w:rPr>
          <w:sz w:val="20"/>
          <w:szCs w:val="20"/>
          <w:color w:val="auto"/>
        </w:rPr>
      </w:pPr>
    </w:p>
    <w:p>
      <w:pPr>
        <w:sectPr>
          <w:pgSz w:w="11900" w:h="16838" w:orient="portrait"/>
          <w:cols w:equalWidth="0" w:num="2">
            <w:col w:w="4948" w:space="720"/>
            <w:col w:w="5640"/>
          </w:cols>
          <w:pgMar w:left="292" w:top="413" w:right="299" w:bottom="1440" w:gutter="0" w:footer="0" w:header="0"/>
        </w:sectPr>
      </w:pPr>
    </w:p>
    <w:p>
      <w:pPr>
        <w:ind w:left="8" w:right="100"/>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Mexican Listed Funds. For clarity, there shall be no separate licensee fees for the Mexican Listed Funds but any additional assets from the Mexican Listed Funds shall be included in the average daily net assets of the applicable Funds for purposed of calculating license fees.</w:t>
      </w:r>
    </w:p>
    <w:p>
      <w:pPr>
        <w:spacing w:after="0" w:line="30" w:lineRule="exact"/>
        <w:rPr>
          <w:sz w:val="20"/>
          <w:szCs w:val="20"/>
          <w:color w:val="auto"/>
        </w:rPr>
      </w:pPr>
    </w:p>
    <w:p>
      <w:pPr>
        <w:ind w:left="428" w:right="60" w:hanging="428"/>
        <w:spacing w:after="0" w:line="276" w:lineRule="auto"/>
        <w:tabs>
          <w:tab w:leader="none" w:pos="428"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Amendments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this Agreement, the terms of this Amendment shall control. No right or license of any kind is granted to Licensee expect as expressly provided in the Agreement and this Amendment.</w:t>
      </w:r>
    </w:p>
    <w:p>
      <w:pPr>
        <w:spacing w:after="0" w:line="40" w:lineRule="exact"/>
        <w:rPr>
          <w:rFonts w:ascii="Times New Roman" w:cs="Times New Roman" w:eastAsia="Times New Roman" w:hAnsi="Times New Roman"/>
          <w:sz w:val="11"/>
          <w:szCs w:val="11"/>
          <w:color w:val="auto"/>
        </w:rPr>
      </w:pPr>
    </w:p>
    <w:p>
      <w:pPr>
        <w:ind w:left="428" w:hanging="428"/>
        <w:spacing w:after="0"/>
        <w:tabs>
          <w:tab w:leader="none" w:pos="428"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 principles.</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4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w:t>
            </w:r>
          </w:p>
        </w:tc>
        <w:tc>
          <w:tcPr>
            <w:tcW w:w="7260" w:type="dxa"/>
            <w:vAlign w:val="bottom"/>
            <w:gridSpan w:val="2"/>
          </w:tcPr>
          <w:p>
            <w:pPr>
              <w:ind w:left="2080"/>
              <w:spacing w:after="0"/>
              <w:rPr>
                <w:sz w:val="20"/>
                <w:szCs w:val="20"/>
                <w:color w:val="auto"/>
              </w:rPr>
            </w:pPr>
            <w:r>
              <w:rPr>
                <w:rFonts w:ascii="Times New Roman" w:cs="Times New Roman" w:eastAsia="Times New Roman" w:hAnsi="Times New Roman"/>
                <w:sz w:val="11"/>
                <w:szCs w:val="11"/>
                <w:color w:val="auto"/>
              </w:rPr>
              <w:t>MSCI INC.</w:t>
            </w:r>
          </w:p>
        </w:tc>
      </w:tr>
      <w:tr>
        <w:trPr>
          <w:trHeight w:val="163"/>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Timothy M. Meyer</w:t>
            </w:r>
          </w:p>
        </w:tc>
        <w:tc>
          <w:tcPr>
            <w:tcW w:w="2560" w:type="dxa"/>
            <w:vAlign w:val="bottom"/>
          </w:tcPr>
          <w:p>
            <w:pPr>
              <w:ind w:left="2080"/>
              <w:spacing w:after="0"/>
              <w:rPr>
                <w:sz w:val="20"/>
                <w:szCs w:val="20"/>
                <w:color w:val="auto"/>
              </w:rPr>
            </w:pPr>
            <w:r>
              <w:rPr>
                <w:rFonts w:ascii="Times New Roman" w:cs="Times New Roman" w:eastAsia="Times New Roman" w:hAnsi="Times New Roman"/>
                <w:sz w:val="11"/>
                <w:szCs w:val="11"/>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Paul E. Friedman</w:t>
            </w:r>
          </w:p>
        </w:tc>
      </w:tr>
      <w:tr>
        <w:trPr>
          <w:trHeight w:val="150"/>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Timothy M. Meyer</w:t>
            </w:r>
          </w:p>
        </w:tc>
        <w:tc>
          <w:tcPr>
            <w:tcW w:w="2560" w:type="dxa"/>
            <w:vAlign w:val="bottom"/>
          </w:tcPr>
          <w:p>
            <w:pPr>
              <w:ind w:left="2080"/>
              <w:spacing w:after="0"/>
              <w:rPr>
                <w:sz w:val="20"/>
                <w:szCs w:val="20"/>
                <w:color w:val="auto"/>
              </w:rPr>
            </w:pPr>
            <w:r>
              <w:rPr>
                <w:rFonts w:ascii="Times New Roman" w:cs="Times New Roman" w:eastAsia="Times New Roman" w:hAnsi="Times New Roman"/>
                <w:sz w:val="11"/>
                <w:szCs w:val="11"/>
                <w:color w:val="auto"/>
              </w:rPr>
              <w:t>Name</w:t>
            </w:r>
          </w:p>
        </w:tc>
        <w:tc>
          <w:tcPr>
            <w:tcW w:w="4700" w:type="dxa"/>
            <w:vAlign w:val="bottom"/>
          </w:tcPr>
          <w:p>
            <w:pPr>
              <w:spacing w:after="0"/>
              <w:rPr>
                <w:sz w:val="20"/>
                <w:szCs w:val="20"/>
                <w:color w:val="auto"/>
              </w:rPr>
            </w:pPr>
            <w:r>
              <w:rPr>
                <w:rFonts w:ascii="Times New Roman" w:cs="Times New Roman" w:eastAsia="Times New Roman" w:hAnsi="Times New Roman"/>
                <w:sz w:val="11"/>
                <w:szCs w:val="11"/>
                <w:color w:val="auto"/>
              </w:rPr>
              <w:t>Paul E. Friedman</w:t>
            </w:r>
          </w:p>
        </w:tc>
      </w:tr>
      <w:tr>
        <w:trPr>
          <w:trHeight w:val="162"/>
        </w:trPr>
        <w:tc>
          <w:tcPr>
            <w:tcW w:w="48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256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r>
      <w:tr>
        <w:trPr>
          <w:trHeight w:val="162"/>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M. Director</w:t>
            </w:r>
          </w:p>
        </w:tc>
        <w:tc>
          <w:tcPr>
            <w:tcW w:w="2560" w:type="dxa"/>
            <w:vAlign w:val="bottom"/>
          </w:tcPr>
          <w:p>
            <w:pPr>
              <w:ind w:left="2080"/>
              <w:spacing w:after="0"/>
              <w:rPr>
                <w:sz w:val="20"/>
                <w:szCs w:val="20"/>
                <w:color w:val="auto"/>
              </w:rPr>
            </w:pPr>
            <w:r>
              <w:rPr>
                <w:rFonts w:ascii="Times New Roman" w:cs="Times New Roman" w:eastAsia="Times New Roman" w:hAnsi="Times New Roman"/>
                <w:sz w:val="11"/>
                <w:szCs w:val="11"/>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r>
      <w:tr>
        <w:trPr>
          <w:trHeight w:val="162"/>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December 1, 2010</w:t>
            </w:r>
          </w:p>
        </w:tc>
        <w:tc>
          <w:tcPr>
            <w:tcW w:w="2560" w:type="dxa"/>
            <w:vAlign w:val="bottom"/>
          </w:tcPr>
          <w:p>
            <w:pPr>
              <w:ind w:left="2080"/>
              <w:spacing w:after="0"/>
              <w:rPr>
                <w:sz w:val="20"/>
                <w:szCs w:val="20"/>
                <w:color w:val="auto"/>
              </w:rPr>
            </w:pPr>
            <w:r>
              <w:rPr>
                <w:rFonts w:ascii="Times New Roman" w:cs="Times New Roman" w:eastAsia="Times New Roman" w:hAnsi="Times New Roman"/>
                <w:sz w:val="11"/>
                <w:szCs w:val="11"/>
                <w:color w:val="auto"/>
              </w:rPr>
              <w:t>Date</w:t>
            </w:r>
          </w:p>
        </w:tc>
        <w:tc>
          <w:tcPr>
            <w:tcW w:w="4700" w:type="dxa"/>
            <w:vAlign w:val="bottom"/>
          </w:tcPr>
          <w:p>
            <w:pPr>
              <w:spacing w:after="0"/>
              <w:rPr>
                <w:sz w:val="20"/>
                <w:szCs w:val="20"/>
                <w:color w:val="auto"/>
              </w:rPr>
            </w:pPr>
            <w:r>
              <w:rPr>
                <w:rFonts w:ascii="Times New Roman" w:cs="Times New Roman" w:eastAsia="Times New Roman" w:hAnsi="Times New Roman"/>
                <w:sz w:val="11"/>
                <w:szCs w:val="11"/>
                <w:color w:val="auto"/>
              </w:rPr>
              <w:t>December 10, 2010</w:t>
            </w:r>
          </w:p>
        </w:tc>
      </w:tr>
      <w:tr>
        <w:trPr>
          <w:trHeight w:val="162"/>
        </w:trPr>
        <w:tc>
          <w:tcPr>
            <w:tcW w:w="4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w:t>
            </w:r>
          </w:p>
        </w:tc>
        <w:tc>
          <w:tcPr>
            <w:tcW w:w="256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2"/>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/s/ Matthew R. Lewis</w:t>
            </w:r>
          </w:p>
        </w:tc>
        <w:tc>
          <w:tcPr>
            <w:tcW w:w="2560" w:type="dxa"/>
            <w:vAlign w:val="bottom"/>
          </w:tcPr>
          <w:p>
            <w:pPr>
              <w:spacing w:after="0"/>
              <w:rPr>
                <w:sz w:val="14"/>
                <w:szCs w:val="14"/>
                <w:color w:val="auto"/>
              </w:rPr>
            </w:pPr>
          </w:p>
        </w:tc>
        <w:tc>
          <w:tcPr>
            <w:tcW w:w="47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1270</wp:posOffset>
            </wp:positionV>
            <wp:extent cx="225742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0">
                      <a:extLst>
                        <a:ext uri="{28A0092B-C50C-407E-A947-70E740481C1C}"/>
                      </a:extLst>
                    </a:blip>
                    <a:srcRect/>
                    <a:stretch>
                      <a:fillRect/>
                    </a:stretch>
                  </pic:blipFill>
                  <pic:spPr bwMode="auto">
                    <a:xfrm>
                      <a:off x="0" y="0"/>
                      <a:ext cx="2257425" cy="5715"/>
                    </a:xfrm>
                    <a:prstGeom prst="rect">
                      <a:avLst/>
                    </a:prstGeom>
                    <a:noFill/>
                  </pic:spPr>
                </pic:pic>
              </a:graphicData>
            </a:graphic>
          </wp:anchor>
        </w:drawing>
      </w:r>
    </w:p>
    <w:p>
      <w:pPr>
        <w:spacing w:after="0" w:line="3" w:lineRule="exact"/>
        <w:rPr>
          <w:sz w:val="20"/>
          <w:szCs w:val="20"/>
          <w:color w:val="auto"/>
        </w:rPr>
      </w:pPr>
    </w:p>
    <w:p>
      <w:pPr>
        <w:ind w:left="8"/>
        <w:spacing w:after="0"/>
        <w:tabs>
          <w:tab w:leader="none" w:pos="608"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13"/>
          <w:szCs w:val="13"/>
          <w:color w:val="auto"/>
        </w:rPr>
        <w:t>Matthew R. Lewis</w:t>
      </w:r>
    </w:p>
    <w:p>
      <w:pPr>
        <w:spacing w:after="0" w:line="31"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3"/>
          <w:szCs w:val="13"/>
          <w:color w:val="auto"/>
        </w:rPr>
        <w:t>(printed)</w:t>
      </w:r>
    </w:p>
    <w:p>
      <w:pPr>
        <w:spacing w:after="0" w:line="31" w:lineRule="exact"/>
        <w:rPr>
          <w:sz w:val="20"/>
          <w:szCs w:val="20"/>
          <w:color w:val="auto"/>
        </w:rPr>
      </w:pPr>
    </w:p>
    <w:p>
      <w:pPr>
        <w:ind w:left="8"/>
        <w:spacing w:after="0"/>
        <w:tabs>
          <w:tab w:leader="none" w:pos="468"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Director</w:t>
      </w:r>
    </w:p>
    <w:p>
      <w:pPr>
        <w:spacing w:after="0" w:line="31" w:lineRule="exact"/>
        <w:rPr>
          <w:sz w:val="20"/>
          <w:szCs w:val="20"/>
          <w:color w:val="auto"/>
        </w:rPr>
      </w:pPr>
    </w:p>
    <w:p>
      <w:pPr>
        <w:ind w:left="8"/>
        <w:spacing w:after="0"/>
        <w:tabs>
          <w:tab w:leader="none" w:pos="468"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December 1, 2010</w:t>
      </w: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2</w:t>
      </w:r>
    </w:p>
    <w:p>
      <w:pPr>
        <w:sectPr>
          <w:pgSz w:w="11900" w:h="16838" w:orient="portrait"/>
          <w:cols w:equalWidth="0" w:num="1">
            <w:col w:w="11308"/>
          </w:cols>
          <w:pgMar w:left="292" w:top="413" w:right="299" w:bottom="1440" w:gutter="0" w:footer="0" w:header="0"/>
          <w:type w:val="continuous"/>
        </w:sectPr>
      </w:pPr>
    </w:p>
    <w:bookmarkStart w:id="154" w:name="page155"/>
    <w:bookmarkEnd w:id="154"/>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Exhibit 10.52</w:t>
      </w:r>
    </w:p>
    <w:p>
      <w:pPr>
        <w:spacing w:after="0" w:line="150" w:lineRule="exact"/>
        <w:rPr>
          <w:sz w:val="20"/>
          <w:szCs w:val="20"/>
          <w:color w:val="auto"/>
        </w:rPr>
      </w:pPr>
    </w:p>
    <w:p>
      <w:pPr>
        <w:ind w:left="8" w:right="80" w:hanging="8"/>
        <w:spacing w:after="0" w:line="286" w:lineRule="auto"/>
        <w:tabs>
          <w:tab w:leader="none" w:pos="218" w:val="left"/>
        </w:tabs>
        <w:numPr>
          <w:ilvl w:val="0"/>
          <w:numId w:val="1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 w:lineRule="exact"/>
        <w:rPr>
          <w:sz w:val="20"/>
          <w:szCs w:val="20"/>
          <w:color w:val="auto"/>
        </w:rPr>
      </w:pPr>
    </w:p>
    <w:p>
      <w:pPr>
        <w:ind w:left="9108"/>
        <w:spacing w:after="0"/>
        <w:rPr>
          <w:sz w:val="20"/>
          <w:szCs w:val="20"/>
          <w:color w:val="auto"/>
        </w:rPr>
      </w:pPr>
      <w:r>
        <w:rPr>
          <w:rFonts w:ascii="Times New Roman" w:cs="Times New Roman" w:eastAsia="Times New Roman" w:hAnsi="Times New Roman"/>
          <w:sz w:val="12"/>
          <w:szCs w:val="12"/>
          <w:color w:val="auto"/>
        </w:rPr>
        <w:t>Client Code/Reference No:</w:t>
      </w:r>
    </w:p>
    <w:p>
      <w:pPr>
        <w:spacing w:after="0" w:line="56" w:lineRule="exact"/>
        <w:rPr>
          <w:sz w:val="20"/>
          <w:szCs w:val="20"/>
          <w:color w:val="auto"/>
        </w:rPr>
      </w:pPr>
    </w:p>
    <w:p>
      <w:pPr>
        <w:jc w:val="center"/>
        <w:ind w:right="492"/>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Effective Date as of July 1, 2011</w:t>
      </w:r>
    </w:p>
    <w:p>
      <w:pPr>
        <w:spacing w:after="0" w:line="150" w:lineRule="exact"/>
        <w:rPr>
          <w:sz w:val="20"/>
          <w:szCs w:val="20"/>
          <w:color w:val="auto"/>
        </w:rPr>
      </w:pPr>
    </w:p>
    <w:p>
      <w:pPr>
        <w:ind w:left="128" w:right="620"/>
        <w:spacing w:after="0" w:line="265" w:lineRule="auto"/>
        <w:rPr>
          <w:sz w:val="20"/>
          <w:szCs w:val="20"/>
          <w:color w:val="auto"/>
        </w:rPr>
      </w:pPr>
      <w:r>
        <w:rPr>
          <w:rFonts w:ascii="Times New Roman" w:cs="Times New Roman" w:eastAsia="Times New Roman" w:hAnsi="Times New Roman"/>
          <w:sz w:val="12"/>
          <w:szCs w:val="12"/>
          <w:color w:val="auto"/>
        </w:rPr>
        <w:t>AMENDMENT to the Index License Agreement for Funds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dated as of May 18, 2000, by and between MSCI Inc. (formerly known as Morgan Stanley Capital International, Inc.) (“MSCI”) and BlackRock Institutional Trust Company, N.A. (formerly known as Barclays Global Investors, N.A.) (“Licensee”). Capitalized terms used herein but not otherwise defined herein shall have the meanings ascribed to them in the Agreement. This Amendment shall terminate and replace the Amendment between the parties dated July 1, 2006 (the “2006 Amendment”) solely for periods from and after date hereof.</w:t>
      </w:r>
    </w:p>
    <w:p>
      <w:pPr>
        <w:spacing w:after="0" w:line="119" w:lineRule="exact"/>
        <w:rPr>
          <w:sz w:val="20"/>
          <w:szCs w:val="20"/>
          <w:color w:val="auto"/>
        </w:rPr>
      </w:pPr>
    </w:p>
    <w:p>
      <w:pPr>
        <w:jc w:val="both"/>
        <w:ind w:left="528" w:right="860" w:hanging="528"/>
        <w:spacing w:after="0" w:line="265" w:lineRule="auto"/>
        <w:tabs>
          <w:tab w:leader="none" w:pos="528" w:val="left"/>
        </w:tabs>
        <w:numPr>
          <w:ilvl w:val="0"/>
          <w:numId w:val="122"/>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Term: Section 1 of the Amendment dated as of December 3, 2004 to the Agreement is hereby deleted. The term of the Agreement is extended until March 18, 2020, unless earlier terminated as provided therein or herein. Thereafter, the Agreement shall renew for successive one-year periods unless either party provides written notice to the other of its intent not to renew at least ninety (90) days prior to the end of the then-current term.</w:t>
      </w:r>
    </w:p>
    <w:p>
      <w:pPr>
        <w:spacing w:after="0" w:line="118" w:lineRule="exact"/>
        <w:rPr>
          <w:rFonts w:ascii="Times New Roman" w:cs="Times New Roman" w:eastAsia="Times New Roman" w:hAnsi="Times New Roman"/>
          <w:sz w:val="11"/>
          <w:szCs w:val="11"/>
          <w:color w:val="auto"/>
        </w:rPr>
      </w:pPr>
    </w:p>
    <w:p>
      <w:pPr>
        <w:ind w:left="528" w:right="840" w:hanging="528"/>
        <w:spacing w:after="0" w:line="279" w:lineRule="auto"/>
        <w:tabs>
          <w:tab w:leader="none" w:pos="528" w:val="left"/>
        </w:tabs>
        <w:numPr>
          <w:ilvl w:val="0"/>
          <w:numId w:val="122"/>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Fees: Section 2 of the Amendment dated as of December 3, 2004 to the Agreement is hereby deleted. The license fees shall be calculated and payable on a calendar quarterly basis as follows commencing as of the Effective Date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-487680</wp:posOffset>
            </wp:positionV>
            <wp:extent cx="15367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1">
                      <a:extLst>
                        <a:ext uri="{28A0092B-C50C-407E-A947-70E740481C1C}"/>
                      </a:extLst>
                    </a:blip>
                    <a:srcRect/>
                    <a:stretch>
                      <a:fillRect/>
                    </a:stretch>
                  </pic:blipFill>
                  <pic:spPr bwMode="auto">
                    <a:xfrm>
                      <a:off x="0" y="0"/>
                      <a:ext cx="153670" cy="571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-121920</wp:posOffset>
            </wp:positionV>
            <wp:extent cx="13335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2">
                      <a:extLst>
                        <a:ext uri="{28A0092B-C50C-407E-A947-70E740481C1C}"/>
                      </a:extLst>
                    </a:blip>
                    <a:srcRect/>
                    <a:stretch>
                      <a:fillRect/>
                    </a:stretch>
                  </pic:blipFill>
                  <pic:spPr bwMode="auto">
                    <a:xfrm>
                      <a:off x="0" y="0"/>
                      <a:ext cx="133350" cy="5715"/>
                    </a:xfrm>
                    <a:prstGeom prst="rect">
                      <a:avLst/>
                    </a:prstGeom>
                    <a:noFill/>
                  </pic:spPr>
                </pic:pic>
              </a:graphicData>
            </a:graphic>
          </wp:anchor>
        </w:drawing>
      </w:r>
    </w:p>
    <w:p>
      <w:pPr>
        <w:spacing w:after="0" w:line="91" w:lineRule="exact"/>
        <w:rPr>
          <w:sz w:val="20"/>
          <w:szCs w:val="20"/>
          <w:color w:val="auto"/>
        </w:rPr>
      </w:pPr>
    </w:p>
    <w:p>
      <w:pPr>
        <w:ind w:left="428" w:hanging="428"/>
        <w:spacing w:after="0"/>
        <w:tabs>
          <w:tab w:leader="none" w:pos="428" w:val="left"/>
        </w:tabs>
        <w:numPr>
          <w:ilvl w:val="0"/>
          <w:numId w:val="123"/>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MSCI JAPAN: Licensee shall pay MSCI a quarterly license fee with respect to the use of the MSCI Japan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-5715</wp:posOffset>
            </wp:positionV>
            <wp:extent cx="41783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3">
                      <a:extLst>
                        <a:ext uri="{28A0092B-C50C-407E-A947-70E740481C1C}"/>
                      </a:extLst>
                    </a:blip>
                    <a:srcRect/>
                    <a:stretch>
                      <a:fillRect/>
                    </a:stretch>
                  </pic:blipFill>
                  <pic:spPr bwMode="auto">
                    <a:xfrm>
                      <a:off x="0" y="0"/>
                      <a:ext cx="417830" cy="5715"/>
                    </a:xfrm>
                    <a:prstGeom prst="rect">
                      <a:avLst/>
                    </a:prstGeom>
                    <a:noFill/>
                  </pic:spPr>
                </pic:pic>
              </a:graphicData>
            </a:graphic>
          </wp:anchor>
        </w:drawing>
      </w:r>
    </w:p>
    <w:p>
      <w:pPr>
        <w:ind w:left="1988"/>
        <w:spacing w:after="0"/>
        <w:rPr>
          <w:sz w:val="20"/>
          <w:szCs w:val="20"/>
          <w:color w:val="auto"/>
        </w:rPr>
      </w:pPr>
      <w:r>
        <w:rPr>
          <w:rFonts w:ascii="Times New Roman" w:cs="Times New Roman" w:eastAsia="Times New Roman" w:hAnsi="Times New Roman"/>
          <w:sz w:val="12"/>
          <w:szCs w:val="12"/>
          <w:color w:val="auto"/>
        </w:rPr>
        <w:t>(“MSCI Japan”) as the basis for, or a component of, any passively managed Fund. The quarterly license fee shall equal:</w:t>
      </w:r>
    </w:p>
    <w:p>
      <w:pPr>
        <w:spacing w:after="0" w:line="139" w:lineRule="exact"/>
        <w:rPr>
          <w:sz w:val="20"/>
          <w:szCs w:val="20"/>
          <w:color w:val="auto"/>
        </w:rPr>
      </w:pPr>
    </w:p>
    <w:p>
      <w:pPr>
        <w:ind w:left="2408" w:hanging="419"/>
        <w:spacing w:after="0"/>
        <w:tabs>
          <w:tab w:leader="none" w:pos="2408" w:val="left"/>
        </w:tabs>
        <w:numPr>
          <w:ilvl w:val="0"/>
          <w:numId w:val="12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To the extent that the license fees payable to MSCI for a passively managed Fund based on MSCI Japan decrease in any calendar year, such licensee fees payable to MSCI, when expressed as a percentage of AUM for the applicable period,</w:t>
      </w:r>
    </w:p>
    <w:p>
      <w:pPr>
        <w:spacing w:after="0" w:line="21" w:lineRule="exact"/>
        <w:rPr>
          <w:sz w:val="20"/>
          <w:szCs w:val="20"/>
          <w:color w:val="auto"/>
        </w:rPr>
      </w:pPr>
    </w:p>
    <w:p>
      <w:pPr>
        <w:ind w:left="1548"/>
        <w:spacing w:after="0"/>
        <w:rPr>
          <w:sz w:val="20"/>
          <w:szCs w:val="20"/>
          <w:color w:val="auto"/>
        </w:rPr>
      </w:pPr>
      <w:r>
        <w:rPr>
          <w:rFonts w:ascii="Times New Roman" w:cs="Times New Roman" w:eastAsia="Times New Roman" w:hAnsi="Times New Roman"/>
          <w:sz w:val="12"/>
          <w:szCs w:val="12"/>
          <w:color w:val="auto"/>
        </w:rPr>
        <w:t>***********.</w:t>
      </w:r>
    </w:p>
    <w:p>
      <w:pPr>
        <w:spacing w:after="0" w:line="120" w:lineRule="exact"/>
        <w:rPr>
          <w:sz w:val="20"/>
          <w:szCs w:val="20"/>
          <w:color w:val="auto"/>
        </w:rPr>
      </w:pPr>
    </w:p>
    <w:p>
      <w:pPr>
        <w:ind w:left="1968" w:hanging="420"/>
        <w:spacing w:after="0"/>
        <w:tabs>
          <w:tab w:leader="none" w:pos="1968" w:val="left"/>
        </w:tabs>
        <w:numPr>
          <w:ilvl w:val="0"/>
          <w:numId w:val="125"/>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MSCI EAFE: Licensee shall pay MSCI a quarterly license fee with respect to the use of the MSCI Standard</w:t>
      </w:r>
    </w:p>
    <w:p>
      <w:pPr>
        <w:spacing w:after="0" w:line="16" w:lineRule="exact"/>
        <w:rPr>
          <w:rFonts w:ascii="Times New Roman" w:cs="Times New Roman" w:eastAsia="Times New Roman" w:hAnsi="Times New Roman"/>
          <w:sz w:val="11"/>
          <w:szCs w:val="11"/>
          <w:color w:val="auto"/>
        </w:rPr>
      </w:pPr>
    </w:p>
    <w:p>
      <w:pPr>
        <w:ind w:left="19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International Equity Index Series EAFE (“MSCI EAFE”) as the basis for, or a component of, any passively managed Fund. The quarterly license fee shall be calculated as</w:t>
      </w:r>
    </w:p>
    <w:p>
      <w:pPr>
        <w:spacing w:after="0" w:line="15" w:lineRule="exact"/>
        <w:rPr>
          <w:rFonts w:ascii="Times New Roman" w:cs="Times New Roman" w:eastAsia="Times New Roman" w:hAnsi="Times New Roman"/>
          <w:sz w:val="11"/>
          <w:szCs w:val="11"/>
          <w:color w:val="auto"/>
        </w:rPr>
      </w:pPr>
    </w:p>
    <w:p>
      <w:pPr>
        <w:ind w:left="19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-201295</wp:posOffset>
            </wp:positionV>
            <wp:extent cx="38735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4">
                      <a:extLst>
                        <a:ext uri="{28A0092B-C50C-407E-A947-70E740481C1C}"/>
                      </a:extLst>
                    </a:blip>
                    <a:srcRect/>
                    <a:stretch>
                      <a:fillRect/>
                    </a:stretch>
                  </pic:blipFill>
                  <pic:spPr bwMode="auto">
                    <a:xfrm>
                      <a:off x="0" y="0"/>
                      <a:ext cx="387350" cy="5715"/>
                    </a:xfrm>
                    <a:prstGeom prst="rect">
                      <a:avLst/>
                    </a:prstGeom>
                    <a:noFill/>
                  </pic:spPr>
                </pic:pic>
              </a:graphicData>
            </a:graphic>
          </wp:anchor>
        </w:drawing>
      </w:r>
    </w:p>
    <w:p>
      <w:pPr>
        <w:spacing w:after="0" w:line="37" w:lineRule="exact"/>
        <w:rPr>
          <w:sz w:val="20"/>
          <w:szCs w:val="20"/>
          <w:color w:val="auto"/>
        </w:rPr>
      </w:pPr>
    </w:p>
    <w:tbl>
      <w:tblPr>
        <w:tblLayout w:type="fixed"/>
        <w:tblInd w:w="2588" w:type="dxa"/>
        <w:tblCellMar>
          <w:top w:w="0" w:type="dxa"/>
          <w:left w:w="0" w:type="dxa"/>
          <w:bottom w:w="0" w:type="dxa"/>
          <w:right w:w="0" w:type="dxa"/>
        </w:tblCellMar>
      </w:tblPr>
      <w:tr>
        <w:trPr>
          <w:trHeight w:val="138"/>
        </w:trPr>
        <w:tc>
          <w:tcPr>
            <w:tcW w:w="4640" w:type="dxa"/>
            <w:vAlign w:val="bottom"/>
            <w:gridSpan w:val="2"/>
          </w:tcPr>
          <w:p>
            <w:pPr>
              <w:jc w:val="center"/>
              <w:ind w:right="3260"/>
              <w:spacing w:after="0"/>
              <w:rPr>
                <w:sz w:val="20"/>
                <w:szCs w:val="20"/>
                <w:color w:val="auto"/>
              </w:rPr>
            </w:pPr>
            <w:r>
              <w:rPr>
                <w:rFonts w:ascii="Times New Roman" w:cs="Times New Roman" w:eastAsia="Times New Roman" w:hAnsi="Times New Roman"/>
                <w:sz w:val="12"/>
                <w:szCs w:val="12"/>
                <w:b w:val="1"/>
                <w:bCs w:val="1"/>
                <w:color w:val="auto"/>
                <w:w w:val="99"/>
              </w:rPr>
              <w:t>AUM of the Relevant Fund</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QUARTERLY LICENSE FEE</w:t>
            </w:r>
          </w:p>
        </w:tc>
      </w:tr>
      <w:tr>
        <w:trPr>
          <w:trHeight w:val="223"/>
        </w:trPr>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326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216"/>
        </w:trPr>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3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216"/>
        </w:trPr>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3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216"/>
        </w:trPr>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3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bl>
    <w:p>
      <w:pPr>
        <w:spacing w:after="0" w:line="133" w:lineRule="exact"/>
        <w:rPr>
          <w:sz w:val="20"/>
          <w:szCs w:val="20"/>
          <w:color w:val="auto"/>
        </w:rPr>
      </w:pPr>
    </w:p>
    <w:p>
      <w:pPr>
        <w:ind w:left="408" w:right="1420" w:hanging="408"/>
        <w:spacing w:after="0" w:line="279" w:lineRule="auto"/>
        <w:tabs>
          <w:tab w:leader="none" w:pos="408" w:val="left"/>
        </w:tabs>
        <w:numPr>
          <w:ilvl w:val="0"/>
          <w:numId w:val="126"/>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OTHER MSCI INDICES: For use of all other MSCI Indices licensed under the Agreement, Licensee shall pay MSCI a quarterly license fee with respect to the use of each such Index as the basis for, or a component of, a passively managed Fund. The quarterly license fee shall be calculated 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-121920</wp:posOffset>
            </wp:positionV>
            <wp:extent cx="76073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5">
                      <a:extLst>
                        <a:ext uri="{28A0092B-C50C-407E-A947-70E740481C1C}"/>
                      </a:extLst>
                    </a:blip>
                    <a:srcRect/>
                    <a:stretch>
                      <a:fillRect/>
                    </a:stretch>
                  </pic:blipFill>
                  <pic:spPr bwMode="auto">
                    <a:xfrm>
                      <a:off x="0" y="0"/>
                      <a:ext cx="760730" cy="5715"/>
                    </a:xfrm>
                    <a:prstGeom prst="rect">
                      <a:avLst/>
                    </a:prstGeom>
                    <a:noFill/>
                  </pic:spPr>
                </pic:pic>
              </a:graphicData>
            </a:graphic>
          </wp:anchor>
        </w:drawing>
      </w:r>
    </w:p>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4640" w:type="dxa"/>
            <w:vAlign w:val="bottom"/>
            <w:gridSpan w:val="2"/>
          </w:tcPr>
          <w:p>
            <w:pPr>
              <w:jc w:val="center"/>
              <w:ind w:right="3260"/>
              <w:spacing w:after="0"/>
              <w:rPr>
                <w:sz w:val="20"/>
                <w:szCs w:val="20"/>
                <w:color w:val="auto"/>
              </w:rPr>
            </w:pPr>
            <w:r>
              <w:rPr>
                <w:rFonts w:ascii="Times New Roman" w:cs="Times New Roman" w:eastAsia="Times New Roman" w:hAnsi="Times New Roman"/>
                <w:sz w:val="12"/>
                <w:szCs w:val="12"/>
                <w:b w:val="1"/>
                <w:bCs w:val="1"/>
                <w:color w:val="auto"/>
                <w:w w:val="99"/>
              </w:rPr>
              <w:t>AUM of the Relevant Fund</w:t>
            </w:r>
          </w:p>
        </w:tc>
        <w:tc>
          <w:tcPr>
            <w:tcW w:w="4100" w:type="dxa"/>
            <w:vAlign w:val="bottom"/>
            <w:gridSpan w:val="2"/>
          </w:tcPr>
          <w:p>
            <w:pPr>
              <w:jc w:val="center"/>
              <w:ind w:right="2500"/>
              <w:spacing w:after="0"/>
              <w:rPr>
                <w:sz w:val="20"/>
                <w:szCs w:val="20"/>
                <w:color w:val="auto"/>
              </w:rPr>
            </w:pPr>
            <w:r>
              <w:rPr>
                <w:rFonts w:ascii="Times New Roman" w:cs="Times New Roman" w:eastAsia="Times New Roman" w:hAnsi="Times New Roman"/>
                <w:sz w:val="12"/>
                <w:szCs w:val="12"/>
                <w:b w:val="1"/>
                <w:bCs w:val="1"/>
                <w:color w:val="auto"/>
                <w:w w:val="98"/>
              </w:rPr>
              <w:t>QUARTERLY LICENSE FEE</w:t>
            </w:r>
          </w:p>
        </w:tc>
      </w:tr>
      <w:tr>
        <w:trPr>
          <w:trHeight w:val="223"/>
        </w:trPr>
        <w:tc>
          <w:tcPr>
            <w:tcW w:w="258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326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520" w:type="dxa"/>
            <w:vAlign w:val="bottom"/>
          </w:tcPr>
          <w:p>
            <w:pPr>
              <w:spacing w:after="0"/>
              <w:rPr>
                <w:sz w:val="19"/>
                <w:szCs w:val="19"/>
                <w:color w:val="auto"/>
              </w:rPr>
            </w:pPr>
          </w:p>
        </w:tc>
      </w:tr>
      <w:tr>
        <w:trPr>
          <w:trHeight w:val="216"/>
        </w:trPr>
        <w:tc>
          <w:tcPr>
            <w:tcW w:w="3960" w:type="dxa"/>
            <w:vAlign w:val="bottom"/>
            <w:gridSpan w:val="2"/>
          </w:tcPr>
          <w:p>
            <w:pPr>
              <w:jc w:val="center"/>
              <w:ind w:left="2520"/>
              <w:spacing w:after="0"/>
              <w:rPr>
                <w:sz w:val="20"/>
                <w:szCs w:val="20"/>
                <w:color w:val="auto"/>
              </w:rPr>
            </w:pPr>
            <w:r>
              <w:rPr>
                <w:rFonts w:ascii="Times New Roman" w:cs="Times New Roman" w:eastAsia="Times New Roman" w:hAnsi="Times New Roman"/>
                <w:sz w:val="12"/>
                <w:szCs w:val="12"/>
                <w:color w:val="auto"/>
                <w:w w:val="99"/>
              </w:rPr>
              <w:t>***********</w:t>
            </w:r>
          </w:p>
        </w:tc>
        <w:tc>
          <w:tcPr>
            <w:tcW w:w="3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520" w:type="dxa"/>
            <w:vAlign w:val="bottom"/>
          </w:tcPr>
          <w:p>
            <w:pPr>
              <w:spacing w:after="0"/>
              <w:rPr>
                <w:sz w:val="18"/>
                <w:szCs w:val="18"/>
                <w:color w:val="auto"/>
              </w:rPr>
            </w:pPr>
          </w:p>
        </w:tc>
      </w:tr>
      <w:tr>
        <w:trPr>
          <w:trHeight w:val="216"/>
        </w:trPr>
        <w:tc>
          <w:tcPr>
            <w:tcW w:w="3960" w:type="dxa"/>
            <w:vAlign w:val="bottom"/>
            <w:gridSpan w:val="2"/>
          </w:tcPr>
          <w:p>
            <w:pPr>
              <w:jc w:val="center"/>
              <w:ind w:left="2520"/>
              <w:spacing w:after="0"/>
              <w:rPr>
                <w:sz w:val="20"/>
                <w:szCs w:val="20"/>
                <w:color w:val="auto"/>
              </w:rPr>
            </w:pPr>
            <w:r>
              <w:rPr>
                <w:rFonts w:ascii="Times New Roman" w:cs="Times New Roman" w:eastAsia="Times New Roman" w:hAnsi="Times New Roman"/>
                <w:sz w:val="12"/>
                <w:szCs w:val="12"/>
                <w:color w:val="auto"/>
                <w:w w:val="99"/>
              </w:rPr>
              <w:t>***********</w:t>
            </w:r>
          </w:p>
        </w:tc>
        <w:tc>
          <w:tcPr>
            <w:tcW w:w="3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520" w:type="dxa"/>
            <w:vAlign w:val="bottom"/>
          </w:tcPr>
          <w:p>
            <w:pPr>
              <w:spacing w:after="0"/>
              <w:rPr>
                <w:sz w:val="18"/>
                <w:szCs w:val="18"/>
                <w:color w:val="auto"/>
              </w:rPr>
            </w:pPr>
          </w:p>
        </w:tc>
      </w:tr>
      <w:tr>
        <w:trPr>
          <w:trHeight w:val="216"/>
        </w:trPr>
        <w:tc>
          <w:tcPr>
            <w:tcW w:w="3960" w:type="dxa"/>
            <w:vAlign w:val="bottom"/>
            <w:gridSpan w:val="2"/>
          </w:tcPr>
          <w:p>
            <w:pPr>
              <w:jc w:val="center"/>
              <w:ind w:left="2520"/>
              <w:spacing w:after="0"/>
              <w:rPr>
                <w:sz w:val="20"/>
                <w:szCs w:val="20"/>
                <w:color w:val="auto"/>
              </w:rPr>
            </w:pPr>
            <w:r>
              <w:rPr>
                <w:rFonts w:ascii="Times New Roman" w:cs="Times New Roman" w:eastAsia="Times New Roman" w:hAnsi="Times New Roman"/>
                <w:sz w:val="12"/>
                <w:szCs w:val="12"/>
                <w:color w:val="auto"/>
                <w:w w:val="99"/>
              </w:rPr>
              <w:t>***********</w:t>
            </w:r>
          </w:p>
        </w:tc>
        <w:tc>
          <w:tcPr>
            <w:tcW w:w="3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520" w:type="dxa"/>
            <w:vAlign w:val="bottom"/>
          </w:tcPr>
          <w:p>
            <w:pPr>
              <w:spacing w:after="0"/>
              <w:rPr>
                <w:sz w:val="18"/>
                <w:szCs w:val="18"/>
                <w:color w:val="auto"/>
              </w:rPr>
            </w:pPr>
          </w:p>
        </w:tc>
      </w:tr>
      <w:tr>
        <w:trPr>
          <w:trHeight w:val="216"/>
        </w:trPr>
        <w:tc>
          <w:tcPr>
            <w:tcW w:w="3960" w:type="dxa"/>
            <w:vAlign w:val="bottom"/>
            <w:gridSpan w:val="2"/>
          </w:tcPr>
          <w:p>
            <w:pPr>
              <w:jc w:val="center"/>
              <w:ind w:left="2520"/>
              <w:spacing w:after="0"/>
              <w:rPr>
                <w:sz w:val="20"/>
                <w:szCs w:val="20"/>
                <w:color w:val="auto"/>
              </w:rPr>
            </w:pPr>
            <w:r>
              <w:rPr>
                <w:rFonts w:ascii="Times New Roman" w:cs="Times New Roman" w:eastAsia="Times New Roman" w:hAnsi="Times New Roman"/>
                <w:sz w:val="12"/>
                <w:szCs w:val="12"/>
                <w:color w:val="auto"/>
                <w:w w:val="99"/>
              </w:rPr>
              <w:t>***********</w:t>
            </w:r>
          </w:p>
        </w:tc>
        <w:tc>
          <w:tcPr>
            <w:tcW w:w="3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520" w:type="dxa"/>
            <w:vAlign w:val="bottom"/>
          </w:tcPr>
          <w:p>
            <w:pPr>
              <w:spacing w:after="0"/>
              <w:rPr>
                <w:sz w:val="18"/>
                <w:szCs w:val="18"/>
                <w:color w:val="auto"/>
              </w:rPr>
            </w:pPr>
          </w:p>
        </w:tc>
      </w:tr>
      <w:tr>
        <w:trPr>
          <w:trHeight w:val="216"/>
        </w:trPr>
        <w:tc>
          <w:tcPr>
            <w:tcW w:w="25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32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269" w:right="279" w:bottom="1440" w:gutter="0" w:footer="0" w:header="0"/>
        </w:sectPr>
      </w:pPr>
    </w:p>
    <w:bookmarkStart w:id="155" w:name="page156"/>
    <w:bookmarkEnd w:id="155"/>
    <w:p>
      <w:pPr>
        <w:ind w:left="408" w:right="280" w:hanging="408"/>
        <w:spacing w:after="0" w:line="283" w:lineRule="auto"/>
        <w:tabs>
          <w:tab w:leader="none" w:pos="408" w:val="left"/>
        </w:tabs>
        <w:numPr>
          <w:ilvl w:val="0"/>
          <w:numId w:val="127"/>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“Expense Ratio”: shall mean the amount of a Fund’s assets used to pay its expenses during a given time period, expressed as a percentage of the Fund’s average daily net assets over the same time period, including without limitation the total management fees, rule 12b-1 fees (or the equivalent) and all other Fund expenses. A Fund’s Expense Ratio shall be the Fund’s “Total Fund Operating Expense” as published by a Fund for the</w:t>
      </w:r>
    </w:p>
    <w:p>
      <w:pPr>
        <w:ind w:left="408"/>
        <w:spacing w:after="0" w:line="237" w:lineRule="auto"/>
        <w:rPr>
          <w:sz w:val="20"/>
          <w:szCs w:val="20"/>
          <w:color w:val="auto"/>
        </w:rPr>
      </w:pPr>
      <w:r>
        <w:rPr>
          <w:rFonts w:ascii="Times New Roman" w:cs="Times New Roman" w:eastAsia="Times New Roman" w:hAnsi="Times New Roman"/>
          <w:sz w:val="12"/>
          <w:szCs w:val="12"/>
          <w:color w:val="auto"/>
        </w:rPr>
        <w:t>relevant period. Notwithstanding anything to the contrary contained herein, if any Fund does not have an Expense Ratio,</w:t>
      </w:r>
    </w:p>
    <w:p>
      <w:pPr>
        <w:ind w:left="1988"/>
        <w:spacing w:after="0"/>
        <w:rPr>
          <w:sz w:val="20"/>
          <w:szCs w:val="20"/>
          <w:color w:val="auto"/>
        </w:rPr>
      </w:pPr>
      <w:r>
        <w:rPr>
          <w:rFonts w:ascii="Times New Roman" w:cs="Times New Roman" w:eastAsia="Times New Roman" w:hAnsi="Times New Roman"/>
          <w:sz w:val="12"/>
          <w:szCs w:val="12"/>
          <w:color w:val="auto"/>
        </w:rPr>
        <w:t>*********** of the Fund’s AUM during the relevant period.</w:t>
      </w:r>
    </w:p>
    <w:p>
      <w:pPr>
        <w:spacing w:after="0" w:line="120" w:lineRule="exact"/>
        <w:rPr>
          <w:sz w:val="20"/>
          <w:szCs w:val="20"/>
          <w:color w:val="auto"/>
        </w:rPr>
      </w:pPr>
    </w:p>
    <w:p>
      <w:pPr>
        <w:jc w:val="both"/>
        <w:ind w:left="408" w:right="560" w:hanging="408"/>
        <w:spacing w:after="0" w:line="265" w:lineRule="auto"/>
        <w:tabs>
          <w:tab w:leader="none" w:pos="408"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P</w:t>
      </w:r>
      <w:r>
        <w:rPr>
          <w:rFonts w:ascii="Times New Roman" w:cs="Times New Roman" w:eastAsia="Times New Roman" w:hAnsi="Times New Roman"/>
          <w:sz w:val="12"/>
          <w:szCs w:val="12"/>
          <w:u w:val="single" w:color="auto"/>
          <w:color w:val="auto"/>
        </w:rPr>
        <w:t>a</w:t>
      </w:r>
      <w:r>
        <w:rPr>
          <w:rFonts w:ascii="Times New Roman" w:cs="Times New Roman" w:eastAsia="Times New Roman" w:hAnsi="Times New Roman"/>
          <w:sz w:val="12"/>
          <w:szCs w:val="12"/>
          <w:color w:val="auto"/>
        </w:rPr>
        <w:t>y</w:t>
      </w:r>
      <w:r>
        <w:rPr>
          <w:rFonts w:ascii="Times New Roman" w:cs="Times New Roman" w:eastAsia="Times New Roman" w:hAnsi="Times New Roman"/>
          <w:sz w:val="12"/>
          <w:szCs w:val="12"/>
          <w:u w:val="single" w:color="auto"/>
          <w:color w:val="auto"/>
        </w:rPr>
        <w:t>ment</w:t>
      </w:r>
      <w:r>
        <w:rPr>
          <w:rFonts w:ascii="Times New Roman" w:cs="Times New Roman" w:eastAsia="Times New Roman" w:hAnsi="Times New Roman"/>
          <w:sz w:val="12"/>
          <w:szCs w:val="12"/>
          <w:color w:val="auto"/>
        </w:rPr>
        <w:t>: The license fees shall be paid in arrears to MSCI by the fifteenth day of the following quarter and shall be accompanied by a statement from Licensee stating that such fees are accurate. Any license fees or any other amounts due hereunder that are not timely paid shall accrue interest at the rate of *********** or the maximum amount permitted by law, whichever is less, which interest charges shall begin accruing on the relevant due date and shall continue to accrue until such license fees and all other amounts due hereunder are paid in full.</w:t>
      </w:r>
    </w:p>
    <w:p>
      <w:pPr>
        <w:spacing w:after="0" w:line="118" w:lineRule="exact"/>
        <w:rPr>
          <w:rFonts w:ascii="Times New Roman" w:cs="Times New Roman" w:eastAsia="Times New Roman" w:hAnsi="Times New Roman"/>
          <w:sz w:val="11"/>
          <w:szCs w:val="11"/>
          <w:color w:val="auto"/>
        </w:rPr>
      </w:pPr>
    </w:p>
    <w:p>
      <w:pPr>
        <w:ind w:left="408" w:right="120" w:hanging="408"/>
        <w:spacing w:after="0" w:line="257" w:lineRule="auto"/>
        <w:tabs>
          <w:tab w:leader="none" w:pos="408"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Records: Licensee shall maintain detailed and accurate records with respect to the assets of the Funds and any of Licensee’s payments to MSCI hereunder. During the term of the Agreement and for a period of three (3) years after its termination, Licensee, upon written request by MSCI, shall provide access to such records during normal business hours to MSCI and/or an independent accounting organization chosen and compensated by MSCI. Licensee shall promptly pay any underreported license fees and all other amounts due hereunder determined by such audit plus interest thereon at a rate of ***********, or the highest rate allowed by law, whichever is less, for the period of time during which such amount was owed and unpaid. If such audit reveals an underpayment in excess of *********** of the amount due hereunder, then Licensee shall also pay for the reasonable cost of such audit.</w:t>
      </w:r>
    </w:p>
    <w:p>
      <w:pPr>
        <w:spacing w:after="0" w:line="125" w:lineRule="exact"/>
        <w:rPr>
          <w:rFonts w:ascii="Times New Roman" w:cs="Times New Roman" w:eastAsia="Times New Roman" w:hAnsi="Times New Roman"/>
          <w:sz w:val="11"/>
          <w:szCs w:val="11"/>
          <w:color w:val="auto"/>
        </w:rPr>
      </w:pPr>
    </w:p>
    <w:p>
      <w:pPr>
        <w:ind w:left="408" w:hanging="408"/>
        <w:spacing w:after="0"/>
        <w:tabs>
          <w:tab w:leader="none" w:pos="408"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Taxes: Licensee will promptly pay all federal, state and local sales, personal property, ad valorem and other taxes of a similar nature arising as a result of the Agreement, other than taxes based on MSCI’s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-554355</wp:posOffset>
            </wp:positionV>
            <wp:extent cx="24320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8">
                      <a:extLst>
                        <a:ext uri="{28A0092B-C50C-407E-A947-70E740481C1C}"/>
                      </a:extLst>
                    </a:blip>
                    <a:srcRect/>
                    <a:stretch>
                      <a:fillRect/>
                    </a:stretch>
                  </pic:blipFill>
                  <pic:spPr bwMode="auto">
                    <a:xfrm>
                      <a:off x="0" y="0"/>
                      <a:ext cx="243205" cy="571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-5715</wp:posOffset>
            </wp:positionV>
            <wp:extent cx="16891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9">
                      <a:extLst>
                        <a:ext uri="{28A0092B-C50C-407E-A947-70E740481C1C}"/>
                      </a:extLst>
                    </a:blip>
                    <a:srcRect/>
                    <a:stretch>
                      <a:fillRect/>
                    </a:stretch>
                  </pic:blipFill>
                  <pic:spPr bwMode="auto">
                    <a:xfrm>
                      <a:off x="0" y="0"/>
                      <a:ext cx="168910" cy="5715"/>
                    </a:xfrm>
                    <a:prstGeom prst="rect">
                      <a:avLst/>
                    </a:prstGeom>
                    <a:noFill/>
                  </pic:spPr>
                </pic:pic>
              </a:graphicData>
            </a:graphic>
          </wp:anchor>
        </w:drawing>
      </w:r>
    </w:p>
    <w:p>
      <w:pPr>
        <w:spacing w:after="0" w:line="139" w:lineRule="exact"/>
        <w:rPr>
          <w:sz w:val="20"/>
          <w:szCs w:val="20"/>
          <w:color w:val="auto"/>
        </w:rPr>
      </w:pPr>
    </w:p>
    <w:p>
      <w:pPr>
        <w:ind w:left="548" w:hanging="548"/>
        <w:spacing w:after="0"/>
        <w:tabs>
          <w:tab w:leader="none" w:pos="548"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Additional 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-5715</wp:posOffset>
            </wp:positionV>
            <wp:extent cx="64516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0">
                      <a:extLst>
                        <a:ext uri="{28A0092B-C50C-407E-A947-70E740481C1C}"/>
                      </a:extLst>
                    </a:blip>
                    <a:srcRect/>
                    <a:stretch>
                      <a:fillRect/>
                    </a:stretch>
                  </pic:blipFill>
                  <pic:spPr bwMode="auto">
                    <a:xfrm>
                      <a:off x="0" y="0"/>
                      <a:ext cx="645160" cy="5715"/>
                    </a:xfrm>
                    <a:prstGeom prst="rect">
                      <a:avLst/>
                    </a:prstGeom>
                    <a:noFill/>
                  </pic:spPr>
                </pic:pic>
              </a:graphicData>
            </a:graphic>
          </wp:anchor>
        </w:drawing>
      </w:r>
    </w:p>
    <w:p>
      <w:pPr>
        <w:spacing w:after="0" w:line="103" w:lineRule="exact"/>
        <w:rPr>
          <w:sz w:val="20"/>
          <w:szCs w:val="20"/>
          <w:color w:val="auto"/>
        </w:rPr>
      </w:pPr>
    </w:p>
    <w:p>
      <w:pPr>
        <w:ind w:left="408" w:hanging="408"/>
        <w:spacing w:after="0"/>
        <w:tabs>
          <w:tab w:leader="none" w:pos="408" w:val="left"/>
        </w:tabs>
        <w:numPr>
          <w:ilvl w:val="0"/>
          <w:numId w:val="130"/>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If MSCI grants any *********** after the effective date of this Amendment a license to use MSCI *********** as the basis for any passively managed fund to be listed by the licensee for trading on an exchange</w:t>
      </w:r>
    </w:p>
    <w:p>
      <w:pPr>
        <w:spacing w:after="0" w:line="15"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color w:val="auto"/>
        </w:rPr>
        <w:t>located in</w:t>
      </w:r>
    </w:p>
    <w:p>
      <w:pPr>
        <w:ind w:left="1988"/>
        <w:spacing w:after="0" w:line="234" w:lineRule="auto"/>
        <w:rPr>
          <w:sz w:val="20"/>
          <w:szCs w:val="20"/>
          <w:color w:val="auto"/>
        </w:rPr>
      </w:pPr>
      <w:r>
        <w:rPr>
          <w:rFonts w:ascii="Times New Roman" w:cs="Times New Roman" w:eastAsia="Times New Roman" w:hAnsi="Times New Roman"/>
          <w:sz w:val="12"/>
          <w:szCs w:val="12"/>
          <w:color w:val="auto"/>
        </w:rPr>
        <w:t>***********. For purposes of clarity and by way of illustration only, the parties acknowledge that if MSCI</w:t>
      </w:r>
    </w:p>
    <w:p>
      <w:pPr>
        <w:ind w:left="1988"/>
        <w:spacing w:after="0"/>
        <w:rPr>
          <w:sz w:val="20"/>
          <w:szCs w:val="20"/>
          <w:color w:val="auto"/>
        </w:rPr>
      </w:pPr>
      <w:r>
        <w:rPr>
          <w:rFonts w:ascii="Times New Roman" w:cs="Times New Roman" w:eastAsia="Times New Roman" w:hAnsi="Times New Roman"/>
          <w:sz w:val="12"/>
          <w:szCs w:val="12"/>
          <w:color w:val="auto"/>
        </w:rPr>
        <w:t>*********** is licensed after the date hereof to *********** to serve as the basis for a ***********.</w:t>
      </w:r>
    </w:p>
    <w:p>
      <w:pPr>
        <w:spacing w:after="0" w:line="120" w:lineRule="exact"/>
        <w:rPr>
          <w:sz w:val="20"/>
          <w:szCs w:val="20"/>
          <w:color w:val="auto"/>
        </w:rPr>
      </w:pPr>
    </w:p>
    <w:p>
      <w:pPr>
        <w:ind w:left="408" w:hanging="408"/>
        <w:spacing w:after="0"/>
        <w:tabs>
          <w:tab w:leader="none" w:pos="408" w:val="left"/>
        </w:tabs>
        <w:numPr>
          <w:ilvl w:val="0"/>
          <w:numId w:val="131"/>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Licenses granted by MSCI *********** to issue *********** based on customized versions, or sub-indices (e.g., sector indices or market-cap sub-indices) or aggregated indices (e.g., regional indices), of ***********</w:t>
      </w:r>
    </w:p>
    <w:p>
      <w:pPr>
        <w:spacing w:after="0" w:line="16" w:lineRule="exact"/>
        <w:rPr>
          <w:rFonts w:ascii="Times New Roman" w:cs="Times New Roman" w:eastAsia="Times New Roman" w:hAnsi="Times New Roman"/>
          <w:sz w:val="11"/>
          <w:szCs w:val="11"/>
          <w:color w:val="auto"/>
        </w:rPr>
      </w:pPr>
    </w:p>
    <w:p>
      <w:pPr>
        <w:ind w:left="40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are not subject to Section 3(a) above. If the name of any such *********** fund based on a customized index includes the relevant index name, it shall use a customized or varied index name (e.g., XXX MSCI</w:t>
      </w:r>
    </w:p>
    <w:p>
      <w:pPr>
        <w:spacing w:after="0" w:line="6" w:lineRule="exact"/>
        <w:rPr>
          <w:rFonts w:ascii="Times New Roman" w:cs="Times New Roman" w:eastAsia="Times New Roman" w:hAnsi="Times New Roman"/>
          <w:sz w:val="11"/>
          <w:szCs w:val="11"/>
          <w:color w:val="auto"/>
        </w:rPr>
      </w:pPr>
    </w:p>
    <w:p>
      <w:pPr>
        <w:ind w:left="40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 Index Fund) and not the Standard International Equity Series Index name (e.g., XXX MSCI *********** Index Fund).</w:t>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428" w:hanging="428"/>
        <w:spacing w:after="0"/>
        <w:tabs>
          <w:tab w:leader="none" w:pos="428" w:val="left"/>
        </w:tabs>
        <w:numPr>
          <w:ilvl w:val="0"/>
          <w:numId w:val="132"/>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If Licensee issues any exchange traded fund listed in *********** based on a non-MSCI index that ***********.</w:t>
      </w:r>
    </w:p>
    <w:p>
      <w:pPr>
        <w:spacing w:after="0" w:line="51" w:lineRule="exact"/>
        <w:rPr>
          <w:sz w:val="20"/>
          <w:szCs w:val="20"/>
          <w:color w:val="auto"/>
        </w:rPr>
      </w:pPr>
    </w:p>
    <w:p>
      <w:pPr>
        <w:ind w:left="8" w:right="220"/>
        <w:spacing w:after="0" w:line="279" w:lineRule="auto"/>
        <w:rPr>
          <w:sz w:val="20"/>
          <w:szCs w:val="20"/>
          <w:color w:val="auto"/>
        </w:rPr>
      </w:pPr>
      <w:r>
        <w:rPr>
          <w:rFonts w:ascii="Times New Roman" w:cs="Times New Roman" w:eastAsia="Times New Roman" w:hAnsi="Times New Roman"/>
          <w:sz w:val="12"/>
          <w:szCs w:val="12"/>
          <w:color w:val="auto"/>
        </w:rPr>
        <w:t>The determination of whether *********** shall be based on the information available at the time of the launch of Licensee’s Fund ***********. To determine whether an index ***********, the parties agree that factors to be considered should include the following:</w:t>
      </w:r>
    </w:p>
    <w:p>
      <w:pPr>
        <w:spacing w:after="0" w:line="183" w:lineRule="exact"/>
        <w:rPr>
          <w:sz w:val="20"/>
          <w:szCs w:val="20"/>
          <w:color w:val="auto"/>
        </w:rPr>
      </w:pPr>
    </w:p>
    <w:p>
      <w:pPr>
        <w:ind w:left="488" w:hanging="488"/>
        <w:spacing w:after="0"/>
        <w:tabs>
          <w:tab w:leader="none" w:pos="488"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78" w:lineRule="exact"/>
        <w:rPr>
          <w:rFonts w:ascii="Times New Roman" w:cs="Times New Roman" w:eastAsia="Times New Roman" w:hAnsi="Times New Roman"/>
          <w:sz w:val="12"/>
          <w:szCs w:val="12"/>
          <w:color w:val="auto"/>
        </w:rPr>
      </w:pPr>
    </w:p>
    <w:p>
      <w:pPr>
        <w:ind w:left="528" w:hanging="528"/>
        <w:spacing w:after="0"/>
        <w:tabs>
          <w:tab w:leader="none" w:pos="528"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and</w:t>
      </w:r>
    </w:p>
    <w:p>
      <w:pPr>
        <w:spacing w:after="0" w:line="78"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purposes of illustration, the parties agree that as of today ***********. Additionally, the parties agree that customized versions of otherwise ***********.</w:t>
      </w:r>
    </w:p>
    <w:p>
      <w:pPr>
        <w:spacing w:after="0" w:line="14" w:lineRule="exact"/>
        <w:rPr>
          <w:sz w:val="20"/>
          <w:szCs w:val="20"/>
          <w:color w:val="auto"/>
        </w:rPr>
      </w:pPr>
    </w:p>
    <w:p>
      <w:pPr>
        <w:ind w:left="548" w:hanging="548"/>
        <w:spacing w:after="0"/>
        <w:tabs>
          <w:tab w:leader="none" w:pos="548" w:val="left"/>
        </w:tabs>
        <w:numPr>
          <w:ilvl w:val="0"/>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Index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-10795</wp:posOffset>
            </wp:positionV>
            <wp:extent cx="5340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1">
                      <a:extLst>
                        <a:ext uri="{28A0092B-C50C-407E-A947-70E740481C1C}"/>
                      </a:extLst>
                    </a:blip>
                    <a:srcRect/>
                    <a:stretch>
                      <a:fillRect/>
                    </a:stretch>
                  </pic:blipFill>
                  <pic:spPr bwMode="auto">
                    <a:xfrm>
                      <a:off x="0" y="0"/>
                      <a:ext cx="534035" cy="5715"/>
                    </a:xfrm>
                    <a:prstGeom prst="rect">
                      <a:avLst/>
                    </a:prstGeom>
                    <a:noFill/>
                  </pic:spPr>
                </pic:pic>
              </a:graphicData>
            </a:graphic>
          </wp:anchor>
        </w:drawing>
      </w:r>
    </w:p>
    <w:p>
      <w:pPr>
        <w:spacing w:after="0" w:line="23"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For the avoidance of doubt, the parties acknowledge that the MSCI EAFE and Japan Indices are defined as the then- current versions of such indices as part of the MSCI Standard International Equity Index Series, and the Agreement and this Amendment shall apply with respect to any successor index, or any methodology changes to, any such Index, resulting in such Index remaining an MSCI Standard International Equity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89470"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028"/>
          </w:cols>
          <w:pgMar w:left="292" w:top="273" w:right="579" w:bottom="1440" w:gutter="0" w:footer="0" w:header="0"/>
        </w:sectPr>
      </w:pPr>
    </w:p>
    <w:bookmarkStart w:id="156" w:name="page157"/>
    <w:bookmarkEnd w:id="156"/>
    <w:p>
      <w:pPr>
        <w:ind w:left="548" w:hanging="548"/>
        <w:spacing w:after="0"/>
        <w:tabs>
          <w:tab w:leader="none" w:pos="548" w:val="left"/>
        </w:tabs>
        <w:numPr>
          <w:ilvl w:val="0"/>
          <w:numId w:val="135"/>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Index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-5715</wp:posOffset>
            </wp:positionV>
            <wp:extent cx="47053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3">
                      <a:extLst>
                        <a:ext uri="{28A0092B-C50C-407E-A947-70E740481C1C}"/>
                      </a:extLst>
                    </a:blip>
                    <a:srcRect/>
                    <a:stretch>
                      <a:fillRect/>
                    </a:stretch>
                  </pic:blipFill>
                  <pic:spPr bwMode="auto">
                    <a:xfrm>
                      <a:off x="0" y="0"/>
                      <a:ext cx="470535" cy="5715"/>
                    </a:xfrm>
                    <a:prstGeom prst="rect">
                      <a:avLst/>
                    </a:prstGeom>
                    <a:noFill/>
                  </pic:spPr>
                </pic:pic>
              </a:graphicData>
            </a:graphic>
          </wp:anchor>
        </w:drawing>
      </w:r>
    </w:p>
    <w:p>
      <w:pPr>
        <w:spacing w:after="0" w:line="58" w:lineRule="exact"/>
        <w:rPr>
          <w:sz w:val="20"/>
          <w:szCs w:val="20"/>
          <w:color w:val="auto"/>
        </w:rPr>
      </w:pPr>
    </w:p>
    <w:p>
      <w:pPr>
        <w:ind w:left="508" w:hanging="508"/>
        <w:spacing w:after="0"/>
        <w:tabs>
          <w:tab w:leader="none" w:pos="508"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78" w:lineRule="exact"/>
        <w:rPr>
          <w:rFonts w:ascii="Times New Roman" w:cs="Times New Roman" w:eastAsia="Times New Roman" w:hAnsi="Times New Roman"/>
          <w:sz w:val="12"/>
          <w:szCs w:val="12"/>
          <w:color w:val="auto"/>
        </w:rPr>
      </w:pPr>
    </w:p>
    <w:p>
      <w:pPr>
        <w:ind w:left="528" w:hanging="528"/>
        <w:spacing w:after="0"/>
        <w:tabs>
          <w:tab w:leader="none" w:pos="528"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78"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51" w:lineRule="exact"/>
        <w:rPr>
          <w:rFonts w:ascii="Times New Roman" w:cs="Times New Roman" w:eastAsia="Times New Roman" w:hAnsi="Times New Roman"/>
          <w:sz w:val="12"/>
          <w:szCs w:val="12"/>
          <w:color w:val="auto"/>
        </w:rPr>
      </w:pPr>
    </w:p>
    <w:p>
      <w:pPr>
        <w:ind w:left="408" w:right="400" w:hanging="408"/>
        <w:spacing w:after="0" w:line="265" w:lineRule="auto"/>
        <w:tabs>
          <w:tab w:leader="none" w:pos="408"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acknowledges that MSCI’s marketing and promotional efforts shall be limited to MSCI’s international indices, and that MSCI has no obligation or intent to market or promote any Funds or Licensee’s products or services generally. In the event MSCI chooses to engage in marketing or promotional efforts that reference any trade or service mark belonging to Licensee, MSCI will obtain Licensee’s approval prior to referencing such mark.</w:t>
      </w:r>
    </w:p>
    <w:p>
      <w:pPr>
        <w:spacing w:after="0" w:line="119" w:lineRule="exact"/>
        <w:rPr>
          <w:sz w:val="20"/>
          <w:szCs w:val="20"/>
          <w:color w:val="auto"/>
        </w:rPr>
      </w:pPr>
    </w:p>
    <w:p>
      <w:pPr>
        <w:ind w:left="548" w:hanging="548"/>
        <w:spacing w:after="0"/>
        <w:tabs>
          <w:tab w:leader="none" w:pos="548" w:val="left"/>
        </w:tabs>
        <w:numPr>
          <w:ilvl w:val="0"/>
          <w:numId w:val="137"/>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-5715</wp:posOffset>
            </wp:positionV>
            <wp:extent cx="44005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4">
                      <a:extLst>
                        <a:ext uri="{28A0092B-C50C-407E-A947-70E740481C1C}"/>
                      </a:extLst>
                    </a:blip>
                    <a:srcRect/>
                    <a:stretch>
                      <a:fillRect/>
                    </a:stretch>
                  </pic:blipFill>
                  <pic:spPr bwMode="auto">
                    <a:xfrm>
                      <a:off x="0" y="0"/>
                      <a:ext cx="440055" cy="5715"/>
                    </a:xfrm>
                    <a:prstGeom prst="rect">
                      <a:avLst/>
                    </a:prstGeom>
                    <a:noFill/>
                  </pic:spPr>
                </pic:pic>
              </a:graphicData>
            </a:graphic>
          </wp:anchor>
        </w:drawing>
      </w:r>
    </w:p>
    <w:p>
      <w:pPr>
        <w:spacing w:after="0" w:line="31"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No right or license of any kind is granted to Licensee except as expressly provided in the Agreement and this Amendment. This Amendment shall be governed by, and construed in accordance with, the laws of the State of New York without regard to its conflict or choice of laws principles.</w:t>
      </w:r>
    </w:p>
    <w:p>
      <w:pPr>
        <w:sectPr>
          <w:pgSz w:w="11900" w:h="16838" w:orient="portrait"/>
          <w:cols w:equalWidth="0" w:num="1">
            <w:col w:w="11008"/>
          </w:cols>
          <w:pgMar w:left="292" w:top="318" w:right="599" w:bottom="1440" w:gutter="0" w:footer="0" w:header="0"/>
        </w:sectPr>
      </w:pPr>
    </w:p>
    <w:p>
      <w:pPr>
        <w:spacing w:after="0" w:line="119" w:lineRule="exact"/>
        <w:rPr>
          <w:sz w:val="20"/>
          <w:szCs w:val="20"/>
          <w:color w:val="auto"/>
        </w:rPr>
      </w:pPr>
    </w:p>
    <w:p>
      <w:pPr>
        <w:ind w:left="1808"/>
        <w:spacing w:after="0"/>
        <w:rPr>
          <w:sz w:val="20"/>
          <w:szCs w:val="20"/>
          <w:color w:val="auto"/>
        </w:rPr>
      </w:pPr>
      <w:r>
        <w:rPr>
          <w:rFonts w:ascii="Times New Roman" w:cs="Times New Roman" w:eastAsia="Times New Roman" w:hAnsi="Times New Roman"/>
          <w:sz w:val="11"/>
          <w:szCs w:val="11"/>
          <w:color w:val="auto"/>
        </w:rPr>
        <w:t>LICENSEE: BlackRock Institutional Trust Company,</w:t>
      </w:r>
    </w:p>
    <w:p>
      <w:pPr>
        <w:spacing w:after="0" w:line="28" w:lineRule="exact"/>
        <w:rPr>
          <w:sz w:val="20"/>
          <w:szCs w:val="20"/>
          <w:color w:val="auto"/>
        </w:rPr>
      </w:pPr>
    </w:p>
    <w:p>
      <w:pPr>
        <w:ind w:left="1808"/>
        <w:spacing w:after="0"/>
        <w:rPr>
          <w:sz w:val="20"/>
          <w:szCs w:val="20"/>
          <w:color w:val="auto"/>
        </w:rPr>
      </w:pPr>
      <w:r>
        <w:rPr>
          <w:rFonts w:ascii="Times New Roman" w:cs="Times New Roman" w:eastAsia="Times New Roman" w:hAnsi="Times New Roman"/>
          <w:sz w:val="12"/>
          <w:szCs w:val="12"/>
          <w:color w:val="auto"/>
        </w:rPr>
        <w:t>N.A.</w:t>
      </w:r>
    </w:p>
    <w:p>
      <w:pPr>
        <w:spacing w:after="0" w:line="6" w:lineRule="exact"/>
        <w:rPr>
          <w:sz w:val="20"/>
          <w:szCs w:val="20"/>
          <w:color w:val="auto"/>
        </w:rPr>
      </w:pPr>
    </w:p>
    <w:p>
      <w:pPr>
        <w:ind w:left="1808"/>
        <w:spacing w:after="0"/>
        <w:rPr>
          <w:sz w:val="20"/>
          <w:szCs w:val="20"/>
          <w:color w:val="auto"/>
        </w:rPr>
      </w:pPr>
      <w:r>
        <w:rPr>
          <w:rFonts w:ascii="Times New Roman" w:cs="Times New Roman" w:eastAsia="Times New Roman" w:hAnsi="Times New Roman"/>
          <w:sz w:val="12"/>
          <w:szCs w:val="12"/>
          <w:u w:val="single" w:color="auto"/>
          <w:color w:val="auto"/>
        </w:rPr>
        <w:t>By/s/ Jenni A. Lee</w:t>
      </w:r>
    </w:p>
    <w:p>
      <w:pPr>
        <w:spacing w:after="0" w:line="13" w:lineRule="exact"/>
        <w:rPr>
          <w:sz w:val="20"/>
          <w:szCs w:val="20"/>
          <w:color w:val="auto"/>
        </w:rPr>
      </w:pPr>
    </w:p>
    <w:p>
      <w:pPr>
        <w:ind w:left="1808"/>
        <w:spacing w:after="0"/>
        <w:rPr>
          <w:sz w:val="20"/>
          <w:szCs w:val="20"/>
          <w:color w:val="auto"/>
        </w:rPr>
      </w:pPr>
      <w:r>
        <w:rPr>
          <w:rFonts w:ascii="Times New Roman" w:cs="Times New Roman" w:eastAsia="Times New Roman" w:hAnsi="Times New Roman"/>
          <w:sz w:val="12"/>
          <w:szCs w:val="12"/>
          <w:color w:val="auto"/>
        </w:rPr>
        <w:t>Name Jenni A. Lee</w:t>
      </w:r>
    </w:p>
    <w:p>
      <w:pPr>
        <w:spacing w:after="0" w:line="17" w:lineRule="exact"/>
        <w:rPr>
          <w:sz w:val="20"/>
          <w:szCs w:val="20"/>
          <w:color w:val="auto"/>
        </w:rPr>
      </w:pPr>
    </w:p>
    <w:tbl>
      <w:tblPr>
        <w:tblLayout w:type="fixed"/>
        <w:tblInd w:w="1808" w:type="dxa"/>
        <w:tblCellMar>
          <w:top w:w="0" w:type="dxa"/>
          <w:left w:w="0" w:type="dxa"/>
          <w:bottom w:w="0" w:type="dxa"/>
          <w:right w:w="0" w:type="dxa"/>
        </w:tblCellMar>
      </w:tblPr>
      <w:tr>
        <w:trPr>
          <w:trHeight w:val="155"/>
        </w:trPr>
        <w:tc>
          <w:tcPr>
            <w:tcW w:w="30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(printed)</w:t>
            </w:r>
          </w:p>
        </w:tc>
      </w:tr>
      <w:tr>
        <w:trPr>
          <w:trHeight w:val="212"/>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28"/>
        </w:trPr>
        <w:tc>
          <w:tcPr>
            <w:tcW w:w="132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auto"/>
              </w:rPr>
              <w:t>By/s/ Timothy M. Meyer</w:t>
            </w:r>
          </w:p>
        </w:tc>
      </w:tr>
      <w:tr>
        <w:trPr>
          <w:trHeight w:val="20"/>
        </w:trPr>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0"/>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7"/>
              </w:rPr>
              <w:t>Name</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w w:val="97"/>
              </w:rPr>
              <w:t>Timothy M. Meyer</w:t>
            </w:r>
          </w:p>
        </w:tc>
      </w:tr>
      <w:tr>
        <w:trPr>
          <w:trHeight w:val="155"/>
        </w:trPr>
        <w:tc>
          <w:tcPr>
            <w:tcW w:w="300" w:type="dxa"/>
            <w:vAlign w:val="bottom"/>
          </w:tcPr>
          <w:p>
            <w:pPr>
              <w:spacing w:after="0"/>
              <w:rPr>
                <w:sz w:val="13"/>
                <w:szCs w:val="13"/>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(printed)</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M. Director</w:t>
            </w:r>
          </w:p>
        </w:tc>
      </w:tr>
    </w:tbl>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MSCI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By /s/ Paul Friedman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Name and Title MSCI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(printed) ED</w:t>
      </w:r>
    </w:p>
    <w:p>
      <w:pPr>
        <w:sectPr>
          <w:pgSz w:w="11900" w:h="16838" w:orient="portrait"/>
          <w:cols w:equalWidth="0" w:num="2">
            <w:col w:w="6228" w:space="720"/>
            <w:col w:w="4060"/>
          </w:cols>
          <w:pgMar w:left="292" w:top="318" w:right="599" w:bottom="1440" w:gutter="0" w:footer="0" w:header="0"/>
          <w:type w:val="continuous"/>
        </w:sectPr>
      </w:pPr>
    </w:p>
    <w:bookmarkStart w:id="157" w:name="page158"/>
    <w:bookmarkEnd w:id="157"/>
    <w:p>
      <w:pPr>
        <w:ind w:left="10668"/>
        <w:spacing w:after="0"/>
        <w:rPr>
          <w:sz w:val="20"/>
          <w:szCs w:val="20"/>
          <w:color w:val="auto"/>
        </w:rPr>
      </w:pPr>
      <w:r>
        <w:rPr>
          <w:rFonts w:ascii="Times New Roman" w:cs="Times New Roman" w:eastAsia="Times New Roman" w:hAnsi="Times New Roman"/>
          <w:sz w:val="11"/>
          <w:szCs w:val="11"/>
          <w:b w:val="1"/>
          <w:bCs w:val="1"/>
          <w:color w:val="auto"/>
        </w:rPr>
        <w:t>Exhibit 10.53</w:t>
      </w:r>
    </w:p>
    <w:p>
      <w:pPr>
        <w:spacing w:after="0" w:line="126" w:lineRule="exact"/>
        <w:rPr>
          <w:sz w:val="20"/>
          <w:szCs w:val="20"/>
          <w:color w:val="auto"/>
        </w:rPr>
      </w:pPr>
    </w:p>
    <w:p>
      <w:pPr>
        <w:ind w:left="8" w:hanging="8"/>
        <w:spacing w:after="0" w:line="299" w:lineRule="auto"/>
        <w:tabs>
          <w:tab w:leader="none" w:pos="235" w:val="left"/>
        </w:tabs>
        <w:numPr>
          <w:ilvl w:val="0"/>
          <w:numId w:val="13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AMD_00389</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Client Code/Reference No: W FNIA/CA</w:t>
      </w:r>
    </w:p>
    <w:p>
      <w:pPr>
        <w:spacing w:after="0" w:line="1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xml:space="preserve">Date of Amendment: </w:t>
      </w:r>
      <w:r>
        <w:rPr>
          <w:rFonts w:ascii="Times New Roman" w:cs="Times New Roman" w:eastAsia="Times New Roman" w:hAnsi="Times New Roman"/>
          <w:sz w:val="11"/>
          <w:szCs w:val="11"/>
          <w:u w:val="single" w:color="auto"/>
          <w:color w:val="auto"/>
        </w:rPr>
        <w:t>August 23rd</w:t>
      </w:r>
      <w:r>
        <w:rPr>
          <w:rFonts w:ascii="Times New Roman" w:cs="Times New Roman" w:eastAsia="Times New Roman" w:hAnsi="Times New Roman"/>
          <w:sz w:val="11"/>
          <w:szCs w:val="11"/>
          <w:color w:val="auto"/>
        </w:rPr>
        <w:t xml:space="preserve"> 2011</w:t>
      </w:r>
    </w:p>
    <w:p>
      <w:pPr>
        <w:spacing w:after="0" w:line="126" w:lineRule="exact"/>
        <w:rPr>
          <w:sz w:val="20"/>
          <w:szCs w:val="20"/>
          <w:color w:val="auto"/>
        </w:rPr>
      </w:pPr>
    </w:p>
    <w:p>
      <w:pPr>
        <w:ind w:left="8" w:right="160"/>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w:t>
      </w:r>
      <w:r>
        <w:rPr>
          <w:rFonts w:ascii="Times New Roman" w:cs="Times New Roman" w:eastAsia="Times New Roman" w:hAnsi="Times New Roman"/>
          <w:sz w:val="11"/>
          <w:szCs w:val="11"/>
          <w:u w:val="single" w:color="auto"/>
          <w:color w:val="auto"/>
        </w:rPr>
        <w:t>Agreement</w:t>
      </w:r>
      <w:r>
        <w:rPr>
          <w:rFonts w:ascii="Times New Roman" w:cs="Times New Roman" w:eastAsia="Times New Roman" w:hAnsi="Times New Roman"/>
          <w:sz w:val="11"/>
          <w:szCs w:val="11"/>
          <w:color w:val="auto"/>
        </w:rPr>
        <w:t>”), dated as of March 18, 2000, by and between MSCI Inc. (“</w:t>
      </w:r>
      <w:r>
        <w:rPr>
          <w:rFonts w:ascii="Times New Roman" w:cs="Times New Roman" w:eastAsia="Times New Roman" w:hAnsi="Times New Roman"/>
          <w:sz w:val="11"/>
          <w:szCs w:val="11"/>
          <w:u w:val="single" w:color="auto"/>
          <w:color w:val="auto"/>
        </w:rPr>
        <w:t>MSCI</w:t>
      </w:r>
      <w:r>
        <w:rPr>
          <w:rFonts w:ascii="Times New Roman" w:cs="Times New Roman" w:eastAsia="Times New Roman" w:hAnsi="Times New Roman"/>
          <w:sz w:val="11"/>
          <w:szCs w:val="11"/>
          <w:color w:val="auto"/>
        </w:rPr>
        <w:t>”), a Delaware corporation, and Blackrock Institutional Trust Company, N.A. (formerly known as Barclays Global Investors, N.A.) (“</w:t>
      </w:r>
      <w:r>
        <w:rPr>
          <w:rFonts w:ascii="Times New Roman" w:cs="Times New Roman" w:eastAsia="Times New Roman" w:hAnsi="Times New Roman"/>
          <w:sz w:val="11"/>
          <w:szCs w:val="11"/>
          <w:u w:val="single" w:color="auto"/>
          <w:color w:val="auto"/>
        </w:rPr>
        <w:t>Licensee</w:t>
      </w:r>
      <w:r>
        <w:rPr>
          <w:rFonts w:ascii="Times New Roman" w:cs="Times New Roman" w:eastAsia="Times New Roman" w:hAnsi="Times New Roman"/>
          <w:sz w:val="11"/>
          <w:szCs w:val="11"/>
          <w:color w:val="auto"/>
        </w:rPr>
        <w:t>”). Capitalized terms used herein but not otherwise defined herein shall have the meanings ascribed in the Agreement.</w:t>
      </w:r>
    </w:p>
    <w:p>
      <w:pPr>
        <w:spacing w:after="0" w:line="75" w:lineRule="exact"/>
        <w:rPr>
          <w:sz w:val="20"/>
          <w:szCs w:val="20"/>
          <w:color w:val="auto"/>
        </w:rPr>
      </w:pPr>
    </w:p>
    <w:p>
      <w:pPr>
        <w:ind w:left="728" w:right="40" w:hanging="368"/>
        <w:spacing w:after="0" w:line="276" w:lineRule="auto"/>
        <w:tabs>
          <w:tab w:leader="none" w:pos="728" w:val="left"/>
        </w:tabs>
        <w:numPr>
          <w:ilvl w:val="0"/>
          <w:numId w:val="1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amended to allow the Funds to be additionally listed and traded on the USA domiciled stock or securities exchanges (herein referred to as the “USA Listed Funds”). All Listed Funds must be issued, sold and traded on a public basis in accordance with the applicable USA securities law. All other terms and restrictions contained in Exhibit B shall apply to the USA Listed Funds. Notwithstanding anything to the contrary in Exhibit A, the USA Listed Funds may only be based on the following index:</w:t>
      </w:r>
    </w:p>
    <w:p>
      <w:pPr>
        <w:sectPr>
          <w:pgSz w:w="11900" w:h="16838" w:orient="portrait"/>
          <w:cols w:equalWidth="0" w:num="1">
            <w:col w:w="11308"/>
          </w:cols>
          <w:pgMar w:left="292" w:top="267" w:right="299" w:bottom="1440" w:gutter="0" w:footer="0" w:header="0"/>
        </w:sectPr>
      </w:pPr>
    </w:p>
    <w:p>
      <w:pPr>
        <w:spacing w:after="0" w:line="113"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World Index</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Emerging Markets Asia Index</w:t>
      </w:r>
    </w:p>
    <w:p>
      <w:pPr>
        <w:spacing w:after="0" w:line="9"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Emerging Markets EMEA Index</w:t>
      </w:r>
    </w:p>
    <w:p>
      <w:pPr>
        <w:spacing w:after="0" w:line="9"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Emerging Markets Latin America Index</w:t>
      </w:r>
    </w:p>
    <w:p>
      <w:pPr>
        <w:spacing w:after="0" w:line="9"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w:t>
      </w:r>
    </w:p>
    <w:p>
      <w:pPr>
        <w:spacing w:after="0" w:line="132"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All Country Asia ex Japan Small Cap Index</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India Small Cap Index</w:t>
      </w:r>
    </w:p>
    <w:p>
      <w:pPr>
        <w:spacing w:after="0" w:line="9"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w:t>
      </w:r>
    </w:p>
    <w:p>
      <w:pPr>
        <w:spacing w:after="0" w:line="77"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Australia Small Cap index</w:t>
      </w:r>
    </w:p>
    <w:p>
      <w:pPr>
        <w:spacing w:after="0" w:line="27"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Canada Small Cap Index</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Germany Small Cap Index</w:t>
      </w:r>
    </w:p>
    <w:p>
      <w:pPr>
        <w:spacing w:after="0" w:line="18"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Hong Kong Small Cap Index</w:t>
      </w:r>
    </w:p>
    <w:p>
      <w:pPr>
        <w:spacing w:after="0" w:line="17"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w:t>
      </w:r>
    </w:p>
    <w:p>
      <w:pPr>
        <w:spacing w:after="0" w:line="15"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Singapore Small Cap Index</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Taiwan Small Cap Index</w:t>
      </w:r>
    </w:p>
    <w:p>
      <w:pPr>
        <w:spacing w:after="0" w:line="17"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MSCI United Kingdom Small Cap Index</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EM Energy 25/50 Index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All Country Asia information Technology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Emerging Markets Growth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Emerging Markets Value Index</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Denmark IMI 25/50 Index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Finland IMI 25/50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Norway IMI 25/50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India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Vietnam IMI Index</w:t>
      </w:r>
    </w:p>
    <w:p>
      <w:pPr>
        <w:spacing w:after="0" w:line="1499" w:lineRule="exact"/>
        <w:rPr>
          <w:sz w:val="20"/>
          <w:szCs w:val="20"/>
          <w:color w:val="auto"/>
        </w:rPr>
      </w:pPr>
    </w:p>
    <w:p>
      <w:pPr>
        <w:sectPr>
          <w:pgSz w:w="11900" w:h="16838" w:orient="portrait"/>
          <w:cols w:equalWidth="0" w:num="2">
            <w:col w:w="4988" w:space="720"/>
            <w:col w:w="5600"/>
          </w:cols>
          <w:pgMar w:left="292" w:top="267" w:right="299" w:bottom="1440" w:gutter="0" w:footer="0" w:header="0"/>
          <w:type w:val="continuous"/>
        </w:sectPr>
      </w:pPr>
    </w:p>
    <w:p>
      <w:pPr>
        <w:ind w:left="728" w:right="100"/>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USA Listed Funds. For clarity, there shall be no separate licensee fees for the USA Listed Funds but any additional assets from the USA Listed Funds shall be included in the average daily net assets of the applicable listed Funds for purposed of calculating license fees.</w:t>
      </w:r>
    </w:p>
    <w:p>
      <w:pPr>
        <w:spacing w:after="0" w:line="30" w:lineRule="exact"/>
        <w:rPr>
          <w:sz w:val="20"/>
          <w:szCs w:val="20"/>
          <w:color w:val="auto"/>
        </w:rPr>
      </w:pPr>
    </w:p>
    <w:p>
      <w:pPr>
        <w:ind w:left="728" w:right="100" w:hanging="368"/>
        <w:spacing w:after="0" w:line="276" w:lineRule="auto"/>
        <w:tabs>
          <w:tab w:leader="none" w:pos="728" w:val="left"/>
        </w:tabs>
        <w:numPr>
          <w:ilvl w:val="0"/>
          <w:numId w:val="1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further amended to allow the Funds to be additionally listed and traded on the Mexican domiciled stock or securities exchanges (herein referred to as the “</w:t>
      </w:r>
      <w:r>
        <w:rPr>
          <w:rFonts w:ascii="Times New Roman" w:cs="Times New Roman" w:eastAsia="Times New Roman" w:hAnsi="Times New Roman"/>
          <w:sz w:val="11"/>
          <w:szCs w:val="11"/>
          <w:u w:val="single" w:color="auto"/>
          <w:color w:val="auto"/>
        </w:rPr>
        <w:t>Mexican Listed Funds</w:t>
      </w:r>
      <w:r>
        <w:rPr>
          <w:rFonts w:ascii="Times New Roman" w:cs="Times New Roman" w:eastAsia="Times New Roman" w:hAnsi="Times New Roman"/>
          <w:sz w:val="11"/>
          <w:szCs w:val="11"/>
          <w:color w:val="auto"/>
        </w:rPr>
        <w:t>”). All Listed Funds must be issued, sold and traded on a public basis in accordance with the applicable Mexican securities law. All other terms and restrictions contained in Exhibit B shall apply to the Mexican Listed Funds. Notwithstanding anything to the contrary in Exhibit A, the Mexican Listed Funds may only be based on the following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89470"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7" w:right="299" w:bottom="144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MSCI World Index</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MSCI Denmark IMI 25/50 Index</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MSCI Finland IMI 25/50 Index</w:t>
            </w:r>
          </w:p>
        </w:tc>
        <w:tc>
          <w:tcPr>
            <w:tcW w:w="0" w:type="dxa"/>
            <w:vAlign w:val="bottom"/>
          </w:tcPr>
          <w:p>
            <w:pPr>
              <w:spacing w:after="0"/>
              <w:rPr>
                <w:sz w:val="1"/>
                <w:szCs w:val="1"/>
                <w:color w:val="auto"/>
              </w:rPr>
            </w:pPr>
          </w:p>
        </w:tc>
      </w:tr>
      <w:tr>
        <w:trPr>
          <w:trHeight w:val="148"/>
        </w:trPr>
        <w:tc>
          <w:tcPr>
            <w:tcW w:w="3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MSCI Norway IMI 25/50 Index</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MSCI India Index</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60"/>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Mexican Listed Funds. For clarity, there shall be no separate licensee fees for the Mexican Listed Funds but any additional assets from the Mexican Listed Funds shall be included in the average daily net assets of the applicable listed Funds for purposed of calculating license fees.</w:t>
      </w:r>
    </w:p>
    <w:p>
      <w:pPr>
        <w:spacing w:after="0" w:line="30" w:lineRule="exact"/>
        <w:rPr>
          <w:sz w:val="20"/>
          <w:szCs w:val="20"/>
          <w:color w:val="auto"/>
        </w:rPr>
      </w:pPr>
    </w:p>
    <w:p>
      <w:pPr>
        <w:ind w:left="660" w:right="120" w:hanging="368"/>
        <w:spacing w:after="0" w:line="276" w:lineRule="auto"/>
        <w:tabs>
          <w:tab w:leader="none" w:pos="660" w:val="left"/>
        </w:tabs>
        <w:numPr>
          <w:ilvl w:val="0"/>
          <w:numId w:val="1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further amended to allow the Funds to be additionally listed and traded on the Chilean domiciled stock or securities exchanges (herein referred to as the “</w:t>
      </w:r>
      <w:r>
        <w:rPr>
          <w:rFonts w:ascii="Times New Roman" w:cs="Times New Roman" w:eastAsia="Times New Roman" w:hAnsi="Times New Roman"/>
          <w:sz w:val="11"/>
          <w:szCs w:val="11"/>
          <w:u w:val="single" w:color="auto"/>
          <w:color w:val="auto"/>
        </w:rPr>
        <w:t>Chilean Listed Funds</w:t>
      </w:r>
      <w:r>
        <w:rPr>
          <w:rFonts w:ascii="Times New Roman" w:cs="Times New Roman" w:eastAsia="Times New Roman" w:hAnsi="Times New Roman"/>
          <w:sz w:val="11"/>
          <w:szCs w:val="11"/>
          <w:color w:val="auto"/>
        </w:rPr>
        <w:t>”). All Listed Funds must be issued, sold and traded on a public basis in accordance with the applicable Chilean securities law. All other terms and restrictions contained in Exhibit B shall apply to the Chilean Listed Funds. Notwithstanding anything to the contrary in Exhibit A, the Chilean Listed Funds may only be based on the following index:</w:t>
      </w:r>
    </w:p>
    <w:p>
      <w:pPr>
        <w:sectPr>
          <w:pgSz w:w="11900" w:h="16838" w:orient="portrait"/>
          <w:cols w:equalWidth="0" w:num="1">
            <w:col w:w="11180"/>
          </w:cols>
          <w:pgMar w:left="360" w:top="404" w:right="359" w:bottom="1440" w:gutter="0" w:footer="0" w:header="0"/>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MSCI World Index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ectPr>
          <w:pgSz w:w="11900" w:h="16838" w:orient="portrait"/>
          <w:cols w:equalWidth="0" w:num="2">
            <w:col w:w="4920" w:space="720"/>
            <w:col w:w="5540"/>
          </w:cols>
          <w:pgMar w:left="360" w:top="404"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180"/>
          </w:cols>
          <w:pgMar w:left="360" w:top="404" w:right="35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355" w:lineRule="exact"/>
        <w:rPr>
          <w:sz w:val="20"/>
          <w:szCs w:val="20"/>
          <w:color w:val="auto"/>
        </w:rPr>
      </w:pPr>
    </w:p>
    <w:p>
      <w:pPr>
        <w:sectPr>
          <w:pgSz w:w="11900" w:h="16838" w:orient="portrait"/>
          <w:cols w:equalWidth="0" w:num="2">
            <w:col w:w="4920" w:space="720"/>
            <w:col w:w="5540"/>
          </w:cols>
          <w:pgMar w:left="360" w:top="404" w:right="359" w:bottom="1440" w:gutter="0" w:footer="0" w:header="0"/>
          <w:type w:val="continuous"/>
        </w:sectPr>
      </w:pPr>
    </w:p>
    <w:p>
      <w:pPr>
        <w:ind w:left="660" w:right="60"/>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Chilean Listed Funds. For clarity, there shall be no separate licensee fees for the Chilean Listed Funds but any additional assets from the Chilean Listed Funds shall be included in the average daily net assets of the applicable listed Funds for purposed of calculating license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217170</wp:posOffset>
            </wp:positionV>
            <wp:extent cx="7189470"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80"/>
          </w:cols>
          <w:pgMar w:left="360" w:top="404" w:right="359" w:bottom="1440" w:gutter="0" w:footer="0" w:header="0"/>
          <w:type w:val="continuous"/>
        </w:sectPr>
      </w:pPr>
    </w:p>
    <w:bookmarkStart w:id="159" w:name="page160"/>
    <w:bookmarkEnd w:id="159"/>
    <w:p>
      <w:pPr>
        <w:ind w:left="720" w:right="140" w:hanging="368"/>
        <w:spacing w:after="0" w:line="276" w:lineRule="auto"/>
        <w:tabs>
          <w:tab w:leader="none" w:pos="720" w:val="left"/>
        </w:tabs>
        <w:numPr>
          <w:ilvl w:val="0"/>
          <w:numId w:val="1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further amended to allow the Funds to be additionally listed and traded on the Peru domiciled stock or securities exchanges (herein referred to as the “</w:t>
      </w:r>
      <w:r>
        <w:rPr>
          <w:rFonts w:ascii="Times New Roman" w:cs="Times New Roman" w:eastAsia="Times New Roman" w:hAnsi="Times New Roman"/>
          <w:sz w:val="11"/>
          <w:szCs w:val="11"/>
          <w:u w:val="single" w:color="auto"/>
          <w:color w:val="auto"/>
        </w:rPr>
        <w:t>Peru Listed Funds</w:t>
      </w:r>
      <w:r>
        <w:rPr>
          <w:rFonts w:ascii="Times New Roman" w:cs="Times New Roman" w:eastAsia="Times New Roman" w:hAnsi="Times New Roman"/>
          <w:sz w:val="11"/>
          <w:szCs w:val="11"/>
          <w:color w:val="auto"/>
        </w:rPr>
        <w:t>”). All Listed Funds must be issued, sold and traded on a public basis in accordance with the applicable Peru securities law. All other terms and restrictions contained in Exhibit B shall apply to the Peru Listed Funds. Notwithstanding anything to the contrary in Exhibit A, the Peru Listed Funds may only be based on the following Index:</w:t>
      </w:r>
    </w:p>
    <w:p>
      <w:pPr>
        <w:spacing w:after="0" w:line="113" w:lineRule="exact"/>
        <w:rPr>
          <w:sz w:val="20"/>
          <w:szCs w:val="20"/>
          <w:color w:val="auto"/>
        </w:rPr>
      </w:pPr>
    </w:p>
    <w:tbl>
      <w:tblPr>
        <w:tblLayout w:type="fixed"/>
        <w:tblInd w:w="2400" w:type="dxa"/>
        <w:tblCellMar>
          <w:top w:w="0" w:type="dxa"/>
          <w:left w:w="0" w:type="dxa"/>
          <w:bottom w:w="0" w:type="dxa"/>
          <w:right w:w="0" w:type="dxa"/>
        </w:tblCellMar>
      </w:tblP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w w:val="98"/>
              </w:rPr>
              <w:t>MSCI World Index</w:t>
            </w: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1"/>
                <w:szCs w:val="11"/>
                <w:color w:val="auto"/>
              </w:rPr>
            </w:pP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spacing w:after="0"/>
              <w:rPr>
                <w:sz w:val="11"/>
                <w:szCs w:val="11"/>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1"/>
                <w:szCs w:val="11"/>
                <w:color w:val="auto"/>
              </w:rPr>
            </w:pP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1"/>
                <w:szCs w:val="11"/>
                <w:color w:val="auto"/>
              </w:rPr>
            </w:pP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1"/>
                <w:szCs w:val="11"/>
                <w:color w:val="auto"/>
              </w:rPr>
            </w:pP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1"/>
                <w:szCs w:val="11"/>
                <w:color w:val="auto"/>
              </w:rPr>
            </w:pP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1"/>
                <w:szCs w:val="11"/>
                <w:color w:val="auto"/>
              </w:rPr>
            </w:pP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1"/>
                <w:szCs w:val="11"/>
                <w:color w:val="auto"/>
              </w:rPr>
            </w:pP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1"/>
                <w:szCs w:val="11"/>
                <w:color w:val="auto"/>
              </w:rPr>
            </w:pPr>
          </w:p>
        </w:tc>
      </w:tr>
      <w:tr>
        <w:trPr>
          <w:trHeight w:val="135"/>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1"/>
                <w:szCs w:val="11"/>
                <w:color w:val="auto"/>
              </w:rPr>
            </w:pPr>
          </w:p>
        </w:tc>
      </w:tr>
      <w:tr>
        <w:trPr>
          <w:trHeight w:val="148"/>
        </w:trPr>
        <w:tc>
          <w:tcPr>
            <w:tcW w:w="3300" w:type="dxa"/>
            <w:vAlign w:val="bottom"/>
          </w:tcPr>
          <w:p>
            <w:pPr>
              <w:jc w:val="center"/>
              <w:ind w:right="2403"/>
              <w:spacing w:after="0"/>
              <w:rPr>
                <w:sz w:val="20"/>
                <w:szCs w:val="20"/>
                <w:color w:val="auto"/>
              </w:rPr>
            </w:pPr>
            <w:r>
              <w:rPr>
                <w:rFonts w:ascii="Times New Roman" w:cs="Times New Roman" w:eastAsia="Times New Roman" w:hAnsi="Times New Roman"/>
                <w:sz w:val="11"/>
                <w:szCs w:val="11"/>
                <w:color w:val="auto"/>
              </w:rPr>
              <w:t>***********</w:t>
            </w:r>
          </w:p>
        </w:tc>
        <w:tc>
          <w:tcPr>
            <w:tcW w:w="3080" w:type="dxa"/>
            <w:vAlign w:val="bottom"/>
          </w:tcPr>
          <w:p>
            <w:pPr>
              <w:spacing w:after="0"/>
              <w:rPr>
                <w:sz w:val="12"/>
                <w:szCs w:val="12"/>
                <w:color w:val="auto"/>
              </w:rPr>
            </w:pPr>
          </w:p>
        </w:tc>
      </w:tr>
    </w:tbl>
    <w:p>
      <w:pPr>
        <w:spacing w:after="0" w:line="131" w:lineRule="exact"/>
        <w:rPr>
          <w:sz w:val="20"/>
          <w:szCs w:val="20"/>
          <w:color w:val="auto"/>
        </w:rPr>
      </w:pPr>
    </w:p>
    <w:p>
      <w:pPr>
        <w:ind w:left="720" w:right="60"/>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Peru Listed Funds. For clarity, there shall be no separate licensee fees for the Peru Listed Funds but any additional assets from the Peru Listed Funds shall be included in the average daily net assets of the applicable listed Funds for purposed of calculating license fees.</w:t>
      </w:r>
    </w:p>
    <w:p>
      <w:pPr>
        <w:spacing w:after="0" w:line="30" w:lineRule="exact"/>
        <w:rPr>
          <w:sz w:val="20"/>
          <w:szCs w:val="20"/>
          <w:color w:val="auto"/>
        </w:rPr>
      </w:pPr>
    </w:p>
    <w:p>
      <w:pPr>
        <w:ind w:left="720" w:right="140" w:hanging="368"/>
        <w:spacing w:after="0" w:line="276" w:lineRule="auto"/>
        <w:tabs>
          <w:tab w:leader="none" w:pos="720" w:val="left"/>
        </w:tabs>
        <w:numPr>
          <w:ilvl w:val="0"/>
          <w:numId w:val="1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further amended to allow the Funds to be additionally listed and traded on the Colombian domiciled stock or securities exchanges (herein referred to as the “</w:t>
      </w:r>
      <w:r>
        <w:rPr>
          <w:rFonts w:ascii="Times New Roman" w:cs="Times New Roman" w:eastAsia="Times New Roman" w:hAnsi="Times New Roman"/>
          <w:sz w:val="11"/>
          <w:szCs w:val="11"/>
          <w:u w:val="single" w:color="auto"/>
          <w:color w:val="auto"/>
        </w:rPr>
        <w:t>Colombian Listed Funds</w:t>
      </w:r>
      <w:r>
        <w:rPr>
          <w:rFonts w:ascii="Times New Roman" w:cs="Times New Roman" w:eastAsia="Times New Roman" w:hAnsi="Times New Roman"/>
          <w:sz w:val="11"/>
          <w:szCs w:val="11"/>
          <w:color w:val="auto"/>
        </w:rPr>
        <w:t>”). All Listed Funds must be issued, sold and traded on a public basis in accordance with the applicable Colombian securities law. All other terms and restrictions contained in Exhibit B shall apply to the Colombian Listed Funds. Notwithstanding anything to the contrary in Exhibit A, the Colombian Listed Funds may only be based on the following 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8"/>
              </w:rPr>
              <w:t>MSCI World Index</w:t>
            </w: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1"/>
                <w:szCs w:val="11"/>
                <w:color w:val="auto"/>
              </w:rPr>
            </w:pP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spacing w:after="0"/>
              <w:rPr>
                <w:sz w:val="11"/>
                <w:szCs w:val="11"/>
                <w:color w:val="auto"/>
              </w:rPr>
            </w:pP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jc w:val="right"/>
              <w:ind w:right="24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1"/>
                <w:szCs w:val="11"/>
                <w:color w:val="auto"/>
              </w:rPr>
            </w:pP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1"/>
                <w:szCs w:val="11"/>
                <w:color w:val="auto"/>
              </w:rPr>
            </w:pP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1"/>
                <w:szCs w:val="11"/>
                <w:color w:val="auto"/>
              </w:rPr>
            </w:pP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1"/>
                <w:szCs w:val="11"/>
                <w:color w:val="auto"/>
              </w:rPr>
            </w:pP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1"/>
                <w:szCs w:val="11"/>
                <w:color w:val="auto"/>
              </w:rPr>
            </w:pP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1"/>
                <w:szCs w:val="11"/>
                <w:color w:val="auto"/>
              </w:rPr>
            </w:pP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1"/>
                <w:szCs w:val="11"/>
                <w:color w:val="auto"/>
              </w:rPr>
            </w:pPr>
          </w:p>
        </w:tc>
      </w:tr>
      <w:tr>
        <w:trPr>
          <w:trHeight w:val="135"/>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1"/>
                <w:szCs w:val="11"/>
                <w:color w:val="auto"/>
              </w:rPr>
            </w:pPr>
          </w:p>
        </w:tc>
      </w:tr>
      <w:tr>
        <w:trPr>
          <w:trHeight w:val="148"/>
        </w:trPr>
        <w:tc>
          <w:tcPr>
            <w:tcW w:w="57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5620" w:type="dxa"/>
            <w:vAlign w:val="bottom"/>
          </w:tcPr>
          <w:p>
            <w:pPr>
              <w:spacing w:after="0"/>
              <w:rPr>
                <w:sz w:val="12"/>
                <w:szCs w:val="12"/>
                <w:color w:val="auto"/>
              </w:rPr>
            </w:pPr>
          </w:p>
        </w:tc>
      </w:tr>
      <w:tr>
        <w:trPr>
          <w:trHeight w:val="659"/>
        </w:trPr>
        <w:tc>
          <w:tcPr>
            <w:tcW w:w="57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94" w:right="279" w:bottom="1440" w:gutter="0" w:footer="0" w:header="0"/>
        </w:sectPr>
      </w:pPr>
    </w:p>
    <w:bookmarkStart w:id="160" w:name="page161"/>
    <w:bookmarkEnd w:id="160"/>
    <w:p>
      <w:pPr>
        <w:ind w:left="720" w:right="220"/>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Colombian Listed Funds. For clarity, there shall be no separate licensee fees for the Colombian Listed Funds but any additional assets from the Colombian Listed Funds shall be included in the average daily net assets of the applicable listed Funds for purposed of calculating license fees.</w:t>
      </w:r>
    </w:p>
    <w:p>
      <w:pPr>
        <w:spacing w:after="0" w:line="30" w:lineRule="exact"/>
        <w:rPr>
          <w:sz w:val="20"/>
          <w:szCs w:val="20"/>
          <w:color w:val="auto"/>
        </w:rPr>
      </w:pPr>
    </w:p>
    <w:p>
      <w:pPr>
        <w:ind w:left="720" w:right="140" w:hanging="368"/>
        <w:spacing w:after="0" w:line="276" w:lineRule="auto"/>
        <w:tabs>
          <w:tab w:leader="none" w:pos="720" w:val="left"/>
        </w:tabs>
        <w:numPr>
          <w:ilvl w:val="0"/>
          <w:numId w:val="1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40" w:lineRule="exact"/>
        <w:rPr>
          <w:rFonts w:ascii="Times New Roman" w:cs="Times New Roman" w:eastAsia="Times New Roman" w:hAnsi="Times New Roman"/>
          <w:sz w:val="11"/>
          <w:szCs w:val="11"/>
          <w:color w:val="auto"/>
        </w:rPr>
      </w:pPr>
    </w:p>
    <w:p>
      <w:pPr>
        <w:ind w:left="720" w:hanging="368"/>
        <w:spacing w:after="0"/>
        <w:tabs>
          <w:tab w:leader="none" w:pos="720" w:val="left"/>
        </w:tabs>
        <w:numPr>
          <w:ilvl w:val="0"/>
          <w:numId w:val="1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120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MSCI Inc.</w:t>
            </w:r>
          </w:p>
        </w:tc>
        <w:tc>
          <w:tcPr>
            <w:tcW w:w="5080" w:type="dxa"/>
            <w:vAlign w:val="bottom"/>
          </w:tcPr>
          <w:p>
            <w:pPr>
              <w:spacing w:after="0"/>
              <w:rPr>
                <w:sz w:val="11"/>
                <w:szCs w:val="11"/>
                <w:color w:val="auto"/>
              </w:rPr>
            </w:pPr>
          </w:p>
        </w:tc>
      </w:tr>
      <w:tr>
        <w:trPr>
          <w:trHeight w:val="148"/>
        </w:trPr>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Jenni A. Lee</w:t>
            </w:r>
          </w:p>
        </w:tc>
        <w:tc>
          <w:tcPr>
            <w:tcW w:w="120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Paul Friedman</w:t>
            </w:r>
          </w:p>
        </w:tc>
      </w:tr>
      <w:tr>
        <w:trPr>
          <w:trHeight w:val="111"/>
        </w:trPr>
        <w:tc>
          <w:tcPr>
            <w:tcW w:w="60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442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Jenni A. Lee</w:t>
            </w:r>
          </w:p>
        </w:tc>
        <w:tc>
          <w:tcPr>
            <w:tcW w:w="1200" w:type="dxa"/>
            <w:vAlign w:val="bottom"/>
          </w:tcPr>
          <w:p>
            <w:pPr>
              <w:ind w:left="600"/>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508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Paul Friedman</w:t>
            </w:r>
          </w:p>
        </w:tc>
      </w:tr>
      <w:tr>
        <w:trPr>
          <w:trHeight w:val="135"/>
        </w:trPr>
        <w:tc>
          <w:tcPr>
            <w:tcW w:w="600" w:type="dxa"/>
            <w:vAlign w:val="bottom"/>
          </w:tcPr>
          <w:p>
            <w:pPr>
              <w:spacing w:after="0"/>
              <w:rPr>
                <w:sz w:val="11"/>
                <w:szCs w:val="1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1200" w:type="dxa"/>
            <w:vAlign w:val="bottom"/>
          </w:tcPr>
          <w:p>
            <w:pPr>
              <w:spacing w:after="0"/>
              <w:rPr>
                <w:sz w:val="11"/>
                <w:szCs w:val="1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r>
      <w:tr>
        <w:trPr>
          <w:trHeight w:val="135"/>
        </w:trPr>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1"/>
                <w:szCs w:val="11"/>
                <w:color w:val="auto"/>
              </w:rPr>
              <w:t>Director</w:t>
            </w:r>
          </w:p>
        </w:tc>
        <w:tc>
          <w:tcPr>
            <w:tcW w:w="120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r>
      <w:tr>
        <w:trPr>
          <w:trHeight w:val="135"/>
        </w:trPr>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4420" w:type="dxa"/>
            <w:vAlign w:val="bottom"/>
          </w:tcPr>
          <w:p>
            <w:pPr>
              <w:spacing w:after="0"/>
              <w:rPr>
                <w:sz w:val="20"/>
                <w:szCs w:val="20"/>
                <w:color w:val="auto"/>
              </w:rPr>
            </w:pPr>
            <w:r>
              <w:rPr>
                <w:rFonts w:ascii="Times New Roman" w:cs="Times New Roman" w:eastAsia="Times New Roman" w:hAnsi="Times New Roman"/>
                <w:sz w:val="11"/>
                <w:szCs w:val="11"/>
                <w:color w:val="auto"/>
              </w:rPr>
              <w:t>8/26/2011</w:t>
            </w:r>
          </w:p>
        </w:tc>
        <w:tc>
          <w:tcPr>
            <w:tcW w:w="120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Date</w:t>
            </w:r>
          </w:p>
        </w:tc>
        <w:tc>
          <w:tcPr>
            <w:tcW w:w="5080" w:type="dxa"/>
            <w:vAlign w:val="bottom"/>
          </w:tcPr>
          <w:p>
            <w:pPr>
              <w:spacing w:after="0"/>
              <w:rPr>
                <w:sz w:val="11"/>
                <w:szCs w:val="11"/>
                <w:color w:val="auto"/>
              </w:rPr>
            </w:pPr>
          </w:p>
        </w:tc>
      </w:tr>
      <w:tr>
        <w:trPr>
          <w:trHeight w:val="135"/>
        </w:trPr>
        <w:tc>
          <w:tcPr>
            <w:tcW w:w="5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1200" w:type="dxa"/>
            <w:vAlign w:val="bottom"/>
          </w:tcPr>
          <w:p>
            <w:pPr>
              <w:spacing w:after="0"/>
              <w:rPr>
                <w:sz w:val="11"/>
                <w:szCs w:val="11"/>
                <w:color w:val="auto"/>
              </w:rPr>
            </w:pPr>
          </w:p>
        </w:tc>
        <w:tc>
          <w:tcPr>
            <w:tcW w:w="5080" w:type="dxa"/>
            <w:vAlign w:val="bottom"/>
          </w:tcPr>
          <w:p>
            <w:pPr>
              <w:spacing w:after="0"/>
              <w:rPr>
                <w:sz w:val="11"/>
                <w:szCs w:val="11"/>
                <w:color w:val="auto"/>
              </w:rPr>
            </w:pPr>
          </w:p>
        </w:tc>
      </w:tr>
      <w:tr>
        <w:trPr>
          <w:trHeight w:val="148"/>
        </w:trPr>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Timothy M. Meyer</w:t>
            </w:r>
          </w:p>
        </w:tc>
        <w:tc>
          <w:tcPr>
            <w:tcW w:w="1200" w:type="dxa"/>
            <w:vAlign w:val="bottom"/>
          </w:tcPr>
          <w:p>
            <w:pPr>
              <w:spacing w:after="0"/>
              <w:rPr>
                <w:sz w:val="12"/>
                <w:szCs w:val="12"/>
                <w:color w:val="auto"/>
              </w:rPr>
            </w:pPr>
          </w:p>
        </w:tc>
        <w:tc>
          <w:tcPr>
            <w:tcW w:w="5080" w:type="dxa"/>
            <w:vAlign w:val="bottom"/>
          </w:tcPr>
          <w:p>
            <w:pPr>
              <w:spacing w:after="0"/>
              <w:rPr>
                <w:sz w:val="12"/>
                <w:szCs w:val="12"/>
                <w:color w:val="auto"/>
              </w:rPr>
            </w:pPr>
          </w:p>
        </w:tc>
      </w:tr>
      <w:tr>
        <w:trPr>
          <w:trHeight w:val="111"/>
        </w:trPr>
        <w:tc>
          <w:tcPr>
            <w:tcW w:w="60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442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Timothy M. Meyer</w:t>
            </w:r>
          </w:p>
        </w:tc>
        <w:tc>
          <w:tcPr>
            <w:tcW w:w="120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135"/>
        </w:trPr>
        <w:tc>
          <w:tcPr>
            <w:tcW w:w="600" w:type="dxa"/>
            <w:vAlign w:val="bottom"/>
          </w:tcPr>
          <w:p>
            <w:pPr>
              <w:spacing w:after="0"/>
              <w:rPr>
                <w:sz w:val="11"/>
                <w:szCs w:val="1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1200" w:type="dxa"/>
            <w:vAlign w:val="bottom"/>
          </w:tcPr>
          <w:p>
            <w:pPr>
              <w:spacing w:after="0"/>
              <w:rPr>
                <w:sz w:val="11"/>
                <w:szCs w:val="11"/>
                <w:color w:val="auto"/>
              </w:rPr>
            </w:pPr>
          </w:p>
        </w:tc>
        <w:tc>
          <w:tcPr>
            <w:tcW w:w="5080" w:type="dxa"/>
            <w:vAlign w:val="bottom"/>
          </w:tcPr>
          <w:p>
            <w:pPr>
              <w:spacing w:after="0"/>
              <w:rPr>
                <w:sz w:val="11"/>
                <w:szCs w:val="11"/>
                <w:color w:val="auto"/>
              </w:rPr>
            </w:pPr>
          </w:p>
        </w:tc>
      </w:tr>
      <w:tr>
        <w:trPr>
          <w:trHeight w:val="135"/>
        </w:trPr>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1"/>
                <w:szCs w:val="11"/>
                <w:color w:val="auto"/>
              </w:rPr>
              <w:t>M. Director</w:t>
            </w:r>
          </w:p>
        </w:tc>
        <w:tc>
          <w:tcPr>
            <w:tcW w:w="1200" w:type="dxa"/>
            <w:vAlign w:val="bottom"/>
          </w:tcPr>
          <w:p>
            <w:pPr>
              <w:spacing w:after="0"/>
              <w:rPr>
                <w:sz w:val="11"/>
                <w:szCs w:val="11"/>
                <w:color w:val="auto"/>
              </w:rPr>
            </w:pPr>
          </w:p>
        </w:tc>
        <w:tc>
          <w:tcPr>
            <w:tcW w:w="5080" w:type="dxa"/>
            <w:vAlign w:val="bottom"/>
          </w:tcPr>
          <w:p>
            <w:pPr>
              <w:spacing w:after="0"/>
              <w:rPr>
                <w:sz w:val="11"/>
                <w:szCs w:val="11"/>
                <w:color w:val="auto"/>
              </w:rPr>
            </w:pPr>
          </w:p>
        </w:tc>
      </w:tr>
      <w:tr>
        <w:trPr>
          <w:trHeight w:val="148"/>
        </w:trPr>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4420" w:type="dxa"/>
            <w:vAlign w:val="bottom"/>
          </w:tcPr>
          <w:p>
            <w:pPr>
              <w:spacing w:after="0"/>
              <w:rPr>
                <w:sz w:val="20"/>
                <w:szCs w:val="20"/>
                <w:color w:val="auto"/>
              </w:rPr>
            </w:pPr>
            <w:r>
              <w:rPr>
                <w:rFonts w:ascii="Times New Roman" w:cs="Times New Roman" w:eastAsia="Times New Roman" w:hAnsi="Times New Roman"/>
                <w:sz w:val="11"/>
                <w:szCs w:val="11"/>
                <w:color w:val="auto"/>
              </w:rPr>
              <w:t>8/30/2011</w:t>
            </w:r>
          </w:p>
        </w:tc>
        <w:tc>
          <w:tcPr>
            <w:tcW w:w="1200" w:type="dxa"/>
            <w:vAlign w:val="bottom"/>
          </w:tcPr>
          <w:p>
            <w:pPr>
              <w:spacing w:after="0"/>
              <w:rPr>
                <w:sz w:val="12"/>
                <w:szCs w:val="12"/>
                <w:color w:val="auto"/>
              </w:rPr>
            </w:pPr>
          </w:p>
        </w:tc>
        <w:tc>
          <w:tcPr>
            <w:tcW w:w="5080" w:type="dxa"/>
            <w:vAlign w:val="bottom"/>
          </w:tcPr>
          <w:p>
            <w:pPr>
              <w:spacing w:after="0"/>
              <w:rPr>
                <w:sz w:val="12"/>
                <w:szCs w:val="12"/>
                <w:color w:val="auto"/>
              </w:rPr>
            </w:pPr>
          </w:p>
        </w:tc>
      </w:tr>
    </w:tbl>
    <w:p>
      <w:pPr>
        <w:sectPr>
          <w:pgSz w:w="11900" w:h="16838" w:orient="portrait"/>
          <w:cols w:equalWidth="0" w:num="1">
            <w:col w:w="11300"/>
          </w:cols>
          <w:pgMar w:left="300" w:top="422" w:right="29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1"/>
          <w:szCs w:val="11"/>
          <w:b w:val="1"/>
          <w:bCs w:val="1"/>
          <w:color w:val="auto"/>
        </w:rPr>
        <w:t>Exhibit 10.55</w:t>
      </w:r>
    </w:p>
    <w:p>
      <w:pPr>
        <w:spacing w:after="0" w:line="161" w:lineRule="exact"/>
        <w:rPr>
          <w:sz w:val="20"/>
          <w:szCs w:val="20"/>
          <w:color w:val="auto"/>
        </w:rPr>
      </w:pPr>
    </w:p>
    <w:p>
      <w:pPr>
        <w:ind w:left="8" w:hanging="8"/>
        <w:spacing w:after="0" w:line="299" w:lineRule="auto"/>
        <w:tabs>
          <w:tab w:leader="none" w:pos="235" w:val="left"/>
        </w:tabs>
        <w:numPr>
          <w:ilvl w:val="0"/>
          <w:numId w:val="14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AMD_00421</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Client Code/Reference No:130339</w:t>
      </w:r>
    </w:p>
    <w:p>
      <w:pPr>
        <w:spacing w:after="0" w:line="1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October 4, 2011</w:t>
      </w:r>
    </w:p>
    <w:p>
      <w:pPr>
        <w:spacing w:after="0" w:line="135" w:lineRule="exact"/>
        <w:rPr>
          <w:sz w:val="20"/>
          <w:szCs w:val="20"/>
          <w:color w:val="auto"/>
        </w:rPr>
      </w:pPr>
    </w:p>
    <w:p>
      <w:pPr>
        <w:ind w:left="8" w:right="100" w:firstLine="441"/>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(“MSCI”), a Delaware corporation, and BlackRock Institutional Trust Company, N.A. (formerly known as Barclays Global Investors, N.A.) (“Licensee”). Capitalized terms used herein but not otherwise defined herein shall have the meanings ascribed in the Agreement.</w:t>
      </w:r>
    </w:p>
    <w:p>
      <w:pPr>
        <w:spacing w:after="0" w:line="75" w:lineRule="exact"/>
        <w:rPr>
          <w:sz w:val="20"/>
          <w:szCs w:val="20"/>
          <w:color w:val="auto"/>
        </w:rPr>
      </w:pPr>
    </w:p>
    <w:p>
      <w:pPr>
        <w:ind w:left="428" w:hanging="428"/>
        <w:spacing w:after="0"/>
        <w:tabs>
          <w:tab w:leader="none" w:pos="428" w:val="left"/>
        </w:tabs>
        <w:numPr>
          <w:ilvl w:val="0"/>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Indexes:</w:t>
      </w:r>
    </w:p>
    <w:p>
      <w:pPr>
        <w:spacing w:after="0" w:line="80"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ACWI Select Agriculture Producers Investable Market Index</w:t>
      </w:r>
    </w:p>
    <w:p>
      <w:pPr>
        <w:spacing w:after="0" w:line="98"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ACWI Select Energy Producers Investable Market Index</w:t>
      </w:r>
    </w:p>
    <w:p>
      <w:pPr>
        <w:spacing w:after="0" w:line="98"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ACWI Select Metals &amp; Mining Producers Ex Gold and Silver Investable Market Index</w:t>
      </w:r>
    </w:p>
    <w:p>
      <w:pPr>
        <w:spacing w:after="0" w:line="98"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ACWI Select Gold Miners Investable Market Index</w:t>
      </w:r>
    </w:p>
    <w:p>
      <w:pPr>
        <w:spacing w:after="0" w:line="98"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ACWI Select Silver Miners Investable Market Index</w:t>
      </w:r>
    </w:p>
    <w:p>
      <w:pPr>
        <w:spacing w:after="0" w:line="81"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The above Indexes shall be collectively referred to hereunder as the “Commodity Producers Indexes”.</w:t>
      </w:r>
    </w:p>
    <w:p>
      <w:pPr>
        <w:spacing w:after="0" w:line="81" w:lineRule="exact"/>
        <w:rPr>
          <w:sz w:val="20"/>
          <w:szCs w:val="20"/>
          <w:color w:val="auto"/>
        </w:rPr>
      </w:pPr>
    </w:p>
    <w:p>
      <w:pPr>
        <w:ind w:left="428" w:hanging="428"/>
        <w:spacing w:after="0"/>
        <w:tabs>
          <w:tab w:leader="none" w:pos="428"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may use the Commodity Producers Indexes and associated Marks solely with respect to the following Funds:</w:t>
      </w:r>
    </w:p>
    <w:p>
      <w:pPr>
        <w:spacing w:after="0" w:line="80"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Global Agriculture Producers Fund: seeks to provide the performance of the MSCI ACWI Select Agriculture Producers Investable Market Index</w:t>
      </w:r>
    </w:p>
    <w:p>
      <w:pPr>
        <w:spacing w:after="0" w:line="98"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Global Energy Producers Fund: seeks to provide the performance of the MSCI ACWI Select Energy Producers Investable Market Index</w:t>
      </w:r>
    </w:p>
    <w:p>
      <w:pPr>
        <w:spacing w:after="0" w:line="98"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Global Select Metals &amp; Mining Producers Fund: seeks to provide the performance of the MSCI ACWI Select Metals &amp; Mining Producers Ex Gold and Silver Investable Market Index</w:t>
      </w:r>
    </w:p>
    <w:p>
      <w:pPr>
        <w:spacing w:after="0" w:line="98"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Global Gold Miners Fund: seeks to provide the performance of the MSCI ACWI Select Gold Miners Investable Market Index</w:t>
      </w:r>
    </w:p>
    <w:p>
      <w:pPr>
        <w:spacing w:after="0" w:line="98" w:lineRule="exact"/>
        <w:rPr>
          <w:rFonts w:ascii="Times New Roman" w:cs="Times New Roman" w:eastAsia="Times New Roman" w:hAnsi="Times New Roman"/>
          <w:sz w:val="11"/>
          <w:szCs w:val="11"/>
          <w:color w:val="auto"/>
        </w:rPr>
      </w:pPr>
    </w:p>
    <w:p>
      <w:pPr>
        <w:ind w:left="788" w:hanging="356"/>
        <w:spacing w:after="0"/>
        <w:tabs>
          <w:tab w:leader="none" w:pos="788" w:val="left"/>
        </w:tabs>
        <w:numPr>
          <w:ilvl w:val="1"/>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Global Silver Miners Fund: seeks to provide the performance of the MSCI ACWI Select Silver Miners Investable Market Index</w:t>
      </w:r>
    </w:p>
    <w:p>
      <w:pPr>
        <w:spacing w:after="0" w:line="98" w:lineRule="exact"/>
        <w:rPr>
          <w:rFonts w:ascii="Times New Roman" w:cs="Times New Roman" w:eastAsia="Times New Roman" w:hAnsi="Times New Roman"/>
          <w:sz w:val="11"/>
          <w:szCs w:val="11"/>
          <w:color w:val="auto"/>
        </w:rPr>
      </w:pPr>
    </w:p>
    <w:p>
      <w:pPr>
        <w:ind w:left="368" w:hanging="368"/>
        <w:spacing w:after="0"/>
        <w:tabs>
          <w:tab w:leader="none" w:pos="368"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pay MSCI an annual license fee per Fund equal to ***********. For the avoidance of doubt, the terms set forth in this Section 3 shall only apply to Funds based on the Commodity Producers Indexes.</w:t>
      </w:r>
    </w:p>
    <w:p>
      <w:pPr>
        <w:spacing w:after="0" w:line="80" w:lineRule="exact"/>
        <w:rPr>
          <w:rFonts w:ascii="Times New Roman" w:cs="Times New Roman" w:eastAsia="Times New Roman" w:hAnsi="Times New Roman"/>
          <w:sz w:val="11"/>
          <w:szCs w:val="11"/>
          <w:color w:val="auto"/>
        </w:rPr>
      </w:pPr>
    </w:p>
    <w:p>
      <w:pPr>
        <w:ind w:left="368" w:hanging="368"/>
        <w:spacing w:after="0"/>
        <w:tabs>
          <w:tab w:leader="none" w:pos="368"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80" w:lineRule="exact"/>
        <w:rPr>
          <w:rFonts w:ascii="Times New Roman" w:cs="Times New Roman" w:eastAsia="Times New Roman" w:hAnsi="Times New Roman"/>
          <w:sz w:val="11"/>
          <w:szCs w:val="11"/>
          <w:color w:val="auto"/>
        </w:rPr>
      </w:pPr>
    </w:p>
    <w:p>
      <w:pPr>
        <w:ind w:left="368" w:right="100" w:hanging="368"/>
        <w:spacing w:after="0" w:line="296" w:lineRule="auto"/>
        <w:tabs>
          <w:tab w:leader="none" w:pos="368"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Notwithstanding anything in the Agreement to the contrary, Licensee may publicly disclose the holdings of each Fund and Commodity Producers Indexes on daily basis on its website, including www.ishares.com. For the avoidance of doubt, the terms set forth in this Section 3 shall only apply to Funds based on the Commodity Producers Indexes.</w:t>
      </w:r>
    </w:p>
    <w:p>
      <w:pPr>
        <w:spacing w:after="0" w:line="29" w:lineRule="exact"/>
        <w:rPr>
          <w:rFonts w:ascii="Times New Roman" w:cs="Times New Roman" w:eastAsia="Times New Roman" w:hAnsi="Times New Roman"/>
          <w:sz w:val="11"/>
          <w:szCs w:val="11"/>
          <w:color w:val="auto"/>
        </w:rPr>
      </w:pPr>
    </w:p>
    <w:p>
      <w:pPr>
        <w:ind w:left="368" w:right="260" w:hanging="368"/>
        <w:spacing w:after="0" w:line="296" w:lineRule="auto"/>
        <w:tabs>
          <w:tab w:leader="none" w:pos="368"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avoidance of doubt, the terms contained in Exhibit B of the Agreement, including, but not limited to the requirement that all Funds be listed on an U.S. domiciled stock exchange only, shall apply to all Funds based on the Commodity Producers Indexes.</w:t>
      </w:r>
    </w:p>
    <w:p>
      <w:pPr>
        <w:spacing w:after="0" w:line="29" w:lineRule="exact"/>
        <w:rPr>
          <w:rFonts w:ascii="Times New Roman" w:cs="Times New Roman" w:eastAsia="Times New Roman" w:hAnsi="Times New Roman"/>
          <w:sz w:val="11"/>
          <w:szCs w:val="11"/>
          <w:color w:val="auto"/>
        </w:rPr>
      </w:pPr>
    </w:p>
    <w:p>
      <w:pPr>
        <w:ind w:left="368" w:right="40" w:hanging="368"/>
        <w:spacing w:after="0" w:line="276" w:lineRule="auto"/>
        <w:tabs>
          <w:tab w:leader="none" w:pos="368"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89470"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62" w:name="page163"/>
    <w:bookmarkEnd w:id="162"/>
    <w:p>
      <w:pPr>
        <w:ind w:left="10108"/>
        <w:spacing w:after="0"/>
        <w:rPr>
          <w:sz w:val="20"/>
          <w:szCs w:val="20"/>
          <w:color w:val="auto"/>
        </w:rPr>
      </w:pPr>
      <w:r>
        <w:rPr>
          <w:rFonts w:ascii="Times New Roman" w:cs="Times New Roman" w:eastAsia="Times New Roman" w:hAnsi="Times New Roman"/>
          <w:sz w:val="11"/>
          <w:szCs w:val="11"/>
          <w:color w:val="auto"/>
        </w:rPr>
        <w:t>AMD_00421</w:t>
      </w:r>
    </w:p>
    <w:p>
      <w:pPr>
        <w:spacing w:after="0" w:line="81" w:lineRule="exact"/>
        <w:rPr>
          <w:sz w:val="20"/>
          <w:szCs w:val="20"/>
          <w:color w:val="auto"/>
        </w:rPr>
      </w:pPr>
    </w:p>
    <w:p>
      <w:pPr>
        <w:ind w:left="368" w:hanging="368"/>
        <w:spacing w:after="0"/>
        <w:tabs>
          <w:tab w:leader="none" w:pos="368" w:val="left"/>
        </w:tabs>
        <w:numPr>
          <w:ilvl w:val="0"/>
          <w:numId w:val="1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any Index(es) in the event that Licensee does not list a Fund based such Index(es) on an exchange within 1 year of the date of this Amendment.</w:t>
      </w:r>
    </w:p>
    <w:p>
      <w:pPr>
        <w:spacing w:after="0" w:line="80" w:lineRule="exact"/>
        <w:rPr>
          <w:rFonts w:ascii="Times New Roman" w:cs="Times New Roman" w:eastAsia="Times New Roman" w:hAnsi="Times New Roman"/>
          <w:sz w:val="11"/>
          <w:szCs w:val="11"/>
          <w:color w:val="auto"/>
        </w:rPr>
      </w:pPr>
    </w:p>
    <w:p>
      <w:pPr>
        <w:ind w:left="368" w:hanging="368"/>
        <w:spacing w:after="0"/>
        <w:tabs>
          <w:tab w:leader="none" w:pos="368" w:val="left"/>
        </w:tabs>
        <w:numPr>
          <w:ilvl w:val="0"/>
          <w:numId w:val="1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166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MSCI Inc.</w:t>
            </w:r>
          </w:p>
        </w:tc>
        <w:tc>
          <w:tcPr>
            <w:tcW w:w="4820" w:type="dxa"/>
            <w:vAlign w:val="bottom"/>
          </w:tcPr>
          <w:p>
            <w:pPr>
              <w:spacing w:after="0"/>
              <w:rPr>
                <w:sz w:val="12"/>
                <w:szCs w:val="12"/>
                <w:color w:val="auto"/>
              </w:rPr>
            </w:pPr>
          </w:p>
        </w:tc>
      </w:tr>
      <w:tr>
        <w:trPr>
          <w:trHeight w:val="163"/>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By</w:t>
            </w:r>
          </w:p>
        </w:tc>
        <w:tc>
          <w:tcPr>
            <w:tcW w:w="3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/s/ Jenni A. Lee</w:t>
            </w:r>
          </w:p>
        </w:tc>
        <w:tc>
          <w:tcPr>
            <w:tcW w:w="166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By</w:t>
            </w:r>
          </w:p>
        </w:tc>
        <w:tc>
          <w:tcPr>
            <w:tcW w:w="4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/s/ Paul Friedman</w:t>
            </w:r>
          </w:p>
        </w:tc>
      </w:tr>
      <w:tr>
        <w:trPr>
          <w:trHeight w:val="137"/>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3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Jenni A. Lee</w:t>
            </w:r>
          </w:p>
        </w:tc>
        <w:tc>
          <w:tcPr>
            <w:tcW w:w="1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Name</w:t>
            </w:r>
          </w:p>
        </w:tc>
        <w:tc>
          <w:tcPr>
            <w:tcW w:w="4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Paul Friedman</w:t>
            </w:r>
          </w:p>
        </w:tc>
      </w:tr>
      <w:tr>
        <w:trPr>
          <w:trHeight w:val="148"/>
        </w:trPr>
        <w:tc>
          <w:tcPr>
            <w:tcW w:w="480" w:type="dxa"/>
            <w:vAlign w:val="bottom"/>
          </w:tcPr>
          <w:p>
            <w:pPr>
              <w:spacing w:after="0"/>
              <w:rPr>
                <w:sz w:val="12"/>
                <w:szCs w:val="12"/>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(printed)</w:t>
            </w:r>
          </w:p>
        </w:tc>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(printed)</w:t>
            </w:r>
          </w:p>
        </w:tc>
      </w:tr>
      <w:tr>
        <w:trPr>
          <w:trHeight w:val="162"/>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3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Title</w:t>
            </w:r>
          </w:p>
        </w:tc>
        <w:tc>
          <w:tcPr>
            <w:tcW w:w="4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Executive Director</w:t>
            </w:r>
          </w:p>
        </w:tc>
      </w:tr>
      <w:tr>
        <w:trPr>
          <w:trHeight w:val="162"/>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3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11/20/2011</w:t>
            </w:r>
          </w:p>
        </w:tc>
        <w:tc>
          <w:tcPr>
            <w:tcW w:w="1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Date</w:t>
            </w:r>
          </w:p>
        </w:tc>
        <w:tc>
          <w:tcPr>
            <w:tcW w:w="4820" w:type="dxa"/>
            <w:vAlign w:val="bottom"/>
          </w:tcPr>
          <w:p>
            <w:pPr>
              <w:spacing w:after="0"/>
              <w:rPr>
                <w:sz w:val="14"/>
                <w:szCs w:val="14"/>
                <w:color w:val="auto"/>
              </w:rPr>
            </w:pPr>
          </w:p>
        </w:tc>
      </w:tr>
      <w:tr>
        <w:trPr>
          <w:trHeight w:val="162"/>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63"/>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By</w:t>
            </w:r>
          </w:p>
        </w:tc>
        <w:tc>
          <w:tcPr>
            <w:tcW w:w="3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/s/ Timothy M. Meyer</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50"/>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3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Timothy M. Meyer</w:t>
            </w:r>
          </w:p>
        </w:tc>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20" w:type="dxa"/>
            <w:vAlign w:val="bottom"/>
          </w:tcPr>
          <w:p>
            <w:pPr>
              <w:spacing w:after="0"/>
              <w:rPr>
                <w:sz w:val="13"/>
                <w:szCs w:val="13"/>
                <w:color w:val="auto"/>
              </w:rPr>
            </w:pPr>
          </w:p>
        </w:tc>
      </w:tr>
      <w:tr>
        <w:trPr>
          <w:trHeight w:val="162"/>
        </w:trPr>
        <w:tc>
          <w:tcPr>
            <w:tcW w:w="480" w:type="dxa"/>
            <w:vAlign w:val="bottom"/>
          </w:tcPr>
          <w:p>
            <w:pPr>
              <w:spacing w:after="0"/>
              <w:rPr>
                <w:sz w:val="14"/>
                <w:szCs w:val="14"/>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(printed)</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62"/>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3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M. Director</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62"/>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3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11/20/2011</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576"/>
        </w:trPr>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6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2/2</w:t>
            </w:r>
          </w:p>
        </w:tc>
        <w:tc>
          <w:tcPr>
            <w:tcW w:w="54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308"/>
          </w:cols>
          <w:pgMar w:left="292" w:top="422" w:right="299" w:bottom="1440" w:gutter="0" w:footer="0" w:header="0"/>
        </w:sectPr>
      </w:pPr>
    </w:p>
    <w:bookmarkStart w:id="163" w:name="page164"/>
    <w:bookmarkEnd w:id="163"/>
    <w:p>
      <w:pPr>
        <w:ind w:left="10668"/>
        <w:spacing w:after="0"/>
        <w:rPr>
          <w:sz w:val="20"/>
          <w:szCs w:val="20"/>
          <w:color w:val="auto"/>
        </w:rPr>
      </w:pPr>
      <w:r>
        <w:rPr>
          <w:rFonts w:ascii="Times New Roman" w:cs="Times New Roman" w:eastAsia="Times New Roman" w:hAnsi="Times New Roman"/>
          <w:sz w:val="11"/>
          <w:szCs w:val="11"/>
          <w:b w:val="1"/>
          <w:bCs w:val="1"/>
          <w:color w:val="auto"/>
        </w:rPr>
        <w:t>Exhibit 10.62</w:t>
      </w:r>
    </w:p>
    <w:p>
      <w:pPr>
        <w:spacing w:after="0" w:line="144" w:lineRule="exact"/>
        <w:rPr>
          <w:sz w:val="20"/>
          <w:szCs w:val="20"/>
          <w:color w:val="auto"/>
        </w:rPr>
      </w:pPr>
    </w:p>
    <w:p>
      <w:pPr>
        <w:ind w:left="8" w:hanging="8"/>
        <w:spacing w:after="0" w:line="299" w:lineRule="auto"/>
        <w:tabs>
          <w:tab w:leader="none" w:pos="235" w:val="left"/>
        </w:tabs>
        <w:numPr>
          <w:ilvl w:val="0"/>
          <w:numId w:val="14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65" w:lineRule="exact"/>
        <w:rPr>
          <w:sz w:val="20"/>
          <w:szCs w:val="20"/>
          <w:color w:val="auto"/>
        </w:rPr>
      </w:pPr>
    </w:p>
    <w:p>
      <w:pPr>
        <w:ind w:left="10688"/>
        <w:spacing w:after="0"/>
        <w:rPr>
          <w:sz w:val="20"/>
          <w:szCs w:val="20"/>
          <w:color w:val="auto"/>
        </w:rPr>
      </w:pPr>
      <w:r>
        <w:rPr>
          <w:rFonts w:ascii="Times New Roman" w:cs="Times New Roman" w:eastAsia="Times New Roman" w:hAnsi="Times New Roman"/>
          <w:sz w:val="11"/>
          <w:szCs w:val="11"/>
          <w:color w:val="auto"/>
        </w:rPr>
        <w:t>A.N.: 130339</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AMD_00064734.0</w:t>
      </w:r>
    </w:p>
    <w:p>
      <w:pPr>
        <w:spacing w:after="0" w:line="4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65"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1"/>
          <w:szCs w:val="11"/>
          <w:color w:val="auto"/>
        </w:rPr>
        <w:t>Date of Amendment: February 16, 2012</w:t>
      </w:r>
    </w:p>
    <w:p>
      <w:pPr>
        <w:spacing w:after="0" w:line="54" w:lineRule="exact"/>
        <w:rPr>
          <w:sz w:val="20"/>
          <w:szCs w:val="20"/>
          <w:color w:val="auto"/>
        </w:rPr>
      </w:pPr>
    </w:p>
    <w:p>
      <w:pPr>
        <w:ind w:left="548" w:right="180" w:firstLine="403"/>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(f/k/a Morgan Stanley Capital International Inc.) (“MSCI”) and BlackRock Institutional Trust Company, N.A. (formerly known as Barclays Global Investors, N.A.) (“Licensee”), as previously amended. Capitalized terms used herein but not otherwise defined herein shall have the meanings ascribed in the Agreement.</w:t>
      </w:r>
    </w:p>
    <w:p>
      <w:pPr>
        <w:spacing w:after="0" w:line="3" w:lineRule="exact"/>
        <w:rPr>
          <w:sz w:val="20"/>
          <w:szCs w:val="20"/>
          <w:color w:val="auto"/>
        </w:rPr>
      </w:pPr>
    </w:p>
    <w:p>
      <w:pPr>
        <w:jc w:val="both"/>
        <w:ind w:left="948" w:right="260" w:hanging="417"/>
        <w:spacing w:after="0" w:line="276" w:lineRule="auto"/>
        <w:tabs>
          <w:tab w:leader="none" w:pos="948" w:val="left"/>
        </w:tabs>
        <w:numPr>
          <w:ilvl w:val="0"/>
          <w:numId w:val="1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MSCI Frontier Markets 100 Index. For the avoidance of doubt, the terms contained in Exhibit B of the Agreement shall apply to all Funds based on the MSCI Frontier Markets 100 Index; provided that in addition to listing and trading the Funds on an U.S. domiciled exchange, Funds based on the MSCI Frontier Markets 100 Index also may be listed and traded on stock or security exchanges domiciled in:</w:t>
      </w:r>
    </w:p>
    <w:p>
      <w:pPr>
        <w:spacing w:after="0" w:line="14" w:lineRule="exact"/>
        <w:rPr>
          <w:sz w:val="20"/>
          <w:szCs w:val="20"/>
          <w:color w:val="auto"/>
        </w:rPr>
      </w:pPr>
    </w:p>
    <w:p>
      <w:pPr>
        <w:ind w:left="1368"/>
        <w:spacing w:after="0"/>
        <w:rPr>
          <w:sz w:val="20"/>
          <w:szCs w:val="20"/>
          <w:color w:val="auto"/>
        </w:rPr>
      </w:pPr>
      <w:r>
        <w:rPr>
          <w:rFonts w:ascii="Times New Roman" w:cs="Times New Roman" w:eastAsia="Times New Roman" w:hAnsi="Times New Roman"/>
          <w:sz w:val="11"/>
          <w:szCs w:val="11"/>
          <w:color w:val="auto"/>
        </w:rPr>
        <w:t>Mexico</w:t>
      </w:r>
    </w:p>
    <w:p>
      <w:pPr>
        <w:spacing w:after="0" w:line="63" w:lineRule="exact"/>
        <w:rPr>
          <w:sz w:val="20"/>
          <w:szCs w:val="20"/>
          <w:color w:val="auto"/>
        </w:rPr>
      </w:pPr>
    </w:p>
    <w:p>
      <w:pPr>
        <w:ind w:left="1368"/>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1368"/>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1368"/>
        <w:spacing w:after="0"/>
        <w:rPr>
          <w:sz w:val="20"/>
          <w:szCs w:val="20"/>
          <w:color w:val="auto"/>
        </w:rPr>
      </w:pPr>
      <w:r>
        <w:rPr>
          <w:rFonts w:ascii="Times New Roman" w:cs="Times New Roman" w:eastAsia="Times New Roman" w:hAnsi="Times New Roman"/>
          <w:sz w:val="11"/>
          <w:szCs w:val="11"/>
          <w:color w:val="auto"/>
        </w:rPr>
        <w:t>***********</w:t>
      </w:r>
    </w:p>
    <w:p>
      <w:pPr>
        <w:spacing w:after="0" w:line="63" w:lineRule="exact"/>
        <w:rPr>
          <w:sz w:val="20"/>
          <w:szCs w:val="20"/>
          <w:color w:val="auto"/>
        </w:rPr>
      </w:pPr>
    </w:p>
    <w:p>
      <w:pPr>
        <w:ind w:left="988" w:right="280"/>
        <w:spacing w:after="0" w:line="296" w:lineRule="auto"/>
        <w:rPr>
          <w:sz w:val="20"/>
          <w:szCs w:val="20"/>
          <w:color w:val="auto"/>
        </w:rPr>
      </w:pPr>
      <w:r>
        <w:rPr>
          <w:rFonts w:ascii="Times New Roman" w:cs="Times New Roman" w:eastAsia="Times New Roman" w:hAnsi="Times New Roman"/>
          <w:sz w:val="11"/>
          <w:szCs w:val="11"/>
          <w:color w:val="auto"/>
        </w:rPr>
        <w:t>License Fees set forth in the Agreement, as amended, shall apply with respect to all Funds based on the MSCI Frontier Markets 100 Index. All listed Funds must be issued, sold and traded on a public basis in accordance with the applicable securities law. All other terms and restrictions contained in Exhibit B shall apply.</w:t>
      </w:r>
    </w:p>
    <w:p>
      <w:pPr>
        <w:spacing w:after="0" w:line="3" w:lineRule="exact"/>
        <w:rPr>
          <w:sz w:val="20"/>
          <w:szCs w:val="20"/>
          <w:color w:val="auto"/>
        </w:rPr>
      </w:pPr>
    </w:p>
    <w:p>
      <w:pPr>
        <w:jc w:val="both"/>
        <w:ind w:left="948" w:right="260" w:hanging="417"/>
        <w:spacing w:after="0" w:line="276" w:lineRule="auto"/>
        <w:tabs>
          <w:tab w:leader="none" w:pos="948" w:val="left"/>
        </w:tabs>
        <w:numPr>
          <w:ilvl w:val="0"/>
          <w:numId w:val="1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13" w:lineRule="exact"/>
        <w:rPr>
          <w:rFonts w:ascii="Times New Roman" w:cs="Times New Roman" w:eastAsia="Times New Roman" w:hAnsi="Times New Roman"/>
          <w:sz w:val="11"/>
          <w:szCs w:val="11"/>
          <w:color w:val="auto"/>
        </w:rPr>
      </w:pPr>
    </w:p>
    <w:p>
      <w:pPr>
        <w:ind w:left="948" w:hanging="417"/>
        <w:spacing w:after="0"/>
        <w:tabs>
          <w:tab w:leader="none" w:pos="948" w:val="left"/>
        </w:tabs>
        <w:numPr>
          <w:ilvl w:val="0"/>
          <w:numId w:val="1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3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w:t>
            </w:r>
          </w:p>
        </w:tc>
        <w:tc>
          <w:tcPr>
            <w:tcW w:w="3960" w:type="dxa"/>
            <w:vAlign w:val="bottom"/>
          </w:tcPr>
          <w:p>
            <w:pPr>
              <w:ind w:left="3360"/>
              <w:spacing w:after="0"/>
              <w:rPr>
                <w:sz w:val="20"/>
                <w:szCs w:val="20"/>
                <w:color w:val="auto"/>
              </w:rPr>
            </w:pPr>
            <w:r>
              <w:rPr>
                <w:rFonts w:ascii="Times New Roman" w:cs="Times New Roman" w:eastAsia="Times New Roman" w:hAnsi="Times New Roman"/>
                <w:sz w:val="11"/>
                <w:szCs w:val="11"/>
                <w:color w:val="auto"/>
              </w:rPr>
              <w:t>MSCI INC.</w:t>
            </w:r>
          </w:p>
        </w:tc>
        <w:tc>
          <w:tcPr>
            <w:tcW w:w="3860" w:type="dxa"/>
            <w:vAlign w:val="bottom"/>
          </w:tcPr>
          <w:p>
            <w:pPr>
              <w:spacing w:after="0"/>
              <w:rPr>
                <w:sz w:val="11"/>
                <w:szCs w:val="11"/>
                <w:color w:val="auto"/>
              </w:rPr>
            </w:pPr>
          </w:p>
        </w:tc>
      </w:tr>
      <w:tr>
        <w:trPr>
          <w:trHeight w:val="135"/>
        </w:trPr>
        <w:tc>
          <w:tcPr>
            <w:tcW w:w="3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Trust Company, N.A.</w:t>
            </w:r>
          </w:p>
        </w:tc>
        <w:tc>
          <w:tcPr>
            <w:tcW w:w="3960" w:type="dxa"/>
            <w:vAlign w:val="bottom"/>
          </w:tcPr>
          <w:p>
            <w:pPr>
              <w:spacing w:after="0"/>
              <w:rPr>
                <w:sz w:val="11"/>
                <w:szCs w:val="11"/>
                <w:color w:val="auto"/>
              </w:rPr>
            </w:pPr>
          </w:p>
        </w:tc>
        <w:tc>
          <w:tcPr>
            <w:tcW w:w="3860" w:type="dxa"/>
            <w:vAlign w:val="bottom"/>
          </w:tcPr>
          <w:p>
            <w:pPr>
              <w:spacing w:after="0"/>
              <w:rPr>
                <w:sz w:val="11"/>
                <w:szCs w:val="11"/>
                <w:color w:val="auto"/>
              </w:rPr>
            </w:pPr>
          </w:p>
        </w:tc>
      </w:tr>
      <w:tr>
        <w:trPr>
          <w:trHeight w:val="1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Timothy M. Meyer</w:t>
            </w:r>
          </w:p>
        </w:tc>
        <w:tc>
          <w:tcPr>
            <w:tcW w:w="3960" w:type="dxa"/>
            <w:vAlign w:val="bottom"/>
          </w:tcPr>
          <w:p>
            <w:pPr>
              <w:ind w:left="3360"/>
              <w:spacing w:after="0"/>
              <w:rPr>
                <w:sz w:val="20"/>
                <w:szCs w:val="20"/>
                <w:color w:val="auto"/>
              </w:rPr>
            </w:pPr>
            <w:r>
              <w:rPr>
                <w:rFonts w:ascii="Times New Roman" w:cs="Times New Roman" w:eastAsia="Times New Roman" w:hAnsi="Times New Roman"/>
                <w:sz w:val="11"/>
                <w:szCs w:val="11"/>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David Kinzelberg</w:t>
            </w:r>
          </w:p>
        </w:tc>
      </w:tr>
      <w:tr>
        <w:trPr>
          <w:trHeight w:val="111"/>
        </w:trPr>
        <w:tc>
          <w:tcPr>
            <w:tcW w:w="56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292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Timothy M. Meyer</w:t>
            </w:r>
          </w:p>
        </w:tc>
        <w:tc>
          <w:tcPr>
            <w:tcW w:w="3960" w:type="dxa"/>
            <w:vAlign w:val="bottom"/>
          </w:tcPr>
          <w:p>
            <w:pPr>
              <w:ind w:left="3360"/>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386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David Kinzelberg</w:t>
            </w:r>
          </w:p>
        </w:tc>
      </w:tr>
      <w:tr>
        <w:trPr>
          <w:trHeight w:val="135"/>
        </w:trPr>
        <w:tc>
          <w:tcPr>
            <w:tcW w:w="560" w:type="dxa"/>
            <w:vAlign w:val="bottom"/>
          </w:tcPr>
          <w:p>
            <w:pPr>
              <w:spacing w:after="0"/>
              <w:rPr>
                <w:sz w:val="11"/>
                <w:szCs w:val="1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3960" w:type="dxa"/>
            <w:vAlign w:val="bottom"/>
          </w:tcPr>
          <w:p>
            <w:pPr>
              <w:spacing w:after="0"/>
              <w:rPr>
                <w:sz w:val="11"/>
                <w:szCs w:val="11"/>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r>
      <w:tr>
        <w:trPr>
          <w:trHeight w:val="1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2920" w:type="dxa"/>
            <w:vAlign w:val="bottom"/>
          </w:tcPr>
          <w:p>
            <w:pPr>
              <w:spacing w:after="0"/>
              <w:rPr>
                <w:sz w:val="20"/>
                <w:szCs w:val="20"/>
                <w:color w:val="auto"/>
              </w:rPr>
            </w:pPr>
            <w:r>
              <w:rPr>
                <w:rFonts w:ascii="Times New Roman" w:cs="Times New Roman" w:eastAsia="Times New Roman" w:hAnsi="Times New Roman"/>
                <w:sz w:val="11"/>
                <w:szCs w:val="11"/>
                <w:color w:val="auto"/>
              </w:rPr>
              <w:t>M. Director</w:t>
            </w:r>
          </w:p>
        </w:tc>
        <w:tc>
          <w:tcPr>
            <w:tcW w:w="3960" w:type="dxa"/>
            <w:vAlign w:val="bottom"/>
          </w:tcPr>
          <w:p>
            <w:pPr>
              <w:ind w:left="3360"/>
              <w:spacing w:after="0"/>
              <w:rPr>
                <w:sz w:val="20"/>
                <w:szCs w:val="20"/>
                <w:color w:val="auto"/>
              </w:rPr>
            </w:pPr>
            <w:r>
              <w:rPr>
                <w:rFonts w:ascii="Times New Roman" w:cs="Times New Roman" w:eastAsia="Times New Roman" w:hAnsi="Times New Roman"/>
                <w:sz w:val="11"/>
                <w:szCs w:val="11"/>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r>
      <w:tr>
        <w:trPr>
          <w:trHeight w:val="257"/>
        </w:trPr>
        <w:tc>
          <w:tcPr>
            <w:tcW w:w="3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w:t>
            </w:r>
          </w:p>
        </w:tc>
        <w:tc>
          <w:tcPr>
            <w:tcW w:w="396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135"/>
        </w:trPr>
        <w:tc>
          <w:tcPr>
            <w:tcW w:w="3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Trust Company, N.A.</w:t>
            </w:r>
          </w:p>
        </w:tc>
        <w:tc>
          <w:tcPr>
            <w:tcW w:w="3960" w:type="dxa"/>
            <w:vAlign w:val="bottom"/>
          </w:tcPr>
          <w:p>
            <w:pPr>
              <w:spacing w:after="0"/>
              <w:rPr>
                <w:sz w:val="11"/>
                <w:szCs w:val="11"/>
                <w:color w:val="auto"/>
              </w:rPr>
            </w:pPr>
          </w:p>
        </w:tc>
        <w:tc>
          <w:tcPr>
            <w:tcW w:w="3860" w:type="dxa"/>
            <w:vAlign w:val="bottom"/>
          </w:tcPr>
          <w:p>
            <w:pPr>
              <w:spacing w:after="0"/>
              <w:rPr>
                <w:sz w:val="11"/>
                <w:szCs w:val="11"/>
                <w:color w:val="auto"/>
              </w:rPr>
            </w:pPr>
          </w:p>
        </w:tc>
      </w:tr>
      <w:tr>
        <w:trPr>
          <w:trHeight w:val="1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Jenni A. Lee</w:t>
            </w:r>
          </w:p>
        </w:tc>
        <w:tc>
          <w:tcPr>
            <w:tcW w:w="3960" w:type="dxa"/>
            <w:vAlign w:val="bottom"/>
          </w:tcPr>
          <w:p>
            <w:pPr>
              <w:spacing w:after="0"/>
              <w:rPr>
                <w:sz w:val="12"/>
                <w:szCs w:val="12"/>
                <w:color w:val="auto"/>
              </w:rPr>
            </w:pPr>
          </w:p>
        </w:tc>
        <w:tc>
          <w:tcPr>
            <w:tcW w:w="3860" w:type="dxa"/>
            <w:vAlign w:val="bottom"/>
          </w:tcPr>
          <w:p>
            <w:pPr>
              <w:spacing w:after="0"/>
              <w:rPr>
                <w:sz w:val="12"/>
                <w:szCs w:val="12"/>
                <w:color w:val="auto"/>
              </w:rPr>
            </w:pPr>
          </w:p>
        </w:tc>
      </w:tr>
      <w:tr>
        <w:trPr>
          <w:trHeight w:val="111"/>
        </w:trPr>
        <w:tc>
          <w:tcPr>
            <w:tcW w:w="56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292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Jenni A. Lee</w:t>
            </w:r>
          </w:p>
        </w:tc>
        <w:tc>
          <w:tcPr>
            <w:tcW w:w="3960" w:type="dxa"/>
            <w:vAlign w:val="bottom"/>
          </w:tcPr>
          <w:p>
            <w:pPr>
              <w:spacing w:after="0"/>
              <w:rPr>
                <w:sz w:val="9"/>
                <w:szCs w:val="9"/>
                <w:color w:val="auto"/>
              </w:rPr>
            </w:pPr>
          </w:p>
        </w:tc>
        <w:tc>
          <w:tcPr>
            <w:tcW w:w="3860" w:type="dxa"/>
            <w:vAlign w:val="bottom"/>
          </w:tcPr>
          <w:p>
            <w:pPr>
              <w:spacing w:after="0"/>
              <w:rPr>
                <w:sz w:val="9"/>
                <w:szCs w:val="9"/>
                <w:color w:val="auto"/>
              </w:rPr>
            </w:pPr>
          </w:p>
        </w:tc>
      </w:tr>
      <w:tr>
        <w:trPr>
          <w:trHeight w:val="135"/>
        </w:trPr>
        <w:tc>
          <w:tcPr>
            <w:tcW w:w="560" w:type="dxa"/>
            <w:vAlign w:val="bottom"/>
          </w:tcPr>
          <w:p>
            <w:pPr>
              <w:spacing w:after="0"/>
              <w:rPr>
                <w:sz w:val="11"/>
                <w:szCs w:val="1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3960" w:type="dxa"/>
            <w:vAlign w:val="bottom"/>
          </w:tcPr>
          <w:p>
            <w:pPr>
              <w:spacing w:after="0"/>
              <w:rPr>
                <w:sz w:val="11"/>
                <w:szCs w:val="11"/>
                <w:color w:val="auto"/>
              </w:rPr>
            </w:pPr>
          </w:p>
        </w:tc>
        <w:tc>
          <w:tcPr>
            <w:tcW w:w="3860" w:type="dxa"/>
            <w:vAlign w:val="bottom"/>
          </w:tcPr>
          <w:p>
            <w:pPr>
              <w:spacing w:after="0"/>
              <w:rPr>
                <w:sz w:val="11"/>
                <w:szCs w:val="11"/>
                <w:color w:val="auto"/>
              </w:rPr>
            </w:pPr>
          </w:p>
        </w:tc>
      </w:tr>
      <w:tr>
        <w:trPr>
          <w:trHeight w:val="1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2920" w:type="dxa"/>
            <w:vAlign w:val="bottom"/>
          </w:tcPr>
          <w:p>
            <w:pPr>
              <w:spacing w:after="0"/>
              <w:rPr>
                <w:sz w:val="20"/>
                <w:szCs w:val="20"/>
                <w:color w:val="auto"/>
              </w:rPr>
            </w:pPr>
            <w:r>
              <w:rPr>
                <w:rFonts w:ascii="Times New Roman" w:cs="Times New Roman" w:eastAsia="Times New Roman" w:hAnsi="Times New Roman"/>
                <w:sz w:val="11"/>
                <w:szCs w:val="11"/>
                <w:color w:val="auto"/>
              </w:rPr>
              <w:t>Director</w:t>
            </w:r>
          </w:p>
        </w:tc>
        <w:tc>
          <w:tcPr>
            <w:tcW w:w="3960" w:type="dxa"/>
            <w:vAlign w:val="bottom"/>
          </w:tcPr>
          <w:p>
            <w:pPr>
              <w:spacing w:after="0"/>
              <w:rPr>
                <w:sz w:val="12"/>
                <w:szCs w:val="12"/>
                <w:color w:val="auto"/>
              </w:rPr>
            </w:pPr>
          </w:p>
        </w:tc>
        <w:tc>
          <w:tcPr>
            <w:tcW w:w="3860" w:type="dxa"/>
            <w:vAlign w:val="bottom"/>
          </w:tcPr>
          <w:p>
            <w:pPr>
              <w:spacing w:after="0"/>
              <w:rPr>
                <w:sz w:val="12"/>
                <w:szCs w:val="12"/>
                <w:color w:val="auto"/>
              </w:rPr>
            </w:pPr>
          </w:p>
        </w:tc>
      </w:tr>
    </w:tbl>
    <w:p>
      <w:pPr>
        <w:sectPr>
          <w:pgSz w:w="11900" w:h="16838" w:orient="portrait"/>
          <w:cols w:equalWidth="0" w:num="1">
            <w:col w:w="11308"/>
          </w:cols>
          <w:pgMar w:left="292" w:top="258" w:right="299" w:bottom="1440" w:gutter="0" w:footer="0" w:header="0"/>
        </w:sectPr>
      </w:pPr>
    </w:p>
    <w:bookmarkStart w:id="164" w:name="page165"/>
    <w:bookmarkEnd w:id="164"/>
    <w:p>
      <w:pPr>
        <w:ind w:left="10668"/>
        <w:spacing w:after="0"/>
        <w:rPr>
          <w:sz w:val="20"/>
          <w:szCs w:val="20"/>
          <w:color w:val="auto"/>
        </w:rPr>
      </w:pPr>
      <w:r>
        <w:rPr>
          <w:rFonts w:ascii="Times New Roman" w:cs="Times New Roman" w:eastAsia="Times New Roman" w:hAnsi="Times New Roman"/>
          <w:sz w:val="11"/>
          <w:szCs w:val="11"/>
          <w:b w:val="1"/>
          <w:bCs w:val="1"/>
          <w:color w:val="auto"/>
        </w:rPr>
        <w:t>Exhibit 10.63</w:t>
      </w:r>
    </w:p>
    <w:p>
      <w:pPr>
        <w:spacing w:after="0" w:line="154" w:lineRule="exact"/>
        <w:rPr>
          <w:sz w:val="20"/>
          <w:szCs w:val="20"/>
          <w:color w:val="auto"/>
        </w:rPr>
      </w:pPr>
    </w:p>
    <w:p>
      <w:pPr>
        <w:ind w:left="8" w:hanging="8"/>
        <w:spacing w:after="0" w:line="286" w:lineRule="auto"/>
        <w:tabs>
          <w:tab w:leader="none" w:pos="220" w:val="left"/>
        </w:tabs>
        <w:numPr>
          <w:ilvl w:val="0"/>
          <w:numId w:val="1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76" w:lineRule="exact"/>
        <w:rPr>
          <w:sz w:val="20"/>
          <w:szCs w:val="20"/>
          <w:color w:val="auto"/>
        </w:rPr>
      </w:pPr>
    </w:p>
    <w:p>
      <w:pPr>
        <w:ind w:left="10688"/>
        <w:spacing w:after="0"/>
        <w:rPr>
          <w:sz w:val="20"/>
          <w:szCs w:val="20"/>
          <w:color w:val="auto"/>
        </w:rPr>
      </w:pPr>
      <w:r>
        <w:rPr>
          <w:rFonts w:ascii="Times New Roman" w:cs="Times New Roman" w:eastAsia="Times New Roman" w:hAnsi="Times New Roman"/>
          <w:sz w:val="11"/>
          <w:szCs w:val="11"/>
          <w:color w:val="auto"/>
        </w:rPr>
        <w:t>A.N.: 130339</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AMD_00069332.0</w:t>
      </w:r>
    </w:p>
    <w:p>
      <w:pPr>
        <w:spacing w:after="0" w:line="1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55"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1"/>
          <w:szCs w:val="11"/>
          <w:color w:val="auto"/>
        </w:rPr>
        <w:t>Date of Amendment: April 9, 2012</w:t>
      </w:r>
    </w:p>
    <w:p>
      <w:pPr>
        <w:spacing w:after="0" w:line="153" w:lineRule="exact"/>
        <w:rPr>
          <w:sz w:val="20"/>
          <w:szCs w:val="20"/>
          <w:color w:val="auto"/>
        </w:rPr>
      </w:pPr>
    </w:p>
    <w:p>
      <w:pPr>
        <w:ind w:left="168" w:right="200" w:firstLine="868"/>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(f/k/a Morgan Stanley Capital International Inc.) (“MSCI”) and BlackRock Institutional Trust Company, N.A. (formerly known as Barclays Global Investors, N.A.) (“Licensee”), as previously amended. Capitalized terms used herein but not otherwise defined herein shall have the meanings ascribed in the Agreement.</w:t>
      </w:r>
    </w:p>
    <w:p>
      <w:pPr>
        <w:spacing w:after="0" w:line="3" w:lineRule="exact"/>
        <w:rPr>
          <w:sz w:val="20"/>
          <w:szCs w:val="20"/>
          <w:color w:val="auto"/>
        </w:rPr>
      </w:pPr>
    </w:p>
    <w:p>
      <w:pPr>
        <w:ind w:left="1008" w:right="40" w:hanging="423"/>
        <w:spacing w:after="0" w:line="276" w:lineRule="auto"/>
        <w:tabs>
          <w:tab w:leader="none" w:pos="1008" w:val="left"/>
        </w:tabs>
        <w:numPr>
          <w:ilvl w:val="0"/>
          <w:numId w:val="1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further amended to allow the Funds to be additionally listed and traded on the Mexican domiciled stock or security exchanges (herein referred to as the “Mexican Listed Funds”). All Listed Funds must be issued, sold and traded on a public basis in accordance with the applicable Mexican securities law. All other terms and restrictions contained in Exhibit B shall apply to the Mexican Listed Funds. Notwithstanding anything to the contrary in Exhibit A, the Mexican Listed Funds may only be based on the following Indexes:</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Australia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Poland IMI</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Brazil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Brazil Small Cap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Chile IMI</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BRIC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EMU Index</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Canada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Germany Index</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China Small Cap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Emerging Markets (“EM”)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MSCI EAFE Small Cap Index</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Europe Australasia</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11"/>
                <w:szCs w:val="11"/>
                <w:color w:val="auto"/>
              </w:rPr>
            </w:pP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and the Far East Index (“EAFE”)</w:t>
            </w:r>
          </w:p>
        </w:tc>
        <w:tc>
          <w:tcPr>
            <w:tcW w:w="2520" w:type="dxa"/>
            <w:vAlign w:val="bottom"/>
          </w:tcPr>
          <w:p>
            <w:pPr>
              <w:spacing w:after="0"/>
              <w:rPr>
                <w:sz w:val="11"/>
                <w:szCs w:val="11"/>
                <w:color w:val="auto"/>
              </w:rPr>
            </w:pP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Hong Kong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Japan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Malaysia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France Index</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Pacific ex Japan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Italy Index</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Spain Index</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Taiwan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Switzerland Index</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USA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UK Index</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MSCI Israel Capped IMI</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Korea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MSCI Netherlands IMI</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All Country World Index (“ACWI”)</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ex USA Index</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MSCI Sweden Index</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EM Minimum Volatility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MSCI Thailand IMI</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EAFE Minimum Volatility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MSCI Turkey IMI</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ACWI Minimum Volatility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USA Minimum Volatility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Singapore Index</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Ireland Capped Investable Market Index (“IMI”)</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280" w:type="dxa"/>
            <w:vAlign w:val="bottom"/>
          </w:tcPr>
          <w:p>
            <w:pPr>
              <w:spacing w:after="0"/>
              <w:rPr>
                <w:sz w:val="11"/>
                <w:szCs w:val="11"/>
                <w:color w:val="auto"/>
              </w:rPr>
            </w:pPr>
          </w:p>
        </w:tc>
        <w:tc>
          <w:tcPr>
            <w:tcW w:w="2520" w:type="dxa"/>
            <w:vAlign w:val="bottom"/>
          </w:tcPr>
          <w:p>
            <w:pPr>
              <w:spacing w:after="0"/>
              <w:rPr>
                <w:sz w:val="11"/>
                <w:szCs w:val="11"/>
                <w:color w:val="auto"/>
              </w:rPr>
            </w:pP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New Zealand IMI</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MSCI Philippines IMI</w:t>
            </w: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11"/>
                <w:szCs w:val="11"/>
                <w:color w:val="auto"/>
              </w:rPr>
            </w:pPr>
          </w:p>
        </w:tc>
        <w:tc>
          <w:tcPr>
            <w:tcW w:w="32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MSCI Belgium IMI</w:t>
            </w: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1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20" w:type="dxa"/>
            <w:vAlign w:val="bottom"/>
          </w:tcPr>
          <w:p>
            <w:pPr>
              <w:ind w:left="1140"/>
              <w:spacing w:after="0"/>
              <w:rPr>
                <w:sz w:val="20"/>
                <w:szCs w:val="20"/>
                <w:color w:val="auto"/>
              </w:rPr>
            </w:pPr>
            <w:r>
              <w:rPr>
                <w:rFonts w:ascii="Times New Roman" w:cs="Times New Roman" w:eastAsia="Times New Roman" w:hAnsi="Times New Roman"/>
                <w:sz w:val="11"/>
                <w:szCs w:val="11"/>
                <w:color w:val="auto"/>
              </w:rPr>
              <w:t>***********</w:t>
            </w:r>
          </w:p>
        </w:tc>
      </w:tr>
    </w:tbl>
    <w:p>
      <w:pPr>
        <w:spacing w:after="0" w:line="131" w:lineRule="exact"/>
        <w:rPr>
          <w:sz w:val="20"/>
          <w:szCs w:val="20"/>
          <w:color w:val="auto"/>
        </w:rPr>
      </w:pPr>
    </w:p>
    <w:p>
      <w:pPr>
        <w:ind w:left="1008"/>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Mexican Listed Funds. For clarity, there shall be *********** for the Mexican Listed Funds as *********** the Mexican Listed Funds shall be *********** for purposes of calculating license fees.</w:t>
      </w:r>
    </w:p>
    <w:p>
      <w:pPr>
        <w:spacing w:after="0" w:line="21" w:lineRule="exact"/>
        <w:rPr>
          <w:sz w:val="20"/>
          <w:szCs w:val="20"/>
          <w:color w:val="auto"/>
        </w:rPr>
      </w:pPr>
    </w:p>
    <w:p>
      <w:pPr>
        <w:ind w:left="1008" w:right="100" w:hanging="423"/>
        <w:spacing w:after="0" w:line="296" w:lineRule="auto"/>
        <w:tabs>
          <w:tab w:leader="none" w:pos="1008" w:val="left"/>
        </w:tabs>
        <w:numPr>
          <w:ilvl w:val="0"/>
          <w:numId w:val="1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further amended to allow the Funds to be additionally listed and traded on the Chilean domiciled stock or security exchanges (herein referred to as the “Chilean Listed Funds”). All Listed Funds must be issued, sold and traded on a public basis in accordance with the applicable Chilean securities law. All other terms and restrictions contained in Exhibit B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89470"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6" w:right="299" w:bottom="1440" w:gutter="0" w:footer="0" w:header="0"/>
        </w:sectPr>
      </w:pPr>
    </w:p>
    <w:bookmarkStart w:id="165" w:name="page166"/>
    <w:bookmarkEnd w:id="165"/>
    <w:p>
      <w:pPr>
        <w:ind w:left="1000"/>
        <w:spacing w:after="0"/>
        <w:rPr>
          <w:sz w:val="20"/>
          <w:szCs w:val="20"/>
          <w:color w:val="auto"/>
        </w:rPr>
      </w:pPr>
      <w:r>
        <w:rPr>
          <w:rFonts w:ascii="Times New Roman" w:cs="Times New Roman" w:eastAsia="Times New Roman" w:hAnsi="Times New Roman"/>
          <w:sz w:val="11"/>
          <w:szCs w:val="11"/>
          <w:color w:val="auto"/>
        </w:rPr>
        <w:t>apply to the Chilean Listed Funds. Notwithstanding anything to the contrary in Exhibit A, the Chilean Listed Funds may only be based on the following Indexes:</w:t>
      </w:r>
    </w:p>
    <w:p>
      <w:pPr>
        <w:sectPr>
          <w:pgSz w:w="11900" w:h="16838" w:orient="portrait"/>
          <w:cols w:equalWidth="0" w:num="1">
            <w:col w:w="11320"/>
          </w:cols>
          <w:pgMar w:left="300" w:top="341" w:right="279" w:bottom="1440" w:gutter="0" w:footer="0" w:header="0"/>
        </w:sectPr>
      </w:pP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Canada Index</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Malaysia Index</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South Africa Index</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Korea Index</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ACWI</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Ireland Capped IMI</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France Index</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Italy Index</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Spain Index</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Switzerland Index</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MSCI Poland IMI</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Indonesia IMI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Israel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Israel Capped IMI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MSCI Turkey IMI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41" w:lineRule="exact"/>
        <w:rPr>
          <w:sz w:val="20"/>
          <w:szCs w:val="20"/>
          <w:color w:val="auto"/>
        </w:rPr>
      </w:pPr>
    </w:p>
    <w:p>
      <w:pPr>
        <w:sectPr>
          <w:pgSz w:w="11900" w:h="16838" w:orient="portrait"/>
          <w:cols w:equalWidth="0" w:num="2">
            <w:col w:w="4920" w:space="720"/>
            <w:col w:w="5680"/>
          </w:cols>
          <w:pgMar w:left="300" w:top="341" w:right="279" w:bottom="1440" w:gutter="0" w:footer="0" w:header="0"/>
          <w:type w:val="continuous"/>
        </w:sectPr>
      </w:pPr>
    </w:p>
    <w:p>
      <w:pPr>
        <w:ind w:left="1000" w:right="120"/>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Chilean Listed Funds. For clarity, there shall be *********** for the Chilean Listed Funds as *********** the Chilean Listed Funds shall be *********** for purposes of calculating license fees.</w:t>
      </w:r>
    </w:p>
    <w:p>
      <w:pPr>
        <w:spacing w:after="0" w:line="3" w:lineRule="exact"/>
        <w:rPr>
          <w:sz w:val="20"/>
          <w:szCs w:val="20"/>
          <w:color w:val="auto"/>
        </w:rPr>
      </w:pPr>
    </w:p>
    <w:p>
      <w:pPr>
        <w:ind w:left="1000" w:right="180" w:hanging="423"/>
        <w:spacing w:after="0" w:line="276" w:lineRule="auto"/>
        <w:tabs>
          <w:tab w:leader="none" w:pos="1000" w:val="left"/>
        </w:tabs>
        <w:numPr>
          <w:ilvl w:val="0"/>
          <w:numId w:val="1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further amended to allow the Funds to be additionally listed and traded on the Peruvian domiciled stock or security exchanges (herein referred to as the “Peruvian Listed Funds”). All Listed Funds must be issued, sold and traded on a public basis in accordance with the applicable Peruvian securities law. All other terms and restrictions contained in Exhibit B shall apply to the Peruvian Listed Funds. Notwithstanding anything to the contrary in Exhibit A, the Peruvian Listed Funds may only be based on the following Indexes: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10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100" w:type="dxa"/>
            <w:vAlign w:val="bottom"/>
          </w:tcPr>
          <w:p>
            <w:pPr>
              <w:spacing w:after="0"/>
              <w:rPr>
                <w:sz w:val="12"/>
                <w:szCs w:val="12"/>
                <w:color w:val="auto"/>
              </w:rPr>
            </w:pP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4840" w:type="dxa"/>
            <w:vAlign w:val="bottom"/>
          </w:tcPr>
          <w:p>
            <w:pPr>
              <w:jc w:val="right"/>
              <w:ind w:right="2883"/>
              <w:spacing w:after="0"/>
              <w:rPr>
                <w:sz w:val="20"/>
                <w:szCs w:val="20"/>
                <w:color w:val="auto"/>
              </w:rPr>
            </w:pPr>
            <w:r>
              <w:rPr>
                <w:rFonts w:ascii="Times New Roman" w:cs="Times New Roman" w:eastAsia="Times New Roman" w:hAnsi="Times New Roman"/>
                <w:sz w:val="11"/>
                <w:szCs w:val="11"/>
                <w:color w:val="auto"/>
              </w:rPr>
              <w:t>***********</w:t>
            </w:r>
          </w:p>
        </w:tc>
      </w:tr>
      <w:tr>
        <w:trPr>
          <w:trHeight w:val="371"/>
        </w:trPr>
        <w:tc>
          <w:tcPr>
            <w:tcW w:w="31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41" w:right="279" w:bottom="1440" w:gutter="0" w:footer="0" w:header="0"/>
          <w:type w:val="continuous"/>
        </w:sectPr>
      </w:pPr>
    </w:p>
    <w:bookmarkStart w:id="166" w:name="page167"/>
    <w:bookmarkEnd w:id="166"/>
    <w:p>
      <w:pPr>
        <w:ind w:left="423" w:right="160"/>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Peruvian Listed Funds. For clarity, there shall be *********** for the Peruvian Listed Funds as *********** the Peruvian Listed Funds shall be *********** for purposes of calculating license fees.</w:t>
      </w:r>
    </w:p>
    <w:p>
      <w:pPr>
        <w:spacing w:after="0" w:line="3" w:lineRule="exact"/>
        <w:rPr>
          <w:sz w:val="20"/>
          <w:szCs w:val="20"/>
          <w:color w:val="auto"/>
        </w:rPr>
      </w:pPr>
    </w:p>
    <w:p>
      <w:pPr>
        <w:ind w:left="423" w:right="260" w:hanging="423"/>
        <w:spacing w:after="0" w:line="276" w:lineRule="auto"/>
        <w:tabs>
          <w:tab w:leader="none" w:pos="423" w:val="left"/>
        </w:tabs>
        <w:numPr>
          <w:ilvl w:val="0"/>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is hereby further amended to allow the Funds to be additionally listed and traded on the Colombian domiciled stock or security exchanges (herein referred to as the “Colombian Listed Funds”). All Listed Funds must be issued, sold and traded on a public basis in accordance with the applicable Colombian securities law. All other terms and restrictions contained in Exhibit B shall apply to the Colombian Listed Funds. Notwithstanding anything to the contrary in Exhibit A, the Colombian Listed Funds may only be based on the following Indexes:</w:t>
      </w:r>
    </w:p>
    <w:p>
      <w:pPr>
        <w:spacing w:after="0" w:line="95" w:lineRule="exact"/>
        <w:rPr>
          <w:sz w:val="20"/>
          <w:szCs w:val="20"/>
          <w:color w:val="auto"/>
        </w:rPr>
      </w:pPr>
    </w:p>
    <w:tbl>
      <w:tblPr>
        <w:tblLayout w:type="fixed"/>
        <w:tblInd w:w="443" w:type="dxa"/>
        <w:tblCellMar>
          <w:top w:w="0" w:type="dxa"/>
          <w:left w:w="0" w:type="dxa"/>
          <w:bottom w:w="0" w:type="dxa"/>
          <w:right w:w="0" w:type="dxa"/>
        </w:tblCellMar>
      </w:tblP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080" w:type="dxa"/>
            <w:vAlign w:val="bottom"/>
          </w:tcPr>
          <w:p>
            <w:pPr>
              <w:jc w:val="right"/>
              <w:ind w:right="1403"/>
              <w:spacing w:after="0"/>
              <w:rPr>
                <w:sz w:val="20"/>
                <w:szCs w:val="20"/>
                <w:color w:val="auto"/>
              </w:rPr>
            </w:pPr>
            <w:r>
              <w:rPr>
                <w:rFonts w:ascii="Times New Roman" w:cs="Times New Roman" w:eastAsia="Times New Roman" w:hAnsi="Times New Roman"/>
                <w:sz w:val="11"/>
                <w:szCs w:val="11"/>
                <w:color w:val="auto"/>
                <w:w w:val="99"/>
              </w:rPr>
              <w:t>***********</w:t>
            </w:r>
          </w:p>
        </w:tc>
        <w:tc>
          <w:tcPr>
            <w:tcW w:w="338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0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0" w:lineRule="exact"/>
        <w:rPr>
          <w:sz w:val="20"/>
          <w:szCs w:val="20"/>
          <w:color w:val="auto"/>
        </w:rPr>
      </w:pPr>
    </w:p>
    <w:p>
      <w:pPr>
        <w:spacing w:after="0" w:line="201" w:lineRule="exact"/>
        <w:rPr>
          <w:sz w:val="20"/>
          <w:szCs w:val="20"/>
          <w:color w:val="auto"/>
        </w:rPr>
      </w:pPr>
    </w:p>
    <w:p>
      <w:pPr>
        <w:ind w:left="423"/>
        <w:spacing w:after="0" w:line="296" w:lineRule="auto"/>
        <w:rPr>
          <w:sz w:val="20"/>
          <w:szCs w:val="20"/>
          <w:color w:val="auto"/>
        </w:rPr>
      </w:pPr>
      <w:r>
        <w:rPr>
          <w:rFonts w:ascii="Times New Roman" w:cs="Times New Roman" w:eastAsia="Times New Roman" w:hAnsi="Times New Roman"/>
          <w:sz w:val="11"/>
          <w:szCs w:val="11"/>
          <w:color w:val="auto"/>
        </w:rPr>
        <w:t>For the avoidance of doubt, the license fees set forth in the Agreement, as amended, shall apply with respect to all Colombian Listed Funds. For clarity, there shall be *********** for the Colombian Listed Funds as *********** the Colombian Listed Funds shall be *********** for purposes of calculating license fees.</w:t>
      </w:r>
    </w:p>
    <w:p>
      <w:pPr>
        <w:spacing w:after="0" w:line="3" w:lineRule="exact"/>
        <w:rPr>
          <w:sz w:val="20"/>
          <w:szCs w:val="20"/>
          <w:color w:val="auto"/>
        </w:rPr>
      </w:pPr>
    </w:p>
    <w:p>
      <w:pPr>
        <w:ind w:left="423" w:right="200" w:hanging="423"/>
        <w:spacing w:after="0" w:line="276" w:lineRule="auto"/>
        <w:tabs>
          <w:tab w:leader="none" w:pos="423"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223520</wp:posOffset>
            </wp:positionV>
            <wp:extent cx="7189470"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723"/>
          </w:cols>
          <w:pgMar w:left="877" w:top="575" w:right="299" w:bottom="1440" w:gutter="0" w:footer="0" w:header="0"/>
        </w:sectPr>
      </w:pPr>
    </w:p>
    <w:bookmarkStart w:id="167" w:name="page168"/>
    <w:bookmarkEnd w:id="167"/>
    <w:p>
      <w:pPr>
        <w:ind w:left="1000" w:hanging="423"/>
        <w:spacing w:after="0"/>
        <w:tabs>
          <w:tab w:leader="none" w:pos="1000" w:val="left"/>
        </w:tabs>
        <w:numPr>
          <w:ilvl w:val="0"/>
          <w:numId w:val="1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MSCI INC.</w:t>
            </w:r>
          </w:p>
        </w:tc>
      </w:tr>
      <w:tr>
        <w:trPr>
          <w:trHeight w:val="148"/>
        </w:trPr>
        <w:tc>
          <w:tcPr>
            <w:tcW w:w="6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 /s/ Timothy M. Meyer</w:t>
            </w:r>
          </w:p>
        </w:tc>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By /s/ David Kinzelberg</w:t>
            </w:r>
          </w:p>
        </w:tc>
      </w:tr>
      <w:tr>
        <w:trPr>
          <w:trHeight w:val="129"/>
        </w:trPr>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Name Timothy M. Meyer</w:t>
            </w:r>
          </w:p>
        </w:tc>
        <w:tc>
          <w:tcPr>
            <w:tcW w:w="1260" w:type="dxa"/>
            <w:vAlign w:val="bottom"/>
          </w:tcPr>
          <w:p>
            <w:pPr>
              <w:spacing w:after="0"/>
              <w:rPr>
                <w:sz w:val="11"/>
                <w:szCs w:val="11"/>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Name David Kinzelberg</w:t>
            </w:r>
          </w:p>
        </w:tc>
      </w:tr>
      <w:tr>
        <w:trPr>
          <w:trHeight w:val="144"/>
        </w:trPr>
        <w:tc>
          <w:tcPr>
            <w:tcW w:w="628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(printed)</w:t>
            </w:r>
          </w:p>
        </w:tc>
        <w:tc>
          <w:tcPr>
            <w:tcW w:w="50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(printed)</w:t>
            </w:r>
          </w:p>
        </w:tc>
      </w:tr>
      <w:tr>
        <w:trPr>
          <w:trHeight w:val="144"/>
        </w:trPr>
        <w:tc>
          <w:tcPr>
            <w:tcW w:w="6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 M. Director</w:t>
            </w:r>
          </w:p>
        </w:tc>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Title  Executive Director</w:t>
            </w:r>
          </w:p>
        </w:tc>
      </w:tr>
      <w:tr>
        <w:trPr>
          <w:trHeight w:val="144"/>
        </w:trPr>
        <w:tc>
          <w:tcPr>
            <w:tcW w:w="6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5020" w:type="dxa"/>
            <w:vAlign w:val="bottom"/>
          </w:tcPr>
          <w:p>
            <w:pPr>
              <w:spacing w:after="0"/>
              <w:rPr>
                <w:sz w:val="12"/>
                <w:szCs w:val="12"/>
                <w:color w:val="auto"/>
              </w:rPr>
            </w:pPr>
          </w:p>
        </w:tc>
      </w:tr>
      <w:tr>
        <w:trPr>
          <w:trHeight w:val="148"/>
        </w:trPr>
        <w:tc>
          <w:tcPr>
            <w:tcW w:w="6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 /s/ Jenni A. Lee</w:t>
            </w:r>
          </w:p>
        </w:tc>
        <w:tc>
          <w:tcPr>
            <w:tcW w:w="5020" w:type="dxa"/>
            <w:vAlign w:val="bottom"/>
          </w:tcPr>
          <w:p>
            <w:pPr>
              <w:spacing w:after="0"/>
              <w:rPr>
                <w:sz w:val="12"/>
                <w:szCs w:val="12"/>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 Jenni 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319468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4">
                      <a:extLst>
                        <a:ext uri="{28A0092B-C50C-407E-A947-70E740481C1C}"/>
                      </a:extLst>
                    </a:blip>
                    <a:srcRect/>
                    <a:stretch>
                      <a:fillRect/>
                    </a:stretch>
                  </pic:blipFill>
                  <pic:spPr bwMode="auto">
                    <a:xfrm>
                      <a:off x="0" y="0"/>
                      <a:ext cx="3194685" cy="571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3"/>
          <w:szCs w:val="13"/>
          <w:color w:val="auto"/>
        </w:rPr>
        <w:t>(printed)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  Director</w:t>
      </w:r>
    </w:p>
    <w:p>
      <w:pPr>
        <w:sectPr>
          <w:pgSz w:w="11900" w:h="16838" w:orient="portrait"/>
          <w:cols w:equalWidth="0" w:num="1">
            <w:col w:w="11300"/>
          </w:cols>
          <w:pgMar w:left="300" w:top="323" w:right="299" w:bottom="1440" w:gutter="0" w:footer="0" w:header="0"/>
        </w:sectPr>
      </w:pPr>
    </w:p>
    <w:bookmarkStart w:id="168" w:name="page169"/>
    <w:bookmarkEnd w:id="168"/>
    <w:p>
      <w:pPr>
        <w:ind w:left="10668"/>
        <w:spacing w:after="0"/>
        <w:rPr>
          <w:sz w:val="20"/>
          <w:szCs w:val="20"/>
          <w:color w:val="auto"/>
        </w:rPr>
      </w:pPr>
      <w:r>
        <w:rPr>
          <w:rFonts w:ascii="Times New Roman" w:cs="Times New Roman" w:eastAsia="Times New Roman" w:hAnsi="Times New Roman"/>
          <w:sz w:val="11"/>
          <w:szCs w:val="11"/>
          <w:b w:val="1"/>
          <w:bCs w:val="1"/>
          <w:color w:val="auto"/>
        </w:rPr>
        <w:t>Exhibit 10.64</w:t>
      </w:r>
    </w:p>
    <w:p>
      <w:pPr>
        <w:spacing w:after="0" w:line="90" w:lineRule="exact"/>
        <w:rPr>
          <w:sz w:val="20"/>
          <w:szCs w:val="20"/>
          <w:color w:val="auto"/>
        </w:rPr>
      </w:pPr>
    </w:p>
    <w:p>
      <w:pPr>
        <w:ind w:left="8" w:right="620" w:hanging="8"/>
        <w:spacing w:after="0" w:line="299" w:lineRule="auto"/>
        <w:tabs>
          <w:tab w:leader="none" w:pos="207" w:val="left"/>
        </w:tabs>
        <w:numPr>
          <w:ilvl w:val="0"/>
          <w:numId w:val="15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29" w:lineRule="exact"/>
        <w:rPr>
          <w:sz w:val="20"/>
          <w:szCs w:val="20"/>
          <w:color w:val="auto"/>
        </w:rPr>
      </w:pPr>
    </w:p>
    <w:p>
      <w:pPr>
        <w:ind w:left="10688"/>
        <w:spacing w:after="0"/>
        <w:rPr>
          <w:sz w:val="20"/>
          <w:szCs w:val="20"/>
          <w:color w:val="auto"/>
        </w:rPr>
      </w:pPr>
      <w:r>
        <w:rPr>
          <w:rFonts w:ascii="Times New Roman" w:cs="Times New Roman" w:eastAsia="Times New Roman" w:hAnsi="Times New Roman"/>
          <w:sz w:val="11"/>
          <w:szCs w:val="11"/>
          <w:color w:val="auto"/>
        </w:rPr>
        <w:t>A.N.: 130339</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AMD_00073593.0</w:t>
      </w:r>
    </w:p>
    <w:p>
      <w:pPr>
        <w:spacing w:after="0" w:line="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June 1, 2012</w:t>
      </w:r>
    </w:p>
    <w:p>
      <w:pPr>
        <w:spacing w:after="0" w:line="81" w:lineRule="exact"/>
        <w:rPr>
          <w:sz w:val="20"/>
          <w:szCs w:val="20"/>
          <w:color w:val="auto"/>
        </w:rPr>
      </w:pPr>
    </w:p>
    <w:p>
      <w:pPr>
        <w:ind w:left="8" w:right="180" w:firstLine="431"/>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w:t>
      </w:r>
      <w:r>
        <w:rPr>
          <w:rFonts w:ascii="Times New Roman" w:cs="Times New Roman" w:eastAsia="Times New Roman" w:hAnsi="Times New Roman"/>
          <w:sz w:val="11"/>
          <w:szCs w:val="11"/>
          <w:u w:val="single" w:color="auto"/>
          <w:color w:val="auto"/>
        </w:rPr>
        <w:t>A</w:t>
      </w:r>
      <w:r>
        <w:rPr>
          <w:rFonts w:ascii="Times New Roman" w:cs="Times New Roman" w:eastAsia="Times New Roman" w:hAnsi="Times New Roman"/>
          <w:sz w:val="11"/>
          <w:szCs w:val="11"/>
          <w:color w:val="auto"/>
        </w:rPr>
        <w:t>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(f/k/a Morgan Stanley Capital International Inc.) (“</w:t>
      </w:r>
      <w:r>
        <w:rPr>
          <w:rFonts w:ascii="Times New Roman" w:cs="Times New Roman" w:eastAsia="Times New Roman" w:hAnsi="Times New Roman"/>
          <w:sz w:val="11"/>
          <w:szCs w:val="11"/>
          <w:u w:val="single" w:color="auto"/>
          <w:color w:val="auto"/>
        </w:rPr>
        <w:t>MSCI</w:t>
      </w:r>
      <w:r>
        <w:rPr>
          <w:rFonts w:ascii="Times New Roman" w:cs="Times New Roman" w:eastAsia="Times New Roman" w:hAnsi="Times New Roman"/>
          <w:sz w:val="11"/>
          <w:szCs w:val="11"/>
          <w:color w:val="auto"/>
        </w:rPr>
        <w:t>”) and BlackRock Institutional Trust Company, N.A. (formerly known as Barclays Global Investors, N.A.) (“</w:t>
      </w:r>
      <w:r>
        <w:rPr>
          <w:rFonts w:ascii="Times New Roman" w:cs="Times New Roman" w:eastAsia="Times New Roman" w:hAnsi="Times New Roman"/>
          <w:sz w:val="11"/>
          <w:szCs w:val="11"/>
          <w:u w:val="single" w:color="auto"/>
          <w:color w:val="auto"/>
        </w:rPr>
        <w:t>Licensee</w:t>
      </w:r>
      <w:r>
        <w:rPr>
          <w:rFonts w:ascii="Times New Roman" w:cs="Times New Roman" w:eastAsia="Times New Roman" w:hAnsi="Times New Roman"/>
          <w:sz w:val="11"/>
          <w:szCs w:val="11"/>
          <w:color w:val="auto"/>
        </w:rPr>
        <w:t>”), as previously amended. Capitalized terms used herein but not otherwise defined herein shall have the meanings ascribed in the Agreement.</w:t>
      </w:r>
    </w:p>
    <w:p>
      <w:pPr>
        <w:spacing w:after="0" w:line="30" w:lineRule="exact"/>
        <w:rPr>
          <w:sz w:val="20"/>
          <w:szCs w:val="20"/>
          <w:color w:val="auto"/>
        </w:rPr>
      </w:pPr>
    </w:p>
    <w:p>
      <w:pPr>
        <w:ind w:left="768" w:right="100" w:hanging="354"/>
        <w:spacing w:after="0" w:line="296" w:lineRule="auto"/>
        <w:tabs>
          <w:tab w:leader="none" w:pos="768" w:val="left"/>
        </w:tabs>
        <w:numPr>
          <w:ilvl w:val="0"/>
          <w:numId w:val="1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 For the avoidance of doubt, the terms contained in Exhibit B of the Agreement shall apply to all Funds based on the ***********; provided that in addition to listing and trading the Funds on an U.S. domiciled exchange, Funds based on the *********** also may be listed and traded on stock or security exchanges domiciled in:</w:t>
      </w:r>
    </w:p>
    <w:p>
      <w:pPr>
        <w:spacing w:after="0" w:line="30"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768" w:hanging="354"/>
        <w:spacing w:after="0"/>
        <w:tabs>
          <w:tab w:leader="none" w:pos="768"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pay MSCI an annual license fee per Fund *********** of the Fund’s ***********, ***********. For the avoidance of doubt, the terms set forth in this Section 2 shall apply only to Funds based on the ***********.</w:t>
      </w:r>
    </w:p>
    <w:p>
      <w:pPr>
        <w:spacing w:after="0" w:line="98" w:lineRule="exact"/>
        <w:rPr>
          <w:rFonts w:ascii="Times New Roman" w:cs="Times New Roman" w:eastAsia="Times New Roman" w:hAnsi="Times New Roman"/>
          <w:sz w:val="11"/>
          <w:szCs w:val="11"/>
          <w:color w:val="auto"/>
        </w:rPr>
      </w:pPr>
    </w:p>
    <w:p>
      <w:pPr>
        <w:ind w:left="768" w:hanging="354"/>
        <w:spacing w:after="0"/>
        <w:tabs>
          <w:tab w:leader="none" w:pos="768"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listed Funds must be issued, sold and traded on a public basis in accordance with the applicable securities law. All other terms and restrictions contained in Exhibit B shall apply.</w:t>
      </w:r>
    </w:p>
    <w:p>
      <w:pPr>
        <w:spacing w:after="0" w:line="98" w:lineRule="exact"/>
        <w:rPr>
          <w:rFonts w:ascii="Times New Roman" w:cs="Times New Roman" w:eastAsia="Times New Roman" w:hAnsi="Times New Roman"/>
          <w:sz w:val="11"/>
          <w:szCs w:val="11"/>
          <w:color w:val="auto"/>
        </w:rPr>
      </w:pPr>
    </w:p>
    <w:p>
      <w:pPr>
        <w:ind w:left="768" w:right="240" w:hanging="354"/>
        <w:spacing w:after="0" w:line="276" w:lineRule="auto"/>
        <w:tabs>
          <w:tab w:leader="none" w:pos="768"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40" w:lineRule="exact"/>
        <w:rPr>
          <w:rFonts w:ascii="Times New Roman" w:cs="Times New Roman" w:eastAsia="Times New Roman" w:hAnsi="Times New Roman"/>
          <w:sz w:val="11"/>
          <w:szCs w:val="11"/>
          <w:color w:val="auto"/>
        </w:rPr>
      </w:pPr>
    </w:p>
    <w:p>
      <w:pPr>
        <w:ind w:left="768" w:hanging="354"/>
        <w:spacing w:after="0"/>
        <w:tabs>
          <w:tab w:leader="none" w:pos="768"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the Index in the event that Licensee does not list a Fund based on the Index on an exchange within 1 year of the date of this Amendment.</w:t>
      </w:r>
    </w:p>
    <w:p>
      <w:pPr>
        <w:spacing w:after="0" w:line="98" w:lineRule="exact"/>
        <w:rPr>
          <w:rFonts w:ascii="Times New Roman" w:cs="Times New Roman" w:eastAsia="Times New Roman" w:hAnsi="Times New Roman"/>
          <w:sz w:val="11"/>
          <w:szCs w:val="11"/>
          <w:color w:val="auto"/>
        </w:rPr>
      </w:pPr>
    </w:p>
    <w:p>
      <w:pPr>
        <w:ind w:left="768" w:hanging="354"/>
        <w:spacing w:after="0"/>
        <w:tabs>
          <w:tab w:leader="none" w:pos="768"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5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MSCI INC.</w:t>
            </w:r>
          </w:p>
        </w:tc>
      </w:tr>
      <w:tr>
        <w:trPr>
          <w:trHeight w:val="123"/>
        </w:trPr>
        <w:tc>
          <w:tcPr>
            <w:tcW w:w="1120" w:type="dxa"/>
            <w:vAlign w:val="bottom"/>
            <w:gridSpan w:val="2"/>
          </w:tcPr>
          <w:p>
            <w:pPr>
              <w:spacing w:after="0" w:line="123" w:lineRule="exact"/>
              <w:rPr>
                <w:sz w:val="20"/>
                <w:szCs w:val="20"/>
                <w:color w:val="auto"/>
              </w:rPr>
            </w:pPr>
            <w:r>
              <w:rPr>
                <w:rFonts w:ascii="Times New Roman" w:cs="Times New Roman" w:eastAsia="Times New Roman" w:hAnsi="Times New Roman"/>
                <w:sz w:val="11"/>
                <w:szCs w:val="11"/>
                <w:color w:val="auto"/>
                <w:w w:val="99"/>
              </w:rPr>
              <w:t>By/s/ Timothy M. Meyer</w:t>
            </w:r>
          </w:p>
        </w:tc>
        <w:tc>
          <w:tcPr>
            <w:tcW w:w="4640" w:type="dxa"/>
            <w:vAlign w:val="bottom"/>
          </w:tcPr>
          <w:p>
            <w:pPr>
              <w:spacing w:after="0"/>
              <w:rPr>
                <w:sz w:val="10"/>
                <w:szCs w:val="10"/>
                <w:color w:val="auto"/>
              </w:rPr>
            </w:pPr>
          </w:p>
        </w:tc>
        <w:tc>
          <w:tcPr>
            <w:tcW w:w="980" w:type="dxa"/>
            <w:vAlign w:val="bottom"/>
            <w:gridSpan w:val="2"/>
          </w:tcPr>
          <w:p>
            <w:pPr>
              <w:spacing w:after="0" w:line="123" w:lineRule="exact"/>
              <w:rPr>
                <w:sz w:val="20"/>
                <w:szCs w:val="20"/>
                <w:color w:val="auto"/>
              </w:rPr>
            </w:pPr>
            <w:r>
              <w:rPr>
                <w:rFonts w:ascii="Times New Roman" w:cs="Times New Roman" w:eastAsia="Times New Roman" w:hAnsi="Times New Roman"/>
                <w:sz w:val="11"/>
                <w:szCs w:val="11"/>
                <w:color w:val="auto"/>
              </w:rPr>
              <w:t>By/s/ David Dalpe</w:t>
            </w:r>
          </w:p>
        </w:tc>
      </w:tr>
      <w:tr>
        <w:trPr>
          <w:trHeight w:val="20"/>
        </w:trPr>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7"/>
        </w:trPr>
        <w:tc>
          <w:tcPr>
            <w:tcW w:w="32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Name</w:t>
            </w:r>
          </w:p>
        </w:tc>
        <w:tc>
          <w:tcPr>
            <w:tcW w:w="544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1"/>
                <w:szCs w:val="11"/>
                <w:color w:val="auto"/>
              </w:rPr>
              <w:t>Timothy M. Meyer</w:t>
            </w:r>
          </w:p>
        </w:tc>
        <w:tc>
          <w:tcPr>
            <w:tcW w:w="98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rPr>
              <w:t>Name David Dalpe</w:t>
            </w:r>
          </w:p>
        </w:tc>
      </w:tr>
      <w:tr>
        <w:trPr>
          <w:trHeight w:val="135"/>
        </w:trPr>
        <w:tc>
          <w:tcPr>
            <w:tcW w:w="320" w:type="dxa"/>
            <w:vAlign w:val="bottom"/>
          </w:tcPr>
          <w:p>
            <w:pPr>
              <w:spacing w:after="0"/>
              <w:rPr>
                <w:sz w:val="11"/>
                <w:szCs w:val="11"/>
                <w:color w:val="auto"/>
              </w:rPr>
            </w:pPr>
          </w:p>
        </w:tc>
        <w:tc>
          <w:tcPr>
            <w:tcW w:w="54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(printed)</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(printed)</w:t>
            </w:r>
          </w:p>
        </w:tc>
      </w:tr>
      <w:tr>
        <w:trPr>
          <w:trHeight w:val="148"/>
        </w:trPr>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54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M. Director</w:t>
            </w:r>
          </w:p>
        </w:tc>
        <w:tc>
          <w:tcPr>
            <w:tcW w:w="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  Vice President</w:t>
            </w:r>
          </w:p>
        </w:tc>
      </w:tr>
    </w:tbl>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u w:val="single" w:color="auto"/>
          <w:color w:val="auto"/>
        </w:rPr>
        <w:t>By/s/ Jenni A. Lee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Name Jenni A. Lee</w:t>
      </w:r>
    </w:p>
    <w:p>
      <w:pPr>
        <w:spacing w:after="0" w:line="23"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1"/>
          <w:szCs w:val="11"/>
          <w:color w:val="auto"/>
        </w:rPr>
        <w:t>(printed)</w:t>
      </w:r>
    </w:p>
    <w:p>
      <w:pPr>
        <w:spacing w:after="0" w:line="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Title  Director</w:t>
      </w:r>
    </w:p>
    <w:p>
      <w:pPr>
        <w:sectPr>
          <w:pgSz w:w="11900" w:h="16838" w:orient="portrait"/>
          <w:cols w:equalWidth="0" w:num="1">
            <w:col w:w="11308"/>
          </w:cols>
          <w:pgMar w:left="292" w:top="267" w:right="29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1"/>
          <w:szCs w:val="11"/>
          <w:b w:val="1"/>
          <w:bCs w:val="1"/>
          <w:color w:val="auto"/>
        </w:rPr>
        <w:t>Exhibit 10.65</w:t>
      </w:r>
    </w:p>
    <w:p>
      <w:pPr>
        <w:spacing w:after="0" w:line="23" w:lineRule="exact"/>
        <w:rPr>
          <w:sz w:val="20"/>
          <w:szCs w:val="20"/>
          <w:color w:val="auto"/>
        </w:rPr>
      </w:pPr>
    </w:p>
    <w:p>
      <w:pPr>
        <w:ind w:left="8" w:hanging="8"/>
        <w:spacing w:after="0" w:line="273" w:lineRule="auto"/>
        <w:tabs>
          <w:tab w:leader="none" w:pos="235" w:val="left"/>
        </w:tabs>
        <w:numPr>
          <w:ilvl w:val="0"/>
          <w:numId w:val="16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A.N.: 130339 AMD_00079657.0</w:t>
      </w:r>
    </w:p>
    <w:p>
      <w:pPr>
        <w:spacing w:after="0" w:line="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19"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Date of Amendment: August 17, 2012</w:t>
      </w:r>
    </w:p>
    <w:p>
      <w:pPr>
        <w:spacing w:after="0" w:line="54" w:lineRule="exact"/>
        <w:rPr>
          <w:sz w:val="20"/>
          <w:szCs w:val="20"/>
          <w:color w:val="auto"/>
        </w:rPr>
      </w:pPr>
    </w:p>
    <w:p>
      <w:pPr>
        <w:ind w:left="128" w:right="60" w:firstLine="436"/>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(f/k/a Morgan Stanley Capital International Inc.) (“MSCI”) and BlackRock Institutional Trust Company, N.A. (formerly known as Barclays Global Investors, N.A.) (“Licensee”), as previously amended. Capitalized terms used herein but not otherwise defined herein shall have the meanings ascribed in the Agreement.</w:t>
      </w:r>
    </w:p>
    <w:p>
      <w:pPr>
        <w:spacing w:after="0" w:line="12" w:lineRule="exact"/>
        <w:rPr>
          <w:sz w:val="20"/>
          <w:szCs w:val="20"/>
          <w:color w:val="auto"/>
        </w:rPr>
      </w:pPr>
    </w:p>
    <w:p>
      <w:pPr>
        <w:ind w:left="968" w:hanging="419"/>
        <w:spacing w:after="0"/>
        <w:tabs>
          <w:tab w:leader="none" w:pos="968" w:val="left"/>
        </w:tabs>
        <w:numPr>
          <w:ilvl w:val="0"/>
          <w:numId w:val="1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Indexes:</w:t>
      </w:r>
    </w:p>
    <w:p>
      <w:pPr>
        <w:spacing w:after="0" w:line="80"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90"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1"/>
          <w:szCs w:val="11"/>
          <w:color w:val="auto"/>
        </w:rPr>
        <w:t>The above Indexes shall be collectively referred to hereunder as the “***********.”</w:t>
      </w:r>
    </w:p>
    <w:p>
      <w:pPr>
        <w:spacing w:after="0" w:line="54" w:lineRule="exact"/>
        <w:rPr>
          <w:sz w:val="20"/>
          <w:szCs w:val="20"/>
          <w:color w:val="auto"/>
        </w:rPr>
      </w:pPr>
    </w:p>
    <w:p>
      <w:pPr>
        <w:ind w:left="968" w:hanging="419"/>
        <w:spacing w:after="0"/>
        <w:tabs>
          <w:tab w:leader="none" w:pos="968" w:val="left"/>
        </w:tabs>
        <w:numPr>
          <w:ilvl w:val="0"/>
          <w:numId w:val="1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avoidance of doubt, the terms contained in Exhibit B of the Agreement shall apply to all Funds based on the</w:t>
      </w:r>
    </w:p>
    <w:p>
      <w:pPr>
        <w:spacing w:after="0" w:line="90"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1"/>
          <w:szCs w:val="11"/>
          <w:color w:val="auto"/>
        </w:rPr>
        <w:t>***********; provided that in addition to listing and trading the Funds on *********** domiciled exchange, Funds based on the *********** also may be listed and traded on stock or security exchanges domiciled in:</w:t>
      </w:r>
    </w:p>
    <w:p>
      <w:pPr>
        <w:spacing w:after="0" w:line="54" w:lineRule="exact"/>
        <w:rPr>
          <w:sz w:val="20"/>
          <w:szCs w:val="20"/>
          <w:color w:val="auto"/>
        </w:rPr>
      </w:pPr>
    </w:p>
    <w:p>
      <w:pPr>
        <w:ind w:left="1648"/>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ind w:left="1648"/>
        <w:spacing w:after="0"/>
        <w:rPr>
          <w:sz w:val="20"/>
          <w:szCs w:val="20"/>
          <w:color w:val="auto"/>
        </w:rPr>
      </w:pPr>
      <w:r>
        <w:rPr>
          <w:rFonts w:ascii="Times New Roman" w:cs="Times New Roman" w:eastAsia="Times New Roman" w:hAnsi="Times New Roman"/>
          <w:sz w:val="11"/>
          <w:szCs w:val="11"/>
          <w:color w:val="auto"/>
        </w:rPr>
        <w:t>***********</w:t>
      </w:r>
    </w:p>
    <w:p>
      <w:pPr>
        <w:spacing w:after="0" w:line="23" w:lineRule="exact"/>
        <w:rPr>
          <w:sz w:val="20"/>
          <w:szCs w:val="20"/>
          <w:color w:val="auto"/>
        </w:rPr>
      </w:pPr>
    </w:p>
    <w:p>
      <w:pPr>
        <w:ind w:left="1648"/>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ind w:left="1648"/>
        <w:spacing w:after="0"/>
        <w:rPr>
          <w:sz w:val="20"/>
          <w:szCs w:val="20"/>
          <w:color w:val="auto"/>
        </w:rPr>
      </w:pPr>
      <w:r>
        <w:rPr>
          <w:rFonts w:ascii="Times New Roman" w:cs="Times New Roman" w:eastAsia="Times New Roman" w:hAnsi="Times New Roman"/>
          <w:sz w:val="11"/>
          <w:szCs w:val="11"/>
          <w:color w:val="auto"/>
        </w:rPr>
        <w:t>***********</w:t>
      </w:r>
    </w:p>
    <w:p>
      <w:pPr>
        <w:spacing w:after="0" w:line="68" w:lineRule="exact"/>
        <w:rPr>
          <w:sz w:val="20"/>
          <w:szCs w:val="20"/>
          <w:color w:val="auto"/>
        </w:rPr>
      </w:pPr>
    </w:p>
    <w:p>
      <w:pPr>
        <w:ind w:left="968" w:right="40"/>
        <w:spacing w:after="0" w:line="296" w:lineRule="auto"/>
        <w:rPr>
          <w:sz w:val="20"/>
          <w:szCs w:val="20"/>
          <w:color w:val="auto"/>
        </w:rPr>
      </w:pPr>
      <w:r>
        <w:rPr>
          <w:rFonts w:ascii="Times New Roman" w:cs="Times New Roman" w:eastAsia="Times New Roman" w:hAnsi="Times New Roman"/>
          <w:sz w:val="11"/>
          <w:szCs w:val="11"/>
          <w:color w:val="auto"/>
        </w:rPr>
        <w:t>License Fees set forth in the Agreement, as amended, shall apply with respect to all Funds based on the ***********. All listed Funds must be issued, sold and traded on a public basis in accordance with the applicable securities law. All other terms and restrictions contained in Exhibit B shall apply.</w:t>
      </w:r>
    </w:p>
    <w:p>
      <w:pPr>
        <w:spacing w:after="0" w:line="3" w:lineRule="exact"/>
        <w:rPr>
          <w:sz w:val="20"/>
          <w:szCs w:val="20"/>
          <w:color w:val="auto"/>
        </w:rPr>
      </w:pPr>
    </w:p>
    <w:p>
      <w:pPr>
        <w:ind w:left="968" w:right="40" w:hanging="419"/>
        <w:spacing w:after="0" w:line="276" w:lineRule="auto"/>
        <w:tabs>
          <w:tab w:leader="none" w:pos="968" w:val="left"/>
        </w:tabs>
        <w:numPr>
          <w:ilvl w:val="0"/>
          <w:numId w:val="1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13" w:lineRule="exact"/>
        <w:rPr>
          <w:rFonts w:ascii="Times New Roman" w:cs="Times New Roman" w:eastAsia="Times New Roman" w:hAnsi="Times New Roman"/>
          <w:sz w:val="11"/>
          <w:szCs w:val="11"/>
          <w:color w:val="auto"/>
        </w:rPr>
      </w:pPr>
    </w:p>
    <w:p>
      <w:pPr>
        <w:ind w:left="968" w:hanging="419"/>
        <w:spacing w:after="0"/>
        <w:tabs>
          <w:tab w:leader="none" w:pos="968" w:val="left"/>
        </w:tabs>
        <w:numPr>
          <w:ilvl w:val="0"/>
          <w:numId w:val="1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the Index in the event that Licensee does not list a Fund based on the Index on an exchange within 1 year of the date of this Amendment.</w:t>
      </w:r>
    </w:p>
    <w:p>
      <w:pPr>
        <w:spacing w:after="0" w:line="71" w:lineRule="exact"/>
        <w:rPr>
          <w:rFonts w:ascii="Times New Roman" w:cs="Times New Roman" w:eastAsia="Times New Roman" w:hAnsi="Times New Roman"/>
          <w:sz w:val="11"/>
          <w:szCs w:val="11"/>
          <w:color w:val="auto"/>
        </w:rPr>
      </w:pPr>
    </w:p>
    <w:p>
      <w:pPr>
        <w:ind w:left="968" w:hanging="419"/>
        <w:spacing w:after="0"/>
        <w:tabs>
          <w:tab w:leader="none" w:pos="968" w:val="left"/>
        </w:tabs>
        <w:numPr>
          <w:ilvl w:val="0"/>
          <w:numId w:val="1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1260" w:type="dxa"/>
            <w:vAlign w:val="bottom"/>
          </w:tcPr>
          <w:p>
            <w:pPr>
              <w:spacing w:after="0"/>
              <w:rPr>
                <w:sz w:val="11"/>
                <w:szCs w:val="1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MSCI Inc.</w:t>
            </w:r>
          </w:p>
        </w:tc>
      </w:tr>
      <w:tr>
        <w:trPr>
          <w:trHeight w:val="149"/>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By /s/ Timothy M. Meyer</w:t>
            </w:r>
          </w:p>
        </w:tc>
        <w:tc>
          <w:tcPr>
            <w:tcW w:w="1260" w:type="dxa"/>
            <w:vAlign w:val="bottom"/>
          </w:tcPr>
          <w:p>
            <w:pPr>
              <w:spacing w:after="0"/>
              <w:rPr>
                <w:sz w:val="12"/>
                <w:szCs w:val="12"/>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By /s/ David Kinzelberg</w:t>
            </w:r>
          </w:p>
        </w:tc>
      </w:tr>
      <w:tr>
        <w:trPr>
          <w:trHeight w:val="110"/>
        </w:trPr>
        <w:tc>
          <w:tcPr>
            <w:tcW w:w="502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Name Timothy M. Meyer</w:t>
            </w:r>
          </w:p>
        </w:tc>
        <w:tc>
          <w:tcPr>
            <w:tcW w:w="1260" w:type="dxa"/>
            <w:vAlign w:val="bottom"/>
          </w:tcPr>
          <w:p>
            <w:pPr>
              <w:spacing w:after="0"/>
              <w:rPr>
                <w:sz w:val="9"/>
                <w:szCs w:val="9"/>
                <w:color w:val="auto"/>
              </w:rPr>
            </w:pPr>
          </w:p>
        </w:tc>
        <w:tc>
          <w:tcPr>
            <w:tcW w:w="502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Name David Kinzelberg</w:t>
            </w:r>
          </w:p>
        </w:tc>
      </w:tr>
      <w:tr>
        <w:trPr>
          <w:trHeight w:val="135"/>
        </w:trPr>
        <w:tc>
          <w:tcPr>
            <w:tcW w:w="50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(printed)</w:t>
            </w:r>
          </w:p>
        </w:tc>
        <w:tc>
          <w:tcPr>
            <w:tcW w:w="1260" w:type="dxa"/>
            <w:vAlign w:val="bottom"/>
          </w:tcPr>
          <w:p>
            <w:pPr>
              <w:spacing w:after="0"/>
              <w:rPr>
                <w:sz w:val="11"/>
                <w:szCs w:val="11"/>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(printed)</w:t>
            </w:r>
          </w:p>
        </w:tc>
      </w:tr>
      <w:tr>
        <w:trPr>
          <w:trHeight w:val="135"/>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Title Managing Director</w:t>
            </w:r>
          </w:p>
        </w:tc>
        <w:tc>
          <w:tcPr>
            <w:tcW w:w="1260" w:type="dxa"/>
            <w:vAlign w:val="bottom"/>
          </w:tcPr>
          <w:p>
            <w:pPr>
              <w:spacing w:after="0"/>
              <w:rPr>
                <w:sz w:val="11"/>
                <w:szCs w:val="1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Title  Executive Director</w:t>
            </w:r>
          </w:p>
        </w:tc>
      </w:tr>
      <w:tr>
        <w:trPr>
          <w:trHeight w:val="135"/>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1260" w:type="dxa"/>
            <w:vAlign w:val="bottom"/>
          </w:tcPr>
          <w:p>
            <w:pPr>
              <w:spacing w:after="0"/>
              <w:rPr>
                <w:sz w:val="11"/>
                <w:szCs w:val="11"/>
                <w:color w:val="auto"/>
              </w:rPr>
            </w:pPr>
          </w:p>
        </w:tc>
        <w:tc>
          <w:tcPr>
            <w:tcW w:w="5020" w:type="dxa"/>
            <w:vAlign w:val="bottom"/>
          </w:tcPr>
          <w:p>
            <w:pPr>
              <w:spacing w:after="0"/>
              <w:rPr>
                <w:sz w:val="11"/>
                <w:szCs w:val="11"/>
                <w:color w:val="auto"/>
              </w:rPr>
            </w:pPr>
          </w:p>
        </w:tc>
      </w:tr>
      <w:tr>
        <w:trPr>
          <w:trHeight w:val="149"/>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By /s/ Jenni A. Lee</w:t>
            </w:r>
          </w:p>
        </w:tc>
        <w:tc>
          <w:tcPr>
            <w:tcW w:w="1260" w:type="dxa"/>
            <w:vAlign w:val="bottom"/>
          </w:tcPr>
          <w:p>
            <w:pPr>
              <w:spacing w:after="0"/>
              <w:rPr>
                <w:sz w:val="12"/>
                <w:szCs w:val="12"/>
                <w:color w:val="auto"/>
              </w:rPr>
            </w:pPr>
          </w:p>
        </w:tc>
        <w:tc>
          <w:tcPr>
            <w:tcW w:w="5020" w:type="dxa"/>
            <w:vAlign w:val="bottom"/>
          </w:tcPr>
          <w:p>
            <w:pPr>
              <w:spacing w:after="0"/>
              <w:rPr>
                <w:sz w:val="12"/>
                <w:szCs w:val="12"/>
                <w:color w:val="auto"/>
              </w:rPr>
            </w:pPr>
          </w:p>
        </w:tc>
      </w:tr>
      <w:tr>
        <w:trPr>
          <w:trHeight w:val="110"/>
        </w:trPr>
        <w:tc>
          <w:tcPr>
            <w:tcW w:w="502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Name Jenni A. Lee</w:t>
            </w:r>
          </w:p>
        </w:tc>
        <w:tc>
          <w:tcPr>
            <w:tcW w:w="1260" w:type="dxa"/>
            <w:vAlign w:val="bottom"/>
          </w:tcPr>
          <w:p>
            <w:pPr>
              <w:spacing w:after="0"/>
              <w:rPr>
                <w:sz w:val="9"/>
                <w:szCs w:val="9"/>
                <w:color w:val="auto"/>
              </w:rPr>
            </w:pPr>
          </w:p>
        </w:tc>
        <w:tc>
          <w:tcPr>
            <w:tcW w:w="5020" w:type="dxa"/>
            <w:vAlign w:val="bottom"/>
          </w:tcPr>
          <w:p>
            <w:pPr>
              <w:spacing w:after="0"/>
              <w:rPr>
                <w:sz w:val="9"/>
                <w:szCs w:val="9"/>
                <w:color w:val="auto"/>
              </w:rPr>
            </w:pPr>
          </w:p>
        </w:tc>
      </w:tr>
      <w:tr>
        <w:trPr>
          <w:trHeight w:val="135"/>
        </w:trPr>
        <w:tc>
          <w:tcPr>
            <w:tcW w:w="50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(printed)</w:t>
            </w:r>
          </w:p>
        </w:tc>
        <w:tc>
          <w:tcPr>
            <w:tcW w:w="1260" w:type="dxa"/>
            <w:vAlign w:val="bottom"/>
          </w:tcPr>
          <w:p>
            <w:pPr>
              <w:spacing w:after="0"/>
              <w:rPr>
                <w:sz w:val="11"/>
                <w:szCs w:val="11"/>
                <w:color w:val="auto"/>
              </w:rPr>
            </w:pPr>
          </w:p>
        </w:tc>
        <w:tc>
          <w:tcPr>
            <w:tcW w:w="5020" w:type="dxa"/>
            <w:vAlign w:val="bottom"/>
          </w:tcPr>
          <w:p>
            <w:pPr>
              <w:spacing w:after="0"/>
              <w:rPr>
                <w:sz w:val="11"/>
                <w:szCs w:val="11"/>
                <w:color w:val="auto"/>
              </w:rPr>
            </w:pPr>
          </w:p>
        </w:tc>
      </w:tr>
      <w:tr>
        <w:trPr>
          <w:trHeight w:val="148"/>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Title  Director</w:t>
            </w:r>
          </w:p>
        </w:tc>
        <w:tc>
          <w:tcPr>
            <w:tcW w:w="1260" w:type="dxa"/>
            <w:vAlign w:val="bottom"/>
          </w:tcPr>
          <w:p>
            <w:pPr>
              <w:spacing w:after="0"/>
              <w:rPr>
                <w:sz w:val="12"/>
                <w:szCs w:val="12"/>
                <w:color w:val="auto"/>
              </w:rPr>
            </w:pPr>
          </w:p>
        </w:tc>
        <w:tc>
          <w:tcPr>
            <w:tcW w:w="5020" w:type="dxa"/>
            <w:vAlign w:val="bottom"/>
          </w:tcPr>
          <w:p>
            <w:pPr>
              <w:spacing w:after="0"/>
              <w:rPr>
                <w:sz w:val="12"/>
                <w:szCs w:val="12"/>
                <w:color w:val="auto"/>
              </w:rPr>
            </w:pPr>
          </w:p>
        </w:tc>
      </w:tr>
    </w:tbl>
    <w:p>
      <w:pPr>
        <w:sectPr>
          <w:pgSz w:w="11900" w:h="16838" w:orient="portrait"/>
          <w:cols w:equalWidth="0" w:num="1">
            <w:col w:w="11308"/>
          </w:cols>
          <w:pgMar w:left="292" w:top="474" w:right="299" w:bottom="1440" w:gutter="0" w:footer="0" w:header="0"/>
        </w:sectPr>
      </w:pPr>
    </w:p>
    <w:bookmarkStart w:id="170" w:name="page171"/>
    <w:bookmarkEnd w:id="170"/>
    <w:p>
      <w:pPr>
        <w:ind w:left="10668"/>
        <w:spacing w:after="0"/>
        <w:rPr>
          <w:sz w:val="20"/>
          <w:szCs w:val="20"/>
          <w:color w:val="auto"/>
        </w:rPr>
      </w:pPr>
      <w:r>
        <w:rPr>
          <w:rFonts w:ascii="Times New Roman" w:cs="Times New Roman" w:eastAsia="Times New Roman" w:hAnsi="Times New Roman"/>
          <w:sz w:val="11"/>
          <w:szCs w:val="11"/>
          <w:b w:val="1"/>
          <w:bCs w:val="1"/>
          <w:color w:val="auto"/>
        </w:rPr>
        <w:t>Exhibit 10.66</w:t>
      </w:r>
    </w:p>
    <w:p>
      <w:pPr>
        <w:spacing w:after="0" w:line="154" w:lineRule="exact"/>
        <w:rPr>
          <w:sz w:val="20"/>
          <w:szCs w:val="20"/>
          <w:color w:val="auto"/>
        </w:rPr>
      </w:pPr>
    </w:p>
    <w:p>
      <w:pPr>
        <w:ind w:left="8" w:right="60" w:hanging="8"/>
        <w:spacing w:after="0" w:line="261" w:lineRule="auto"/>
        <w:tabs>
          <w:tab w:leader="none" w:pos="218" w:val="left"/>
        </w:tabs>
        <w:numPr>
          <w:ilvl w:val="0"/>
          <w:numId w:val="1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jc w:val="right"/>
        <w:spacing w:after="0"/>
        <w:rPr>
          <w:sz w:val="20"/>
          <w:szCs w:val="20"/>
          <w:color w:val="auto"/>
        </w:rPr>
      </w:pPr>
      <w:r>
        <w:rPr>
          <w:rFonts w:ascii="Times New Roman" w:cs="Times New Roman" w:eastAsia="Times New Roman" w:hAnsi="Times New Roman"/>
          <w:sz w:val="11"/>
          <w:szCs w:val="11"/>
          <w:color w:val="auto"/>
        </w:rPr>
        <w:t>A.N.: 130339</w:t>
      </w:r>
    </w:p>
    <w:p>
      <w:pPr>
        <w:spacing w:after="0" w:line="9" w:lineRule="exact"/>
        <w:rPr>
          <w:sz w:val="20"/>
          <w:szCs w:val="20"/>
          <w:color w:val="auto"/>
        </w:rPr>
      </w:pPr>
    </w:p>
    <w:p>
      <w:pPr>
        <w:ind w:left="10448"/>
        <w:spacing w:after="0"/>
        <w:rPr>
          <w:sz w:val="20"/>
          <w:szCs w:val="20"/>
          <w:color w:val="auto"/>
        </w:rPr>
      </w:pPr>
      <w:r>
        <w:rPr>
          <w:rFonts w:ascii="Times New Roman" w:cs="Times New Roman" w:eastAsia="Times New Roman" w:hAnsi="Times New Roman"/>
          <w:sz w:val="11"/>
          <w:szCs w:val="11"/>
          <w:color w:val="auto"/>
        </w:rPr>
        <w:t>AMD_00079616.0</w:t>
      </w:r>
    </w:p>
    <w:p>
      <w:pPr>
        <w:spacing w:after="0" w:line="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August 20, 2012</w:t>
      </w:r>
    </w:p>
    <w:p>
      <w:pPr>
        <w:spacing w:after="0" w:line="81" w:lineRule="exact"/>
        <w:rPr>
          <w:sz w:val="20"/>
          <w:szCs w:val="20"/>
          <w:color w:val="auto"/>
        </w:rPr>
      </w:pPr>
    </w:p>
    <w:p>
      <w:pPr>
        <w:ind w:left="8" w:right="400" w:firstLine="694"/>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w:t>
      </w:r>
      <w:r>
        <w:rPr>
          <w:rFonts w:ascii="Times New Roman" w:cs="Times New Roman" w:eastAsia="Times New Roman" w:hAnsi="Times New Roman"/>
          <w:sz w:val="11"/>
          <w:szCs w:val="11"/>
          <w:u w:val="single" w:color="auto"/>
          <w:color w:val="auto"/>
        </w:rPr>
        <w:t>Agreement</w:t>
      </w:r>
      <w:r>
        <w:rPr>
          <w:rFonts w:ascii="Times New Roman" w:cs="Times New Roman" w:eastAsia="Times New Roman" w:hAnsi="Times New Roman"/>
          <w:sz w:val="11"/>
          <w:szCs w:val="11"/>
          <w:color w:val="auto"/>
        </w:rPr>
        <w:t>”), dated as of March 18, 2000, by and between MSCI Inc. (f/k/a Morgan Stanley Capital International Inc.) (“</w:t>
      </w:r>
      <w:r>
        <w:rPr>
          <w:rFonts w:ascii="Times New Roman" w:cs="Times New Roman" w:eastAsia="Times New Roman" w:hAnsi="Times New Roman"/>
          <w:sz w:val="11"/>
          <w:szCs w:val="11"/>
          <w:u w:val="single" w:color="auto"/>
          <w:color w:val="auto"/>
        </w:rPr>
        <w:t>MSCI</w:t>
      </w:r>
      <w:r>
        <w:rPr>
          <w:rFonts w:ascii="Times New Roman" w:cs="Times New Roman" w:eastAsia="Times New Roman" w:hAnsi="Times New Roman"/>
          <w:sz w:val="11"/>
          <w:szCs w:val="11"/>
          <w:color w:val="auto"/>
        </w:rPr>
        <w:t>”) and BlackRock Institutional Trust Company, N.A. (formerly known as Barclays Global Investors, N.A.) (“</w:t>
      </w:r>
      <w:r>
        <w:rPr>
          <w:rFonts w:ascii="Times New Roman" w:cs="Times New Roman" w:eastAsia="Times New Roman" w:hAnsi="Times New Roman"/>
          <w:sz w:val="11"/>
          <w:szCs w:val="11"/>
          <w:u w:val="single" w:color="auto"/>
          <w:color w:val="auto"/>
        </w:rPr>
        <w:t>Licensee</w:t>
      </w:r>
      <w:r>
        <w:rPr>
          <w:rFonts w:ascii="Times New Roman" w:cs="Times New Roman" w:eastAsia="Times New Roman" w:hAnsi="Times New Roman"/>
          <w:sz w:val="11"/>
          <w:szCs w:val="11"/>
          <w:color w:val="auto"/>
        </w:rPr>
        <w:t>”), as previously amended. Capitalized terms used herein but not otherwise defined herein shall have the meanings ascribed in the Agreement.</w:t>
      </w:r>
    </w:p>
    <w:p>
      <w:pPr>
        <w:spacing w:after="0" w:line="30" w:lineRule="exact"/>
        <w:rPr>
          <w:sz w:val="20"/>
          <w:szCs w:val="20"/>
          <w:color w:val="auto"/>
        </w:rPr>
      </w:pPr>
    </w:p>
    <w:p>
      <w:pPr>
        <w:ind w:left="1108" w:right="120" w:hanging="415"/>
        <w:spacing w:after="0" w:line="276" w:lineRule="auto"/>
        <w:tabs>
          <w:tab w:leader="none" w:pos="1108" w:val="left"/>
        </w:tabs>
        <w:numPr>
          <w:ilvl w:val="0"/>
          <w:numId w:val="1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MSCI Belgium IMI 25/50 Index. For the avoidance of doubt, the terms contained in Exhibit B of the Agreement shall apply to all Funds based on the MSCI Belgium IMI 25/50 Index; provided that in addition to listing and trading the Funds on an U.S. domiciled exchange, Funds based on the MSCI Belgium IMI 25/50 Index also may be listed and traded on stock or security exchanges domiciled in:</w:t>
      </w:r>
    </w:p>
    <w:p>
      <w:pPr>
        <w:spacing w:after="0" w:line="41" w:lineRule="exact"/>
        <w:rPr>
          <w:sz w:val="20"/>
          <w:szCs w:val="20"/>
          <w:color w:val="auto"/>
        </w:rPr>
      </w:pPr>
    </w:p>
    <w:p>
      <w:pPr>
        <w:ind w:left="1528"/>
        <w:spacing w:after="0"/>
        <w:rPr>
          <w:sz w:val="20"/>
          <w:szCs w:val="20"/>
          <w:color w:val="auto"/>
        </w:rPr>
      </w:pPr>
      <w:r>
        <w:rPr>
          <w:rFonts w:ascii="Times New Roman" w:cs="Times New Roman" w:eastAsia="Times New Roman" w:hAnsi="Times New Roman"/>
          <w:sz w:val="11"/>
          <w:szCs w:val="11"/>
          <w:color w:val="auto"/>
        </w:rPr>
        <w:t>Mexico</w:t>
      </w:r>
    </w:p>
    <w:p>
      <w:pPr>
        <w:spacing w:after="0" w:line="81" w:lineRule="exact"/>
        <w:rPr>
          <w:sz w:val="20"/>
          <w:szCs w:val="20"/>
          <w:color w:val="auto"/>
        </w:rPr>
      </w:pPr>
    </w:p>
    <w:p>
      <w:pPr>
        <w:ind w:left="152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152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152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1108" w:right="20"/>
        <w:spacing w:after="0" w:line="296" w:lineRule="auto"/>
        <w:rPr>
          <w:sz w:val="20"/>
          <w:szCs w:val="20"/>
          <w:color w:val="auto"/>
        </w:rPr>
      </w:pPr>
      <w:r>
        <w:rPr>
          <w:rFonts w:ascii="Times New Roman" w:cs="Times New Roman" w:eastAsia="Times New Roman" w:hAnsi="Times New Roman"/>
          <w:sz w:val="11"/>
          <w:szCs w:val="11"/>
          <w:color w:val="auto"/>
        </w:rPr>
        <w:t>License Fees set forth in the Agreement, as amended, shall apply with respect to all Funds based on the MSCI Belgium IMI 25/50 Index. All listed Funds must be issued, sold and traded on a public basis in accordance with the applicable securities law. All other terms and restrictions contained in Exhibit B shall apply.</w:t>
      </w:r>
    </w:p>
    <w:p>
      <w:pPr>
        <w:spacing w:after="0" w:line="30" w:lineRule="exact"/>
        <w:rPr>
          <w:sz w:val="20"/>
          <w:szCs w:val="20"/>
          <w:color w:val="auto"/>
        </w:rPr>
      </w:pPr>
    </w:p>
    <w:p>
      <w:pPr>
        <w:ind w:left="1108" w:right="100" w:hanging="415"/>
        <w:spacing w:after="0" w:line="276" w:lineRule="auto"/>
        <w:tabs>
          <w:tab w:leader="none" w:pos="1108"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40" w:lineRule="exact"/>
        <w:rPr>
          <w:rFonts w:ascii="Times New Roman" w:cs="Times New Roman" w:eastAsia="Times New Roman" w:hAnsi="Times New Roman"/>
          <w:sz w:val="11"/>
          <w:szCs w:val="11"/>
          <w:color w:val="auto"/>
        </w:rPr>
      </w:pPr>
    </w:p>
    <w:p>
      <w:pPr>
        <w:ind w:left="1108" w:hanging="415"/>
        <w:spacing w:after="0"/>
        <w:tabs>
          <w:tab w:leader="none" w:pos="1108"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the Index in the event that Licensee does not list a Fund based on the Index on an exchange within 1 year of the date of this Amendment.</w:t>
      </w:r>
    </w:p>
    <w:p>
      <w:pPr>
        <w:spacing w:after="0" w:line="98" w:lineRule="exact"/>
        <w:rPr>
          <w:rFonts w:ascii="Times New Roman" w:cs="Times New Roman" w:eastAsia="Times New Roman" w:hAnsi="Times New Roman"/>
          <w:sz w:val="11"/>
          <w:szCs w:val="11"/>
          <w:color w:val="auto"/>
        </w:rPr>
      </w:pPr>
    </w:p>
    <w:p>
      <w:pPr>
        <w:ind w:left="1108" w:hanging="415"/>
        <w:spacing w:after="0"/>
        <w:tabs>
          <w:tab w:leader="none" w:pos="1108"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72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MSCI INC.</w:t>
            </w:r>
          </w:p>
        </w:tc>
        <w:tc>
          <w:tcPr>
            <w:tcW w:w="2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40" w:type="dxa"/>
            <w:vAlign w:val="bottom"/>
          </w:tcPr>
          <w:p>
            <w:pPr>
              <w:spacing w:after="0"/>
              <w:rPr>
                <w:sz w:val="14"/>
                <w:szCs w:val="14"/>
                <w:color w:val="auto"/>
              </w:rPr>
            </w:pPr>
          </w:p>
        </w:tc>
        <w:tc>
          <w:tcPr>
            <w:tcW w:w="6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/s/ Timothy M. Meyer</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200" w:type="dxa"/>
            <w:vAlign w:val="bottom"/>
          </w:tcPr>
          <w:p>
            <w:pPr>
              <w:spacing w:after="0"/>
              <w:rPr>
                <w:sz w:val="14"/>
                <w:szCs w:val="14"/>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Richard Napolitano</w:t>
            </w:r>
          </w:p>
        </w:tc>
        <w:tc>
          <w:tcPr>
            <w:tcW w:w="0" w:type="dxa"/>
            <w:vAlign w:val="bottom"/>
          </w:tcPr>
          <w:p>
            <w:pPr>
              <w:spacing w:after="0"/>
              <w:rPr>
                <w:sz w:val="1"/>
                <w:szCs w:val="1"/>
                <w:color w:val="auto"/>
              </w:rPr>
            </w:pPr>
          </w:p>
        </w:tc>
      </w:tr>
      <w:tr>
        <w:trPr>
          <w:trHeight w:val="111"/>
        </w:trPr>
        <w:tc>
          <w:tcPr>
            <w:tcW w:w="48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6740" w:type="dxa"/>
            <w:vAlign w:val="bottom"/>
            <w:gridSpan w:val="3"/>
          </w:tcPr>
          <w:p>
            <w:pPr>
              <w:ind w:left="220"/>
              <w:spacing w:after="0" w:line="112" w:lineRule="exact"/>
              <w:rPr>
                <w:sz w:val="20"/>
                <w:szCs w:val="20"/>
                <w:color w:val="auto"/>
              </w:rPr>
            </w:pPr>
            <w:r>
              <w:rPr>
                <w:rFonts w:ascii="Times New Roman" w:cs="Times New Roman" w:eastAsia="Times New Roman" w:hAnsi="Times New Roman"/>
                <w:sz w:val="11"/>
                <w:szCs w:val="11"/>
                <w:color w:val="auto"/>
              </w:rPr>
              <w:t>Timothy M. Meyer</w:t>
            </w:r>
          </w:p>
        </w:tc>
        <w:tc>
          <w:tcPr>
            <w:tcW w:w="56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352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color w:val="auto"/>
              </w:rPr>
              <w:t>Richard Napolitano</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1"/>
                <w:szCs w:val="11"/>
                <w:color w:val="auto"/>
              </w:rPr>
              <w:t>(printed)</w:t>
            </w:r>
          </w:p>
        </w:tc>
        <w:tc>
          <w:tcPr>
            <w:tcW w:w="560" w:type="dxa"/>
            <w:vAlign w:val="bottom"/>
          </w:tcPr>
          <w:p>
            <w:pPr>
              <w:spacing w:after="0"/>
              <w:rPr>
                <w:sz w:val="11"/>
                <w:szCs w:val="11"/>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(printed)</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1"/>
                <w:szCs w:val="11"/>
                <w:color w:val="auto"/>
              </w:rPr>
              <w:t>Managing Director</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Global Controller</w:t>
            </w:r>
          </w:p>
        </w:tc>
        <w:tc>
          <w:tcPr>
            <w:tcW w:w="0" w:type="dxa"/>
            <w:vAlign w:val="bottom"/>
          </w:tcPr>
          <w:p>
            <w:pPr>
              <w:spacing w:after="0"/>
              <w:rPr>
                <w:sz w:val="1"/>
                <w:szCs w:val="1"/>
                <w:color w:val="auto"/>
              </w:rPr>
            </w:pPr>
          </w:p>
        </w:tc>
      </w:tr>
      <w:tr>
        <w:trPr>
          <w:trHeight w:val="266"/>
        </w:trPr>
        <w:tc>
          <w:tcPr>
            <w:tcW w:w="72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Jenni</w:t>
            </w:r>
          </w:p>
        </w:tc>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Jenni A. Lee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560" w:type="dxa"/>
            <w:vAlign w:val="bottom"/>
            <w:gridSpan w:val="2"/>
            <w:vMerge w:val="continue"/>
          </w:tcPr>
          <w:p>
            <w:pPr>
              <w:spacing w:after="0"/>
              <w:rPr>
                <w:sz w:val="11"/>
                <w:szCs w:val="11"/>
                <w:color w:val="auto"/>
              </w:rPr>
            </w:pPr>
          </w:p>
        </w:tc>
        <w:tc>
          <w:tcPr>
            <w:tcW w:w="61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A. Lee</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80" w:type="dxa"/>
            <w:vAlign w:val="bottom"/>
          </w:tcPr>
          <w:p>
            <w:pPr>
              <w:spacing w:after="0"/>
              <w:rPr>
                <w:sz w:val="14"/>
                <w:szCs w:val="14"/>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(printed)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Director</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124" w:right="29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1"/>
          <w:szCs w:val="11"/>
          <w:b w:val="1"/>
          <w:bCs w:val="1"/>
          <w:color w:val="auto"/>
        </w:rPr>
        <w:t>Exhibit 10.67</w:t>
      </w:r>
    </w:p>
    <w:p>
      <w:pPr>
        <w:spacing w:after="0" w:line="144" w:lineRule="exact"/>
        <w:rPr>
          <w:sz w:val="20"/>
          <w:szCs w:val="20"/>
          <w:color w:val="auto"/>
        </w:rPr>
      </w:pPr>
    </w:p>
    <w:p>
      <w:pPr>
        <w:ind w:left="8" w:hanging="8"/>
        <w:spacing w:after="0" w:line="299" w:lineRule="auto"/>
        <w:tabs>
          <w:tab w:leader="none" w:pos="235" w:val="left"/>
        </w:tabs>
        <w:numPr>
          <w:ilvl w:val="0"/>
          <w:numId w:val="16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227" w:lineRule="exact"/>
        <w:rPr>
          <w:sz w:val="20"/>
          <w:szCs w:val="20"/>
          <w:color w:val="auto"/>
        </w:rPr>
      </w:pPr>
    </w:p>
    <w:p>
      <w:pPr>
        <w:ind w:left="10608"/>
        <w:spacing w:after="0"/>
        <w:rPr>
          <w:sz w:val="20"/>
          <w:szCs w:val="20"/>
          <w:color w:val="auto"/>
        </w:rPr>
      </w:pPr>
      <w:r>
        <w:rPr>
          <w:rFonts w:ascii="Times New Roman" w:cs="Times New Roman" w:eastAsia="Times New Roman" w:hAnsi="Times New Roman"/>
          <w:sz w:val="11"/>
          <w:szCs w:val="11"/>
          <w:color w:val="auto"/>
        </w:rPr>
        <w:t>A.N.: 130339</w:t>
      </w:r>
    </w:p>
    <w:p>
      <w:pPr>
        <w:spacing w:after="0" w:line="21" w:lineRule="exact"/>
        <w:rPr>
          <w:sz w:val="20"/>
          <w:szCs w:val="20"/>
          <w:color w:val="auto"/>
        </w:rPr>
      </w:pPr>
    </w:p>
    <w:p>
      <w:pPr>
        <w:ind w:left="10348"/>
        <w:spacing w:after="0"/>
        <w:rPr>
          <w:sz w:val="20"/>
          <w:szCs w:val="20"/>
          <w:color w:val="auto"/>
        </w:rPr>
      </w:pPr>
      <w:r>
        <w:rPr>
          <w:rFonts w:ascii="Times New Roman" w:cs="Times New Roman" w:eastAsia="Times New Roman" w:hAnsi="Times New Roman"/>
          <w:sz w:val="11"/>
          <w:szCs w:val="11"/>
          <w:color w:val="auto"/>
        </w:rPr>
        <w:t>AMD_00083357.0</w:t>
      </w:r>
    </w:p>
    <w:p>
      <w:pPr>
        <w:spacing w:after="0" w:line="9" w:lineRule="exact"/>
        <w:rPr>
          <w:sz w:val="20"/>
          <w:szCs w:val="20"/>
          <w:color w:val="auto"/>
        </w:rPr>
      </w:pPr>
    </w:p>
    <w:p>
      <w:pPr>
        <w:ind w:left="4988"/>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51"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Date of Amendment: November 6, 2012</w:t>
      </w:r>
    </w:p>
    <w:p>
      <w:pPr>
        <w:spacing w:after="0" w:line="117" w:lineRule="exact"/>
        <w:rPr>
          <w:sz w:val="20"/>
          <w:szCs w:val="20"/>
          <w:color w:val="auto"/>
        </w:rPr>
      </w:pPr>
    </w:p>
    <w:p>
      <w:pPr>
        <w:ind w:left="128" w:right="560" w:firstLine="424"/>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(f/k/a Morgan Stanley Capital International Inc.) (“MSCI”) and BlackRock Institutional Trust Company, N.A. (formerly known as Barclays Global Investors, N.A.) (“Licensee”), as previously amended. Capitalized terms used herein but not otherwise defined herein shall have the meanings ascribed in the Agreement.</w:t>
      </w:r>
    </w:p>
    <w:p>
      <w:pPr>
        <w:spacing w:after="0" w:line="3" w:lineRule="exact"/>
        <w:rPr>
          <w:sz w:val="20"/>
          <w:szCs w:val="20"/>
          <w:color w:val="auto"/>
        </w:rPr>
      </w:pPr>
    </w:p>
    <w:p>
      <w:pPr>
        <w:ind w:left="968" w:hanging="419"/>
        <w:spacing w:after="0"/>
        <w:tabs>
          <w:tab w:leader="none" w:pos="968" w:val="left"/>
        </w:tabs>
        <w:numPr>
          <w:ilvl w:val="0"/>
          <w:numId w:val="1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Indexes:</w:t>
      </w:r>
    </w:p>
    <w:p>
      <w:pPr>
        <w:spacing w:after="0" w:line="80"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ACWI ex USA IMI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EAFE IMI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EM IMI Index</w:t>
      </w:r>
    </w:p>
    <w:p>
      <w:pPr>
        <w:spacing w:after="0" w:line="90"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1"/>
          <w:szCs w:val="11"/>
          <w:color w:val="auto"/>
        </w:rPr>
        <w:t>The above Indexes shall be collectively referred to hereunder as the “Indexes for iShares Core ETFs.”</w:t>
      </w:r>
    </w:p>
    <w:p>
      <w:pPr>
        <w:spacing w:after="0" w:line="72" w:lineRule="exact"/>
        <w:rPr>
          <w:sz w:val="20"/>
          <w:szCs w:val="20"/>
          <w:color w:val="auto"/>
        </w:rPr>
      </w:pPr>
    </w:p>
    <w:p>
      <w:pPr>
        <w:ind w:left="968" w:hanging="419"/>
        <w:spacing w:after="0"/>
        <w:tabs>
          <w:tab w:leader="none" w:pos="968" w:val="left"/>
        </w:tabs>
        <w:numPr>
          <w:ilvl w:val="0"/>
          <w:numId w:val="1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may use the Indexes for iShares Core ETFs and associated Marks solely with respect to the following Funds:</w:t>
      </w:r>
    </w:p>
    <w:p>
      <w:pPr>
        <w:spacing w:after="0" w:line="89" w:lineRule="exact"/>
        <w:rPr>
          <w:rFonts w:ascii="Times New Roman" w:cs="Times New Roman" w:eastAsia="Times New Roman" w:hAnsi="Times New Roman"/>
          <w:sz w:val="11"/>
          <w:szCs w:val="11"/>
          <w:color w:val="auto"/>
        </w:rPr>
      </w:pPr>
    </w:p>
    <w:p>
      <w:pPr>
        <w:ind w:left="1528" w:right="480" w:hanging="421"/>
        <w:spacing w:after="0" w:line="296" w:lineRule="auto"/>
        <w:tabs>
          <w:tab w:leader="none" w:pos="1528" w:val="left"/>
        </w:tabs>
        <w:numPr>
          <w:ilvl w:val="1"/>
          <w:numId w:val="1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Core MSCI Total International Stock ETF which seeks investment results that correspond generally to the price and yield performance, before fees and expenses, of the MSCI ACWI ex USA Investable Market Index measuring the combined performance of the large, mid and small capitalization segments of the relevant markets.</w:t>
      </w:r>
    </w:p>
    <w:p>
      <w:pPr>
        <w:spacing w:after="0" w:line="11" w:lineRule="exact"/>
        <w:rPr>
          <w:rFonts w:ascii="Times New Roman" w:cs="Times New Roman" w:eastAsia="Times New Roman" w:hAnsi="Times New Roman"/>
          <w:sz w:val="11"/>
          <w:szCs w:val="11"/>
          <w:color w:val="auto"/>
        </w:rPr>
      </w:pPr>
    </w:p>
    <w:p>
      <w:pPr>
        <w:ind w:left="1528" w:right="1060" w:hanging="421"/>
        <w:spacing w:after="0" w:line="296" w:lineRule="auto"/>
        <w:tabs>
          <w:tab w:leader="none" w:pos="1528" w:val="left"/>
        </w:tabs>
        <w:numPr>
          <w:ilvl w:val="1"/>
          <w:numId w:val="1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Core MSCI EAFE ETF which seeks investment results that correspond generally to the price and yield performance, before fees and expenses, of the MSCI EAFE Investable Market Index measuring the combined performance of the large, mid and small capitalization segments of the relevant markets.</w:t>
      </w:r>
    </w:p>
    <w:p>
      <w:pPr>
        <w:spacing w:after="0" w:line="2" w:lineRule="exact"/>
        <w:rPr>
          <w:rFonts w:ascii="Times New Roman" w:cs="Times New Roman" w:eastAsia="Times New Roman" w:hAnsi="Times New Roman"/>
          <w:sz w:val="11"/>
          <w:szCs w:val="11"/>
          <w:color w:val="auto"/>
        </w:rPr>
      </w:pPr>
    </w:p>
    <w:p>
      <w:pPr>
        <w:ind w:left="1528" w:right="420" w:hanging="421"/>
        <w:spacing w:after="0" w:line="296" w:lineRule="auto"/>
        <w:tabs>
          <w:tab w:leader="none" w:pos="1528" w:val="left"/>
        </w:tabs>
        <w:numPr>
          <w:ilvl w:val="1"/>
          <w:numId w:val="1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Core MSCI Emerging Markets ETF which seeks investment results that correspond generally to the price and yield performance, before fees and expenses, of the MSCI Emerging Markets Investable Market Index measuring the combined performance of the large, mid and small capitalization segments of the relevant markets.</w:t>
      </w:r>
    </w:p>
    <w:p>
      <w:pPr>
        <w:spacing w:after="0" w:line="3"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1"/>
          <w:szCs w:val="11"/>
          <w:color w:val="auto"/>
        </w:rPr>
        <w:t>(For purposes of this Agreement, each fund noted above is referred to herein as a “Fund.”)</w:t>
      </w:r>
    </w:p>
    <w:p>
      <w:pPr>
        <w:spacing w:after="0" w:line="63" w:lineRule="exact"/>
        <w:rPr>
          <w:sz w:val="20"/>
          <w:szCs w:val="20"/>
          <w:color w:val="auto"/>
        </w:rPr>
      </w:pPr>
    </w:p>
    <w:p>
      <w:pPr>
        <w:ind w:left="968" w:hanging="419"/>
        <w:spacing w:after="0"/>
        <w:tabs>
          <w:tab w:leader="none" w:pos="968" w:val="left"/>
        </w:tabs>
        <w:numPr>
          <w:ilvl w:val="0"/>
          <w:numId w:val="17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pay MSCI a license fee per Fund based on each Fund’s ***********. The quarterly license fee shall be calculated as ***********, ***********, as follows:</w:t>
      </w:r>
    </w:p>
    <w:p>
      <w:pPr>
        <w:spacing w:after="0" w:line="221" w:lineRule="exact"/>
        <w:rPr>
          <w:sz w:val="20"/>
          <w:szCs w:val="20"/>
          <w:color w:val="auto"/>
        </w:rPr>
      </w:pPr>
    </w:p>
    <w:tbl>
      <w:tblPr>
        <w:tblLayout w:type="fixed"/>
        <w:tblInd w:w="2208" w:type="dxa"/>
        <w:tblCellMar>
          <w:top w:w="0" w:type="dxa"/>
          <w:left w:w="0" w:type="dxa"/>
          <w:bottom w:w="0" w:type="dxa"/>
          <w:right w:w="0" w:type="dxa"/>
        </w:tblCellMar>
      </w:tblPr>
      <w:tr>
        <w:trPr>
          <w:trHeight w:val="126"/>
        </w:trPr>
        <w:tc>
          <w:tcPr>
            <w:tcW w:w="5660" w:type="dxa"/>
            <w:vAlign w:val="bottom"/>
            <w:gridSpan w:val="2"/>
          </w:tcPr>
          <w:p>
            <w:pPr>
              <w:jc w:val="center"/>
              <w:ind w:right="4420"/>
              <w:spacing w:after="0"/>
              <w:rPr>
                <w:sz w:val="20"/>
                <w:szCs w:val="20"/>
                <w:color w:val="auto"/>
              </w:rPr>
            </w:pPr>
            <w:r>
              <w:rPr>
                <w:rFonts w:ascii="Times New Roman" w:cs="Times New Roman" w:eastAsia="Times New Roman" w:hAnsi="Times New Roman"/>
                <w:sz w:val="11"/>
                <w:szCs w:val="11"/>
                <w:color w:val="auto"/>
              </w:rPr>
              <w:t>AUM of the Relevant Fund</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License Fee</w:t>
            </w:r>
          </w:p>
        </w:tc>
      </w:tr>
      <w:tr>
        <w:trPr>
          <w:trHeight w:val="203"/>
        </w:trPr>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420" w:type="dxa"/>
            <w:vAlign w:val="bottom"/>
          </w:tcPr>
          <w:p>
            <w:pPr>
              <w:spacing w:after="0"/>
              <w:rPr>
                <w:sz w:val="17"/>
                <w:szCs w:val="17"/>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98"/>
        </w:trPr>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4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98"/>
        </w:trPr>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4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98"/>
        </w:trPr>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4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bl>
    <w:p>
      <w:pPr>
        <w:spacing w:after="0" w:line="203" w:lineRule="exact"/>
        <w:rPr>
          <w:sz w:val="20"/>
          <w:szCs w:val="20"/>
          <w:color w:val="auto"/>
        </w:rPr>
      </w:pPr>
    </w:p>
    <w:p>
      <w:pPr>
        <w:ind w:left="968" w:hanging="419"/>
        <w:spacing w:after="0"/>
        <w:tabs>
          <w:tab w:leader="none" w:pos="968" w:val="left"/>
        </w:tabs>
        <w:numPr>
          <w:ilvl w:val="0"/>
          <w:numId w:val="1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shall mean the *********** , including without limitation the *********** (or the equivalent) and</w:t>
      </w:r>
    </w:p>
    <w:p>
      <w:pPr>
        <w:spacing w:after="0" w:line="21" w:lineRule="exact"/>
        <w:rPr>
          <w:rFonts w:ascii="Times New Roman" w:cs="Times New Roman" w:eastAsia="Times New Roman" w:hAnsi="Times New Roman"/>
          <w:sz w:val="11"/>
          <w:szCs w:val="11"/>
          <w:color w:val="auto"/>
        </w:rPr>
      </w:pPr>
    </w:p>
    <w:p>
      <w:pPr>
        <w:ind w:left="968" w:right="800"/>
        <w:spacing w:after="0" w:line="255"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A Fund’s *********** shall be the Fund’s *********** as published by a Fund for the relevant period. Notwithstanding anything to the contrary contained herein, ***********, the licensee fee for such Fund shall equal</w:t>
      </w:r>
    </w:p>
    <w:p>
      <w:pPr>
        <w:ind w:left="96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during the relevant period.</w:t>
      </w:r>
    </w:p>
    <w:p>
      <w:pPr>
        <w:spacing w:after="0" w:line="51" w:lineRule="exact"/>
        <w:rPr>
          <w:sz w:val="20"/>
          <w:szCs w:val="20"/>
          <w:color w:val="auto"/>
        </w:rPr>
      </w:pPr>
    </w:p>
    <w:p>
      <w:pPr>
        <w:jc w:val="both"/>
        <w:ind w:left="968" w:right="420" w:hanging="419"/>
        <w:spacing w:after="0" w:line="276" w:lineRule="auto"/>
        <w:tabs>
          <w:tab w:leader="none" w:pos="968" w:val="left"/>
        </w:tabs>
        <w:numPr>
          <w:ilvl w:val="0"/>
          <w:numId w:val="17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13" w:lineRule="exact"/>
        <w:rPr>
          <w:rFonts w:ascii="Times New Roman" w:cs="Times New Roman" w:eastAsia="Times New Roman" w:hAnsi="Times New Roman"/>
          <w:sz w:val="11"/>
          <w:szCs w:val="11"/>
          <w:color w:val="auto"/>
        </w:rPr>
      </w:pPr>
    </w:p>
    <w:p>
      <w:pPr>
        <w:ind w:left="968" w:hanging="419"/>
        <w:spacing w:after="0"/>
        <w:tabs>
          <w:tab w:leader="none" w:pos="968" w:val="left"/>
        </w:tabs>
        <w:numPr>
          <w:ilvl w:val="0"/>
          <w:numId w:val="17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an Index in the event that Licensee does not list a Fund based on such Index on an exchange within 1 year of the date of this Amendment.</w:t>
      </w:r>
    </w:p>
    <w:p>
      <w:pPr>
        <w:spacing w:after="0" w:line="1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89470"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501" w:right="299" w:bottom="1440" w:gutter="0" w:footer="0" w:header="0"/>
        </w:sectPr>
      </w:pPr>
    </w:p>
    <w:bookmarkStart w:id="172" w:name="page173"/>
    <w:bookmarkEnd w:id="172"/>
    <w:p>
      <w:pPr>
        <w:ind w:left="960" w:hanging="419"/>
        <w:spacing w:after="0"/>
        <w:tabs>
          <w:tab w:leader="none" w:pos="960" w:val="left"/>
        </w:tabs>
        <w:numPr>
          <w:ilvl w:val="0"/>
          <w:numId w:val="1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3720" w:type="dxa"/>
            <w:vAlign w:val="bottom"/>
          </w:tcPr>
          <w:p>
            <w:pPr>
              <w:ind w:left="3160"/>
              <w:spacing w:after="0"/>
              <w:rPr>
                <w:sz w:val="20"/>
                <w:szCs w:val="20"/>
                <w:color w:val="auto"/>
              </w:rPr>
            </w:pPr>
            <w:r>
              <w:rPr>
                <w:rFonts w:ascii="Times New Roman" w:cs="Times New Roman" w:eastAsia="Times New Roman" w:hAnsi="Times New Roman"/>
                <w:sz w:val="11"/>
                <w:szCs w:val="11"/>
                <w:color w:val="auto"/>
              </w:rPr>
              <w:t>MSCI INC.</w:t>
            </w:r>
          </w:p>
        </w:tc>
        <w:tc>
          <w:tcPr>
            <w:tcW w:w="2560" w:type="dxa"/>
            <w:vAlign w:val="bottom"/>
          </w:tcPr>
          <w:p>
            <w:pPr>
              <w:spacing w:after="0"/>
              <w:rPr>
                <w:sz w:val="11"/>
                <w:szCs w:val="11"/>
                <w:color w:val="auto"/>
              </w:rPr>
            </w:pPr>
          </w:p>
        </w:tc>
      </w:tr>
      <w:tr>
        <w:trPr>
          <w:trHeight w:val="148"/>
        </w:trPr>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Timothy M. Meyer</w:t>
            </w:r>
          </w:p>
        </w:tc>
        <w:tc>
          <w:tcPr>
            <w:tcW w:w="3720" w:type="dxa"/>
            <w:vAlign w:val="bottom"/>
          </w:tcPr>
          <w:p>
            <w:pPr>
              <w:ind w:left="3160"/>
              <w:spacing w:after="0"/>
              <w:rPr>
                <w:sz w:val="20"/>
                <w:szCs w:val="20"/>
                <w:color w:val="auto"/>
              </w:rPr>
            </w:pPr>
            <w:r>
              <w:rPr>
                <w:rFonts w:ascii="Times New Roman" w:cs="Times New Roman" w:eastAsia="Times New Roman" w:hAnsi="Times New Roman"/>
                <w:sz w:val="11"/>
                <w:szCs w:val="11"/>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David Dalpe</w:t>
            </w:r>
          </w:p>
        </w:tc>
      </w:tr>
      <w:tr>
        <w:trPr>
          <w:trHeight w:val="120"/>
        </w:trPr>
        <w:tc>
          <w:tcPr>
            <w:tcW w:w="62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Name</w:t>
            </w:r>
          </w:p>
        </w:tc>
        <w:tc>
          <w:tcPr>
            <w:tcW w:w="44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Timothy M. Meyer</w:t>
            </w:r>
          </w:p>
        </w:tc>
        <w:tc>
          <w:tcPr>
            <w:tcW w:w="3720" w:type="dxa"/>
            <w:vAlign w:val="bottom"/>
          </w:tcPr>
          <w:p>
            <w:pPr>
              <w:ind w:left="3160"/>
              <w:spacing w:after="0" w:line="121" w:lineRule="exact"/>
              <w:rPr>
                <w:sz w:val="20"/>
                <w:szCs w:val="20"/>
                <w:color w:val="auto"/>
              </w:rPr>
            </w:pPr>
            <w:r>
              <w:rPr>
                <w:rFonts w:ascii="Times New Roman" w:cs="Times New Roman" w:eastAsia="Times New Roman" w:hAnsi="Times New Roman"/>
                <w:sz w:val="11"/>
                <w:szCs w:val="11"/>
                <w:color w:val="auto"/>
              </w:rPr>
              <w:t>Name</w:t>
            </w:r>
          </w:p>
        </w:tc>
        <w:tc>
          <w:tcPr>
            <w:tcW w:w="256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David Dalpe</w:t>
            </w:r>
          </w:p>
        </w:tc>
      </w:tr>
      <w:tr>
        <w:trPr>
          <w:trHeight w:val="148"/>
        </w:trPr>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Managing Director</w:t>
            </w:r>
          </w:p>
        </w:tc>
        <w:tc>
          <w:tcPr>
            <w:tcW w:w="3720" w:type="dxa"/>
            <w:vAlign w:val="bottom"/>
          </w:tcPr>
          <w:p>
            <w:pPr>
              <w:ind w:left="3160"/>
              <w:spacing w:after="0"/>
              <w:rPr>
                <w:sz w:val="20"/>
                <w:szCs w:val="20"/>
                <w:color w:val="auto"/>
              </w:rPr>
            </w:pPr>
            <w:r>
              <w:rPr>
                <w:rFonts w:ascii="Times New Roman" w:cs="Times New Roman" w:eastAsia="Times New Roman" w:hAnsi="Times New Roman"/>
                <w:sz w:val="11"/>
                <w:szCs w:val="11"/>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1"/>
                <w:szCs w:val="11"/>
                <w:color w:val="auto"/>
              </w:rPr>
              <w:t>Vice President</w:t>
            </w:r>
          </w:p>
        </w:tc>
      </w:tr>
      <w:tr>
        <w:trPr>
          <w:trHeight w:val="257"/>
        </w:trPr>
        <w:tc>
          <w:tcPr>
            <w:tcW w:w="5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372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148"/>
        </w:trPr>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Jenni A. Lee</w:t>
            </w:r>
          </w:p>
        </w:tc>
        <w:tc>
          <w:tcPr>
            <w:tcW w:w="372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20"/>
        </w:trPr>
        <w:tc>
          <w:tcPr>
            <w:tcW w:w="62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Name</w:t>
            </w:r>
          </w:p>
        </w:tc>
        <w:tc>
          <w:tcPr>
            <w:tcW w:w="44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Jenni A. Lee</w:t>
            </w:r>
          </w:p>
        </w:tc>
        <w:tc>
          <w:tcPr>
            <w:tcW w:w="3720" w:type="dxa"/>
            <w:vAlign w:val="bottom"/>
          </w:tcPr>
          <w:p>
            <w:pPr>
              <w:spacing w:after="0"/>
              <w:rPr>
                <w:sz w:val="10"/>
                <w:szCs w:val="10"/>
                <w:color w:val="auto"/>
              </w:rPr>
            </w:pPr>
          </w:p>
        </w:tc>
        <w:tc>
          <w:tcPr>
            <w:tcW w:w="2560" w:type="dxa"/>
            <w:vAlign w:val="bottom"/>
          </w:tcPr>
          <w:p>
            <w:pPr>
              <w:spacing w:after="0"/>
              <w:rPr>
                <w:sz w:val="10"/>
                <w:szCs w:val="10"/>
                <w:color w:val="auto"/>
              </w:rPr>
            </w:pPr>
          </w:p>
        </w:tc>
      </w:tr>
      <w:tr>
        <w:trPr>
          <w:trHeight w:val="148"/>
        </w:trPr>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Director</w:t>
            </w:r>
          </w:p>
        </w:tc>
        <w:tc>
          <w:tcPr>
            <w:tcW w:w="3720" w:type="dxa"/>
            <w:vAlign w:val="bottom"/>
          </w:tcPr>
          <w:p>
            <w:pPr>
              <w:spacing w:after="0"/>
              <w:rPr>
                <w:sz w:val="12"/>
                <w:szCs w:val="12"/>
                <w:color w:val="auto"/>
              </w:rPr>
            </w:pPr>
          </w:p>
        </w:tc>
        <w:tc>
          <w:tcPr>
            <w:tcW w:w="2560" w:type="dxa"/>
            <w:vAlign w:val="bottom"/>
          </w:tcPr>
          <w:p>
            <w:pPr>
              <w:spacing w:after="0"/>
              <w:rPr>
                <w:sz w:val="12"/>
                <w:szCs w:val="12"/>
                <w:color w:val="auto"/>
              </w:rPr>
            </w:pPr>
          </w:p>
        </w:tc>
      </w:tr>
    </w:tbl>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0"/>
          </w:cols>
          <w:pgMar w:left="300" w:top="314" w:right="29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1"/>
          <w:szCs w:val="11"/>
          <w:b w:val="1"/>
          <w:bCs w:val="1"/>
          <w:color w:val="auto"/>
        </w:rPr>
        <w:t>Exhibit 10.68</w:t>
      </w:r>
    </w:p>
    <w:p>
      <w:pPr>
        <w:spacing w:after="0" w:line="144" w:lineRule="exact"/>
        <w:rPr>
          <w:sz w:val="20"/>
          <w:szCs w:val="20"/>
          <w:color w:val="auto"/>
        </w:rPr>
      </w:pPr>
    </w:p>
    <w:p>
      <w:pPr>
        <w:ind w:left="8" w:hanging="8"/>
        <w:spacing w:after="0" w:line="299" w:lineRule="auto"/>
        <w:tabs>
          <w:tab w:leader="none" w:pos="235" w:val="left"/>
        </w:tabs>
        <w:numPr>
          <w:ilvl w:val="0"/>
          <w:numId w:val="17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A.N.: 130339</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AMD_00087516</w:t>
      </w:r>
    </w:p>
    <w:p>
      <w:pPr>
        <w:spacing w:after="0" w:line="9"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9"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Date of Amendment: November 15, 2012</w:t>
      </w:r>
    </w:p>
    <w:p>
      <w:pPr>
        <w:spacing w:after="0" w:line="51" w:lineRule="exact"/>
        <w:rPr>
          <w:sz w:val="20"/>
          <w:szCs w:val="20"/>
          <w:color w:val="auto"/>
        </w:rPr>
      </w:pPr>
    </w:p>
    <w:p>
      <w:pPr>
        <w:ind w:left="128" w:right="560" w:firstLine="423"/>
        <w:spacing w:after="0" w:line="29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(f/k/a Morgan Stanley Capital International Inc.) (“MSCI”) and BlackRock Institutional Trust Company, N.A. (formerly known as Barclays Global Investors, N.A.) (“Licensee”), as previously amended. Capitalized terms used herein but not otherwise defined herein shall have the meanings ascribed in the Agreement.</w:t>
      </w:r>
    </w:p>
    <w:p>
      <w:pPr>
        <w:spacing w:after="0" w:line="3" w:lineRule="exact"/>
        <w:rPr>
          <w:sz w:val="20"/>
          <w:szCs w:val="20"/>
          <w:color w:val="auto"/>
        </w:rPr>
      </w:pPr>
    </w:p>
    <w:p>
      <w:pPr>
        <w:ind w:left="748" w:hanging="190"/>
        <w:spacing w:after="0"/>
        <w:tabs>
          <w:tab w:leader="none" w:pos="748" w:val="left"/>
        </w:tabs>
        <w:numPr>
          <w:ilvl w:val="0"/>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Indexes:</w:t>
      </w:r>
    </w:p>
    <w:p>
      <w:pPr>
        <w:spacing w:after="0" w:line="80"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Spain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Italy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Mexico IMI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Poland IMI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Chile IMI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Korea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Thailand IMI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Switzerland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New Zealand IMI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Austria IMI 25/50 Index</w:t>
      </w:r>
    </w:p>
    <w:p>
      <w:pPr>
        <w:spacing w:after="0" w:line="89" w:lineRule="exact"/>
        <w:rPr>
          <w:rFonts w:ascii="Times New Roman" w:cs="Times New Roman" w:eastAsia="Times New Roman" w:hAnsi="Times New Roman"/>
          <w:sz w:val="11"/>
          <w:szCs w:val="11"/>
          <w:color w:val="auto"/>
        </w:rPr>
      </w:pPr>
    </w:p>
    <w:p>
      <w:pPr>
        <w:ind w:left="1528" w:hanging="421"/>
        <w:spacing w:after="0"/>
        <w:tabs>
          <w:tab w:leader="none" w:pos="1528" w:val="left"/>
        </w:tabs>
        <w:numPr>
          <w:ilvl w:val="1"/>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Brazil 25/50 Index</w:t>
      </w:r>
    </w:p>
    <w:p>
      <w:pPr>
        <w:spacing w:after="0" w:line="144"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1"/>
          <w:szCs w:val="11"/>
          <w:color w:val="auto"/>
        </w:rPr>
        <w:t>The above Indexes shall be collectively referred to hereunder as the “25/50 Indexes.”</w:t>
      </w:r>
    </w:p>
    <w:p>
      <w:pPr>
        <w:spacing w:after="0" w:line="63"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1"/>
          <w:szCs w:val="11"/>
          <w:color w:val="auto"/>
        </w:rPr>
        <w:t>For the avoidance of doubt, the terms contained in Exhibit B of the Agreement shall apply to all Funds based on the MSCI Belgium IMI 25/50 Index; provided that in addition to listing and trading the Funds on</w:t>
      </w:r>
    </w:p>
    <w:p>
      <w:pPr>
        <w:spacing w:after="0" w:line="21"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1"/>
          <w:szCs w:val="11"/>
          <w:color w:val="auto"/>
        </w:rPr>
        <w:t>*********** domiciled exchange, Funds based on the MSCI Belgium IMI 25/50 Index also may be listed and traded on stock or security exchanges domiciled in:</w:t>
      </w:r>
    </w:p>
    <w:p>
      <w:pPr>
        <w:spacing w:after="0" w:line="51" w:lineRule="exact"/>
        <w:rPr>
          <w:sz w:val="20"/>
          <w:szCs w:val="20"/>
          <w:color w:val="auto"/>
        </w:rPr>
      </w:pPr>
    </w:p>
    <w:p>
      <w:pPr>
        <w:ind w:left="1408"/>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ind w:left="1408"/>
        <w:spacing w:after="0"/>
        <w:rPr>
          <w:sz w:val="20"/>
          <w:szCs w:val="20"/>
          <w:color w:val="auto"/>
        </w:rPr>
      </w:pPr>
      <w:r>
        <w:rPr>
          <w:rFonts w:ascii="Times New Roman" w:cs="Times New Roman" w:eastAsia="Times New Roman" w:hAnsi="Times New Roman"/>
          <w:sz w:val="11"/>
          <w:szCs w:val="11"/>
          <w:color w:val="auto"/>
        </w:rPr>
        <w:t>***********</w:t>
      </w:r>
    </w:p>
    <w:p>
      <w:pPr>
        <w:spacing w:after="0" w:line="18" w:lineRule="exact"/>
        <w:rPr>
          <w:sz w:val="20"/>
          <w:szCs w:val="20"/>
          <w:color w:val="auto"/>
        </w:rPr>
      </w:pPr>
    </w:p>
    <w:p>
      <w:pPr>
        <w:ind w:left="1408"/>
        <w:spacing w:after="0"/>
        <w:rPr>
          <w:sz w:val="20"/>
          <w:szCs w:val="20"/>
          <w:color w:val="auto"/>
        </w:rPr>
      </w:pPr>
      <w:r>
        <w:rPr>
          <w:rFonts w:ascii="Times New Roman" w:cs="Times New Roman" w:eastAsia="Times New Roman" w:hAnsi="Times New Roman"/>
          <w:sz w:val="11"/>
          <w:szCs w:val="11"/>
          <w:color w:val="auto"/>
        </w:rPr>
        <w:t>***********</w:t>
      </w:r>
    </w:p>
    <w:p>
      <w:pPr>
        <w:spacing w:after="0" w:line="23" w:lineRule="exact"/>
        <w:rPr>
          <w:sz w:val="20"/>
          <w:szCs w:val="20"/>
          <w:color w:val="auto"/>
        </w:rPr>
      </w:pPr>
    </w:p>
    <w:p>
      <w:pPr>
        <w:ind w:left="1408"/>
        <w:spacing w:after="0"/>
        <w:rPr>
          <w:sz w:val="20"/>
          <w:szCs w:val="20"/>
          <w:color w:val="auto"/>
        </w:rPr>
      </w:pPr>
      <w:r>
        <w:rPr>
          <w:rFonts w:ascii="Times New Roman" w:cs="Times New Roman" w:eastAsia="Times New Roman" w:hAnsi="Times New Roman"/>
          <w:sz w:val="11"/>
          <w:szCs w:val="11"/>
          <w:color w:val="auto"/>
        </w:rPr>
        <w:t>***********</w:t>
      </w:r>
    </w:p>
    <w:p>
      <w:pPr>
        <w:spacing w:after="0" w:line="63" w:lineRule="exact"/>
        <w:rPr>
          <w:sz w:val="20"/>
          <w:szCs w:val="20"/>
          <w:color w:val="auto"/>
        </w:rPr>
      </w:pPr>
    </w:p>
    <w:p>
      <w:pPr>
        <w:ind w:left="1008" w:right="460"/>
        <w:spacing w:after="0" w:line="296" w:lineRule="auto"/>
        <w:rPr>
          <w:sz w:val="20"/>
          <w:szCs w:val="20"/>
          <w:color w:val="auto"/>
        </w:rPr>
      </w:pPr>
      <w:r>
        <w:rPr>
          <w:rFonts w:ascii="Times New Roman" w:cs="Times New Roman" w:eastAsia="Times New Roman" w:hAnsi="Times New Roman"/>
          <w:sz w:val="11"/>
          <w:szCs w:val="11"/>
          <w:color w:val="auto"/>
        </w:rPr>
        <w:t>License Fees set forth in the Agreement, as amended, shall apply with respect to all Funds based on the 25/50 Indexes. All listed Funds must be issued, sold and traded on a public basis in accordance with the applicable securities law. All other terms and restrictions contained in Exhibit B shall apply.</w:t>
      </w:r>
    </w:p>
    <w:p>
      <w:pPr>
        <w:spacing w:after="0" w:line="12" w:lineRule="exact"/>
        <w:rPr>
          <w:sz w:val="20"/>
          <w:szCs w:val="20"/>
          <w:color w:val="auto"/>
        </w:rPr>
      </w:pPr>
    </w:p>
    <w:p>
      <w:pPr>
        <w:jc w:val="both"/>
        <w:ind w:left="968" w:right="420" w:hanging="419"/>
        <w:spacing w:after="0" w:line="276" w:lineRule="auto"/>
        <w:tabs>
          <w:tab w:leader="none" w:pos="968" w:val="left"/>
        </w:tabs>
        <w:numPr>
          <w:ilvl w:val="0"/>
          <w:numId w:val="1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13" w:lineRule="exact"/>
        <w:rPr>
          <w:rFonts w:ascii="Times New Roman" w:cs="Times New Roman" w:eastAsia="Times New Roman" w:hAnsi="Times New Roman"/>
          <w:sz w:val="11"/>
          <w:szCs w:val="11"/>
          <w:color w:val="auto"/>
        </w:rPr>
      </w:pPr>
    </w:p>
    <w:p>
      <w:pPr>
        <w:ind w:left="968" w:hanging="419"/>
        <w:spacing w:after="0"/>
        <w:tabs>
          <w:tab w:leader="none" w:pos="968" w:val="left"/>
        </w:tabs>
        <w:numPr>
          <w:ilvl w:val="0"/>
          <w:numId w:val="1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the Index in the event that Licensee does not list a Fund based on the Index on an exchange within 1 year of the date of this Amendment.</w:t>
      </w:r>
    </w:p>
    <w:p>
      <w:pPr>
        <w:spacing w:after="0" w:line="71" w:lineRule="exact"/>
        <w:rPr>
          <w:rFonts w:ascii="Times New Roman" w:cs="Times New Roman" w:eastAsia="Times New Roman" w:hAnsi="Times New Roman"/>
          <w:sz w:val="11"/>
          <w:szCs w:val="11"/>
          <w:color w:val="auto"/>
        </w:rPr>
      </w:pPr>
    </w:p>
    <w:p>
      <w:pPr>
        <w:ind w:left="968" w:hanging="419"/>
        <w:spacing w:after="0"/>
        <w:tabs>
          <w:tab w:leader="none" w:pos="968" w:val="left"/>
        </w:tabs>
        <w:numPr>
          <w:ilvl w:val="0"/>
          <w:numId w:val="1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89470" cy="11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348" w:right="29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48"/>
        </w:trPr>
        <w:tc>
          <w:tcPr>
            <w:tcW w:w="5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2780" w:type="dxa"/>
            <w:vAlign w:val="bottom"/>
          </w:tcPr>
          <w:p>
            <w:pPr>
              <w:ind w:left="2060"/>
              <w:spacing w:after="0"/>
              <w:rPr>
                <w:sz w:val="20"/>
                <w:szCs w:val="20"/>
                <w:color w:val="auto"/>
              </w:rPr>
            </w:pPr>
            <w:r>
              <w:rPr>
                <w:rFonts w:ascii="Times New Roman" w:cs="Times New Roman" w:eastAsia="Times New Roman" w:hAnsi="Times New Roman"/>
                <w:sz w:val="11"/>
                <w:szCs w:val="11"/>
                <w:color w:val="auto"/>
              </w:rPr>
              <w:t>MSCI INC.</w:t>
            </w:r>
          </w:p>
        </w:tc>
        <w:tc>
          <w:tcPr>
            <w:tcW w:w="2760" w:type="dxa"/>
            <w:vAlign w:val="bottom"/>
          </w:tcPr>
          <w:p>
            <w:pPr>
              <w:spacing w:after="0"/>
              <w:rPr>
                <w:sz w:val="12"/>
                <w:szCs w:val="12"/>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Timothy M. Meyer</w:t>
            </w:r>
          </w:p>
        </w:tc>
        <w:tc>
          <w:tcPr>
            <w:tcW w:w="2780" w:type="dxa"/>
            <w:vAlign w:val="bottom"/>
          </w:tcPr>
          <w:p>
            <w:pPr>
              <w:ind w:left="2060"/>
              <w:spacing w:after="0"/>
              <w:rPr>
                <w:sz w:val="20"/>
                <w:szCs w:val="20"/>
                <w:color w:val="auto"/>
              </w:rPr>
            </w:pPr>
            <w:r>
              <w:rPr>
                <w:rFonts w:ascii="Times New Roman" w:cs="Times New Roman" w:eastAsia="Times New Roman" w:hAnsi="Times New Roman"/>
                <w:sz w:val="11"/>
                <w:szCs w:val="11"/>
                <w:color w:val="auto"/>
              </w:rPr>
              <w:t>By</w:t>
            </w: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David Dalpe</w:t>
            </w:r>
          </w:p>
        </w:tc>
      </w:tr>
      <w:tr>
        <w:trPr>
          <w:trHeight w:val="120"/>
        </w:trPr>
        <w:tc>
          <w:tcPr>
            <w:tcW w:w="6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Name</w:t>
            </w:r>
          </w:p>
        </w:tc>
        <w:tc>
          <w:tcPr>
            <w:tcW w:w="50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Tim Meyer</w:t>
            </w:r>
          </w:p>
        </w:tc>
        <w:tc>
          <w:tcPr>
            <w:tcW w:w="2780" w:type="dxa"/>
            <w:vAlign w:val="bottom"/>
          </w:tcPr>
          <w:p>
            <w:pPr>
              <w:ind w:left="2060"/>
              <w:spacing w:after="0" w:line="121" w:lineRule="exact"/>
              <w:rPr>
                <w:sz w:val="20"/>
                <w:szCs w:val="20"/>
                <w:color w:val="auto"/>
              </w:rPr>
            </w:pPr>
            <w:r>
              <w:rPr>
                <w:rFonts w:ascii="Times New Roman" w:cs="Times New Roman" w:eastAsia="Times New Roman" w:hAnsi="Times New Roman"/>
                <w:sz w:val="11"/>
                <w:szCs w:val="11"/>
                <w:color w:val="auto"/>
              </w:rPr>
              <w:t>Name</w:t>
            </w:r>
          </w:p>
        </w:tc>
        <w:tc>
          <w:tcPr>
            <w:tcW w:w="276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David Dalpe</w:t>
            </w:r>
          </w:p>
        </w:tc>
      </w:tr>
      <w:tr>
        <w:trPr>
          <w:trHeight w:val="148"/>
        </w:trPr>
        <w:tc>
          <w:tcPr>
            <w:tcW w:w="68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c>
          <w:tcPr>
            <w:tcW w:w="278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1"/>
                <w:szCs w:val="11"/>
                <w:color w:val="auto"/>
              </w:rPr>
              <w:t>(printed)</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1"/>
                <w:szCs w:val="11"/>
                <w:color w:val="auto"/>
              </w:rPr>
              <w:t>M. Director</w:t>
            </w:r>
          </w:p>
        </w:tc>
        <w:tc>
          <w:tcPr>
            <w:tcW w:w="2780" w:type="dxa"/>
            <w:vAlign w:val="bottom"/>
          </w:tcPr>
          <w:p>
            <w:pPr>
              <w:ind w:left="2060"/>
              <w:spacing w:after="0"/>
              <w:rPr>
                <w:sz w:val="20"/>
                <w:szCs w:val="20"/>
                <w:color w:val="auto"/>
              </w:rPr>
            </w:pPr>
            <w:r>
              <w:rPr>
                <w:rFonts w:ascii="Times New Roman" w:cs="Times New Roman" w:eastAsia="Times New Roman" w:hAnsi="Times New Roman"/>
                <w:sz w:val="11"/>
                <w:szCs w:val="11"/>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1"/>
                <w:szCs w:val="11"/>
                <w:color w:val="auto"/>
              </w:rPr>
              <w:t>Vice President</w:t>
            </w:r>
          </w:p>
        </w:tc>
      </w:tr>
      <w:tr>
        <w:trPr>
          <w:trHeight w:val="270"/>
        </w:trPr>
        <w:tc>
          <w:tcPr>
            <w:tcW w:w="5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278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76"/>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Jenni Lee</w:t>
            </w:r>
          </w:p>
        </w:tc>
        <w:tc>
          <w:tcPr>
            <w:tcW w:w="278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115"/>
        </w:trPr>
        <w:tc>
          <w:tcPr>
            <w:tcW w:w="680" w:type="dxa"/>
            <w:vAlign w:val="bottom"/>
          </w:tcPr>
          <w:p>
            <w:pPr>
              <w:spacing w:after="0"/>
              <w:rPr>
                <w:sz w:val="9"/>
                <w:szCs w:val="9"/>
                <w:color w:val="auto"/>
              </w:rPr>
            </w:pPr>
          </w:p>
        </w:tc>
        <w:tc>
          <w:tcPr>
            <w:tcW w:w="5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(printed)</w:t>
            </w:r>
          </w:p>
        </w:tc>
        <w:tc>
          <w:tcPr>
            <w:tcW w:w="2780" w:type="dxa"/>
            <w:vAlign w:val="bottom"/>
          </w:tcPr>
          <w:p>
            <w:pPr>
              <w:spacing w:after="0"/>
              <w:rPr>
                <w:sz w:val="9"/>
                <w:szCs w:val="9"/>
                <w:color w:val="auto"/>
              </w:rPr>
            </w:pPr>
          </w:p>
        </w:tc>
        <w:tc>
          <w:tcPr>
            <w:tcW w:w="2760" w:type="dxa"/>
            <w:vAlign w:val="bottom"/>
          </w:tcPr>
          <w:p>
            <w:pPr>
              <w:spacing w:after="0"/>
              <w:rPr>
                <w:sz w:val="9"/>
                <w:szCs w:val="9"/>
                <w:color w:val="auto"/>
              </w:rPr>
            </w:pPr>
          </w:p>
        </w:tc>
      </w:tr>
      <w:tr>
        <w:trPr>
          <w:trHeight w:val="148"/>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1"/>
                <w:szCs w:val="11"/>
                <w:color w:val="auto"/>
              </w:rPr>
              <w:t>Director</w:t>
            </w:r>
          </w:p>
        </w:tc>
        <w:tc>
          <w:tcPr>
            <w:tcW w:w="2780" w:type="dxa"/>
            <w:vAlign w:val="bottom"/>
          </w:tcPr>
          <w:p>
            <w:pPr>
              <w:spacing w:after="0"/>
              <w:rPr>
                <w:sz w:val="12"/>
                <w:szCs w:val="12"/>
                <w:color w:val="auto"/>
              </w:rPr>
            </w:pPr>
          </w:p>
        </w:tc>
        <w:tc>
          <w:tcPr>
            <w:tcW w:w="2760" w:type="dxa"/>
            <w:vAlign w:val="bottom"/>
          </w:tcPr>
          <w:p>
            <w:pPr>
              <w:spacing w:after="0"/>
              <w:rPr>
                <w:sz w:val="12"/>
                <w:szCs w:val="12"/>
                <w:color w:val="auto"/>
              </w:rPr>
            </w:pPr>
          </w:p>
        </w:tc>
      </w:tr>
    </w:tbl>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0"/>
          </w:cols>
          <w:pgMar w:left="300" w:top="413" w:right="2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2"/>
          <w:szCs w:val="12"/>
          <w:b w:val="1"/>
          <w:bCs w:val="1"/>
          <w:color w:val="auto"/>
        </w:rPr>
        <w:t>Exhibit 10.69</w:t>
      </w:r>
    </w:p>
    <w:p>
      <w:pPr>
        <w:spacing w:after="0" w:line="123" w:lineRule="exact"/>
        <w:rPr>
          <w:sz w:val="20"/>
          <w:szCs w:val="20"/>
          <w:color w:val="auto"/>
        </w:rPr>
      </w:pPr>
    </w:p>
    <w:p>
      <w:pPr>
        <w:ind w:left="8" w:hanging="8"/>
        <w:spacing w:after="0" w:line="286" w:lineRule="auto"/>
        <w:tabs>
          <w:tab w:leader="none" w:pos="220" w:val="left"/>
        </w:tabs>
        <w:numPr>
          <w:ilvl w:val="0"/>
          <w:numId w:val="1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31" w:lineRule="exact"/>
        <w:rPr>
          <w:sz w:val="20"/>
          <w:szCs w:val="20"/>
          <w:color w:val="auto"/>
        </w:rPr>
      </w:pPr>
    </w:p>
    <w:p>
      <w:pPr>
        <w:ind w:left="10668"/>
        <w:spacing w:after="0"/>
        <w:rPr>
          <w:sz w:val="20"/>
          <w:szCs w:val="20"/>
          <w:color w:val="auto"/>
        </w:rPr>
      </w:pPr>
      <w:r>
        <w:rPr>
          <w:rFonts w:ascii="Times New Roman" w:cs="Times New Roman" w:eastAsia="Times New Roman" w:hAnsi="Times New Roman"/>
          <w:sz w:val="12"/>
          <w:szCs w:val="12"/>
          <w:b w:val="1"/>
          <w:bCs w:val="1"/>
          <w:color w:val="auto"/>
        </w:rPr>
        <w:t>A.N.:130339</w:t>
      </w:r>
    </w:p>
    <w:p>
      <w:pPr>
        <w:spacing w:after="0" w:line="78" w:lineRule="exact"/>
        <w:rPr>
          <w:sz w:val="20"/>
          <w:szCs w:val="20"/>
          <w:color w:val="auto"/>
        </w:rPr>
      </w:pPr>
    </w:p>
    <w:p>
      <w:pPr>
        <w:ind w:left="10388"/>
        <w:spacing w:after="0"/>
        <w:rPr>
          <w:sz w:val="20"/>
          <w:szCs w:val="20"/>
          <w:color w:val="auto"/>
        </w:rPr>
      </w:pPr>
      <w:r>
        <w:rPr>
          <w:rFonts w:ascii="Times New Roman" w:cs="Times New Roman" w:eastAsia="Times New Roman" w:hAnsi="Times New Roman"/>
          <w:sz w:val="12"/>
          <w:szCs w:val="12"/>
          <w:b w:val="1"/>
          <w:bCs w:val="1"/>
          <w:color w:val="auto"/>
        </w:rPr>
        <w:t>AMD_00090437.0</w:t>
      </w:r>
    </w:p>
    <w:p>
      <w:pPr>
        <w:spacing w:after="0" w:line="1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February 21, 2013</w:t>
      </w:r>
    </w:p>
    <w:p>
      <w:pPr>
        <w:spacing w:after="0" w:line="123" w:lineRule="exact"/>
        <w:rPr>
          <w:sz w:val="20"/>
          <w:szCs w:val="20"/>
          <w:color w:val="auto"/>
        </w:rPr>
      </w:pPr>
    </w:p>
    <w:p>
      <w:pPr>
        <w:ind w:left="8" w:right="200" w:firstLine="366"/>
        <w:spacing w:after="0" w:line="327"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(f/k/a Morgan Stanley Capital International Inc.) (“MSCI”) and BlackRock Institutional Trust Company, N.A. (formerly known as Barclays Global Investors, N.A.) (“Licensee”), as previously amended. Capitalized terms used herein but not otherwise defined herein shall have the meanings ascribed in the Agreement.</w:t>
      </w:r>
    </w:p>
    <w:p>
      <w:pPr>
        <w:spacing w:after="0" w:line="15" w:lineRule="exact"/>
        <w:rPr>
          <w:sz w:val="20"/>
          <w:szCs w:val="20"/>
          <w:color w:val="auto"/>
        </w:rPr>
      </w:pPr>
    </w:p>
    <w:p>
      <w:pPr>
        <w:ind w:left="368" w:hanging="368"/>
        <w:spacing w:after="0"/>
        <w:tabs>
          <w:tab w:leader="none" w:pos="368"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78"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Risk Weighted Index</w:t>
      </w:r>
    </w:p>
    <w:p>
      <w:pPr>
        <w:spacing w:after="0" w:line="87"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Value Weighted Index</w:t>
      </w:r>
    </w:p>
    <w:p>
      <w:pPr>
        <w:spacing w:after="0" w:line="87"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Momentum Index</w:t>
      </w:r>
    </w:p>
    <w:p>
      <w:pPr>
        <w:spacing w:after="0" w:line="87"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Quality Index</w:t>
      </w:r>
    </w:p>
    <w:p>
      <w:pPr>
        <w:spacing w:after="0" w:line="141"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The above Indexes shall be collectively referred to hereunder as the “Indexes for iShares Risk Premia ETFs.”</w:t>
      </w:r>
    </w:p>
    <w:p>
      <w:pPr>
        <w:spacing w:after="0" w:line="78" w:lineRule="exact"/>
        <w:rPr>
          <w:sz w:val="20"/>
          <w:szCs w:val="20"/>
          <w:color w:val="auto"/>
        </w:rPr>
      </w:pPr>
    </w:p>
    <w:p>
      <w:pPr>
        <w:ind w:left="368" w:hanging="368"/>
        <w:spacing w:after="0"/>
        <w:tabs>
          <w:tab w:leader="none" w:pos="368"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Indexes for iShares Risk Premia ETFs and associated Marks solely with respect to the following Funds:</w:t>
      </w:r>
    </w:p>
    <w:p>
      <w:pPr>
        <w:spacing w:after="0" w:line="78"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USA Size Factor ETF which seeks investment results that correspond generally to the price and yield performance, before fees and expenses, of the MSCI USA Risk Weighted Index.</w:t>
      </w:r>
    </w:p>
    <w:p>
      <w:pPr>
        <w:spacing w:after="0" w:line="87"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USA Value Factor ETF which seeks investment results that correspond generally to the price and yield performance, before fees and expenses, of the MSCI USA Value Weighted Index.</w:t>
      </w:r>
    </w:p>
    <w:p>
      <w:pPr>
        <w:spacing w:after="0" w:line="87"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USA Momentum Factor ETF which seeks investment results that correspond generally to the price and yield performance, before fees and expenses, of the MSCI USA Momentum Index.</w:t>
      </w:r>
    </w:p>
    <w:p>
      <w:pPr>
        <w:spacing w:after="0" w:line="87"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USA Quality Factor ETF which seeks investment results that correspond generally to the price and yield performance, before fees and expenses, of the MSCI USA Quality Index.</w:t>
      </w:r>
    </w:p>
    <w:p>
      <w:pPr>
        <w:spacing w:after="0" w:line="87"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rPr>
        <w:t>(For purposes of this Agreement, each fund noted above is referred to herein as a “Fund.”)</w:t>
      </w:r>
    </w:p>
    <w:p>
      <w:pPr>
        <w:spacing w:after="0" w:line="78"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2"/>
          <w:szCs w:val="12"/>
          <w:color w:val="auto"/>
        </w:rPr>
        <w:t>3.</w:t>
      </w:r>
      <w:r>
        <w:rPr>
          <w:sz w:val="20"/>
          <w:szCs w:val="20"/>
          <w:color w:val="auto"/>
        </w:rPr>
        <w:tab/>
      </w:r>
      <w:r>
        <w:rPr>
          <w:rFonts w:ascii="Times New Roman" w:cs="Times New Roman" w:eastAsia="Times New Roman" w:hAnsi="Times New Roman"/>
          <w:sz w:val="12"/>
          <w:szCs w:val="12"/>
          <w:color w:val="auto"/>
        </w:rPr>
        <w:t>For the avoidance of doubt, the license fees set forth in the Agreement, as amended, shall apply with respect to Funds based on the Indexes for iShares Risk Premia ETFs, subject to the following:</w:t>
      </w:r>
    </w:p>
    <w:p>
      <w:pPr>
        <w:spacing w:after="0" w:line="7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The *********** fee shall be ***********.</w:t>
      </w:r>
    </w:p>
    <w:p>
      <w:pPr>
        <w:spacing w:after="0" w:line="87" w:lineRule="exact"/>
        <w:rPr>
          <w:sz w:val="20"/>
          <w:szCs w:val="20"/>
          <w:color w:val="auto"/>
        </w:rPr>
      </w:pPr>
    </w:p>
    <w:p>
      <w:pPr>
        <w:ind w:left="368" w:right="100" w:hanging="368"/>
        <w:spacing w:after="0" w:line="265" w:lineRule="auto"/>
        <w:tabs>
          <w:tab w:leader="none" w:pos="368"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46"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the Index in the event that Licensee does not list a Fund based on the Index on an exchange within 1 year of the date of this Amendment.</w:t>
      </w:r>
    </w:p>
    <w:p>
      <w:pPr>
        <w:spacing w:after="0" w:line="78"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2" w:lineRule="exact"/>
        <w:rPr>
          <w:sz w:val="20"/>
          <w:szCs w:val="20"/>
          <w:color w:val="auto"/>
        </w:rPr>
      </w:pPr>
    </w:p>
    <w:p>
      <w:pPr>
        <w:jc w:val="center"/>
        <w:ind w:right="-247"/>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355600</wp:posOffset>
            </wp:positionV>
            <wp:extent cx="7189470"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55"/>
        </w:trPr>
        <w:tc>
          <w:tcPr>
            <w:tcW w:w="4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1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MSCI INC</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85"/>
              </w:rPr>
              <w:t>By</w:t>
            </w:r>
          </w:p>
        </w:tc>
        <w:tc>
          <w:tcPr>
            <w:tcW w:w="440" w:type="dxa"/>
            <w:vAlign w:val="bottom"/>
          </w:tcPr>
          <w:p>
            <w:pPr>
              <w:spacing w:after="0"/>
              <w:rPr>
                <w:sz w:val="22"/>
                <w:szCs w:val="22"/>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/s/ Timothy Meyer</w:t>
            </w:r>
          </w:p>
        </w:tc>
        <w:tc>
          <w:tcPr>
            <w:tcW w:w="1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85"/>
              </w:rPr>
              <w:t>By</w:t>
            </w:r>
          </w:p>
        </w:tc>
        <w:tc>
          <w:tcPr>
            <w:tcW w:w="460" w:type="dxa"/>
            <w:vAlign w:val="bottom"/>
          </w:tcPr>
          <w:p>
            <w:pPr>
              <w:spacing w:after="0"/>
              <w:rPr>
                <w:sz w:val="22"/>
                <w:szCs w:val="22"/>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/s/ David Kinzelberg</w:t>
            </w:r>
          </w:p>
        </w:tc>
        <w:tc>
          <w:tcPr>
            <w:tcW w:w="0" w:type="dxa"/>
            <w:vAlign w:val="bottom"/>
          </w:tcPr>
          <w:p>
            <w:pPr>
              <w:spacing w:after="0"/>
              <w:rPr>
                <w:sz w:val="1"/>
                <w:szCs w:val="1"/>
                <w:color w:val="auto"/>
              </w:rPr>
            </w:pPr>
          </w:p>
        </w:tc>
      </w:tr>
      <w:tr>
        <w:trPr>
          <w:trHeight w:val="20"/>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Name</w:t>
            </w:r>
          </w:p>
        </w:tc>
        <w:tc>
          <w:tcPr>
            <w:tcW w:w="37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Name</w:t>
            </w:r>
          </w:p>
        </w:tc>
        <w:tc>
          <w:tcPr>
            <w:tcW w:w="3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0" w:type="dxa"/>
            <w:vAlign w:val="bottom"/>
            <w:gridSpan w:val="2"/>
            <w:vMerge w:val="continue"/>
          </w:tcPr>
          <w:p>
            <w:pPr>
              <w:spacing w:after="0"/>
              <w:rPr>
                <w:sz w:val="9"/>
                <w:szCs w:val="9"/>
                <w:color w:val="auto"/>
              </w:rPr>
            </w:pPr>
          </w:p>
        </w:tc>
        <w:tc>
          <w:tcPr>
            <w:tcW w:w="37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Timothy M. Meyer</w:t>
            </w:r>
          </w:p>
        </w:tc>
        <w:tc>
          <w:tcPr>
            <w:tcW w:w="18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48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David Kinzelberg</w:t>
            </w:r>
          </w:p>
        </w:tc>
        <w:tc>
          <w:tcPr>
            <w:tcW w:w="0" w:type="dxa"/>
            <w:vAlign w:val="bottom"/>
          </w:tcPr>
          <w:p>
            <w:pPr>
              <w:spacing w:after="0"/>
              <w:rPr>
                <w:sz w:val="1"/>
                <w:szCs w:val="1"/>
                <w:color w:val="auto"/>
              </w:rPr>
            </w:pPr>
          </w:p>
        </w:tc>
      </w:tr>
      <w:tr>
        <w:trPr>
          <w:trHeight w:val="155"/>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1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c>
          <w:tcPr>
            <w:tcW w:w="0" w:type="dxa"/>
            <w:vAlign w:val="bottom"/>
          </w:tcPr>
          <w:p>
            <w:pPr>
              <w:spacing w:after="0"/>
              <w:rPr>
                <w:sz w:val="1"/>
                <w:szCs w:val="1"/>
                <w:color w:val="auto"/>
              </w:rPr>
            </w:pPr>
          </w:p>
        </w:tc>
      </w:tr>
      <w:tr>
        <w:trPr>
          <w:trHeight w:val="288"/>
        </w:trPr>
        <w:tc>
          <w:tcPr>
            <w:tcW w:w="4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Jenni Lee</w:t>
            </w:r>
          </w:p>
        </w:tc>
        <w:tc>
          <w:tcPr>
            <w:tcW w:w="18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8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7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Jenni A. Lee</w:t>
            </w:r>
          </w:p>
        </w:tc>
        <w:tc>
          <w:tcPr>
            <w:tcW w:w="1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1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8"/>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40" w:type="dxa"/>
            <w:vAlign w:val="bottom"/>
          </w:tcPr>
          <w:p>
            <w:pPr>
              <w:jc w:val="right"/>
              <w:ind w:right="272"/>
              <w:spacing w:after="0"/>
              <w:rPr>
                <w:sz w:val="20"/>
                <w:szCs w:val="20"/>
                <w:color w:val="auto"/>
              </w:rPr>
            </w:pPr>
            <w:r>
              <w:rPr>
                <w:rFonts w:ascii="Arial" w:cs="Arial" w:eastAsia="Arial" w:hAnsi="Arial"/>
                <w:sz w:val="10"/>
                <w:szCs w:val="10"/>
                <w:color w:val="auto"/>
              </w:rPr>
              <w:t>2</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417" w:right="29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2"/>
          <w:szCs w:val="12"/>
          <w:b w:val="1"/>
          <w:bCs w:val="1"/>
          <w:color w:val="auto"/>
        </w:rPr>
        <w:t>Exhibit 10.70</w:t>
      </w:r>
    </w:p>
    <w:p>
      <w:pPr>
        <w:spacing w:after="0" w:line="123" w:lineRule="exact"/>
        <w:rPr>
          <w:sz w:val="20"/>
          <w:szCs w:val="20"/>
          <w:color w:val="auto"/>
        </w:rPr>
      </w:pPr>
    </w:p>
    <w:p>
      <w:pPr>
        <w:ind w:left="8" w:right="60" w:hanging="8"/>
        <w:spacing w:after="0" w:line="286" w:lineRule="auto"/>
        <w:tabs>
          <w:tab w:leader="none" w:pos="218" w:val="left"/>
        </w:tabs>
        <w:numPr>
          <w:ilvl w:val="0"/>
          <w:numId w:val="18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35" w:lineRule="exact"/>
        <w:rPr>
          <w:sz w:val="20"/>
          <w:szCs w:val="20"/>
          <w:color w:val="auto"/>
        </w:rPr>
      </w:pPr>
    </w:p>
    <w:p>
      <w:pPr>
        <w:ind w:left="9748"/>
        <w:spacing w:after="0"/>
        <w:rPr>
          <w:sz w:val="20"/>
          <w:szCs w:val="20"/>
          <w:color w:val="auto"/>
        </w:rPr>
      </w:pPr>
      <w:r>
        <w:rPr>
          <w:rFonts w:ascii="Times New Roman" w:cs="Times New Roman" w:eastAsia="Times New Roman" w:hAnsi="Times New Roman"/>
          <w:sz w:val="11"/>
          <w:szCs w:val="11"/>
          <w:color w:val="auto"/>
        </w:rPr>
        <w:t>A.N.:130339 AMD_00097372.0</w:t>
      </w:r>
    </w:p>
    <w:p>
      <w:pPr>
        <w:spacing w:after="0" w:line="14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27"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2"/>
          <w:szCs w:val="12"/>
          <w:color w:val="auto"/>
        </w:rPr>
        <w:t>Date of Amendment: March 20, 2013</w:t>
      </w:r>
    </w:p>
    <w:p>
      <w:pPr>
        <w:spacing w:after="0" w:line="123" w:lineRule="exact"/>
        <w:rPr>
          <w:sz w:val="20"/>
          <w:szCs w:val="20"/>
          <w:color w:val="auto"/>
        </w:rPr>
      </w:pPr>
    </w:p>
    <w:p>
      <w:pPr>
        <w:ind w:left="8" w:right="480" w:firstLine="346"/>
        <w:spacing w:after="0" w:line="265" w:lineRule="auto"/>
        <w:rPr>
          <w:sz w:val="20"/>
          <w:szCs w:val="20"/>
          <w:color w:val="auto"/>
        </w:rPr>
      </w:pPr>
      <w:r>
        <w:rPr>
          <w:rFonts w:ascii="Times New Roman" w:cs="Times New Roman" w:eastAsia="Times New Roman" w:hAnsi="Times New Roman"/>
          <w:sz w:val="12"/>
          <w:szCs w:val="12"/>
          <w:color w:val="auto"/>
        </w:rPr>
        <w:t>AMENDMENT to the Index License Agreement for Funds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dated as of March 18, 2000, by and between MSCI Inc. (f/k/a Morgan Stanley Capital International Inc.) (“MSCI”) and BlackRock Institutional Trust Company, N.A. (formerly known as Barclays Global Investors, N.A.) (“Licensee”), as previously amended. Capitalized terms used herein but not otherwise defined herein shall have the meanings ascribed in the Agreement.</w:t>
      </w:r>
    </w:p>
    <w:p>
      <w:pPr>
        <w:spacing w:after="0" w:line="47" w:lineRule="exact"/>
        <w:rPr>
          <w:sz w:val="20"/>
          <w:szCs w:val="20"/>
          <w:color w:val="auto"/>
        </w:rPr>
      </w:pPr>
    </w:p>
    <w:p>
      <w:pPr>
        <w:ind w:left="708" w:hanging="357"/>
        <w:spacing w:after="0"/>
        <w:tabs>
          <w:tab w:leader="none" w:pos="708"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87" w:lineRule="exact"/>
        <w:rPr>
          <w:rFonts w:ascii="Times New Roman" w:cs="Times New Roman" w:eastAsia="Times New Roman" w:hAnsi="Times New Roman"/>
          <w:sz w:val="12"/>
          <w:szCs w:val="12"/>
          <w:color w:val="auto"/>
        </w:rPr>
      </w:pPr>
    </w:p>
    <w:p>
      <w:pPr>
        <w:ind w:left="7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2"/>
          <w:szCs w:val="12"/>
          <w:color w:val="auto"/>
        </w:rPr>
        <w:t>For the avoidance of doubt, the terms contained in Exhibit B of the Agreement shall apply to all Funds based on the ***********; provided that in addition to listing and trading the Funds on an U.S. domiciled exchange,</w:t>
      </w:r>
    </w:p>
    <w:p>
      <w:pPr>
        <w:spacing w:after="0" w:line="17"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2"/>
          <w:szCs w:val="12"/>
          <w:color w:val="auto"/>
        </w:rPr>
        <w:t>Funds based on the *********** also may be listed and traded on stock or security exchanges domiciled in:</w:t>
      </w:r>
    </w:p>
    <w:p>
      <w:pPr>
        <w:spacing w:after="0" w:line="67"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708" w:right="120"/>
        <w:spacing w:after="0" w:line="279" w:lineRule="auto"/>
        <w:rPr>
          <w:sz w:val="20"/>
          <w:szCs w:val="20"/>
          <w:color w:val="auto"/>
        </w:rPr>
      </w:pPr>
      <w:r>
        <w:rPr>
          <w:rFonts w:ascii="Times New Roman" w:cs="Times New Roman" w:eastAsia="Times New Roman" w:hAnsi="Times New Roman"/>
          <w:sz w:val="12"/>
          <w:szCs w:val="12"/>
          <w:color w:val="auto"/>
        </w:rPr>
        <w:t>License Fees set forth in the Agreement, as amended, shall apply with respect to all Funds based on the ***********. All listed Funds must be issued, sold and traded on a public basis in accordance with the applicable securities law. All other terms and restrictions contained in Exhibit B shall apply.</w:t>
      </w:r>
    </w:p>
    <w:p>
      <w:pPr>
        <w:spacing w:after="0" w:line="39" w:lineRule="exact"/>
        <w:rPr>
          <w:sz w:val="20"/>
          <w:szCs w:val="20"/>
          <w:color w:val="auto"/>
        </w:rPr>
      </w:pPr>
    </w:p>
    <w:p>
      <w:pPr>
        <w:ind w:left="708" w:right="80" w:hanging="357"/>
        <w:spacing w:after="0" w:line="265" w:lineRule="auto"/>
        <w:tabs>
          <w:tab w:leader="none" w:pos="708"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46" w:lineRule="exact"/>
        <w:rPr>
          <w:rFonts w:ascii="Times New Roman" w:cs="Times New Roman" w:eastAsia="Times New Roman" w:hAnsi="Times New Roman"/>
          <w:sz w:val="12"/>
          <w:szCs w:val="12"/>
          <w:color w:val="auto"/>
        </w:rPr>
      </w:pPr>
    </w:p>
    <w:p>
      <w:pPr>
        <w:ind w:left="708" w:hanging="357"/>
        <w:spacing w:after="0"/>
        <w:tabs>
          <w:tab w:leader="none" w:pos="708"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the Index in the event that Licensee does not list a Fund based on the Index on an exchange within 1 year of the date of this Amendment.</w:t>
      </w:r>
    </w:p>
    <w:p>
      <w:pPr>
        <w:spacing w:after="0" w:line="87" w:lineRule="exact"/>
        <w:rPr>
          <w:rFonts w:ascii="Times New Roman" w:cs="Times New Roman" w:eastAsia="Times New Roman" w:hAnsi="Times New Roman"/>
          <w:sz w:val="12"/>
          <w:szCs w:val="12"/>
          <w:color w:val="auto"/>
        </w:rPr>
      </w:pPr>
    </w:p>
    <w:p>
      <w:pPr>
        <w:ind w:left="708" w:hanging="357"/>
        <w:spacing w:after="0"/>
        <w:tabs>
          <w:tab w:leader="none" w:pos="708"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170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MSCI INC.</w:t>
            </w:r>
          </w:p>
        </w:tc>
        <w:tc>
          <w:tcPr>
            <w:tcW w:w="3480" w:type="dxa"/>
            <w:vAlign w:val="bottom"/>
          </w:tcPr>
          <w:p>
            <w:pPr>
              <w:spacing w:after="0"/>
              <w:rPr>
                <w:sz w:val="13"/>
                <w:szCs w:val="13"/>
                <w:color w:val="auto"/>
              </w:rPr>
            </w:pPr>
          </w:p>
        </w:tc>
      </w:tr>
      <w:tr>
        <w:trPr>
          <w:trHeight w:val="28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Timothy M. Meyer</w:t>
            </w:r>
          </w:p>
        </w:tc>
        <w:tc>
          <w:tcPr>
            <w:tcW w:w="170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David Kinzelberg</w:t>
            </w:r>
          </w:p>
        </w:tc>
      </w:tr>
      <w:tr>
        <w:trPr>
          <w:trHeight w:val="122"/>
        </w:trPr>
        <w:tc>
          <w:tcPr>
            <w:tcW w:w="6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Timothy M. Meyer</w:t>
            </w:r>
          </w:p>
        </w:tc>
        <w:tc>
          <w:tcPr>
            <w:tcW w:w="1700" w:type="dxa"/>
            <w:vAlign w:val="bottom"/>
          </w:tcPr>
          <w:p>
            <w:pPr>
              <w:ind w:left="110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4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David Kinzelberg</w:t>
            </w:r>
          </w:p>
        </w:tc>
      </w:tr>
      <w:tr>
        <w:trPr>
          <w:trHeight w:val="155"/>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170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288"/>
        </w:trPr>
        <w:tc>
          <w:tcPr>
            <w:tcW w:w="6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8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Jenni A. Lee</w:t>
            </w:r>
          </w:p>
        </w:tc>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22"/>
        </w:trPr>
        <w:tc>
          <w:tcPr>
            <w:tcW w:w="6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Jenni A. Lee</w:t>
            </w:r>
          </w:p>
        </w:tc>
        <w:tc>
          <w:tcPr>
            <w:tcW w:w="1700" w:type="dxa"/>
            <w:vAlign w:val="bottom"/>
          </w:tcPr>
          <w:p>
            <w:pPr>
              <w:spacing w:after="0"/>
              <w:rPr>
                <w:sz w:val="10"/>
                <w:szCs w:val="10"/>
                <w:color w:val="auto"/>
              </w:rPr>
            </w:pPr>
          </w:p>
        </w:tc>
        <w:tc>
          <w:tcPr>
            <w:tcW w:w="3480" w:type="dxa"/>
            <w:vAlign w:val="bottom"/>
          </w:tcPr>
          <w:p>
            <w:pPr>
              <w:spacing w:after="0"/>
              <w:rPr>
                <w:sz w:val="10"/>
                <w:szCs w:val="10"/>
                <w:color w:val="auto"/>
              </w:rPr>
            </w:pPr>
          </w:p>
        </w:tc>
      </w:tr>
      <w:tr>
        <w:trPr>
          <w:trHeight w:val="155"/>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1700" w:type="dxa"/>
            <w:vAlign w:val="bottom"/>
          </w:tcPr>
          <w:p>
            <w:pPr>
              <w:spacing w:after="0"/>
              <w:rPr>
                <w:sz w:val="13"/>
                <w:szCs w:val="13"/>
                <w:color w:val="auto"/>
              </w:rPr>
            </w:pPr>
          </w:p>
        </w:tc>
        <w:tc>
          <w:tcPr>
            <w:tcW w:w="3480" w:type="dxa"/>
            <w:vAlign w:val="bottom"/>
          </w:tcPr>
          <w:p>
            <w:pPr>
              <w:spacing w:after="0"/>
              <w:rPr>
                <w:sz w:val="13"/>
                <w:szCs w:val="13"/>
                <w:color w:val="auto"/>
              </w:rPr>
            </w:pPr>
          </w:p>
        </w:tc>
      </w:tr>
    </w:tbl>
    <w:p>
      <w:pPr>
        <w:sectPr>
          <w:pgSz w:w="11900" w:h="16838" w:orient="portrait"/>
          <w:cols w:equalWidth="0" w:num="1">
            <w:col w:w="11308"/>
          </w:cols>
          <w:pgMar w:left="292" w:top="278" w:right="29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2"/>
          <w:szCs w:val="12"/>
          <w:b w:val="1"/>
          <w:bCs w:val="1"/>
          <w:color w:val="auto"/>
        </w:rPr>
        <w:t>Exhibit 10.71</w:t>
      </w:r>
    </w:p>
    <w:p>
      <w:pPr>
        <w:spacing w:after="0" w:line="150" w:lineRule="exact"/>
        <w:rPr>
          <w:sz w:val="20"/>
          <w:szCs w:val="20"/>
          <w:color w:val="auto"/>
        </w:rPr>
      </w:pPr>
    </w:p>
    <w:p>
      <w:pPr>
        <w:ind w:left="8" w:hanging="8"/>
        <w:spacing w:after="0" w:line="286" w:lineRule="auto"/>
        <w:tabs>
          <w:tab w:leader="none" w:pos="220" w:val="left"/>
        </w:tabs>
        <w:numPr>
          <w:ilvl w:val="0"/>
          <w:numId w:val="1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53" w:lineRule="exact"/>
        <w:rPr>
          <w:sz w:val="20"/>
          <w:szCs w:val="20"/>
          <w:color w:val="auto"/>
        </w:rPr>
      </w:pPr>
    </w:p>
    <w:p>
      <w:pPr>
        <w:ind w:left="10668"/>
        <w:spacing w:after="0"/>
        <w:rPr>
          <w:sz w:val="20"/>
          <w:szCs w:val="20"/>
          <w:color w:val="auto"/>
        </w:rPr>
      </w:pPr>
      <w:r>
        <w:rPr>
          <w:rFonts w:ascii="Times New Roman" w:cs="Times New Roman" w:eastAsia="Times New Roman" w:hAnsi="Times New Roman"/>
          <w:sz w:val="12"/>
          <w:szCs w:val="12"/>
          <w:color w:val="auto"/>
        </w:rPr>
        <w:t>A.N.:130339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AMD_00109207.0</w:t>
      </w:r>
    </w:p>
    <w:p>
      <w:pPr>
        <w:spacing w:after="0" w:line="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September 11, 2013</w:t>
      </w:r>
    </w:p>
    <w:p>
      <w:pPr>
        <w:spacing w:after="0" w:line="96"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AMENDMENT to the Index License Agreement for Funds dated as of March 18, 2000 with MSCI internal reference IXF_00040 (as previously amended,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between MSCI Inc. (f/k/a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Institutional Trust Company, N.A. (formerly known as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56" w:lineRule="exact"/>
        <w:rPr>
          <w:sz w:val="20"/>
          <w:szCs w:val="20"/>
          <w:color w:val="auto"/>
        </w:rPr>
      </w:pPr>
    </w:p>
    <w:p>
      <w:pPr>
        <w:ind w:left="428" w:hanging="428"/>
        <w:spacing w:after="0"/>
        <w:tabs>
          <w:tab w:leader="none" w:pos="428"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the date of this Amendment, Exhibit A of the Agreement is hereby amended to add the following Index:</w:t>
      </w:r>
    </w:p>
    <w:p>
      <w:pPr>
        <w:spacing w:after="0" w:line="87"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MSCI All Ireland Capped Index</w:t>
      </w:r>
    </w:p>
    <w:p>
      <w:pPr>
        <w:spacing w:after="0" w:line="9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the avoidance of doubt, the terms contained in Exhibit B of the Agreement shall apply to all Funds based on The MSCI All Ireland Capped Index; provided that in addition to listing and trading the Funds on a U.S.</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domiciled exchange, Funds based on the MSCI All Ireland Capped Index also may be listed and traded on stock or security exchanges domiciled in:</w:t>
      </w:r>
    </w:p>
    <w:p>
      <w:pPr>
        <w:spacing w:after="0" w:line="85"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2"/>
          <w:szCs w:val="12"/>
          <w:color w:val="auto"/>
        </w:rPr>
        <w:t>Mexico Chile</w:t>
      </w:r>
    </w:p>
    <w:p>
      <w:pPr>
        <w:spacing w:after="0" w:line="24"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2"/>
          <w:szCs w:val="12"/>
          <w:color w:val="auto"/>
        </w:rPr>
        <w:t>***********</w:t>
      </w:r>
    </w:p>
    <w:p>
      <w:pPr>
        <w:spacing w:after="0" w:line="33"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428" w:right="40"/>
        <w:spacing w:after="0" w:line="279" w:lineRule="auto"/>
        <w:rPr>
          <w:sz w:val="20"/>
          <w:szCs w:val="20"/>
          <w:color w:val="auto"/>
        </w:rPr>
      </w:pPr>
      <w:r>
        <w:rPr>
          <w:rFonts w:ascii="Times New Roman" w:cs="Times New Roman" w:eastAsia="Times New Roman" w:hAnsi="Times New Roman"/>
          <w:sz w:val="12"/>
          <w:szCs w:val="12"/>
          <w:color w:val="auto"/>
        </w:rPr>
        <w:t>License Fees set forth in the Agreement, as amended, shall apply with respect to all Funds based on the MSCI All Ireland Capped Index. All listed Funds must be issued, sold and traded on a public basis in accordance with the applicable securities law. All other terms and restrictions contained in Exhibit B shall apply.</w:t>
      </w:r>
    </w:p>
    <w:p>
      <w:pPr>
        <w:spacing w:after="0" w:line="57" w:lineRule="exact"/>
        <w:rPr>
          <w:sz w:val="20"/>
          <w:szCs w:val="20"/>
          <w:color w:val="auto"/>
        </w:rPr>
      </w:pPr>
    </w:p>
    <w:p>
      <w:pPr>
        <w:ind w:left="428" w:right="20" w:hanging="428"/>
        <w:spacing w:after="0" w:line="279" w:lineRule="auto"/>
        <w:tabs>
          <w:tab w:leader="none" w:pos="428"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the date of this Amendment, Licensee may use the Index identified in Section 1 above and the Marks solely with respect to the following exchange traded funds (which shall be deemed to be a “Fund” as such term is used in the US Agreement):</w:t>
      </w:r>
    </w:p>
    <w:p>
      <w:pPr>
        <w:spacing w:after="0" w:line="48"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iShares MSCI Ireland Capped ETF</w:t>
      </w:r>
    </w:p>
    <w:p>
      <w:pPr>
        <w:spacing w:after="0" w:line="9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the avoidance of doubt, the terms and restrictions set forth in Exhibit B of the Agreement shall apply to the above Fund.</w:t>
      </w:r>
    </w:p>
    <w:p>
      <w:pPr>
        <w:spacing w:after="0" w:line="8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License Fees set forth in the Agreement, as amended, shall apply with respect to the above Fund.</w:t>
      </w:r>
    </w:p>
    <w:p>
      <w:pPr>
        <w:spacing w:after="0" w:line="87" w:lineRule="exact"/>
        <w:rPr>
          <w:sz w:val="20"/>
          <w:szCs w:val="20"/>
          <w:color w:val="auto"/>
        </w:rPr>
      </w:pPr>
    </w:p>
    <w:p>
      <w:pPr>
        <w:ind w:left="428" w:right="220" w:hanging="428"/>
        <w:spacing w:after="0" w:line="265" w:lineRule="auto"/>
        <w:tabs>
          <w:tab w:leader="none" w:pos="428"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55" w:lineRule="exact"/>
        <w:rPr>
          <w:rFonts w:ascii="Times New Roman" w:cs="Times New Roman" w:eastAsia="Times New Roman" w:hAnsi="Times New Roman"/>
          <w:sz w:val="12"/>
          <w:szCs w:val="12"/>
          <w:color w:val="auto"/>
        </w:rPr>
      </w:pPr>
    </w:p>
    <w:p>
      <w:pPr>
        <w:ind w:left="428" w:right="440" w:hanging="428"/>
        <w:spacing w:after="0" w:line="279" w:lineRule="auto"/>
        <w:tabs>
          <w:tab w:leader="none" w:pos="428"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the Index identified in Section 1 above in the event that Licensee does not cause the Fund set forth in Section 2 above to track such Index within one (1) year of the date of this Amendment.</w:t>
      </w:r>
    </w:p>
    <w:p>
      <w:pPr>
        <w:spacing w:after="0" w:line="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87" w:lineRule="exact"/>
        <w:rPr>
          <w:rFonts w:ascii="Times New Roman" w:cs="Times New Roman" w:eastAsia="Times New Roman" w:hAnsi="Times New Roman"/>
          <w:sz w:val="12"/>
          <w:szCs w:val="12"/>
          <w:color w:val="auto"/>
        </w:rPr>
      </w:pPr>
    </w:p>
    <w:p>
      <w:pPr>
        <w:ind w:left="428" w:right="80" w:hanging="428"/>
        <w:spacing w:after="0" w:line="265" w:lineRule="auto"/>
        <w:tabs>
          <w:tab w:leader="none" w:pos="428"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upon the date when the Fund set forth in Section 2 above ceases to track the MSCI Ireland Investable Market 25-50 Index and begins to track the Index identified in Section 1 above, the Amendment dated December 15, 2009 between MSCI and Licensee with MSCI internal reference ADD_01420, shall be amended to delete all references to (i) the MSCI Ireland Investable Market 25-50 Index and (ii) the iShares MSCI Ireland Capped Investable Market Index Fund.</w:t>
      </w:r>
    </w:p>
    <w:p>
      <w:pPr>
        <w:spacing w:after="0" w:line="2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9470" cy="11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44"/>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3420" w:type="dxa"/>
            <w:vAlign w:val="bottom"/>
          </w:tcPr>
          <w:p>
            <w:pPr>
              <w:ind w:left="2700"/>
              <w:spacing w:after="0"/>
              <w:rPr>
                <w:sz w:val="20"/>
                <w:szCs w:val="20"/>
                <w:color w:val="auto"/>
              </w:rPr>
            </w:pPr>
            <w:r>
              <w:rPr>
                <w:rFonts w:ascii="Times New Roman" w:cs="Times New Roman" w:eastAsia="Times New Roman" w:hAnsi="Times New Roman"/>
                <w:sz w:val="12"/>
                <w:szCs w:val="12"/>
                <w:color w:val="auto"/>
              </w:rPr>
              <w:t>MSCI INC.</w:t>
            </w:r>
          </w:p>
        </w:tc>
        <w:tc>
          <w:tcPr>
            <w:tcW w:w="3020" w:type="dxa"/>
            <w:vAlign w:val="bottom"/>
          </w:tcPr>
          <w:p>
            <w:pPr>
              <w:spacing w:after="0"/>
              <w:rPr>
                <w:sz w:val="12"/>
                <w:szCs w:val="12"/>
                <w:color w:val="auto"/>
              </w:rPr>
            </w:pPr>
          </w:p>
        </w:tc>
      </w:t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Timothy Meyer</w:t>
            </w:r>
          </w:p>
        </w:tc>
        <w:tc>
          <w:tcPr>
            <w:tcW w:w="3420" w:type="dxa"/>
            <w:vAlign w:val="bottom"/>
          </w:tcPr>
          <w:p>
            <w:pPr>
              <w:ind w:left="2700"/>
              <w:spacing w:after="0"/>
              <w:rPr>
                <w:sz w:val="20"/>
                <w:szCs w:val="20"/>
                <w:color w:val="auto"/>
              </w:rPr>
            </w:pPr>
            <w:r>
              <w:rPr>
                <w:rFonts w:ascii="Times New Roman" w:cs="Times New Roman" w:eastAsia="Times New Roman" w:hAnsi="Times New Roman"/>
                <w:sz w:val="12"/>
                <w:szCs w:val="12"/>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David Kinzelberg</w:t>
            </w:r>
          </w:p>
        </w:tc>
      </w:tr>
      <w:tr>
        <w:trPr>
          <w:trHeight w:val="131"/>
        </w:trPr>
        <w:tc>
          <w:tcPr>
            <w:tcW w:w="6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42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Timothy M. Meyer</w:t>
            </w:r>
          </w:p>
        </w:tc>
        <w:tc>
          <w:tcPr>
            <w:tcW w:w="3420" w:type="dxa"/>
            <w:vAlign w:val="bottom"/>
          </w:tcPr>
          <w:p>
            <w:pPr>
              <w:ind w:left="2700"/>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302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David Kinzelberg</w:t>
            </w:r>
          </w:p>
        </w:tc>
      </w:tr>
      <w:tr>
        <w:trPr>
          <w:trHeight w:val="144"/>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M. Director</w:t>
            </w:r>
          </w:p>
        </w:tc>
        <w:tc>
          <w:tcPr>
            <w:tcW w:w="3420" w:type="dxa"/>
            <w:vAlign w:val="bottom"/>
          </w:tcPr>
          <w:p>
            <w:pPr>
              <w:ind w:left="2700"/>
              <w:spacing w:after="0"/>
              <w:rPr>
                <w:sz w:val="20"/>
                <w:szCs w:val="20"/>
                <w:color w:val="auto"/>
              </w:rPr>
            </w:pPr>
            <w:r>
              <w:rPr>
                <w:rFonts w:ascii="Times New Roman" w:cs="Times New Roman" w:eastAsia="Times New Roman" w:hAnsi="Times New Roman"/>
                <w:sz w:val="12"/>
                <w:szCs w:val="12"/>
                <w:color w:val="auto"/>
              </w:rPr>
              <w:t>Title</w:t>
            </w:r>
          </w:p>
        </w:tc>
        <w:tc>
          <w:tcPr>
            <w:tcW w:w="3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9/18/13</w:t>
            </w:r>
          </w:p>
        </w:tc>
        <w:tc>
          <w:tcPr>
            <w:tcW w:w="3420" w:type="dxa"/>
            <w:vAlign w:val="bottom"/>
          </w:tcPr>
          <w:p>
            <w:pPr>
              <w:ind w:left="2700"/>
              <w:spacing w:after="0"/>
              <w:rPr>
                <w:sz w:val="20"/>
                <w:szCs w:val="20"/>
                <w:color w:val="auto"/>
              </w:rPr>
            </w:pPr>
            <w:r>
              <w:rPr>
                <w:rFonts w:ascii="Times New Roman" w:cs="Times New Roman" w:eastAsia="Times New Roman" w:hAnsi="Times New Roman"/>
                <w:sz w:val="12"/>
                <w:szCs w:val="12"/>
                <w:color w:val="auto"/>
              </w:rPr>
              <w:t>Date</w:t>
            </w:r>
          </w:p>
        </w:tc>
        <w:tc>
          <w:tcPr>
            <w:tcW w:w="3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Oct 1, 2013</w:t>
            </w:r>
          </w:p>
        </w:tc>
      </w:tr>
      <w:tr>
        <w:trPr>
          <w:trHeight w:val="277"/>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34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Jenni A. Lee</w:t>
            </w:r>
          </w:p>
        </w:tc>
        <w:tc>
          <w:tcPr>
            <w:tcW w:w="3420" w:type="dxa"/>
            <w:vAlign w:val="bottom"/>
          </w:tcPr>
          <w:p>
            <w:pPr>
              <w:spacing w:after="0"/>
              <w:rPr>
                <w:sz w:val="13"/>
                <w:szCs w:val="13"/>
                <w:color w:val="auto"/>
              </w:rPr>
            </w:pPr>
          </w:p>
        </w:tc>
        <w:tc>
          <w:tcPr>
            <w:tcW w:w="3020" w:type="dxa"/>
            <w:vAlign w:val="bottom"/>
          </w:tcPr>
          <w:p>
            <w:pPr>
              <w:spacing w:after="0"/>
              <w:rPr>
                <w:sz w:val="13"/>
                <w:szCs w:val="13"/>
                <w:color w:val="auto"/>
              </w:rPr>
            </w:pPr>
          </w:p>
        </w:tc>
      </w:tr>
      <w:tr>
        <w:trPr>
          <w:trHeight w:val="131"/>
        </w:trPr>
        <w:tc>
          <w:tcPr>
            <w:tcW w:w="6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42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Jenni A. Lee</w:t>
            </w:r>
          </w:p>
        </w:tc>
        <w:tc>
          <w:tcPr>
            <w:tcW w:w="3420" w:type="dxa"/>
            <w:vAlign w:val="bottom"/>
          </w:tcPr>
          <w:p>
            <w:pPr>
              <w:spacing w:after="0"/>
              <w:rPr>
                <w:sz w:val="11"/>
                <w:szCs w:val="11"/>
                <w:color w:val="auto"/>
              </w:rPr>
            </w:pPr>
          </w:p>
        </w:tc>
        <w:tc>
          <w:tcPr>
            <w:tcW w:w="3020" w:type="dxa"/>
            <w:vAlign w:val="bottom"/>
          </w:tcPr>
          <w:p>
            <w:pPr>
              <w:spacing w:after="0"/>
              <w:rPr>
                <w:sz w:val="11"/>
                <w:szCs w:val="11"/>
                <w:color w:val="auto"/>
              </w:rPr>
            </w:pPr>
          </w:p>
        </w:tc>
      </w:tr>
      <w:tr>
        <w:trPr>
          <w:trHeight w:val="144"/>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342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9/18/13</w:t>
            </w:r>
          </w:p>
        </w:tc>
        <w:tc>
          <w:tcPr>
            <w:tcW w:w="3420" w:type="dxa"/>
            <w:vAlign w:val="bottom"/>
          </w:tcPr>
          <w:p>
            <w:pPr>
              <w:spacing w:after="0"/>
              <w:rPr>
                <w:sz w:val="13"/>
                <w:szCs w:val="13"/>
                <w:color w:val="auto"/>
              </w:rPr>
            </w:pPr>
          </w:p>
        </w:tc>
        <w:tc>
          <w:tcPr>
            <w:tcW w:w="3020" w:type="dxa"/>
            <w:vAlign w:val="bottom"/>
          </w:tcPr>
          <w:p>
            <w:pPr>
              <w:spacing w:after="0"/>
              <w:rPr>
                <w:sz w:val="13"/>
                <w:szCs w:val="13"/>
                <w:color w:val="auto"/>
              </w:rPr>
            </w:pPr>
          </w:p>
        </w:tc>
      </w:tr>
    </w:tbl>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0"/>
          </w:cols>
          <w:pgMar w:left="300" w:top="525" w:right="29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2"/>
          <w:szCs w:val="12"/>
          <w:b w:val="1"/>
          <w:bCs w:val="1"/>
          <w:color w:val="auto"/>
        </w:rPr>
        <w:t>Exhibit 10.72</w:t>
      </w:r>
    </w:p>
    <w:p>
      <w:pPr>
        <w:spacing w:after="0" w:line="222" w:lineRule="exact"/>
        <w:rPr>
          <w:sz w:val="20"/>
          <w:szCs w:val="20"/>
          <w:color w:val="auto"/>
        </w:rPr>
      </w:pPr>
    </w:p>
    <w:p>
      <w:pPr>
        <w:ind w:left="8" w:hanging="8"/>
        <w:spacing w:after="0" w:line="286" w:lineRule="auto"/>
        <w:tabs>
          <w:tab w:leader="none" w:pos="220" w:val="left"/>
        </w:tabs>
        <w:numPr>
          <w:ilvl w:val="0"/>
          <w:numId w:val="1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07" w:lineRule="exact"/>
        <w:rPr>
          <w:sz w:val="20"/>
          <w:szCs w:val="20"/>
          <w:color w:val="auto"/>
        </w:rPr>
      </w:pPr>
    </w:p>
    <w:p>
      <w:pPr>
        <w:ind w:left="10668"/>
        <w:spacing w:after="0"/>
        <w:rPr>
          <w:sz w:val="20"/>
          <w:szCs w:val="20"/>
          <w:color w:val="auto"/>
        </w:rPr>
      </w:pPr>
      <w:r>
        <w:rPr>
          <w:rFonts w:ascii="Times New Roman" w:cs="Times New Roman" w:eastAsia="Times New Roman" w:hAnsi="Times New Roman"/>
          <w:sz w:val="12"/>
          <w:szCs w:val="12"/>
          <w:color w:val="auto"/>
        </w:rPr>
        <w:t>A.N.:130339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AMD_00105603.0</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54"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2"/>
          <w:szCs w:val="12"/>
          <w:color w:val="auto"/>
        </w:rPr>
        <w:t>Date of Amendment: December 10, 2013</w:t>
      </w:r>
    </w:p>
    <w:p>
      <w:pPr>
        <w:spacing w:after="0" w:line="150" w:lineRule="exact"/>
        <w:rPr>
          <w:sz w:val="20"/>
          <w:szCs w:val="20"/>
          <w:color w:val="auto"/>
        </w:rPr>
      </w:pPr>
    </w:p>
    <w:p>
      <w:pPr>
        <w:ind w:left="128" w:right="180"/>
        <w:spacing w:after="0" w:line="279"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dated as of March 18, 2000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by and between MSCI Inc. (formerly known as Morgan Stanley Capital International Inc.) (“MSCI”) and BlackRock Institutional Trust Company, N.A. (formerly known as Barclays Global Investors, N.A.) (“Licensee”).</w:t>
      </w:r>
    </w:p>
    <w:p>
      <w:pPr>
        <w:spacing w:after="0" w:line="111" w:lineRule="exact"/>
        <w:rPr>
          <w:sz w:val="20"/>
          <w:szCs w:val="20"/>
          <w:color w:val="auto"/>
        </w:rPr>
      </w:pPr>
    </w:p>
    <w:p>
      <w:pPr>
        <w:ind w:left="128" w:right="120"/>
        <w:spacing w:after="0" w:line="279" w:lineRule="auto"/>
        <w:rPr>
          <w:sz w:val="20"/>
          <w:szCs w:val="20"/>
          <w:color w:val="auto"/>
        </w:rPr>
      </w:pPr>
      <w:r>
        <w:rPr>
          <w:rFonts w:ascii="Times New Roman" w:cs="Times New Roman" w:eastAsia="Times New Roman" w:hAnsi="Times New Roman"/>
          <w:sz w:val="12"/>
          <w:szCs w:val="12"/>
          <w:color w:val="auto"/>
        </w:rPr>
        <w:t>The parties acknowledge that the Agreement was previously amended by, among other amendments, that certain Amendment dated as of July 1, 2011 (the “Previous Amendment”). This Amendment shall supplement and operate in conjunction with the Previous Amendment. Capitalized terms used but not defined in this Amendment shall have the meanings ascribed to them in the Agreement or the Previous Amendment, as the case may be.</w:t>
      </w:r>
    </w:p>
    <w:p>
      <w:pPr>
        <w:spacing w:after="0" w:line="39" w:lineRule="exact"/>
        <w:rPr>
          <w:sz w:val="20"/>
          <w:szCs w:val="20"/>
          <w:color w:val="auto"/>
        </w:rPr>
      </w:pPr>
    </w:p>
    <w:p>
      <w:pPr>
        <w:ind w:left="488" w:hanging="488"/>
        <w:spacing w:after="0"/>
        <w:tabs>
          <w:tab w:leader="none" w:pos="488"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78" w:lineRule="exact"/>
        <w:rPr>
          <w:rFonts w:ascii="Times New Roman" w:cs="Times New Roman" w:eastAsia="Times New Roman" w:hAnsi="Times New Roman"/>
          <w:sz w:val="12"/>
          <w:szCs w:val="12"/>
          <w:color w:val="auto"/>
        </w:rPr>
      </w:pPr>
    </w:p>
    <w:p>
      <w:pPr>
        <w:ind w:left="1728" w:hanging="360"/>
        <w:spacing w:after="0"/>
        <w:tabs>
          <w:tab w:leader="none" w:pos="1728"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Japan 100% Hedged to USD Index</w:t>
      </w:r>
    </w:p>
    <w:p>
      <w:pPr>
        <w:spacing w:after="0" w:line="78" w:lineRule="exact"/>
        <w:rPr>
          <w:rFonts w:ascii="Times New Roman" w:cs="Times New Roman" w:eastAsia="Times New Roman" w:hAnsi="Times New Roman"/>
          <w:sz w:val="12"/>
          <w:szCs w:val="12"/>
          <w:color w:val="auto"/>
        </w:rPr>
      </w:pPr>
    </w:p>
    <w:p>
      <w:pPr>
        <w:ind w:left="1728" w:hanging="360"/>
        <w:spacing w:after="0"/>
        <w:tabs>
          <w:tab w:leader="none" w:pos="1728"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Germany 100% Hedged to USD Index</w:t>
      </w:r>
    </w:p>
    <w:p>
      <w:pPr>
        <w:spacing w:after="0" w:line="78" w:lineRule="exact"/>
        <w:rPr>
          <w:rFonts w:ascii="Times New Roman" w:cs="Times New Roman" w:eastAsia="Times New Roman" w:hAnsi="Times New Roman"/>
          <w:sz w:val="12"/>
          <w:szCs w:val="12"/>
          <w:color w:val="auto"/>
        </w:rPr>
      </w:pPr>
    </w:p>
    <w:p>
      <w:pPr>
        <w:ind w:left="1728" w:hanging="360"/>
        <w:spacing w:after="0"/>
        <w:tabs>
          <w:tab w:leader="none" w:pos="1728"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EAFE 100% Hedged to USD Index</w:t>
      </w:r>
    </w:p>
    <w:p>
      <w:pPr>
        <w:spacing w:after="0" w:line="78"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78" w:lineRule="exact"/>
        <w:rPr>
          <w:sz w:val="20"/>
          <w:szCs w:val="20"/>
          <w:color w:val="auto"/>
        </w:rPr>
      </w:pPr>
    </w:p>
    <w:p>
      <w:pPr>
        <w:ind w:left="8"/>
        <w:spacing w:after="0"/>
        <w:tabs>
          <w:tab w:leader="none" w:pos="468"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2"/>
          <w:szCs w:val="12"/>
          <w:color w:val="auto"/>
        </w:rPr>
        <w:t>Licensee may use the Indexes set forth in Section 1 above solely with respect to the following Funds (each, a “Hedg</w:t>
      </w:r>
      <w:r>
        <w:rPr>
          <w:rFonts w:ascii="Times New Roman" w:cs="Times New Roman" w:eastAsia="Times New Roman" w:hAnsi="Times New Roman"/>
          <w:sz w:val="12"/>
          <w:szCs w:val="12"/>
          <w:u w:val="single" w:color="auto"/>
          <w:color w:val="auto"/>
        </w:rPr>
        <w:t>ed ETF</w:t>
      </w:r>
      <w:r>
        <w:rPr>
          <w:rFonts w:ascii="Times New Roman" w:cs="Times New Roman" w:eastAsia="Times New Roman" w:hAnsi="Times New Roman"/>
          <w:sz w:val="12"/>
          <w:szCs w:val="12"/>
          <w:color w:val="auto"/>
        </w:rPr>
        <w:t>” and each Hedged ETF shall also be a “Fund” as such term is defined in the Agreement):</w:t>
      </w:r>
    </w:p>
    <w:p>
      <w:pPr>
        <w:spacing w:after="0" w:line="78"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5880" w:type="dxa"/>
            <w:vAlign w:val="bottom"/>
          </w:tcPr>
          <w:p>
            <w:pPr>
              <w:jc w:val="center"/>
              <w:ind w:right="3520"/>
              <w:spacing w:after="0"/>
              <w:rPr>
                <w:sz w:val="20"/>
                <w:szCs w:val="20"/>
                <w:color w:val="auto"/>
              </w:rPr>
            </w:pPr>
            <w:r>
              <w:rPr>
                <w:rFonts w:ascii="Times New Roman" w:cs="Times New Roman" w:eastAsia="Times New Roman" w:hAnsi="Times New Roman"/>
                <w:sz w:val="12"/>
                <w:szCs w:val="12"/>
                <w:color w:val="auto"/>
                <w:w w:val="99"/>
              </w:rPr>
              <w:t>iShares Currency Hedged MSCI Japan ETF</w:t>
            </w:r>
          </w:p>
        </w:tc>
        <w:tc>
          <w:tcPr>
            <w:tcW w:w="1260" w:type="dxa"/>
            <w:vAlign w:val="bottom"/>
          </w:tcPr>
          <w:p>
            <w:pPr>
              <w:spacing w:after="0"/>
              <w:rPr>
                <w:sz w:val="13"/>
                <w:szCs w:val="13"/>
                <w:color w:val="auto"/>
              </w:rPr>
            </w:pPr>
          </w:p>
        </w:tc>
      </w:tr>
      <w:tr>
        <w:trPr>
          <w:trHeight w:val="216"/>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5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iShares Currency Hedged MSCI Germany ETF</w:t>
            </w:r>
          </w:p>
        </w:tc>
        <w:tc>
          <w:tcPr>
            <w:tcW w:w="12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5880" w:type="dxa"/>
            <w:vAlign w:val="bottom"/>
          </w:tcPr>
          <w:p>
            <w:pPr>
              <w:jc w:val="center"/>
              <w:ind w:right="3500"/>
              <w:spacing w:after="0"/>
              <w:rPr>
                <w:sz w:val="20"/>
                <w:szCs w:val="20"/>
                <w:color w:val="auto"/>
              </w:rPr>
            </w:pPr>
            <w:r>
              <w:rPr>
                <w:rFonts w:ascii="Times New Roman" w:cs="Times New Roman" w:eastAsia="Times New Roman" w:hAnsi="Times New Roman"/>
                <w:sz w:val="12"/>
                <w:szCs w:val="12"/>
                <w:color w:val="auto"/>
                <w:w w:val="99"/>
              </w:rPr>
              <w:t>iShares Currency Hedged MSCI EAFE ETF</w:t>
            </w:r>
          </w:p>
        </w:tc>
        <w:tc>
          <w:tcPr>
            <w:tcW w:w="12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tc>
        <w:tc>
          <w:tcPr>
            <w:tcW w:w="12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The Hedged ETF shall be exchange traded index funds listed on a national securities exchange located in the United States.</w:t>
            </w:r>
          </w:p>
        </w:tc>
        <w:tc>
          <w:tcPr>
            <w:tcW w:w="1260" w:type="dxa"/>
            <w:vAlign w:val="bottom"/>
          </w:tcPr>
          <w:p>
            <w:pPr>
              <w:spacing w:after="0"/>
              <w:rPr>
                <w:sz w:val="18"/>
                <w:szCs w:val="18"/>
                <w:color w:val="auto"/>
              </w:rPr>
            </w:pPr>
          </w:p>
        </w:tc>
      </w:tr>
      <w:tr>
        <w:trPr>
          <w:trHeight w:val="216"/>
        </w:trPr>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2"/>
              </w:rPr>
              <w:t>3.</w:t>
            </w:r>
          </w:p>
        </w:tc>
        <w:tc>
          <w:tcPr>
            <w:tcW w:w="722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Fees payable with respect to the Hedged ETF:</w:t>
            </w:r>
          </w:p>
        </w:tc>
        <w:tc>
          <w:tcPr>
            <w:tcW w:w="1260" w:type="dxa"/>
            <w:vAlign w:val="bottom"/>
          </w:tcPr>
          <w:p>
            <w:pPr>
              <w:spacing w:after="0"/>
              <w:rPr>
                <w:sz w:val="18"/>
                <w:szCs w:val="18"/>
                <w:color w:val="auto"/>
              </w:rPr>
            </w:pPr>
          </w:p>
        </w:tc>
      </w:tr>
      <w:tr>
        <w:trPr>
          <w:trHeight w:val="229"/>
        </w:trPr>
        <w:tc>
          <w:tcPr>
            <w:tcW w:w="28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w:t>
            </w:r>
          </w:p>
        </w:tc>
        <w:tc>
          <w:tcPr>
            <w:tcW w:w="96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Definitions:</w:t>
            </w:r>
          </w:p>
        </w:tc>
        <w:tc>
          <w:tcPr>
            <w:tcW w:w="58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As used in this Amendment, the following terms shall have the meanings set forth below:</w:t>
            </w:r>
          </w:p>
        </w:tc>
        <w:tc>
          <w:tcPr>
            <w:tcW w:w="1260" w:type="dxa"/>
            <w:vAlign w:val="bottom"/>
          </w:tcPr>
          <w:p>
            <w:pPr>
              <w:spacing w:after="0"/>
              <w:rPr>
                <w:sz w:val="20"/>
                <w:szCs w:val="20"/>
                <w:color w:val="auto"/>
              </w:rPr>
            </w:pPr>
          </w:p>
        </w:tc>
      </w:tr>
      <w:tr>
        <w:trPr>
          <w:trHeight w:val="212"/>
        </w:trPr>
        <w:tc>
          <w:tcPr>
            <w:tcW w:w="280" w:type="dxa"/>
            <w:vAlign w:val="bottom"/>
          </w:tcPr>
          <w:p>
            <w:pPr>
              <w:spacing w:after="0"/>
              <w:rPr>
                <w:sz w:val="18"/>
                <w:szCs w:val="18"/>
                <w:color w:val="auto"/>
              </w:rPr>
            </w:pPr>
          </w:p>
        </w:tc>
        <w:tc>
          <w:tcPr>
            <w:tcW w:w="722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 means, for each ***********, the corresponding *********** set forth in the following table:</w:t>
            </w:r>
          </w:p>
        </w:tc>
        <w:tc>
          <w:tcPr>
            <w:tcW w:w="1260" w:type="dxa"/>
            <w:vAlign w:val="bottom"/>
          </w:tcPr>
          <w:p>
            <w:pPr>
              <w:spacing w:after="0"/>
              <w:rPr>
                <w:sz w:val="18"/>
                <w:szCs w:val="18"/>
                <w:color w:val="auto"/>
              </w:rPr>
            </w:pPr>
          </w:p>
        </w:tc>
      </w:tr>
      <w:tr>
        <w:trPr>
          <w:trHeight w:val="432"/>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80" w:type="dxa"/>
            <w:vAlign w:val="bottom"/>
          </w:tcPr>
          <w:p>
            <w:pPr>
              <w:jc w:val="center"/>
              <w:ind w:right="35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16"/>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jc w:val="center"/>
              <w:ind w:right="35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16"/>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jc w:val="center"/>
              <w:ind w:right="35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16"/>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jc w:val="center"/>
              <w:ind w:right="35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37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“AUM” means, for any *********** or any ***********, *********** of such *********** or ***********. “***********” means, for each ***********, the *********** of such *********** that ***********.</w:t>
      </w:r>
    </w:p>
    <w:p>
      <w:pPr>
        <w:spacing w:after="0" w:line="15"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 means, for each ***********, the *********** of such ***********.</w:t>
      </w:r>
    </w:p>
    <w:p>
      <w:pPr>
        <w:ind w:left="568"/>
        <w:spacing w:after="0"/>
        <w:rPr>
          <w:sz w:val="20"/>
          <w:szCs w:val="20"/>
          <w:color w:val="auto"/>
        </w:rPr>
      </w:pPr>
      <w:r>
        <w:rPr>
          <w:rFonts w:ascii="Times New Roman" w:cs="Times New Roman" w:eastAsia="Times New Roman" w:hAnsi="Times New Roman"/>
          <w:sz w:val="12"/>
          <w:szCs w:val="12"/>
          <w:color w:val="auto"/>
        </w:rPr>
        <w:t>For the avoidance of doubt, the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89470" cy="11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81" w:name="page182"/>
    <w:bookmarkEnd w:id="181"/>
    <w:p>
      <w:pPr>
        <w:ind w:left="988" w:hanging="493"/>
        <w:spacing w:after="0"/>
        <w:tabs>
          <w:tab w:leader="none" w:pos="988"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Calculation of Fees:</w:t>
      </w:r>
    </w:p>
    <w:p>
      <w:pPr>
        <w:spacing w:after="0" w:line="76" w:lineRule="exact"/>
        <w:rPr>
          <w:sz w:val="20"/>
          <w:szCs w:val="20"/>
          <w:color w:val="auto"/>
        </w:rPr>
      </w:pPr>
    </w:p>
    <w:p>
      <w:pPr>
        <w:ind w:left="568" w:right="4820"/>
        <w:spacing w:after="0" w:line="279" w:lineRule="auto"/>
        <w:rPr>
          <w:sz w:val="20"/>
          <w:szCs w:val="20"/>
          <w:color w:val="auto"/>
        </w:rPr>
      </w:pPr>
      <w:r>
        <w:rPr>
          <w:rFonts w:ascii="Times New Roman" w:cs="Times New Roman" w:eastAsia="Times New Roman" w:hAnsi="Times New Roman"/>
          <w:sz w:val="12"/>
          <w:szCs w:val="12"/>
          <w:color w:val="auto"/>
        </w:rPr>
        <w:t>For each ***********, Licensee shall pay *********** to MSCI. Such *********** shall be determined with reference ***********. Specifically, the ***********.</w:t>
      </w:r>
    </w:p>
    <w:p>
      <w:pPr>
        <w:spacing w:after="0" w:line="39"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Except for the ***********, ***********. All fees with respect to the ***********.</w:t>
      </w:r>
    </w:p>
    <w:p>
      <w:pPr>
        <w:spacing w:after="0" w:line="78"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For the avoidance of doubt, ***********. By way of explanation, the parties believe that, because ***********.</w:t>
      </w:r>
    </w:p>
    <w:p>
      <w:pPr>
        <w:spacing w:after="0" w:line="78"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The parties acknowledge and agree that the *********** of each *********** shall be used for purposes of ***********.</w:t>
      </w:r>
    </w:p>
    <w:p>
      <w:pPr>
        <w:spacing w:after="0" w:line="78" w:lineRule="exact"/>
        <w:rPr>
          <w:sz w:val="20"/>
          <w:szCs w:val="20"/>
          <w:color w:val="auto"/>
        </w:rPr>
      </w:pPr>
    </w:p>
    <w:p>
      <w:pPr>
        <w:ind w:left="568"/>
        <w:spacing w:after="0" w:line="259" w:lineRule="auto"/>
        <w:rPr>
          <w:sz w:val="20"/>
          <w:szCs w:val="20"/>
          <w:color w:val="auto"/>
        </w:rPr>
      </w:pPr>
      <w:r>
        <w:rPr>
          <w:rFonts w:ascii="Times New Roman" w:cs="Times New Roman" w:eastAsia="Times New Roman" w:hAnsi="Times New Roman"/>
          <w:sz w:val="12"/>
          <w:szCs w:val="12"/>
          <w:color w:val="auto"/>
        </w:rPr>
        <w:t>If the ***********, or if any *********** or any successor Amendment for any reason in ***********, then, notwithstanding anything to the contrary in this Amendment, from the date of such occurrence, Licensee shall pay ***********. If any</w:t>
      </w:r>
    </w:p>
    <w:p>
      <w:pPr>
        <w:spacing w:after="0" w:line="1" w:lineRule="exact"/>
        <w:rPr>
          <w:sz w:val="20"/>
          <w:szCs w:val="20"/>
          <w:color w:val="auto"/>
        </w:rPr>
      </w:pPr>
    </w:p>
    <w:p>
      <w:pPr>
        <w:ind w:left="568" w:right="4920"/>
        <w:spacing w:after="0" w:line="260" w:lineRule="auto"/>
        <w:rPr>
          <w:sz w:val="20"/>
          <w:szCs w:val="20"/>
          <w:color w:val="auto"/>
        </w:rPr>
      </w:pPr>
      <w:r>
        <w:rPr>
          <w:rFonts w:ascii="Times New Roman" w:cs="Times New Roman" w:eastAsia="Times New Roman" w:hAnsi="Times New Roman"/>
          <w:sz w:val="12"/>
          <w:szCs w:val="12"/>
          <w:color w:val="auto"/>
        </w:rPr>
        <w:t>***********, the license fee for such ***********. For purposes of clarity, if ***********, but the ***********, the ***********, as set forth above, shall ***********.</w:t>
      </w:r>
    </w:p>
    <w:p>
      <w:pPr>
        <w:spacing w:after="0" w:line="50" w:lineRule="exact"/>
        <w:rPr>
          <w:sz w:val="20"/>
          <w:szCs w:val="20"/>
          <w:color w:val="auto"/>
        </w:rPr>
      </w:pPr>
    </w:p>
    <w:p>
      <w:pPr>
        <w:ind w:left="988" w:hanging="493"/>
        <w:spacing w:after="0"/>
        <w:tabs>
          <w:tab w:leader="none" w:pos="988"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Reporting</w:t>
      </w:r>
    </w:p>
    <w:p>
      <w:pPr>
        <w:spacing w:after="0" w:line="76" w:lineRule="exact"/>
        <w:rPr>
          <w:sz w:val="20"/>
          <w:szCs w:val="20"/>
          <w:color w:val="auto"/>
        </w:rPr>
      </w:pPr>
    </w:p>
    <w:p>
      <w:pPr>
        <w:ind w:left="568"/>
        <w:spacing w:after="0" w:line="265" w:lineRule="auto"/>
        <w:rPr>
          <w:sz w:val="20"/>
          <w:szCs w:val="20"/>
          <w:color w:val="auto"/>
        </w:rPr>
      </w:pPr>
      <w:r>
        <w:rPr>
          <w:rFonts w:ascii="Times New Roman" w:cs="Times New Roman" w:eastAsia="Times New Roman" w:hAnsi="Times New Roman"/>
          <w:sz w:val="12"/>
          <w:szCs w:val="12"/>
          <w:color w:val="auto"/>
        </w:rPr>
        <w:t>On a *********** basis, Licensee shall report to MSCI (i) the ***********, the ***********, the *********** and the*********** of each *********** separately and (ii) the *********** of each *********** separately. For the avoidance of doubt, if the *********** or the *********** of any *********** is any day other than the first day or last day (respectively) of ***********, then, in order to align any relevant payment schedule with the ***********, the ***********-based fees shall be pro-rated.</w:t>
      </w:r>
    </w:p>
    <w:p>
      <w:pPr>
        <w:spacing w:after="0" w:line="47" w:lineRule="exact"/>
        <w:rPr>
          <w:sz w:val="20"/>
          <w:szCs w:val="20"/>
          <w:color w:val="auto"/>
        </w:rPr>
      </w:pPr>
    </w:p>
    <w:p>
      <w:pPr>
        <w:ind w:left="428" w:hanging="428"/>
        <w:spacing w:after="0"/>
        <w:tabs>
          <w:tab w:leader="none" w:pos="428"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78" w:lineRule="exact"/>
        <w:rPr>
          <w:sz w:val="20"/>
          <w:szCs w:val="20"/>
          <w:color w:val="auto"/>
        </w:rPr>
      </w:pPr>
    </w:p>
    <w:p>
      <w:pPr>
        <w:ind w:left="8" w:right="460" w:hanging="8"/>
        <w:spacing w:after="0" w:line="279" w:lineRule="auto"/>
        <w:tabs>
          <w:tab w:leader="none" w:pos="523"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or the Previous Amendment, this Amendment shall control. No right or license of any kind is granted to Licensee except as expressly provided in the Agreement, the Previous Amendment and this Amendment.</w:t>
      </w:r>
    </w:p>
    <w:p>
      <w:pPr>
        <w:spacing w:after="0" w:line="39" w:lineRule="exact"/>
        <w:rPr>
          <w:rFonts w:ascii="Times New Roman" w:cs="Times New Roman" w:eastAsia="Times New Roman" w:hAnsi="Times New Roman"/>
          <w:sz w:val="12"/>
          <w:szCs w:val="12"/>
          <w:color w:val="auto"/>
        </w:rPr>
      </w:pPr>
    </w:p>
    <w:p>
      <w:pPr>
        <w:ind w:left="528" w:hanging="528"/>
        <w:spacing w:after="0"/>
        <w:tabs>
          <w:tab w:leader="none" w:pos="528"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any one or more of the Indexes set forth in Section 1 if, within one (1)year of the date of this Amendment, Licensee does not list a *********** that is based on such</w:t>
      </w:r>
    </w:p>
    <w:p>
      <w:pPr>
        <w:spacing w:after="0" w:line="1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Indexes.</w:t>
      </w:r>
    </w:p>
    <w:p>
      <w:pPr>
        <w:spacing w:after="0" w:line="67"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 any *********** or changes the *********** for such ***********, Licensee’s right to use the relevant Index set forth in Section 1 with respect to such *********** shall ***********.</w:t>
      </w:r>
    </w:p>
    <w:p>
      <w:pPr>
        <w:spacing w:after="0" w:line="78" w:lineRule="exact"/>
        <w:rPr>
          <w:rFonts w:ascii="Times New Roman" w:cs="Times New Roman" w:eastAsia="Times New Roman" w:hAnsi="Times New Roman"/>
          <w:sz w:val="12"/>
          <w:szCs w:val="12"/>
          <w:color w:val="auto"/>
        </w:rPr>
      </w:pPr>
    </w:p>
    <w:p>
      <w:pPr>
        <w:ind w:left="528" w:hanging="528"/>
        <w:spacing w:after="0"/>
        <w:tabs>
          <w:tab w:leader="none" w:pos="528"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0" w:lineRule="exact"/>
        <w:rPr>
          <w:sz w:val="20"/>
          <w:szCs w:val="20"/>
          <w:color w:val="auto"/>
        </w:rPr>
      </w:pPr>
    </w:p>
    <w:tbl>
      <w:tblPr>
        <w:tblLayout w:type="fixed"/>
        <w:tblInd w:w="68" w:type="dxa"/>
        <w:tblCellMar>
          <w:top w:w="0" w:type="dxa"/>
          <w:left w:w="0" w:type="dxa"/>
          <w:bottom w:w="0" w:type="dxa"/>
          <w:right w:w="0" w:type="dxa"/>
        </w:tblCellMar>
      </w:tblPr>
      <w:tr>
        <w:trPr>
          <w:trHeight w:val="155"/>
        </w:trPr>
        <w:tc>
          <w:tcPr>
            <w:tcW w:w="5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20" w:type="dxa"/>
            <w:vAlign w:val="bottom"/>
          </w:tcPr>
          <w:p>
            <w:pPr>
              <w:spacing w:after="0"/>
              <w:rPr>
                <w:sz w:val="13"/>
                <w:szCs w:val="13"/>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MSCI INC.</w:t>
            </w:r>
          </w:p>
        </w:tc>
        <w:tc>
          <w:tcPr>
            <w:tcW w:w="4600" w:type="dxa"/>
            <w:vAlign w:val="bottom"/>
          </w:tcPr>
          <w:p>
            <w:pPr>
              <w:spacing w:after="0"/>
              <w:rPr>
                <w:sz w:val="13"/>
                <w:szCs w:val="13"/>
                <w:color w:val="auto"/>
              </w:rPr>
            </w:pPr>
          </w:p>
        </w:tc>
      </w:t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/s/ Timothy M. Meyer</w:t>
            </w:r>
          </w:p>
        </w:tc>
        <w:tc>
          <w:tcPr>
            <w:tcW w:w="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/s/ David Kinzelberg</w:t>
            </w:r>
          </w:p>
        </w:tc>
      </w:tr>
      <w:tr>
        <w:trPr>
          <w:trHeight w:val="122"/>
        </w:trPr>
        <w:tc>
          <w:tcPr>
            <w:tcW w:w="7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40" w:type="dxa"/>
            <w:vAlign w:val="bottom"/>
          </w:tcPr>
          <w:p>
            <w:pPr>
              <w:spacing w:after="0"/>
              <w:rPr>
                <w:sz w:val="10"/>
                <w:szCs w:val="10"/>
                <w:color w:val="auto"/>
              </w:rPr>
            </w:pPr>
          </w:p>
        </w:tc>
        <w:tc>
          <w:tcPr>
            <w:tcW w:w="40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Timothy M. Meyer</w:t>
            </w:r>
          </w:p>
        </w:tc>
        <w:tc>
          <w:tcPr>
            <w:tcW w:w="20" w:type="dxa"/>
            <w:vAlign w:val="bottom"/>
          </w:tcPr>
          <w:p>
            <w:pPr>
              <w:spacing w:after="0"/>
              <w:rPr>
                <w:sz w:val="10"/>
                <w:szCs w:val="10"/>
                <w:color w:val="auto"/>
              </w:rPr>
            </w:pPr>
          </w:p>
        </w:tc>
        <w:tc>
          <w:tcPr>
            <w:tcW w:w="138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6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David Kinzelberg</w:t>
            </w:r>
          </w:p>
        </w:tc>
      </w:tr>
      <w:tr>
        <w:trPr>
          <w:trHeight w:val="144"/>
        </w:trPr>
        <w:tc>
          <w:tcPr>
            <w:tcW w:w="720" w:type="dxa"/>
            <w:vAlign w:val="bottom"/>
          </w:tcPr>
          <w:p>
            <w:pPr>
              <w:spacing w:after="0"/>
              <w:rPr>
                <w:sz w:val="12"/>
                <w:szCs w:val="12"/>
                <w:color w:val="auto"/>
              </w:rPr>
            </w:pP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(printed)</w:t>
            </w: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(printed)</w:t>
            </w:r>
          </w:p>
        </w:tc>
      </w:tr>
      <w:tr>
        <w:trPr>
          <w:trHeight w:val="144"/>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M. Director</w:t>
            </w:r>
          </w:p>
        </w:tc>
        <w:tc>
          <w:tcPr>
            <w:tcW w:w="20" w:type="dxa"/>
            <w:vAlign w:val="bottom"/>
          </w:tcPr>
          <w:p>
            <w:pPr>
              <w:spacing w:after="0"/>
              <w:rPr>
                <w:sz w:val="12"/>
                <w:szCs w:val="12"/>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155"/>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12/10/13</w:t>
            </w:r>
          </w:p>
        </w:tc>
        <w:tc>
          <w:tcPr>
            <w:tcW w:w="20" w:type="dxa"/>
            <w:vAlign w:val="bottom"/>
          </w:tcPr>
          <w:p>
            <w:pPr>
              <w:spacing w:after="0"/>
              <w:rPr>
                <w:sz w:val="13"/>
                <w:szCs w:val="13"/>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Date</w:t>
            </w:r>
          </w:p>
        </w:tc>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Jan 14, 2014</w:t>
            </w:r>
          </w:p>
        </w:tc>
      </w:tr>
      <w:tr>
        <w:trPr>
          <w:trHeight w:val="288"/>
        </w:trPr>
        <w:tc>
          <w:tcPr>
            <w:tcW w:w="5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4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Jenni A. Lee</w:t>
            </w:r>
          </w:p>
        </w:tc>
        <w:tc>
          <w:tcPr>
            <w:tcW w:w="2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122"/>
        </w:trPr>
        <w:tc>
          <w:tcPr>
            <w:tcW w:w="7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40" w:type="dxa"/>
            <w:vAlign w:val="bottom"/>
          </w:tcPr>
          <w:p>
            <w:pPr>
              <w:spacing w:after="0"/>
              <w:rPr>
                <w:sz w:val="10"/>
                <w:szCs w:val="10"/>
                <w:color w:val="auto"/>
              </w:rPr>
            </w:pPr>
          </w:p>
        </w:tc>
        <w:tc>
          <w:tcPr>
            <w:tcW w:w="40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Jenni A. Lee</w:t>
            </w: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600" w:type="dxa"/>
            <w:vAlign w:val="bottom"/>
          </w:tcPr>
          <w:p>
            <w:pPr>
              <w:spacing w:after="0"/>
              <w:rPr>
                <w:sz w:val="10"/>
                <w:szCs w:val="10"/>
                <w:color w:val="auto"/>
              </w:rPr>
            </w:pPr>
          </w:p>
        </w:tc>
      </w:tr>
      <w:tr>
        <w:trPr>
          <w:trHeight w:val="144"/>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(printed)</w:t>
            </w: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144"/>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155"/>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12/10/13</w:t>
            </w: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r>
    </w:tbl>
    <w:p>
      <w:pPr>
        <w:sectPr>
          <w:pgSz w:w="11900" w:h="16838" w:orient="portrait"/>
          <w:cols w:equalWidth="0" w:num="1">
            <w:col w:w="11248"/>
          </w:cols>
          <w:pgMar w:left="292" w:top="471" w:right="35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2"/>
          <w:szCs w:val="12"/>
          <w:b w:val="1"/>
          <w:bCs w:val="1"/>
          <w:color w:val="auto"/>
        </w:rPr>
        <w:t>Exhibit 10.73</w:t>
      </w:r>
    </w:p>
    <w:p>
      <w:pPr>
        <w:spacing w:after="0" w:line="123" w:lineRule="exact"/>
        <w:rPr>
          <w:sz w:val="20"/>
          <w:szCs w:val="20"/>
          <w:color w:val="auto"/>
        </w:rPr>
      </w:pPr>
    </w:p>
    <w:p>
      <w:pPr>
        <w:ind w:left="8" w:hanging="8"/>
        <w:spacing w:after="0" w:line="286" w:lineRule="auto"/>
        <w:tabs>
          <w:tab w:leader="none" w:pos="220" w:val="left"/>
        </w:tabs>
        <w:numPr>
          <w:ilvl w:val="0"/>
          <w:numId w:val="1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A.N.:130339 AMD_00118162.0</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December 16, 2013</w:t>
      </w:r>
    </w:p>
    <w:p>
      <w:pPr>
        <w:spacing w:after="0" w:line="132" w:lineRule="exact"/>
        <w:rPr>
          <w:sz w:val="20"/>
          <w:szCs w:val="20"/>
          <w:color w:val="auto"/>
        </w:rPr>
      </w:pPr>
    </w:p>
    <w:p>
      <w:pPr>
        <w:ind w:left="8" w:right="40"/>
        <w:spacing w:after="0" w:line="265" w:lineRule="auto"/>
        <w:rPr>
          <w:sz w:val="20"/>
          <w:szCs w:val="20"/>
          <w:color w:val="auto"/>
        </w:rPr>
      </w:pPr>
      <w:r>
        <w:rPr>
          <w:rFonts w:ascii="Times New Roman" w:cs="Times New Roman" w:eastAsia="Times New Roman" w:hAnsi="Times New Roman"/>
          <w:sz w:val="12"/>
          <w:szCs w:val="12"/>
          <w:color w:val="auto"/>
        </w:rPr>
        <w:t>AMENDMENT (this “A</w:t>
      </w:r>
      <w:r>
        <w:rPr>
          <w:rFonts w:ascii="Times New Roman" w:cs="Times New Roman" w:eastAsia="Times New Roman" w:hAnsi="Times New Roman"/>
          <w:sz w:val="12"/>
          <w:szCs w:val="12"/>
          <w:u w:val="single" w:color="auto"/>
          <w:color w:val="auto"/>
        </w:rPr>
        <w:t>mendment</w:t>
      </w:r>
      <w:r>
        <w:rPr>
          <w:rFonts w:ascii="Times New Roman" w:cs="Times New Roman" w:eastAsia="Times New Roman" w:hAnsi="Times New Roman"/>
          <w:sz w:val="12"/>
          <w:szCs w:val="12"/>
          <w:color w:val="auto"/>
        </w:rPr>
        <w:t>”) to the Index License Agreement for Funds (MSCI reference number 1Xif’_00040) dated as of March 18, 2000 (as previously amended,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by and between MSCI Inc. (formerly known as Morgan Stanley Capital International Inc.) (“MSCI”) and BlackRock Institutional Trust Company, N.A. (formerly known as Barclays Global Investors, N.A.) (“Licensee”). Capitalized terms used herein but not defined herein shall have the meanings ascribed to them in the Agreement.</w:t>
      </w:r>
    </w:p>
    <w:p>
      <w:pPr>
        <w:spacing w:after="0" w:line="92" w:lineRule="exact"/>
        <w:rPr>
          <w:sz w:val="20"/>
          <w:szCs w:val="20"/>
          <w:color w:val="auto"/>
        </w:rPr>
      </w:pPr>
    </w:p>
    <w:p>
      <w:pPr>
        <w:ind w:left="728" w:hanging="368"/>
        <w:spacing w:after="0"/>
        <w:tabs>
          <w:tab w:leader="none" w:pos="728"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132" w:lineRule="exact"/>
        <w:rPr>
          <w:rFonts w:ascii="Times New Roman" w:cs="Times New Roman" w:eastAsia="Times New Roman" w:hAnsi="Times New Roman"/>
          <w:sz w:val="12"/>
          <w:szCs w:val="12"/>
          <w:color w:val="auto"/>
        </w:rPr>
      </w:pPr>
    </w:p>
    <w:p>
      <w:pPr>
        <w:ind w:left="1088" w:hanging="359"/>
        <w:spacing w:after="0"/>
        <w:tabs>
          <w:tab w:leader="none" w:pos="1088"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World ex USA with EM Exposure Index</w:t>
      </w:r>
    </w:p>
    <w:p>
      <w:pPr>
        <w:spacing w:after="0" w:line="16" w:lineRule="exact"/>
        <w:rPr>
          <w:rFonts w:ascii="Times New Roman" w:cs="Times New Roman" w:eastAsia="Times New Roman" w:hAnsi="Times New Roman"/>
          <w:sz w:val="12"/>
          <w:szCs w:val="12"/>
          <w:color w:val="auto"/>
        </w:rPr>
      </w:pPr>
    </w:p>
    <w:p>
      <w:pPr>
        <w:ind w:left="1088" w:hanging="359"/>
        <w:spacing w:after="0"/>
        <w:tabs>
          <w:tab w:leader="none" w:pos="1088"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with EM Exposure Index</w:t>
      </w:r>
    </w:p>
    <w:p>
      <w:pPr>
        <w:spacing w:after="0" w:line="6" w:lineRule="exact"/>
        <w:rPr>
          <w:rFonts w:ascii="Times New Roman" w:cs="Times New Roman" w:eastAsia="Times New Roman" w:hAnsi="Times New Roman"/>
          <w:sz w:val="12"/>
          <w:szCs w:val="12"/>
          <w:color w:val="auto"/>
        </w:rPr>
      </w:pPr>
    </w:p>
    <w:p>
      <w:pPr>
        <w:ind w:left="1088" w:hanging="359"/>
        <w:spacing w:after="0"/>
        <w:tabs>
          <w:tab w:leader="none" w:pos="1088"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ACWI with EM Exposure Index</w:t>
      </w:r>
    </w:p>
    <w:p>
      <w:pPr>
        <w:spacing w:after="0" w:line="112"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23" w:lineRule="exact"/>
        <w:rPr>
          <w:sz w:val="20"/>
          <w:szCs w:val="20"/>
          <w:color w:val="auto"/>
        </w:rPr>
      </w:pPr>
    </w:p>
    <w:p>
      <w:pPr>
        <w:ind w:left="728" w:right="60" w:hanging="368"/>
        <w:spacing w:after="0" w:line="279" w:lineRule="auto"/>
        <w:tabs>
          <w:tab w:leader="none" w:pos="728"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Indexes set forth in Section 1 above solely with respect to the following Funds (each, an “Economic Exposure ETF” and each Economic Exposure ETF shall also be a “Fund” as such term is defined in the Agreement):</w:t>
      </w:r>
    </w:p>
    <w:p>
      <w:pPr>
        <w:spacing w:after="0" w:line="84" w:lineRule="exact"/>
        <w:rPr>
          <w:rFonts w:ascii="Times New Roman" w:cs="Times New Roman" w:eastAsia="Times New Roman" w:hAnsi="Times New Roman"/>
          <w:sz w:val="12"/>
          <w:szCs w:val="12"/>
          <w:color w:val="auto"/>
        </w:rPr>
      </w:pPr>
    </w:p>
    <w:p>
      <w:pPr>
        <w:ind w:left="1088" w:hanging="359"/>
        <w:spacing w:after="0"/>
        <w:tabs>
          <w:tab w:leader="none" w:pos="1088"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ACWI with EM Exposure ETF</w:t>
      </w:r>
    </w:p>
    <w:p>
      <w:pPr>
        <w:spacing w:after="0" w:line="16" w:lineRule="exact"/>
        <w:rPr>
          <w:rFonts w:ascii="Times New Roman" w:cs="Times New Roman" w:eastAsia="Times New Roman" w:hAnsi="Times New Roman"/>
          <w:sz w:val="12"/>
          <w:szCs w:val="12"/>
          <w:color w:val="auto"/>
        </w:rPr>
      </w:pPr>
    </w:p>
    <w:p>
      <w:pPr>
        <w:ind w:left="1088" w:hanging="359"/>
        <w:spacing w:after="0"/>
        <w:tabs>
          <w:tab w:leader="none" w:pos="1088"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World ex USA with EM Exposure ETF</w:t>
      </w:r>
    </w:p>
    <w:p>
      <w:pPr>
        <w:spacing w:after="0" w:line="6" w:lineRule="exact"/>
        <w:rPr>
          <w:rFonts w:ascii="Times New Roman" w:cs="Times New Roman" w:eastAsia="Times New Roman" w:hAnsi="Times New Roman"/>
          <w:sz w:val="12"/>
          <w:szCs w:val="12"/>
          <w:color w:val="auto"/>
        </w:rPr>
      </w:pPr>
    </w:p>
    <w:p>
      <w:pPr>
        <w:ind w:left="1088" w:hanging="359"/>
        <w:spacing w:after="0"/>
        <w:tabs>
          <w:tab w:leader="none" w:pos="1088"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USA with EM Exposure ETF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-452755</wp:posOffset>
            </wp:positionV>
            <wp:extent cx="45720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0">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92"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32"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rPr>
        <w:t>The Economic Exposure ETF shall be exchange traded index funds listed on a national securities exchange located in the United States.</w:t>
      </w:r>
    </w:p>
    <w:p>
      <w:pPr>
        <w:spacing w:after="0" w:line="123" w:lineRule="exact"/>
        <w:rPr>
          <w:sz w:val="20"/>
          <w:szCs w:val="20"/>
          <w:color w:val="auto"/>
        </w:rPr>
      </w:pPr>
    </w:p>
    <w:p>
      <w:pPr>
        <w:ind w:left="728" w:hanging="368"/>
        <w:spacing w:after="0"/>
        <w:tabs>
          <w:tab w:leader="none" w:pos="728"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a license fee per Fund based on each Fund’s ***********. The *********** license fee shall be calculated ***********, ***********:</w:t>
      </w:r>
    </w:p>
    <w:p>
      <w:pPr>
        <w:spacing w:after="0" w:line="128"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1"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shall mean the *********** obtained when dividing (i) ***********.</w:t>
      </w:r>
    </w:p>
    <w:p>
      <w:pPr>
        <w:spacing w:after="0" w:line="132" w:lineRule="exact"/>
        <w:rPr>
          <w:sz w:val="20"/>
          <w:szCs w:val="20"/>
          <w:color w:val="auto"/>
        </w:rPr>
      </w:pPr>
    </w:p>
    <w:p>
      <w:pPr>
        <w:ind w:left="728" w:right="80"/>
        <w:spacing w:after="0" w:line="279" w:lineRule="auto"/>
        <w:rPr>
          <w:sz w:val="20"/>
          <w:szCs w:val="20"/>
          <w:color w:val="auto"/>
        </w:rPr>
      </w:pPr>
      <w:r>
        <w:rPr>
          <w:rFonts w:ascii="Times New Roman" w:cs="Times New Roman" w:eastAsia="Times New Roman" w:hAnsi="Times New Roman"/>
          <w:sz w:val="12"/>
          <w:szCs w:val="12"/>
          <w:color w:val="auto"/>
        </w:rPr>
        <w:t>Notwithstanding anything to the contrary contained herein, if any Fund *********** or if a Fund’s *********** or if a Fund has *********** of ***********, the *********** licensee fee for such Fund shall equal ***********.</w:t>
      </w:r>
    </w:p>
    <w:p>
      <w:pPr>
        <w:spacing w:after="0" w:line="84" w:lineRule="exact"/>
        <w:rPr>
          <w:sz w:val="20"/>
          <w:szCs w:val="20"/>
          <w:color w:val="auto"/>
        </w:rPr>
      </w:pPr>
    </w:p>
    <w:p>
      <w:pPr>
        <w:ind w:left="728" w:hanging="368"/>
        <w:spacing w:after="0"/>
        <w:tabs>
          <w:tab w:leader="none" w:pos="728"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32" w:lineRule="exact"/>
        <w:rPr>
          <w:sz w:val="20"/>
          <w:szCs w:val="20"/>
          <w:color w:val="auto"/>
        </w:rPr>
      </w:pPr>
    </w:p>
    <w:p>
      <w:pPr>
        <w:ind w:left="728" w:hanging="368"/>
        <w:spacing w:after="0"/>
        <w:tabs>
          <w:tab w:leader="none" w:pos="728"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this Amendment shall control. No right or license of any kind is granted to Licensee except as expressly provided in the Agreement and this Amendment.</w:t>
      </w:r>
    </w:p>
    <w:p>
      <w:pPr>
        <w:spacing w:after="0" w:line="123" w:lineRule="exact"/>
        <w:rPr>
          <w:rFonts w:ascii="Times New Roman" w:cs="Times New Roman" w:eastAsia="Times New Roman" w:hAnsi="Times New Roman"/>
          <w:sz w:val="12"/>
          <w:szCs w:val="12"/>
          <w:color w:val="auto"/>
        </w:rPr>
      </w:pPr>
    </w:p>
    <w:p>
      <w:pPr>
        <w:ind w:left="728" w:right="180" w:hanging="368"/>
        <w:spacing w:after="0" w:line="279" w:lineRule="auto"/>
        <w:tabs>
          <w:tab w:leader="none" w:pos="728"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any one or more of the Indexes set forth in Section 1 if, within one (1) year of the date of this Amendment, Licensee does not list an *********** that is based on such Indexes.</w:t>
      </w:r>
    </w:p>
    <w:p>
      <w:pPr>
        <w:spacing w:after="0" w:line="84" w:lineRule="exact"/>
        <w:rPr>
          <w:rFonts w:ascii="Times New Roman" w:cs="Times New Roman" w:eastAsia="Times New Roman" w:hAnsi="Times New Roman"/>
          <w:sz w:val="12"/>
          <w:szCs w:val="12"/>
          <w:color w:val="auto"/>
        </w:rPr>
      </w:pPr>
    </w:p>
    <w:p>
      <w:pPr>
        <w:ind w:left="728" w:right="460" w:hanging="368"/>
        <w:spacing w:after="0" w:line="279" w:lineRule="auto"/>
        <w:tabs>
          <w:tab w:leader="none" w:pos="728"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 any Economic Exposure ETF or changes *********** for such Economic Exposure ETF, Licensee’s right to use the relevant Index set forth in Section 1 with respect to such Economic Exposure ETF shall ***********.</w:t>
      </w:r>
    </w:p>
    <w:p>
      <w:pPr>
        <w:spacing w:after="0" w:line="84"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55"/>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1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88"/>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MSCI INC</w:t>
            </w:r>
          </w:p>
        </w:tc>
        <w:tc>
          <w:tcPr>
            <w:tcW w:w="3520" w:type="dxa"/>
            <w:vAlign w:val="bottom"/>
          </w:tcPr>
          <w:p>
            <w:pPr>
              <w:spacing w:after="0"/>
              <w:rPr>
                <w:sz w:val="24"/>
                <w:szCs w:val="24"/>
                <w:color w:val="auto"/>
              </w:rPr>
            </w:pPr>
          </w:p>
        </w:tc>
      </w:tr>
      <w:tr>
        <w:trPr>
          <w:trHeight w:val="288"/>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By</w:t>
            </w:r>
          </w:p>
        </w:tc>
        <w:tc>
          <w:tcPr>
            <w:tcW w:w="3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/s/ Timothy M. Meyer</w:t>
            </w:r>
          </w:p>
        </w:tc>
        <w:tc>
          <w:tcPr>
            <w:tcW w:w="19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By</w:t>
            </w:r>
          </w:p>
        </w:tc>
        <w:tc>
          <w:tcPr>
            <w:tcW w:w="3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David Kinzelberg</w:t>
            </w:r>
          </w:p>
        </w:tc>
      </w:tr>
      <w:tr>
        <w:trPr>
          <w:trHeight w:val="122"/>
        </w:trPr>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740" w:type="dxa"/>
            <w:vAlign w:val="bottom"/>
          </w:tcPr>
          <w:p>
            <w:pPr>
              <w:ind w:left="160"/>
              <w:spacing w:after="0" w:line="122" w:lineRule="exact"/>
              <w:rPr>
                <w:sz w:val="20"/>
                <w:szCs w:val="20"/>
                <w:color w:val="auto"/>
              </w:rPr>
            </w:pPr>
            <w:r>
              <w:rPr>
                <w:rFonts w:ascii="Times New Roman" w:cs="Times New Roman" w:eastAsia="Times New Roman" w:hAnsi="Times New Roman"/>
                <w:sz w:val="12"/>
                <w:szCs w:val="12"/>
                <w:color w:val="auto"/>
              </w:rPr>
              <w:t>Timothy M. Meyer</w:t>
            </w:r>
          </w:p>
        </w:tc>
        <w:tc>
          <w:tcPr>
            <w:tcW w:w="1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52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David Kinzelberg</w:t>
            </w:r>
          </w:p>
        </w:tc>
      </w:tr>
      <w:tr>
        <w:trPr>
          <w:trHeight w:val="144"/>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 Director</w:t>
            </w: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155"/>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12/10/13</w:t>
            </w:r>
          </w:p>
        </w:tc>
        <w:tc>
          <w:tcPr>
            <w:tcW w:w="1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Jan 14, 2014</w:t>
            </w:r>
          </w:p>
        </w:tc>
      </w:tr>
      <w:tr>
        <w:trPr>
          <w:trHeight w:val="288"/>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Institutional Trust Company, N.A</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88"/>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By</w:t>
            </w:r>
          </w:p>
        </w:tc>
        <w:tc>
          <w:tcPr>
            <w:tcW w:w="3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/s/ Jenni A. Lee</w:t>
            </w:r>
          </w:p>
        </w:tc>
        <w:tc>
          <w:tcPr>
            <w:tcW w:w="19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22"/>
        </w:trPr>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740" w:type="dxa"/>
            <w:vAlign w:val="bottom"/>
          </w:tcPr>
          <w:p>
            <w:pPr>
              <w:ind w:left="160"/>
              <w:spacing w:after="0" w:line="122" w:lineRule="exact"/>
              <w:rPr>
                <w:sz w:val="20"/>
                <w:szCs w:val="20"/>
                <w:color w:val="auto"/>
              </w:rPr>
            </w:pPr>
            <w:r>
              <w:rPr>
                <w:rFonts w:ascii="Times New Roman" w:cs="Times New Roman" w:eastAsia="Times New Roman" w:hAnsi="Times New Roman"/>
                <w:sz w:val="12"/>
                <w:szCs w:val="12"/>
                <w:color w:val="auto"/>
              </w:rPr>
              <w:t>Jenni A. Lee</w:t>
            </w:r>
          </w:p>
        </w:tc>
        <w:tc>
          <w:tcPr>
            <w:tcW w:w="1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520" w:type="dxa"/>
            <w:vAlign w:val="bottom"/>
          </w:tcPr>
          <w:p>
            <w:pPr>
              <w:spacing w:after="0"/>
              <w:rPr>
                <w:sz w:val="10"/>
                <w:szCs w:val="10"/>
                <w:color w:val="auto"/>
              </w:rPr>
            </w:pPr>
          </w:p>
        </w:tc>
      </w:tr>
      <w:tr>
        <w:trPr>
          <w:trHeight w:val="144"/>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Director</w:t>
            </w: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55"/>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12/10/13</w:t>
            </w:r>
          </w:p>
        </w:tc>
        <w:tc>
          <w:tcPr>
            <w:tcW w:w="1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432"/>
        </w:trPr>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300"/>
          </w:cols>
          <w:pgMar w:left="300" w:top="273" w:right="299" w:bottom="1440" w:gutter="0" w:footer="0" w:header="0"/>
        </w:sectPr>
      </w:pPr>
    </w:p>
    <w:bookmarkStart w:id="184" w:name="page185"/>
    <w:bookmarkEnd w:id="184"/>
    <w:p>
      <w:pPr>
        <w:ind w:left="10668"/>
        <w:spacing w:after="0"/>
        <w:rPr>
          <w:sz w:val="20"/>
          <w:szCs w:val="20"/>
          <w:color w:val="auto"/>
        </w:rPr>
      </w:pPr>
      <w:r>
        <w:rPr>
          <w:rFonts w:ascii="Times New Roman" w:cs="Times New Roman" w:eastAsia="Times New Roman" w:hAnsi="Times New Roman"/>
          <w:sz w:val="11"/>
          <w:szCs w:val="11"/>
          <w:b w:val="1"/>
          <w:bCs w:val="1"/>
          <w:color w:val="auto"/>
        </w:rPr>
        <w:t>Exhibit 10.82</w:t>
      </w:r>
    </w:p>
    <w:p>
      <w:pPr>
        <w:spacing w:after="0" w:line="144" w:lineRule="exact"/>
        <w:rPr>
          <w:sz w:val="20"/>
          <w:szCs w:val="20"/>
          <w:color w:val="auto"/>
        </w:rPr>
      </w:pPr>
    </w:p>
    <w:p>
      <w:pPr>
        <w:ind w:left="8" w:right="680" w:hanging="8"/>
        <w:spacing w:after="0" w:line="299" w:lineRule="auto"/>
        <w:tabs>
          <w:tab w:leader="none" w:pos="207" w:val="left"/>
        </w:tabs>
        <w:numPr>
          <w:ilvl w:val="0"/>
          <w:numId w:val="20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29" w:lineRule="exact"/>
        <w:rPr>
          <w:sz w:val="20"/>
          <w:szCs w:val="20"/>
          <w:color w:val="auto"/>
        </w:rPr>
      </w:pPr>
    </w:p>
    <w:p>
      <w:pPr>
        <w:ind w:left="10708"/>
        <w:spacing w:after="0"/>
        <w:rPr>
          <w:sz w:val="20"/>
          <w:szCs w:val="20"/>
          <w:color w:val="auto"/>
        </w:rPr>
      </w:pPr>
      <w:r>
        <w:rPr>
          <w:rFonts w:ascii="Times New Roman" w:cs="Times New Roman" w:eastAsia="Times New Roman" w:hAnsi="Times New Roman"/>
          <w:sz w:val="11"/>
          <w:szCs w:val="11"/>
          <w:color w:val="auto"/>
        </w:rPr>
        <w:t>A.N.:130339</w:t>
      </w:r>
    </w:p>
    <w:p>
      <w:pPr>
        <w:spacing w:after="0" w:line="81" w:lineRule="exact"/>
        <w:rPr>
          <w:sz w:val="20"/>
          <w:szCs w:val="20"/>
          <w:color w:val="auto"/>
        </w:rPr>
      </w:pPr>
    </w:p>
    <w:p>
      <w:pPr>
        <w:ind w:left="10448"/>
        <w:spacing w:after="0"/>
        <w:rPr>
          <w:sz w:val="20"/>
          <w:szCs w:val="20"/>
          <w:color w:val="auto"/>
        </w:rPr>
      </w:pPr>
      <w:r>
        <w:rPr>
          <w:rFonts w:ascii="Times New Roman" w:cs="Times New Roman" w:eastAsia="Times New Roman" w:hAnsi="Times New Roman"/>
          <w:sz w:val="11"/>
          <w:szCs w:val="11"/>
          <w:color w:val="auto"/>
        </w:rPr>
        <w:t>AMD_00119879.0</w:t>
      </w:r>
    </w:p>
    <w:p>
      <w:pPr>
        <w:spacing w:after="0" w:line="21"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78"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Date of Amendment: January 23, 2014</w:t>
      </w:r>
    </w:p>
    <w:p>
      <w:pPr>
        <w:spacing w:after="0" w:line="81" w:lineRule="exact"/>
        <w:rPr>
          <w:sz w:val="20"/>
          <w:szCs w:val="20"/>
          <w:color w:val="auto"/>
        </w:rPr>
      </w:pPr>
    </w:p>
    <w:p>
      <w:pPr>
        <w:jc w:val="both"/>
        <w:ind w:left="128" w:right="240"/>
        <w:spacing w:after="0" w:line="276" w:lineRule="auto"/>
        <w:rPr>
          <w:sz w:val="20"/>
          <w:szCs w:val="20"/>
          <w:color w:val="auto"/>
        </w:rPr>
      </w:pPr>
      <w:r>
        <w:rPr>
          <w:rFonts w:ascii="Times New Roman" w:cs="Times New Roman" w:eastAsia="Times New Roman" w:hAnsi="Times New Roman"/>
          <w:sz w:val="11"/>
          <w:szCs w:val="11"/>
          <w:color w:val="auto"/>
        </w:rPr>
        <w:t>AMENDMENT (this “</w:t>
      </w:r>
      <w:r>
        <w:rPr>
          <w:rFonts w:ascii="Times New Roman" w:cs="Times New Roman" w:eastAsia="Times New Roman" w:hAnsi="Times New Roman"/>
          <w:sz w:val="11"/>
          <w:szCs w:val="11"/>
          <w:u w:val="single" w:color="auto"/>
          <w:color w:val="auto"/>
        </w:rPr>
        <w:t>Amendment</w:t>
      </w:r>
      <w:r>
        <w:rPr>
          <w:rFonts w:ascii="Times New Roman" w:cs="Times New Roman" w:eastAsia="Times New Roman" w:hAnsi="Times New Roman"/>
          <w:sz w:val="11"/>
          <w:szCs w:val="11"/>
          <w:color w:val="auto"/>
        </w:rPr>
        <w:t>”) to the Index License Agreement for Funds (MSCI reference number IXF_00040) dated as of March 18, 2000 (as previously amended, the “</w:t>
      </w:r>
      <w:r>
        <w:rPr>
          <w:rFonts w:ascii="Times New Roman" w:cs="Times New Roman" w:eastAsia="Times New Roman" w:hAnsi="Times New Roman"/>
          <w:sz w:val="11"/>
          <w:szCs w:val="11"/>
          <w:u w:val="single" w:color="auto"/>
          <w:color w:val="auto"/>
        </w:rPr>
        <w:t>Agreement</w:t>
      </w:r>
      <w:r>
        <w:rPr>
          <w:rFonts w:ascii="Times New Roman" w:cs="Times New Roman" w:eastAsia="Times New Roman" w:hAnsi="Times New Roman"/>
          <w:sz w:val="11"/>
          <w:szCs w:val="11"/>
          <w:color w:val="auto"/>
        </w:rPr>
        <w:t>”) by and between MSCI Inc. (formerly known as Morgan Stanley Capital International Inc.) (“</w:t>
      </w:r>
      <w:r>
        <w:rPr>
          <w:rFonts w:ascii="Times New Roman" w:cs="Times New Roman" w:eastAsia="Times New Roman" w:hAnsi="Times New Roman"/>
          <w:sz w:val="11"/>
          <w:szCs w:val="11"/>
          <w:u w:val="single" w:color="auto"/>
          <w:color w:val="auto"/>
        </w:rPr>
        <w:t>MSCI</w:t>
      </w:r>
      <w:r>
        <w:rPr>
          <w:rFonts w:ascii="Times New Roman" w:cs="Times New Roman" w:eastAsia="Times New Roman" w:hAnsi="Times New Roman"/>
          <w:sz w:val="11"/>
          <w:szCs w:val="11"/>
          <w:color w:val="auto"/>
        </w:rPr>
        <w:t>”) and BlackRock Institutional Trust Company, N.A. (formerly known as Barclays Global Investors, N.A.) (“</w:t>
      </w:r>
      <w:r>
        <w:rPr>
          <w:rFonts w:ascii="Times New Roman" w:cs="Times New Roman" w:eastAsia="Times New Roman" w:hAnsi="Times New Roman"/>
          <w:sz w:val="11"/>
          <w:szCs w:val="11"/>
          <w:u w:val="single" w:color="auto"/>
          <w:color w:val="auto"/>
        </w:rPr>
        <w:t>Licensee</w:t>
      </w:r>
      <w:r>
        <w:rPr>
          <w:rFonts w:ascii="Times New Roman" w:cs="Times New Roman" w:eastAsia="Times New Roman" w:hAnsi="Times New Roman"/>
          <w:sz w:val="11"/>
          <w:szCs w:val="11"/>
          <w:color w:val="auto"/>
        </w:rPr>
        <w:t>”). Capitalized terms used but not defined herein shall have the meanings ascribed to them in the Agreement.</w:t>
      </w:r>
    </w:p>
    <w:p>
      <w:pPr>
        <w:spacing w:after="0" w:line="50" w:lineRule="exact"/>
        <w:rPr>
          <w:sz w:val="20"/>
          <w:szCs w:val="20"/>
          <w:color w:val="auto"/>
        </w:rPr>
      </w:pPr>
    </w:p>
    <w:p>
      <w:pPr>
        <w:ind w:left="548" w:hanging="431"/>
        <w:spacing w:after="0"/>
        <w:tabs>
          <w:tab w:leader="none" w:pos="548" w:val="left"/>
        </w:tabs>
        <w:numPr>
          <w:ilvl w:val="0"/>
          <w:numId w:val="20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Indexes:</w:t>
      </w:r>
    </w:p>
    <w:p>
      <w:pPr>
        <w:spacing w:after="0" w:line="98" w:lineRule="exact"/>
        <w:rPr>
          <w:rFonts w:ascii="Times New Roman" w:cs="Times New Roman" w:eastAsia="Times New Roman" w:hAnsi="Times New Roman"/>
          <w:sz w:val="11"/>
          <w:szCs w:val="11"/>
          <w:color w:val="auto"/>
        </w:rPr>
      </w:pPr>
    </w:p>
    <w:p>
      <w:pPr>
        <w:ind w:left="1488" w:hanging="516"/>
        <w:spacing w:after="0"/>
        <w:tabs>
          <w:tab w:leader="none" w:pos="1488" w:val="left"/>
        </w:tabs>
        <w:numPr>
          <w:ilvl w:val="1"/>
          <w:numId w:val="20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Europe Investable Market Index (IMI)</w:t>
      </w:r>
    </w:p>
    <w:p>
      <w:pPr>
        <w:spacing w:after="0" w:line="80" w:lineRule="exact"/>
        <w:rPr>
          <w:rFonts w:ascii="Times New Roman" w:cs="Times New Roman" w:eastAsia="Times New Roman" w:hAnsi="Times New Roman"/>
          <w:sz w:val="11"/>
          <w:szCs w:val="11"/>
          <w:color w:val="auto"/>
        </w:rPr>
      </w:pPr>
    </w:p>
    <w:p>
      <w:pPr>
        <w:ind w:left="1488" w:hanging="516"/>
        <w:spacing w:after="0"/>
        <w:tabs>
          <w:tab w:leader="none" w:pos="1488" w:val="left"/>
        </w:tabs>
        <w:numPr>
          <w:ilvl w:val="1"/>
          <w:numId w:val="20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Pacific Investable Market Index (IMI)</w:t>
      </w:r>
    </w:p>
    <w:p>
      <w:pPr>
        <w:spacing w:after="0" w:line="81"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1"/>
          <w:szCs w:val="11"/>
          <w:color w:val="auto"/>
        </w:rPr>
        <w:t>Or such other indexes as agreed by Licensee and MSCI in writing</w:t>
      </w:r>
    </w:p>
    <w:p>
      <w:pPr>
        <w:spacing w:after="0" w:line="81" w:lineRule="exact"/>
        <w:rPr>
          <w:sz w:val="20"/>
          <w:szCs w:val="20"/>
          <w:color w:val="auto"/>
        </w:rPr>
      </w:pPr>
    </w:p>
    <w:p>
      <w:pPr>
        <w:ind w:left="548" w:hanging="431"/>
        <w:spacing w:after="0"/>
        <w:tabs>
          <w:tab w:leader="none" w:pos="548" w:val="left"/>
        </w:tabs>
        <w:numPr>
          <w:ilvl w:val="0"/>
          <w:numId w:val="2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may use the Indexes set forth in Section 1 above solely with respect to the following Funds (each, an “</w:t>
      </w:r>
      <w:r>
        <w:rPr>
          <w:rFonts w:ascii="Times New Roman" w:cs="Times New Roman" w:eastAsia="Times New Roman" w:hAnsi="Times New Roman"/>
          <w:sz w:val="11"/>
          <w:szCs w:val="11"/>
          <w:u w:val="single" w:color="auto"/>
          <w:color w:val="auto"/>
        </w:rPr>
        <w:t>IMI ETF</w:t>
      </w:r>
      <w:r>
        <w:rPr>
          <w:rFonts w:ascii="Times New Roman" w:cs="Times New Roman" w:eastAsia="Times New Roman" w:hAnsi="Times New Roman"/>
          <w:sz w:val="11"/>
          <w:szCs w:val="11"/>
          <w:color w:val="auto"/>
        </w:rPr>
        <w:t>” and each IMI ETF shall also be a “Fund” as such term is defined in the Agreement):</w:t>
      </w:r>
    </w:p>
    <w:p>
      <w:pPr>
        <w:spacing w:after="0" w:line="98" w:lineRule="exact"/>
        <w:rPr>
          <w:rFonts w:ascii="Times New Roman" w:cs="Times New Roman" w:eastAsia="Times New Roman" w:hAnsi="Times New Roman"/>
          <w:sz w:val="11"/>
          <w:szCs w:val="11"/>
          <w:color w:val="auto"/>
        </w:rPr>
      </w:pPr>
    </w:p>
    <w:p>
      <w:pPr>
        <w:ind w:left="1488" w:hanging="516"/>
        <w:spacing w:after="0"/>
        <w:tabs>
          <w:tab w:leader="none" w:pos="1488" w:val="left"/>
        </w:tabs>
        <w:numPr>
          <w:ilvl w:val="1"/>
          <w:numId w:val="2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Europe ETF</w:t>
      </w:r>
    </w:p>
    <w:p>
      <w:pPr>
        <w:spacing w:after="0" w:line="80" w:lineRule="exact"/>
        <w:rPr>
          <w:rFonts w:ascii="Times New Roman" w:cs="Times New Roman" w:eastAsia="Times New Roman" w:hAnsi="Times New Roman"/>
          <w:sz w:val="11"/>
          <w:szCs w:val="11"/>
          <w:color w:val="auto"/>
        </w:rPr>
      </w:pPr>
    </w:p>
    <w:p>
      <w:pPr>
        <w:ind w:left="1488" w:hanging="516"/>
        <w:spacing w:after="0"/>
        <w:tabs>
          <w:tab w:leader="none" w:pos="1488" w:val="left"/>
        </w:tabs>
        <w:numPr>
          <w:ilvl w:val="1"/>
          <w:numId w:val="2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Pacific ETF</w:t>
      </w:r>
    </w:p>
    <w:p>
      <w:pPr>
        <w:spacing w:after="0" w:line="81"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Or such other names as agreed by Licensee and MSCI in writing.</w:t>
      </w:r>
    </w:p>
    <w:p>
      <w:pPr>
        <w:spacing w:after="0" w:line="81"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The IMI ETFs shall be exchange traded index funds listed on a national securities exchange located in the United States.</w:t>
      </w:r>
    </w:p>
    <w:p>
      <w:pPr>
        <w:spacing w:after="0" w:line="81" w:lineRule="exact"/>
        <w:rPr>
          <w:sz w:val="20"/>
          <w:szCs w:val="20"/>
          <w:color w:val="auto"/>
        </w:rPr>
      </w:pPr>
    </w:p>
    <w:p>
      <w:pPr>
        <w:ind w:left="548" w:hanging="431"/>
        <w:spacing w:after="0"/>
        <w:tabs>
          <w:tab w:leader="none" w:pos="548" w:val="left"/>
        </w:tabs>
        <w:numPr>
          <w:ilvl w:val="0"/>
          <w:numId w:val="20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pay MSCI a ********* license fee per Fund based on each Fund’s</w:t>
      </w:r>
    </w:p>
    <w:p>
      <w:pPr>
        <w:spacing w:after="0" w:line="98" w:lineRule="exact"/>
        <w:rPr>
          <w:rFonts w:ascii="Times New Roman" w:cs="Times New Roman" w:eastAsia="Times New Roman" w:hAnsi="Times New Roman"/>
          <w:sz w:val="11"/>
          <w:szCs w:val="11"/>
          <w:color w:val="auto"/>
        </w:rPr>
      </w:pPr>
    </w:p>
    <w:p>
      <w:pPr>
        <w:ind w:left="54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which fee shall be calculated and payable on a</w:t>
      </w:r>
    </w:p>
    <w:p>
      <w:pPr>
        <w:spacing w:after="0" w:line="80" w:lineRule="exact"/>
        <w:rPr>
          <w:rFonts w:ascii="Times New Roman" w:cs="Times New Roman" w:eastAsia="Times New Roman" w:hAnsi="Times New Roman"/>
          <w:sz w:val="11"/>
          <w:szCs w:val="11"/>
          <w:color w:val="auto"/>
        </w:rPr>
      </w:pPr>
    </w:p>
    <w:p>
      <w:pPr>
        <w:ind w:left="54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The ********* license fee shall be calculated</w:t>
      </w:r>
    </w:p>
    <w:p>
      <w:pPr>
        <w:spacing w:after="0" w:line="80" w:lineRule="exact"/>
        <w:rPr>
          <w:rFonts w:ascii="Times New Roman" w:cs="Times New Roman" w:eastAsia="Times New Roman" w:hAnsi="Times New Roman"/>
          <w:sz w:val="11"/>
          <w:szCs w:val="11"/>
          <w:color w:val="auto"/>
        </w:rPr>
      </w:pPr>
    </w:p>
    <w:p>
      <w:pPr>
        <w:ind w:left="54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20" w:lineRule="exact"/>
        <w:rPr>
          <w:rFonts w:ascii="Times New Roman" w:cs="Times New Roman" w:eastAsia="Times New Roman" w:hAnsi="Times New Roman"/>
          <w:sz w:val="11"/>
          <w:szCs w:val="11"/>
          <w:color w:val="auto"/>
        </w:rPr>
      </w:pPr>
    </w:p>
    <w:p>
      <w:pPr>
        <w:ind w:left="54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follows:</w:t>
      </w:r>
    </w:p>
    <w:p>
      <w:pPr>
        <w:spacing w:after="0" w:line="150" w:lineRule="exact"/>
        <w:rPr>
          <w:sz w:val="20"/>
          <w:szCs w:val="20"/>
          <w:color w:val="auto"/>
        </w:rPr>
      </w:pPr>
    </w:p>
    <w:p>
      <w:pPr>
        <w:ind w:left="504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5028"/>
        <w:spacing w:after="0"/>
        <w:rPr>
          <w:sz w:val="20"/>
          <w:szCs w:val="20"/>
          <w:color w:val="auto"/>
        </w:rPr>
      </w:pPr>
      <w:r>
        <w:rPr>
          <w:rFonts w:ascii="Times New Roman" w:cs="Times New Roman" w:eastAsia="Times New Roman" w:hAnsi="Times New Roman"/>
          <w:sz w:val="11"/>
          <w:szCs w:val="11"/>
          <w:color w:val="auto"/>
        </w:rPr>
        <w:t>**********************</w:t>
      </w:r>
    </w:p>
    <w:p>
      <w:pPr>
        <w:spacing w:after="0" w:line="81" w:lineRule="exact"/>
        <w:rPr>
          <w:sz w:val="20"/>
          <w:szCs w:val="20"/>
          <w:color w:val="auto"/>
        </w:rPr>
      </w:pPr>
    </w:p>
    <w:p>
      <w:pPr>
        <w:ind w:left="5048"/>
        <w:spacing w:after="0"/>
        <w:rPr>
          <w:sz w:val="20"/>
          <w:szCs w:val="20"/>
          <w:color w:val="auto"/>
        </w:rPr>
      </w:pPr>
      <w:r>
        <w:rPr>
          <w:rFonts w:ascii="Times New Roman" w:cs="Times New Roman" w:eastAsia="Times New Roman" w:hAnsi="Times New Roman"/>
          <w:sz w:val="11"/>
          <w:szCs w:val="11"/>
          <w:color w:val="auto"/>
        </w:rPr>
        <w:t>*********************</w:t>
      </w:r>
    </w:p>
    <w:p>
      <w:pPr>
        <w:spacing w:after="0" w:line="90"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Expense Ratio</w:t>
      </w:r>
      <w:r>
        <w:rPr>
          <w:rFonts w:ascii="Times New Roman" w:cs="Times New Roman" w:eastAsia="Times New Roman" w:hAnsi="Times New Roman"/>
          <w:sz w:val="11"/>
          <w:szCs w:val="11"/>
          <w:color w:val="auto"/>
        </w:rPr>
        <w:t>” shall mean the ********************************* obtained when</w:t>
      </w:r>
    </w:p>
    <w:p>
      <w:pPr>
        <w:spacing w:after="0" w:line="21"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dividing***********************************************************************************************************************************************************************************************</w:t>
      </w:r>
    </w:p>
    <w:p>
      <w:pPr>
        <w:spacing w:after="0" w:line="78" w:lineRule="exact"/>
        <w:rPr>
          <w:sz w:val="20"/>
          <w:szCs w:val="20"/>
          <w:color w:val="auto"/>
        </w:rPr>
      </w:pPr>
    </w:p>
    <w:p>
      <w:pPr>
        <w:ind w:left="128" w:right="5000"/>
        <w:spacing w:after="0" w:line="412" w:lineRule="auto"/>
        <w:rPr>
          <w:sz w:val="20"/>
          <w:szCs w:val="20"/>
          <w:color w:val="auto"/>
        </w:rPr>
      </w:pPr>
      <w:r>
        <w:rPr>
          <w:rFonts w:ascii="Times New Roman" w:cs="Times New Roman" w:eastAsia="Times New Roman" w:hAnsi="Times New Roman"/>
          <w:sz w:val="11"/>
          <w:szCs w:val="11"/>
          <w:color w:val="auto"/>
        </w:rPr>
        <w:t>Notwithstanding anything to the contrary contained herein, if any Fund does not have an ************* or if a Fund’s ********************************** or if a Fund has an *********************, the ********* licensee fee for such Fund shall *****************************************************************************************.</w:t>
      </w:r>
    </w:p>
    <w:p>
      <w:pPr>
        <w:spacing w:after="0" w:line="200" w:lineRule="exact"/>
        <w:rPr>
          <w:sz w:val="20"/>
          <w:szCs w:val="20"/>
          <w:color w:val="auto"/>
        </w:rPr>
      </w:pPr>
    </w:p>
    <w:p>
      <w:pPr>
        <w:spacing w:after="0" w:line="202"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89470" cy="11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68"/>
          </w:cols>
          <w:pgMar w:left="292" w:top="267" w:right="239" w:bottom="1440" w:gutter="0" w:footer="0" w:header="0"/>
        </w:sectPr>
      </w:pPr>
    </w:p>
    <w:bookmarkStart w:id="185" w:name="page186"/>
    <w:bookmarkEnd w:id="185"/>
    <w:p>
      <w:pPr>
        <w:ind w:left="540" w:hanging="431"/>
        <w:spacing w:after="0"/>
        <w:tabs>
          <w:tab w:leader="none" w:pos="540" w:val="left"/>
        </w:tabs>
        <w:numPr>
          <w:ilvl w:val="0"/>
          <w:numId w:val="20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Special Conditions:</w:t>
      </w:r>
    </w:p>
    <w:p>
      <w:pPr>
        <w:spacing w:after="0" w:line="99" w:lineRule="exact"/>
        <w:rPr>
          <w:sz w:val="20"/>
          <w:szCs w:val="20"/>
          <w:color w:val="auto"/>
        </w:rPr>
      </w:pPr>
    </w:p>
    <w:p>
      <w:pPr>
        <w:ind w:left="540" w:hanging="431"/>
        <w:spacing w:after="0"/>
        <w:tabs>
          <w:tab w:leader="none" w:pos="540" w:val="left"/>
        </w:tabs>
        <w:numPr>
          <w:ilvl w:val="0"/>
          <w:numId w:val="20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this Amendment conflicts with the Agreement, this Amendment shall control. No right or license of any kind is granted to Licensee except as expressly provided in the Agreement and this Amendment.</w:t>
      </w:r>
    </w:p>
    <w:p>
      <w:pPr>
        <w:spacing w:after="0" w:line="98" w:lineRule="exact"/>
        <w:rPr>
          <w:rFonts w:ascii="Times New Roman" w:cs="Times New Roman" w:eastAsia="Times New Roman" w:hAnsi="Times New Roman"/>
          <w:sz w:val="11"/>
          <w:szCs w:val="11"/>
          <w:color w:val="auto"/>
        </w:rPr>
      </w:pPr>
    </w:p>
    <w:p>
      <w:pPr>
        <w:ind w:left="540" w:hanging="431"/>
        <w:spacing w:after="0"/>
        <w:tabs>
          <w:tab w:leader="none" w:pos="540" w:val="left"/>
        </w:tabs>
        <w:numPr>
          <w:ilvl w:val="0"/>
          <w:numId w:val="20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any one or more of the Indexes set forth in Section 1 if, within one (1) year of the date of this Amendment, Licensee does not list an IMI ETF that is based on such Indexes.</w:t>
      </w:r>
    </w:p>
    <w:p>
      <w:pPr>
        <w:spacing w:after="0" w:line="98" w:lineRule="exact"/>
        <w:rPr>
          <w:rFonts w:ascii="Times New Roman" w:cs="Times New Roman" w:eastAsia="Times New Roman" w:hAnsi="Times New Roman"/>
          <w:sz w:val="11"/>
          <w:szCs w:val="11"/>
          <w:color w:val="auto"/>
        </w:rPr>
      </w:pPr>
    </w:p>
    <w:p>
      <w:pPr>
        <w:ind w:left="540" w:hanging="431"/>
        <w:spacing w:after="0"/>
        <w:tabs>
          <w:tab w:leader="none" w:pos="540" w:val="left"/>
        </w:tabs>
        <w:numPr>
          <w:ilvl w:val="0"/>
          <w:numId w:val="20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Licensee delists any IMI ETF or changes the underlying Index for such IMI ETF, Licensee’s right to use the relevant Index set forth in Section 1 with respect to such IMI ETF shall automatically and immediately terminate.</w:t>
      </w:r>
    </w:p>
    <w:p>
      <w:pPr>
        <w:spacing w:after="0" w:line="98" w:lineRule="exact"/>
        <w:rPr>
          <w:rFonts w:ascii="Times New Roman" w:cs="Times New Roman" w:eastAsia="Times New Roman" w:hAnsi="Times New Roman"/>
          <w:sz w:val="11"/>
          <w:szCs w:val="11"/>
          <w:color w:val="auto"/>
        </w:rPr>
      </w:pPr>
    </w:p>
    <w:p>
      <w:pPr>
        <w:ind w:left="540" w:hanging="431"/>
        <w:spacing w:after="0"/>
        <w:tabs>
          <w:tab w:leader="none" w:pos="540" w:val="left"/>
        </w:tabs>
        <w:numPr>
          <w:ilvl w:val="0"/>
          <w:numId w:val="20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ACKNOWLEDGED AND AGREED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6220" w:type="dxa"/>
            <w:vAlign w:val="bottom"/>
            <w:gridSpan w:val="2"/>
          </w:tcPr>
          <w:p>
            <w:pPr>
              <w:ind w:left="2840"/>
              <w:spacing w:after="0"/>
              <w:rPr>
                <w:sz w:val="20"/>
                <w:szCs w:val="20"/>
                <w:color w:val="auto"/>
              </w:rPr>
            </w:pPr>
            <w:r>
              <w:rPr>
                <w:rFonts w:ascii="Times New Roman" w:cs="Times New Roman" w:eastAsia="Times New Roman" w:hAnsi="Times New Roman"/>
                <w:sz w:val="11"/>
                <w:szCs w:val="11"/>
                <w:color w:val="auto"/>
              </w:rPr>
              <w:t>MSCI INC.</w:t>
            </w:r>
          </w:p>
        </w:tc>
      </w:tr>
      <w:tr>
        <w:trPr>
          <w:trHeight w:val="148"/>
        </w:trPr>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Paul C. Lohrey</w:t>
            </w:r>
          </w:p>
        </w:tc>
        <w:tc>
          <w:tcPr>
            <w:tcW w:w="3280" w:type="dxa"/>
            <w:vAlign w:val="bottom"/>
          </w:tcPr>
          <w:p>
            <w:pPr>
              <w:ind w:left="2840"/>
              <w:spacing w:after="0"/>
              <w:rPr>
                <w:sz w:val="20"/>
                <w:szCs w:val="20"/>
                <w:color w:val="auto"/>
              </w:rPr>
            </w:pPr>
            <w:r>
              <w:rPr>
                <w:rFonts w:ascii="Times New Roman" w:cs="Times New Roman" w:eastAsia="Times New Roman" w:hAnsi="Times New Roman"/>
                <w:sz w:val="11"/>
                <w:szCs w:val="11"/>
                <w:color w:val="auto"/>
              </w:rPr>
              <w:t>By</w:t>
            </w: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David Kinzelberg</w:t>
            </w:r>
          </w:p>
        </w:tc>
      </w:tr>
      <w:tr>
        <w:trPr>
          <w:trHeight w:val="129"/>
        </w:trPr>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Paul C. Lohrey</w:t>
            </w:r>
          </w:p>
        </w:tc>
        <w:tc>
          <w:tcPr>
            <w:tcW w:w="3280" w:type="dxa"/>
            <w:vAlign w:val="bottom"/>
          </w:tcPr>
          <w:p>
            <w:pPr>
              <w:ind w:left="2840"/>
              <w:spacing w:after="0"/>
              <w:rPr>
                <w:sz w:val="20"/>
                <w:szCs w:val="20"/>
                <w:color w:val="auto"/>
              </w:rPr>
            </w:pPr>
            <w:r>
              <w:rPr>
                <w:rFonts w:ascii="Times New Roman" w:cs="Times New Roman" w:eastAsia="Times New Roman" w:hAnsi="Times New Roman"/>
                <w:sz w:val="11"/>
                <w:szCs w:val="11"/>
                <w:color w:val="auto"/>
              </w:rPr>
              <w:t>Name</w:t>
            </w:r>
          </w:p>
        </w:tc>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David Kinzelberg</w:t>
            </w:r>
          </w:p>
        </w:tc>
      </w:tr>
      <w:tr>
        <w:trPr>
          <w:trHeight w:val="144"/>
        </w:trPr>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M. Director</w:t>
            </w:r>
          </w:p>
        </w:tc>
        <w:tc>
          <w:tcPr>
            <w:tcW w:w="3280" w:type="dxa"/>
            <w:vAlign w:val="bottom"/>
          </w:tcPr>
          <w:p>
            <w:pPr>
              <w:ind w:left="2840"/>
              <w:spacing w:after="0"/>
              <w:rPr>
                <w:sz w:val="20"/>
                <w:szCs w:val="20"/>
                <w:color w:val="auto"/>
              </w:rPr>
            </w:pPr>
            <w:r>
              <w:rPr>
                <w:rFonts w:ascii="Times New Roman" w:cs="Times New Roman" w:eastAsia="Times New Roman" w:hAnsi="Times New Roman"/>
                <w:sz w:val="11"/>
                <w:szCs w:val="11"/>
                <w:color w:val="auto"/>
              </w:rPr>
              <w:t>Title</w:t>
            </w:r>
          </w:p>
        </w:tc>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r>
      <w:tr>
        <w:trPr>
          <w:trHeight w:val="148"/>
        </w:trPr>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3/19/2014</w:t>
            </w:r>
          </w:p>
        </w:tc>
        <w:tc>
          <w:tcPr>
            <w:tcW w:w="3280" w:type="dxa"/>
            <w:vAlign w:val="bottom"/>
          </w:tcPr>
          <w:p>
            <w:pPr>
              <w:ind w:left="2840"/>
              <w:spacing w:after="0"/>
              <w:rPr>
                <w:sz w:val="20"/>
                <w:szCs w:val="20"/>
                <w:color w:val="auto"/>
              </w:rPr>
            </w:pPr>
            <w:r>
              <w:rPr>
                <w:rFonts w:ascii="Times New Roman" w:cs="Times New Roman" w:eastAsia="Times New Roman" w:hAnsi="Times New Roman"/>
                <w:sz w:val="11"/>
                <w:szCs w:val="11"/>
                <w:color w:val="auto"/>
              </w:rPr>
              <w:t>Date</w:t>
            </w:r>
          </w:p>
        </w:tc>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Mar 26, 2014</w:t>
            </w:r>
          </w:p>
        </w:tc>
      </w:tr>
      <w:tr>
        <w:trPr>
          <w:trHeight w:val="423"/>
        </w:trPr>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8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2/2</w:t>
            </w:r>
          </w:p>
        </w:tc>
        <w:tc>
          <w:tcPr>
            <w:tcW w:w="2940" w:type="dxa"/>
            <w:vAlign w:val="bottom"/>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186" w:name="page187"/>
    <w:bookmarkEnd w:id="186"/>
    <w:p>
      <w:pPr>
        <w:ind w:left="10668"/>
        <w:spacing w:after="0"/>
        <w:rPr>
          <w:sz w:val="20"/>
          <w:szCs w:val="20"/>
          <w:color w:val="auto"/>
        </w:rPr>
      </w:pPr>
      <w:r>
        <w:rPr>
          <w:rFonts w:ascii="Times New Roman" w:cs="Times New Roman" w:eastAsia="Times New Roman" w:hAnsi="Times New Roman"/>
          <w:sz w:val="11"/>
          <w:szCs w:val="11"/>
          <w:b w:val="1"/>
          <w:bCs w:val="1"/>
          <w:color w:val="auto"/>
        </w:rPr>
        <w:t>Exhibit 10.83</w:t>
      </w:r>
    </w:p>
    <w:p>
      <w:pPr>
        <w:spacing w:after="0" w:line="154" w:lineRule="exact"/>
        <w:rPr>
          <w:sz w:val="20"/>
          <w:szCs w:val="20"/>
          <w:color w:val="auto"/>
        </w:rPr>
      </w:pPr>
    </w:p>
    <w:p>
      <w:pPr>
        <w:ind w:left="8" w:hanging="8"/>
        <w:spacing w:after="0" w:line="261" w:lineRule="auto"/>
        <w:tabs>
          <w:tab w:leader="none" w:pos="220" w:val="left"/>
        </w:tabs>
        <w:numPr>
          <w:ilvl w:val="0"/>
          <w:numId w:val="20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jc w:val="right"/>
        <w:spacing w:after="0"/>
        <w:rPr>
          <w:sz w:val="20"/>
          <w:szCs w:val="20"/>
          <w:color w:val="auto"/>
        </w:rPr>
      </w:pPr>
      <w:r>
        <w:rPr>
          <w:rFonts w:ascii="Times New Roman" w:cs="Times New Roman" w:eastAsia="Times New Roman" w:hAnsi="Times New Roman"/>
          <w:sz w:val="11"/>
          <w:szCs w:val="11"/>
          <w:b w:val="1"/>
          <w:bCs w:val="1"/>
          <w:color w:val="auto"/>
        </w:rPr>
        <w:t>A.N.:l30339</w:t>
      </w:r>
    </w:p>
    <w:p>
      <w:pPr>
        <w:spacing w:after="0" w:line="9" w:lineRule="exact"/>
        <w:rPr>
          <w:sz w:val="20"/>
          <w:szCs w:val="20"/>
          <w:color w:val="auto"/>
        </w:rPr>
      </w:pPr>
    </w:p>
    <w:p>
      <w:pPr>
        <w:ind w:left="10448"/>
        <w:spacing w:after="0"/>
        <w:rPr>
          <w:sz w:val="20"/>
          <w:szCs w:val="20"/>
          <w:color w:val="auto"/>
        </w:rPr>
      </w:pPr>
      <w:r>
        <w:rPr>
          <w:rFonts w:ascii="Times New Roman" w:cs="Times New Roman" w:eastAsia="Times New Roman" w:hAnsi="Times New Roman"/>
          <w:sz w:val="11"/>
          <w:szCs w:val="11"/>
          <w:b w:val="1"/>
          <w:bCs w:val="1"/>
          <w:color w:val="auto"/>
        </w:rPr>
        <w:t>AMD_00119881.0</w:t>
      </w:r>
    </w:p>
    <w:p>
      <w:pPr>
        <w:spacing w:after="0" w:line="9"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32"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Date of Amendment: January 23, 2014</w:t>
      </w:r>
    </w:p>
    <w:p>
      <w:pPr>
        <w:spacing w:after="0" w:line="54" w:lineRule="exact"/>
        <w:rPr>
          <w:sz w:val="20"/>
          <w:szCs w:val="20"/>
          <w:color w:val="auto"/>
        </w:rPr>
      </w:pPr>
    </w:p>
    <w:p>
      <w:pPr>
        <w:jc w:val="both"/>
        <w:ind w:left="128" w:right="180"/>
        <w:spacing w:after="0" w:line="276" w:lineRule="auto"/>
        <w:rPr>
          <w:sz w:val="20"/>
          <w:szCs w:val="20"/>
          <w:color w:val="auto"/>
        </w:rPr>
      </w:pPr>
      <w:r>
        <w:rPr>
          <w:rFonts w:ascii="Times New Roman" w:cs="Times New Roman" w:eastAsia="Times New Roman" w:hAnsi="Times New Roman"/>
          <w:sz w:val="11"/>
          <w:szCs w:val="11"/>
          <w:color w:val="auto"/>
        </w:rPr>
        <w:t>AMENDMENT (this “Amendment”) to the Index License Agreement for Funds (MSCI reference number IXF_00040) dated as of March 18, 2000 (as previously amended,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by and between MSCI Inc. (formerly known as Morgan Stanley Capital International Inc.) (“MSCI”) and BlackRock Institutional Trust Company, N.A. (formerly known as Barclays Global Investors, N.A.) (“Licensee”). Capitalized terms used but not defined herein shall have the meanings ascribed to them in the Agreement.</w:t>
      </w:r>
    </w:p>
    <w:p>
      <w:pPr>
        <w:spacing w:after="0" w:line="104" w:lineRule="exact"/>
        <w:rPr>
          <w:sz w:val="20"/>
          <w:szCs w:val="20"/>
          <w:color w:val="auto"/>
        </w:rPr>
      </w:pPr>
    </w:p>
    <w:p>
      <w:pPr>
        <w:ind w:left="548" w:hanging="431"/>
        <w:spacing w:after="0"/>
        <w:tabs>
          <w:tab w:leader="none" w:pos="548" w:val="left"/>
        </w:tabs>
        <w:numPr>
          <w:ilvl w:val="0"/>
          <w:numId w:val="2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Indexes:</w:t>
      </w:r>
    </w:p>
    <w:p>
      <w:pPr>
        <w:spacing w:after="0" w:line="89" w:lineRule="exact"/>
        <w:rPr>
          <w:rFonts w:ascii="Times New Roman" w:cs="Times New Roman" w:eastAsia="Times New Roman" w:hAnsi="Times New Roman"/>
          <w:sz w:val="11"/>
          <w:szCs w:val="11"/>
          <w:color w:val="auto"/>
        </w:rPr>
      </w:pPr>
    </w:p>
    <w:p>
      <w:pPr>
        <w:ind w:left="1728" w:hanging="360"/>
        <w:spacing w:after="0"/>
        <w:tabs>
          <w:tab w:leader="none" w:pos="1728" w:val="left"/>
        </w:tabs>
        <w:numPr>
          <w:ilvl w:val="1"/>
          <w:numId w:val="2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AC Asia ex Japan Minimum Volatility (USD) Index</w:t>
      </w:r>
    </w:p>
    <w:p>
      <w:pPr>
        <w:spacing w:after="0" w:line="71" w:lineRule="exact"/>
        <w:rPr>
          <w:rFonts w:ascii="Times New Roman" w:cs="Times New Roman" w:eastAsia="Times New Roman" w:hAnsi="Times New Roman"/>
          <w:sz w:val="11"/>
          <w:szCs w:val="11"/>
          <w:color w:val="auto"/>
        </w:rPr>
      </w:pPr>
    </w:p>
    <w:p>
      <w:pPr>
        <w:ind w:left="1728" w:hanging="360"/>
        <w:spacing w:after="0"/>
        <w:tabs>
          <w:tab w:leader="none" w:pos="1728" w:val="left"/>
        </w:tabs>
        <w:numPr>
          <w:ilvl w:val="1"/>
          <w:numId w:val="2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Europe Minimum Volatility (USD) Index</w:t>
      </w:r>
    </w:p>
    <w:p>
      <w:pPr>
        <w:spacing w:after="0" w:line="71" w:lineRule="exact"/>
        <w:rPr>
          <w:rFonts w:ascii="Times New Roman" w:cs="Times New Roman" w:eastAsia="Times New Roman" w:hAnsi="Times New Roman"/>
          <w:sz w:val="11"/>
          <w:szCs w:val="11"/>
          <w:color w:val="auto"/>
        </w:rPr>
      </w:pPr>
    </w:p>
    <w:p>
      <w:pPr>
        <w:ind w:left="1728" w:hanging="360"/>
        <w:spacing w:after="0"/>
        <w:tabs>
          <w:tab w:leader="none" w:pos="1728" w:val="left"/>
        </w:tabs>
        <w:numPr>
          <w:ilvl w:val="1"/>
          <w:numId w:val="2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Japan Minimum Volatility (USD) Index</w:t>
      </w:r>
    </w:p>
    <w:p>
      <w:pPr>
        <w:spacing w:after="0" w:line="270" w:lineRule="exact"/>
        <w:rPr>
          <w:sz w:val="20"/>
          <w:szCs w:val="20"/>
          <w:color w:val="auto"/>
        </w:rPr>
      </w:pPr>
    </w:p>
    <w:p>
      <w:pPr>
        <w:ind w:left="548" w:hanging="431"/>
        <w:spacing w:after="0"/>
        <w:tabs>
          <w:tab w:leader="none" w:pos="548" w:val="left"/>
        </w:tabs>
        <w:numPr>
          <w:ilvl w:val="0"/>
          <w:numId w:val="2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may use the Indexes set forth in Section I above solely with respect to the following Funds (each, a “Minimum Volatility E</w:t>
      </w:r>
      <w:r>
        <w:rPr>
          <w:rFonts w:ascii="Times New Roman" w:cs="Times New Roman" w:eastAsia="Times New Roman" w:hAnsi="Times New Roman"/>
          <w:sz w:val="11"/>
          <w:szCs w:val="11"/>
          <w:u w:val="single" w:color="auto"/>
          <w:color w:val="auto"/>
        </w:rPr>
        <w:t>TF</w:t>
      </w:r>
      <w:r>
        <w:rPr>
          <w:rFonts w:ascii="Times New Roman" w:cs="Times New Roman" w:eastAsia="Times New Roman" w:hAnsi="Times New Roman"/>
          <w:sz w:val="11"/>
          <w:szCs w:val="11"/>
          <w:color w:val="auto"/>
        </w:rPr>
        <w:t>” and each Minimum Volatility ETF shall also be a “Fund” as such term is defined in the Agreement):</w:t>
      </w:r>
    </w:p>
    <w:p>
      <w:pPr>
        <w:spacing w:after="0" w:line="89" w:lineRule="exact"/>
        <w:rPr>
          <w:rFonts w:ascii="Times New Roman" w:cs="Times New Roman" w:eastAsia="Times New Roman" w:hAnsi="Times New Roman"/>
          <w:sz w:val="11"/>
          <w:szCs w:val="11"/>
          <w:color w:val="auto"/>
        </w:rPr>
      </w:pPr>
    </w:p>
    <w:p>
      <w:pPr>
        <w:ind w:left="1728" w:hanging="360"/>
        <w:spacing w:after="0"/>
        <w:tabs>
          <w:tab w:leader="none" w:pos="1728" w:val="left"/>
        </w:tabs>
        <w:numPr>
          <w:ilvl w:val="1"/>
          <w:numId w:val="2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All Country Asia ex Japan Minimum Volatility ETF</w:t>
      </w:r>
    </w:p>
    <w:p>
      <w:pPr>
        <w:spacing w:after="0" w:line="71" w:lineRule="exact"/>
        <w:rPr>
          <w:rFonts w:ascii="Times New Roman" w:cs="Times New Roman" w:eastAsia="Times New Roman" w:hAnsi="Times New Roman"/>
          <w:sz w:val="11"/>
          <w:szCs w:val="11"/>
          <w:color w:val="auto"/>
        </w:rPr>
      </w:pPr>
    </w:p>
    <w:p>
      <w:pPr>
        <w:ind w:left="1728" w:hanging="360"/>
        <w:spacing w:after="0"/>
        <w:tabs>
          <w:tab w:leader="none" w:pos="1728" w:val="left"/>
        </w:tabs>
        <w:numPr>
          <w:ilvl w:val="1"/>
          <w:numId w:val="2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Europe Minimum Volatility ETF</w:t>
      </w:r>
    </w:p>
    <w:p>
      <w:pPr>
        <w:spacing w:after="0" w:line="71" w:lineRule="exact"/>
        <w:rPr>
          <w:rFonts w:ascii="Times New Roman" w:cs="Times New Roman" w:eastAsia="Times New Roman" w:hAnsi="Times New Roman"/>
          <w:sz w:val="11"/>
          <w:szCs w:val="11"/>
          <w:color w:val="auto"/>
        </w:rPr>
      </w:pPr>
    </w:p>
    <w:p>
      <w:pPr>
        <w:ind w:left="1728" w:hanging="360"/>
        <w:spacing w:after="0"/>
        <w:tabs>
          <w:tab w:leader="none" w:pos="1728" w:val="left"/>
        </w:tabs>
        <w:numPr>
          <w:ilvl w:val="1"/>
          <w:numId w:val="2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Japan Minimum Volatility ETF</w:t>
      </w:r>
    </w:p>
    <w:p>
      <w:pPr>
        <w:spacing w:after="0" w:line="200" w:lineRule="exact"/>
        <w:rPr>
          <w:sz w:val="20"/>
          <w:szCs w:val="20"/>
          <w:color w:val="auto"/>
        </w:rPr>
      </w:pPr>
    </w:p>
    <w:p>
      <w:pPr>
        <w:spacing w:after="0" w:line="250" w:lineRule="exact"/>
        <w:rPr>
          <w:sz w:val="20"/>
          <w:szCs w:val="20"/>
          <w:color w:val="auto"/>
        </w:rPr>
      </w:pPr>
    </w:p>
    <w:p>
      <w:pPr>
        <w:ind w:left="548" w:hanging="431"/>
        <w:spacing w:after="0"/>
        <w:tabs>
          <w:tab w:leader="none" w:pos="548" w:val="left"/>
        </w:tabs>
        <w:numPr>
          <w:ilvl w:val="0"/>
          <w:numId w:val="2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pay MSCI a ********* license fee per Fund based on each Fund’s</w:t>
      </w:r>
    </w:p>
    <w:p>
      <w:pPr>
        <w:spacing w:after="0" w:line="36"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 which fee shall be due and payable on a ************************. The</w:t>
      </w:r>
    </w:p>
    <w:p>
      <w:pPr>
        <w:spacing w:after="0" w:line="21"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 license fee shall be calculated</w:t>
      </w:r>
    </w:p>
    <w:p>
      <w:pPr>
        <w:spacing w:after="0" w:line="18"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1"/>
          <w:szCs w:val="11"/>
          <w:color w:val="auto"/>
        </w:rPr>
        <w:t>******************************************************************************************************</w:t>
      </w:r>
    </w:p>
    <w:p>
      <w:pPr>
        <w:spacing w:after="0" w:line="23"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 as follows:</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1"/>
          <w:szCs w:val="11"/>
          <w:color w:val="auto"/>
        </w:rPr>
        <w:t>***********************</w:t>
      </w:r>
    </w:p>
    <w:p>
      <w:pPr>
        <w:spacing w:after="0" w:line="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1"/>
          <w:szCs w:val="11"/>
          <w:color w:val="auto"/>
        </w:rPr>
        <w:t>*********************</w:t>
      </w:r>
    </w:p>
    <w:p>
      <w:pPr>
        <w:spacing w:after="0" w:line="113"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“Expense Ratio” shall mean the ********************************* obtained when dividing</w:t>
      </w:r>
    </w:p>
    <w:p>
      <w:pPr>
        <w:spacing w:after="0" w:line="27" w:lineRule="exact"/>
        <w:rPr>
          <w:sz w:val="20"/>
          <w:szCs w:val="20"/>
          <w:color w:val="auto"/>
        </w:rPr>
      </w:pPr>
    </w:p>
    <w:p>
      <w:pPr>
        <w:jc w:val="both"/>
        <w:ind w:left="128" w:right="5140"/>
        <w:spacing w:after="0" w:line="293" w:lineRule="auto"/>
        <w:rPr>
          <w:sz w:val="20"/>
          <w:szCs w:val="20"/>
          <w:color w:val="auto"/>
        </w:rPr>
      </w:pPr>
      <w:r>
        <w:rPr>
          <w:rFonts w:ascii="Times New Roman" w:cs="Times New Roman" w:eastAsia="Times New Roman" w:hAnsi="Times New Roman"/>
          <w:sz w:val="11"/>
          <w:szCs w:val="11"/>
          <w:color w:val="auto"/>
        </w:rPr>
        <w:t>********************************************************************************************************** ********************************************************************************************************** *******************************************.</w:t>
      </w:r>
    </w:p>
    <w:p>
      <w:pPr>
        <w:spacing w:after="0" w:line="262" w:lineRule="exact"/>
        <w:rPr>
          <w:sz w:val="20"/>
          <w:szCs w:val="20"/>
          <w:color w:val="auto"/>
        </w:rPr>
      </w:pPr>
    </w:p>
    <w:p>
      <w:pPr>
        <w:jc w:val="center"/>
        <w:ind w:right="-247"/>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189470" cy="114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7" w:right="299" w:bottom="1440" w:gutter="0" w:footer="0" w:header="0"/>
        </w:sectPr>
      </w:pPr>
    </w:p>
    <w:bookmarkStart w:id="187" w:name="page188"/>
    <w:bookmarkEnd w:id="187"/>
    <w:p>
      <w:pPr>
        <w:ind w:left="60" w:right="5080"/>
        <w:spacing w:after="0" w:line="281" w:lineRule="auto"/>
        <w:rPr>
          <w:sz w:val="20"/>
          <w:szCs w:val="20"/>
          <w:color w:val="auto"/>
        </w:rPr>
      </w:pPr>
      <w:r>
        <w:rPr>
          <w:rFonts w:ascii="Times New Roman" w:cs="Times New Roman" w:eastAsia="Times New Roman" w:hAnsi="Times New Roman"/>
          <w:sz w:val="11"/>
          <w:szCs w:val="11"/>
          <w:color w:val="auto"/>
        </w:rPr>
        <w:t>If, in any ****************, the Expense Ratio for any Fund is greater than the ************* of the relevant ETF based on the *********************************************************************************************************</w:t>
      </w:r>
    </w:p>
    <w:p>
      <w:pPr>
        <w:spacing w:after="0" w:line="1" w:lineRule="exact"/>
        <w:rPr>
          <w:sz w:val="20"/>
          <w:szCs w:val="20"/>
          <w:color w:val="auto"/>
        </w:rPr>
      </w:pPr>
    </w:p>
    <w:p>
      <w:pPr>
        <w:ind w:left="60" w:right="2040"/>
        <w:spacing w:after="0" w:line="313" w:lineRule="auto"/>
        <w:rPr>
          <w:sz w:val="20"/>
          <w:szCs w:val="20"/>
          <w:color w:val="auto"/>
        </w:rPr>
      </w:pPr>
      <w:r>
        <w:rPr>
          <w:rFonts w:ascii="Times New Roman" w:cs="Times New Roman" w:eastAsia="Times New Roman" w:hAnsi="Times New Roman"/>
          <w:sz w:val="11"/>
          <w:szCs w:val="11"/>
          <w:color w:val="auto"/>
        </w:rPr>
        <w:t>********************************************************************************************************* *************************************************************************************. The ************** is defined as the ***** and ******* version of the fund as follows:</w:t>
      </w:r>
    </w:p>
    <w:p>
      <w:pPr>
        <w:spacing w:after="0" w:line="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1"/>
          <w:szCs w:val="11"/>
          <w:color w:val="auto"/>
        </w:rPr>
        <w:t>***********************</w:t>
      </w:r>
    </w:p>
    <w:p>
      <w:pPr>
        <w:spacing w:after="0" w:line="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1"/>
          <w:szCs w:val="11"/>
          <w:color w:val="auto"/>
        </w:rPr>
        <w:t>*********************</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Notwithstanding anything to the contrary contained herein, if any Fund does not have an ************* or if a Fund’s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 or if a Fund has an *********************, the ********* licensee fee for such Fund shall equal **********************************</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w:t>
      </w:r>
    </w:p>
    <w:p>
      <w:pPr>
        <w:spacing w:after="0" w:line="132" w:lineRule="exact"/>
        <w:rPr>
          <w:sz w:val="20"/>
          <w:szCs w:val="20"/>
          <w:color w:val="auto"/>
        </w:rPr>
      </w:pPr>
    </w:p>
    <w:p>
      <w:pPr>
        <w:ind w:left="480" w:hanging="431"/>
        <w:spacing w:after="0"/>
        <w:tabs>
          <w:tab w:leader="none" w:pos="480" w:val="left"/>
        </w:tabs>
        <w:numPr>
          <w:ilvl w:val="0"/>
          <w:numId w:val="2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Special Conditions:</w:t>
      </w:r>
    </w:p>
    <w:p>
      <w:pPr>
        <w:spacing w:after="0" w:line="117" w:lineRule="exact"/>
        <w:rPr>
          <w:sz w:val="20"/>
          <w:szCs w:val="20"/>
          <w:color w:val="auto"/>
        </w:rPr>
      </w:pPr>
    </w:p>
    <w:p>
      <w:pPr>
        <w:ind w:left="560" w:hanging="507"/>
        <w:spacing w:after="0"/>
        <w:tabs>
          <w:tab w:leader="none" w:pos="560" w:val="left"/>
        </w:tabs>
        <w:numPr>
          <w:ilvl w:val="0"/>
          <w:numId w:val="2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this Amendment conflicts with the Agreement, this Amendment shall control. No right or license of any kind is granted to Licensee except as expressly provided in the Agreement and this Amendment.</w:t>
      </w:r>
    </w:p>
    <w:p>
      <w:pPr>
        <w:spacing w:after="0" w:line="107" w:lineRule="exact"/>
        <w:rPr>
          <w:rFonts w:ascii="Times New Roman" w:cs="Times New Roman" w:eastAsia="Times New Roman" w:hAnsi="Times New Roman"/>
          <w:sz w:val="11"/>
          <w:szCs w:val="11"/>
          <w:color w:val="auto"/>
        </w:rPr>
      </w:pPr>
    </w:p>
    <w:p>
      <w:pPr>
        <w:ind w:left="580" w:hanging="527"/>
        <w:spacing w:after="0"/>
        <w:tabs>
          <w:tab w:leader="none" w:pos="580" w:val="left"/>
        </w:tabs>
        <w:numPr>
          <w:ilvl w:val="0"/>
          <w:numId w:val="2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any one or more of the Indexes set forth in Section 1 if, within one (l) year of the date of this Amendment, Licensee does not list a Minimum Volatility ETF that is based on such</w:t>
      </w:r>
    </w:p>
    <w:p>
      <w:pPr>
        <w:spacing w:after="0" w:line="20" w:lineRule="exact"/>
        <w:rPr>
          <w:rFonts w:ascii="Times New Roman" w:cs="Times New Roman" w:eastAsia="Times New Roman" w:hAnsi="Times New Roman"/>
          <w:sz w:val="11"/>
          <w:szCs w:val="11"/>
          <w:color w:val="auto"/>
        </w:rPr>
      </w:pPr>
    </w:p>
    <w:p>
      <w:pPr>
        <w:ind w:left="6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Indexes.</w:t>
      </w:r>
    </w:p>
    <w:p>
      <w:pPr>
        <w:spacing w:after="0" w:line="95" w:lineRule="exact"/>
        <w:rPr>
          <w:rFonts w:ascii="Times New Roman" w:cs="Times New Roman" w:eastAsia="Times New Roman" w:hAnsi="Times New Roman"/>
          <w:sz w:val="11"/>
          <w:szCs w:val="11"/>
          <w:color w:val="auto"/>
        </w:rPr>
      </w:pPr>
    </w:p>
    <w:p>
      <w:pPr>
        <w:ind w:left="60" w:right="60" w:hanging="7"/>
        <w:spacing w:after="0" w:line="296" w:lineRule="auto"/>
        <w:tabs>
          <w:tab w:leader="none" w:pos="571" w:val="left"/>
        </w:tabs>
        <w:numPr>
          <w:ilvl w:val="0"/>
          <w:numId w:val="2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Licensee delists any Minimum Volatility ETF or changes the underlying Index for such Minimum Volatility ETF, Licensee’s right to use the relevant Index set forth in Section 1 with respect to such Minimum Volatility ETF shall automatically and immediately terminate.</w:t>
      </w:r>
    </w:p>
    <w:p>
      <w:pPr>
        <w:spacing w:after="0" w:line="47" w:lineRule="exact"/>
        <w:rPr>
          <w:rFonts w:ascii="Times New Roman" w:cs="Times New Roman" w:eastAsia="Times New Roman" w:hAnsi="Times New Roman"/>
          <w:sz w:val="11"/>
          <w:szCs w:val="11"/>
          <w:color w:val="auto"/>
        </w:rPr>
      </w:pPr>
    </w:p>
    <w:p>
      <w:pPr>
        <w:ind w:left="580" w:hanging="527"/>
        <w:spacing w:after="0"/>
        <w:tabs>
          <w:tab w:leader="none" w:pos="580" w:val="left"/>
        </w:tabs>
        <w:numPr>
          <w:ilvl w:val="0"/>
          <w:numId w:val="2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ACKNOWLEDGED AND AGREED:</w:t>
            </w:r>
          </w:p>
        </w:tc>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79"/>
        </w:trPr>
        <w:tc>
          <w:tcPr>
            <w:tcW w:w="40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Licensee: BlackRock Institutional Trust Company, N.A.</w:t>
            </w:r>
          </w:p>
        </w:tc>
        <w:tc>
          <w:tcPr>
            <w:tcW w:w="4580" w:type="dxa"/>
            <w:vAlign w:val="bottom"/>
            <w:gridSpan w:val="4"/>
          </w:tcPr>
          <w:p>
            <w:pPr>
              <w:ind w:left="3320"/>
              <w:spacing w:after="0"/>
              <w:rPr>
                <w:sz w:val="20"/>
                <w:szCs w:val="20"/>
                <w:color w:val="auto"/>
              </w:rPr>
            </w:pPr>
            <w:r>
              <w:rPr>
                <w:rFonts w:ascii="Times New Roman" w:cs="Times New Roman" w:eastAsia="Times New Roman" w:hAnsi="Times New Roman"/>
                <w:sz w:val="11"/>
                <w:szCs w:val="11"/>
                <w:color w:val="auto"/>
              </w:rPr>
              <w:t>MSCI Inc.</w:t>
            </w: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By:/s/ Ravi Goutam</w:t>
            </w:r>
          </w:p>
        </w:tc>
        <w:tc>
          <w:tcPr>
            <w:tcW w:w="3160" w:type="dxa"/>
            <w:vAlign w:val="bottom"/>
          </w:tcPr>
          <w:p>
            <w:pPr>
              <w:spacing w:after="0"/>
              <w:rPr>
                <w:sz w:val="18"/>
                <w:szCs w:val="18"/>
                <w:color w:val="auto"/>
              </w:rPr>
            </w:pPr>
          </w:p>
        </w:tc>
        <w:tc>
          <w:tcPr>
            <w:tcW w:w="4580" w:type="dxa"/>
            <w:vAlign w:val="bottom"/>
            <w:gridSpan w:val="4"/>
          </w:tcPr>
          <w:p>
            <w:pPr>
              <w:ind w:left="3320"/>
              <w:spacing w:after="0"/>
              <w:rPr>
                <w:sz w:val="20"/>
                <w:szCs w:val="20"/>
                <w:color w:val="auto"/>
              </w:rPr>
            </w:pPr>
            <w:r>
              <w:rPr>
                <w:rFonts w:ascii="Times New Roman" w:cs="Times New Roman" w:eastAsia="Times New Roman" w:hAnsi="Times New Roman"/>
                <w:sz w:val="11"/>
                <w:szCs w:val="11"/>
                <w:color w:val="auto"/>
              </w:rPr>
              <w:t>By:/s/ David Kinzelberg</w:t>
            </w:r>
          </w:p>
        </w:tc>
      </w:tr>
      <w:tr>
        <w:trPr>
          <w:trHeight w:val="20"/>
        </w:trPr>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9"/>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3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Ravi Goutam</w:t>
            </w:r>
          </w:p>
        </w:tc>
        <w:tc>
          <w:tcPr>
            <w:tcW w:w="3680" w:type="dxa"/>
            <w:vAlign w:val="bottom"/>
            <w:gridSpan w:val="2"/>
          </w:tcPr>
          <w:p>
            <w:pPr>
              <w:ind w:left="3320"/>
              <w:spacing w:after="0"/>
              <w:rPr>
                <w:sz w:val="20"/>
                <w:szCs w:val="20"/>
                <w:color w:val="auto"/>
              </w:rPr>
            </w:pPr>
            <w:r>
              <w:rPr>
                <w:rFonts w:ascii="Times New Roman" w:cs="Times New Roman" w:eastAsia="Times New Roman" w:hAnsi="Times New Roman"/>
                <w:sz w:val="11"/>
                <w:szCs w:val="11"/>
                <w:color w:val="auto"/>
              </w:rPr>
              <w:t>Name: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David Kinzelberg</w:t>
            </w:r>
          </w:p>
        </w:tc>
      </w:tr>
      <w:tr>
        <w:trPr>
          <w:trHeight w:val="225"/>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37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Managing Director</w:t>
            </w:r>
          </w:p>
        </w:tc>
        <w:tc>
          <w:tcPr>
            <w:tcW w:w="3680" w:type="dxa"/>
            <w:vAlign w:val="bottom"/>
            <w:gridSpan w:val="2"/>
          </w:tcPr>
          <w:p>
            <w:pPr>
              <w:ind w:left="3320"/>
              <w:spacing w:after="0"/>
              <w:rPr>
                <w:sz w:val="20"/>
                <w:szCs w:val="20"/>
                <w:color w:val="auto"/>
              </w:rPr>
            </w:pPr>
            <w:r>
              <w:rPr>
                <w:rFonts w:ascii="Times New Roman" w:cs="Times New Roman" w:eastAsia="Times New Roman" w:hAnsi="Times New Roman"/>
                <w:sz w:val="11"/>
                <w:szCs w:val="11"/>
                <w:color w:val="auto"/>
              </w:rPr>
              <w:t>Title: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Executive Director</w:t>
            </w: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Date1/20/14</w:t>
            </w:r>
          </w:p>
        </w:tc>
        <w:tc>
          <w:tcPr>
            <w:tcW w:w="4580" w:type="dxa"/>
            <w:vAlign w:val="bottom"/>
            <w:gridSpan w:val="4"/>
          </w:tcPr>
          <w:p>
            <w:pPr>
              <w:ind w:left="3320"/>
              <w:spacing w:after="0"/>
              <w:rPr>
                <w:sz w:val="20"/>
                <w:szCs w:val="20"/>
                <w:color w:val="auto"/>
              </w:rPr>
            </w:pPr>
            <w:r>
              <w:rPr>
                <w:rFonts w:ascii="Times New Roman" w:cs="Times New Roman" w:eastAsia="Times New Roman" w:hAnsi="Times New Roman"/>
                <w:sz w:val="11"/>
                <w:szCs w:val="11"/>
                <w:color w:val="auto"/>
              </w:rPr>
              <w:t>DateFeb 6, 2014</w:t>
            </w:r>
          </w:p>
        </w:tc>
      </w:tr>
      <w:tr>
        <w:trPr>
          <w:trHeight w:val="410"/>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20" w:type="dxa"/>
            <w:vAlign w:val="bottom"/>
          </w:tcPr>
          <w:p>
            <w:pPr>
              <w:ind w:left="1560"/>
              <w:spacing w:after="0"/>
              <w:rPr>
                <w:sz w:val="20"/>
                <w:szCs w:val="20"/>
                <w:color w:val="auto"/>
              </w:rPr>
            </w:pPr>
            <w:r>
              <w:rPr>
                <w:rFonts w:ascii="Arial" w:cs="Arial" w:eastAsia="Arial" w:hAnsi="Arial"/>
                <w:sz w:val="10"/>
                <w:szCs w:val="10"/>
                <w:color w:val="auto"/>
              </w:rPr>
              <w:t>2/2</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20"/>
          </w:cols>
          <w:pgMar w:left="360" w:top="512" w:right="419" w:bottom="1440" w:gutter="0" w:footer="0" w:header="0"/>
        </w:sectPr>
      </w:pPr>
    </w:p>
    <w:bookmarkStart w:id="188" w:name="page189"/>
    <w:bookmarkEnd w:id="188"/>
    <w:p>
      <w:pPr>
        <w:ind w:left="10668"/>
        <w:spacing w:after="0"/>
        <w:rPr>
          <w:sz w:val="20"/>
          <w:szCs w:val="20"/>
          <w:color w:val="auto"/>
        </w:rPr>
      </w:pPr>
      <w:r>
        <w:rPr>
          <w:rFonts w:ascii="Times New Roman" w:cs="Times New Roman" w:eastAsia="Times New Roman" w:hAnsi="Times New Roman"/>
          <w:sz w:val="11"/>
          <w:szCs w:val="11"/>
          <w:b w:val="1"/>
          <w:bCs w:val="1"/>
          <w:color w:val="auto"/>
        </w:rPr>
        <w:t>Exhibit 10.85</w:t>
      </w:r>
    </w:p>
    <w:p>
      <w:pPr>
        <w:spacing w:after="0" w:line="154" w:lineRule="exact"/>
        <w:rPr>
          <w:sz w:val="20"/>
          <w:szCs w:val="20"/>
          <w:color w:val="auto"/>
        </w:rPr>
      </w:pPr>
    </w:p>
    <w:p>
      <w:pPr>
        <w:ind w:left="8" w:hanging="8"/>
        <w:spacing w:after="0" w:line="286" w:lineRule="auto"/>
        <w:tabs>
          <w:tab w:leader="none" w:pos="220" w:val="left"/>
        </w:tabs>
        <w:numPr>
          <w:ilvl w:val="0"/>
          <w:numId w:val="2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A.N.: 130339</w:t>
      </w:r>
    </w:p>
    <w:p>
      <w:pPr>
        <w:spacing w:after="0" w:line="21" w:lineRule="exact"/>
        <w:rPr>
          <w:sz w:val="20"/>
          <w:szCs w:val="20"/>
          <w:color w:val="auto"/>
        </w:rPr>
      </w:pPr>
    </w:p>
    <w:p>
      <w:pPr>
        <w:ind w:left="10448"/>
        <w:spacing w:after="0"/>
        <w:rPr>
          <w:sz w:val="20"/>
          <w:szCs w:val="20"/>
          <w:color w:val="auto"/>
        </w:rPr>
      </w:pPr>
      <w:r>
        <w:rPr>
          <w:rFonts w:ascii="Times New Roman" w:cs="Times New Roman" w:eastAsia="Times New Roman" w:hAnsi="Times New Roman"/>
          <w:sz w:val="11"/>
          <w:szCs w:val="11"/>
          <w:color w:val="auto"/>
        </w:rPr>
        <w:t>AMD_00123218.0</w:t>
      </w:r>
    </w:p>
    <w:p>
      <w:pPr>
        <w:spacing w:after="0" w:line="132"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BlackRock Institutional Trust Company, N.A.</w:t>
      </w:r>
    </w:p>
    <w:p>
      <w:pPr>
        <w:spacing w:after="0" w:line="20"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Attention: Tim Meyer</w:t>
      </w:r>
    </w:p>
    <w:p>
      <w:pPr>
        <w:ind w:left="128"/>
        <w:spacing w:after="0"/>
        <w:rPr>
          <w:sz w:val="20"/>
          <w:szCs w:val="20"/>
          <w:color w:val="auto"/>
        </w:rPr>
      </w:pPr>
      <w:r>
        <w:rPr>
          <w:rFonts w:ascii="Times New Roman" w:cs="Times New Roman" w:eastAsia="Times New Roman" w:hAnsi="Times New Roman"/>
          <w:sz w:val="11"/>
          <w:szCs w:val="11"/>
          <w:color w:val="auto"/>
        </w:rPr>
        <w:t>400 Howard Street</w:t>
      </w:r>
    </w:p>
    <w:p>
      <w:pPr>
        <w:spacing w:after="0" w:line="9"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San Francisco, California 94105</w:t>
      </w:r>
    </w:p>
    <w:p>
      <w:pPr>
        <w:spacing w:after="0" w:line="114" w:lineRule="exact"/>
        <w:rPr>
          <w:sz w:val="20"/>
          <w:szCs w:val="20"/>
          <w:color w:val="auto"/>
        </w:rPr>
      </w:pPr>
    </w:p>
    <w:p>
      <w:pPr>
        <w:ind w:left="10588"/>
        <w:spacing w:after="0"/>
        <w:rPr>
          <w:sz w:val="20"/>
          <w:szCs w:val="20"/>
          <w:color w:val="auto"/>
        </w:rPr>
      </w:pPr>
      <w:r>
        <w:rPr>
          <w:rFonts w:ascii="Times New Roman" w:cs="Times New Roman" w:eastAsia="Times New Roman" w:hAnsi="Times New Roman"/>
          <w:sz w:val="11"/>
          <w:szCs w:val="11"/>
          <w:color w:val="auto"/>
        </w:rPr>
        <w:t>March 18, 2014</w:t>
      </w:r>
    </w:p>
    <w:p>
      <w:pPr>
        <w:spacing w:after="0" w:line="21"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Dear Mr. Meyer:</w:t>
      </w:r>
    </w:p>
    <w:p>
      <w:pPr>
        <w:spacing w:after="0" w:line="51" w:lineRule="exact"/>
        <w:rPr>
          <w:sz w:val="20"/>
          <w:szCs w:val="20"/>
          <w:color w:val="auto"/>
        </w:rPr>
      </w:pPr>
    </w:p>
    <w:p>
      <w:pPr>
        <w:jc w:val="both"/>
        <w:ind w:left="128" w:right="100"/>
        <w:spacing w:after="0" w:line="276" w:lineRule="auto"/>
        <w:rPr>
          <w:sz w:val="20"/>
          <w:szCs w:val="20"/>
          <w:color w:val="auto"/>
        </w:rPr>
      </w:pPr>
      <w:r>
        <w:rPr>
          <w:rFonts w:ascii="Times New Roman" w:cs="Times New Roman" w:eastAsia="Times New Roman" w:hAnsi="Times New Roman"/>
          <w:sz w:val="11"/>
          <w:szCs w:val="11"/>
          <w:color w:val="auto"/>
        </w:rPr>
        <w:t>Reference is hereby made to the Amendment (MSCI reference: AMD_00105603.0) dated December 10, 2013 (“Amendment”) to the Index License Agreement for Funds dated March 18, 2000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by and between MSCI Inc. (formerly known as Morgan Stanley Capital International Inc.) (“MSCI”) and BlackRock Institutional Trust Company, N.A. (formerly known as Barclays Global Investors, N.A.) (“Licensee”). All capitalized terms used but not defined herein shall have the meanings ascribed to them in the Amendment or the Agreement, as the case may be.</w:t>
      </w:r>
    </w:p>
    <w:p>
      <w:pPr>
        <w:spacing w:after="0" w:line="59"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MSCI and Licensee hereby agree to modify the Amendment as follows:</w:t>
      </w:r>
    </w:p>
    <w:p>
      <w:pPr>
        <w:spacing w:after="0" w:line="72" w:lineRule="exact"/>
        <w:rPr>
          <w:sz w:val="20"/>
          <w:szCs w:val="20"/>
          <w:color w:val="auto"/>
        </w:rPr>
      </w:pPr>
    </w:p>
    <w:p>
      <w:pPr>
        <w:ind w:left="548" w:hanging="431"/>
        <w:spacing w:after="0"/>
        <w:tabs>
          <w:tab w:leader="none" w:pos="548" w:val="left"/>
        </w:tabs>
        <w:numPr>
          <w:ilvl w:val="0"/>
          <w:numId w:val="2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Section 1 of the Amendment, the parties agree to add the following Indexes:</w:t>
      </w:r>
    </w:p>
    <w:p>
      <w:pPr>
        <w:spacing w:after="0" w:line="224" w:lineRule="exact"/>
        <w:rPr>
          <w:rFonts w:ascii="Times New Roman" w:cs="Times New Roman" w:eastAsia="Times New Roman" w:hAnsi="Times New Roman"/>
          <w:sz w:val="11"/>
          <w:szCs w:val="11"/>
          <w:color w:val="auto"/>
        </w:rPr>
      </w:pPr>
    </w:p>
    <w:p>
      <w:pPr>
        <w:ind w:left="1148" w:hanging="419"/>
        <w:spacing w:after="0"/>
        <w:tabs>
          <w:tab w:leader="none" w:pos="1148" w:val="left"/>
        </w:tabs>
        <w:numPr>
          <w:ilvl w:val="1"/>
          <w:numId w:val="2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EMU 100% Hedged to USD Index</w:t>
      </w:r>
    </w:p>
    <w:p>
      <w:pPr>
        <w:spacing w:after="0" w:line="89" w:lineRule="exact"/>
        <w:rPr>
          <w:rFonts w:ascii="Times New Roman" w:cs="Times New Roman" w:eastAsia="Times New Roman" w:hAnsi="Times New Roman"/>
          <w:sz w:val="11"/>
          <w:szCs w:val="11"/>
          <w:color w:val="auto"/>
        </w:rPr>
      </w:pPr>
    </w:p>
    <w:p>
      <w:pPr>
        <w:ind w:left="1148" w:hanging="419"/>
        <w:spacing w:after="0"/>
        <w:tabs>
          <w:tab w:leader="none" w:pos="1148" w:val="left"/>
        </w:tabs>
        <w:numPr>
          <w:ilvl w:val="1"/>
          <w:numId w:val="2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Emerging Markets 100% Hedged to USD Index</w:t>
      </w:r>
    </w:p>
    <w:p>
      <w:pPr>
        <w:spacing w:after="0" w:line="89" w:lineRule="exact"/>
        <w:rPr>
          <w:rFonts w:ascii="Times New Roman" w:cs="Times New Roman" w:eastAsia="Times New Roman" w:hAnsi="Times New Roman"/>
          <w:sz w:val="11"/>
          <w:szCs w:val="11"/>
          <w:color w:val="auto"/>
        </w:rPr>
      </w:pPr>
    </w:p>
    <w:p>
      <w:pPr>
        <w:ind w:left="548" w:hanging="431"/>
        <w:spacing w:after="0"/>
        <w:tabs>
          <w:tab w:leader="none" w:pos="548" w:val="left"/>
        </w:tabs>
        <w:numPr>
          <w:ilvl w:val="0"/>
          <w:numId w:val="2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Section 2 of the Amendment, the parties agree to add the following Hedged ETFs:</w:t>
      </w:r>
    </w:p>
    <w:p>
      <w:pPr>
        <w:spacing w:after="0" w:line="89" w:lineRule="exact"/>
        <w:rPr>
          <w:rFonts w:ascii="Times New Roman" w:cs="Times New Roman" w:eastAsia="Times New Roman" w:hAnsi="Times New Roman"/>
          <w:sz w:val="11"/>
          <w:szCs w:val="11"/>
          <w:color w:val="auto"/>
        </w:rPr>
      </w:pPr>
    </w:p>
    <w:p>
      <w:pPr>
        <w:ind w:left="1148" w:hanging="419"/>
        <w:spacing w:after="0"/>
        <w:tabs>
          <w:tab w:leader="none" w:pos="1148" w:val="left"/>
        </w:tabs>
        <w:numPr>
          <w:ilvl w:val="1"/>
          <w:numId w:val="2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Currency Hedged MSCI EMU ETF</w:t>
      </w:r>
    </w:p>
    <w:p>
      <w:pPr>
        <w:spacing w:after="0" w:line="89" w:lineRule="exact"/>
        <w:rPr>
          <w:rFonts w:ascii="Times New Roman" w:cs="Times New Roman" w:eastAsia="Times New Roman" w:hAnsi="Times New Roman"/>
          <w:sz w:val="11"/>
          <w:szCs w:val="11"/>
          <w:color w:val="auto"/>
        </w:rPr>
      </w:pPr>
    </w:p>
    <w:p>
      <w:pPr>
        <w:ind w:left="1148" w:hanging="419"/>
        <w:spacing w:after="0"/>
        <w:tabs>
          <w:tab w:leader="none" w:pos="1148" w:val="left"/>
        </w:tabs>
        <w:numPr>
          <w:ilvl w:val="1"/>
          <w:numId w:val="2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Currency Hedged MSCI Emerging Markets ETF</w:t>
      </w:r>
    </w:p>
    <w:p>
      <w:pPr>
        <w:spacing w:after="0" w:line="89" w:lineRule="exact"/>
        <w:rPr>
          <w:rFonts w:ascii="Times New Roman" w:cs="Times New Roman" w:eastAsia="Times New Roman" w:hAnsi="Times New Roman"/>
          <w:sz w:val="11"/>
          <w:szCs w:val="11"/>
          <w:color w:val="auto"/>
        </w:rPr>
      </w:pPr>
    </w:p>
    <w:p>
      <w:pPr>
        <w:ind w:left="548" w:hanging="431"/>
        <w:spacing w:after="0"/>
        <w:tabs>
          <w:tab w:leader="none" w:pos="548" w:val="left"/>
        </w:tabs>
        <w:numPr>
          <w:ilvl w:val="0"/>
          <w:numId w:val="2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the definition of ****************** in Section 3(a) of the Amendment, the parties agree to add the following ************** for the corresponding *********** specified below:</w:t>
      </w:r>
    </w:p>
    <w:p>
      <w:pPr>
        <w:spacing w:after="0" w:line="126"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11"/>
          <w:szCs w:val="11"/>
          <w:color w:val="auto"/>
        </w:rPr>
        <w:t>*******************</w:t>
      </w:r>
    </w:p>
    <w:p>
      <w:pPr>
        <w:spacing w:after="0" w:line="113" w:lineRule="exact"/>
        <w:rPr>
          <w:sz w:val="20"/>
          <w:szCs w:val="20"/>
          <w:color w:val="auto"/>
        </w:rPr>
      </w:pPr>
    </w:p>
    <w:p>
      <w:pPr>
        <w:ind w:left="128" w:right="160"/>
        <w:spacing w:after="0" w:line="276" w:lineRule="auto"/>
        <w:rPr>
          <w:sz w:val="20"/>
          <w:szCs w:val="20"/>
          <w:color w:val="auto"/>
        </w:rPr>
      </w:pPr>
      <w:r>
        <w:rPr>
          <w:rFonts w:ascii="Times New Roman" w:cs="Times New Roman" w:eastAsia="Times New Roman" w:hAnsi="Times New Roman"/>
          <w:sz w:val="11"/>
          <w:szCs w:val="11"/>
          <w:color w:val="auto"/>
        </w:rPr>
        <w:t>This letter modifies and operates in conjunction with the Amendment. Together this letter, the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any terms of this letter conflict with any terms of the Amendment or the Agreement, the terms of this letter shall control. This letter shall be governed by, and construed in accordance with, the laws of the State of New York without regard to its conflict or choice of laws principles.</w:t>
      </w:r>
    </w:p>
    <w:p>
      <w:pPr>
        <w:spacing w:after="0" w:line="68"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Please indicate your agreement with the foregoing by countersigning and returning a copy of this letter. Very truly yours,</w:t>
      </w:r>
    </w:p>
    <w:p>
      <w:pPr>
        <w:spacing w:after="0" w:line="36"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MSCI Inc.</w:t>
      </w:r>
    </w:p>
    <w:p>
      <w:pPr>
        <w:spacing w:after="0" w:line="144" w:lineRule="exact"/>
        <w:rPr>
          <w:sz w:val="20"/>
          <w:szCs w:val="20"/>
          <w:color w:val="auto"/>
        </w:rPr>
      </w:pPr>
    </w:p>
    <w:tbl>
      <w:tblPr>
        <w:tblLayout w:type="fixed"/>
        <w:tblInd w:w="128" w:type="dxa"/>
        <w:tblCellMar>
          <w:top w:w="0" w:type="dxa"/>
          <w:left w:w="0" w:type="dxa"/>
          <w:bottom w:w="0" w:type="dxa"/>
          <w:right w:w="0" w:type="dxa"/>
        </w:tblCellMar>
      </w:tblPr>
      <w:tr>
        <w:trPr>
          <w:trHeight w:val="148"/>
        </w:trPr>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David Kinzelberg</w:t>
            </w:r>
          </w:p>
        </w:tc>
      </w:tr>
      <w:tr>
        <w:trPr>
          <w:trHeight w:val="144"/>
        </w:trPr>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David Kinzelberg</w:t>
            </w: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Title:</w:t>
            </w:r>
          </w:p>
        </w:tc>
        <w:tc>
          <w:tcPr>
            <w:tcW w:w="3840" w:type="dxa"/>
            <w:vAlign w:val="bottom"/>
            <w:tcBorders>
              <w:bottom w:val="single" w:sz="8" w:color="auto"/>
            </w:tcBorders>
          </w:tcPr>
          <w:p>
            <w:pPr>
              <w:spacing w:after="0" w:line="124" w:lineRule="exact"/>
              <w:rPr>
                <w:sz w:val="20"/>
                <w:szCs w:val="20"/>
                <w:color w:val="auto"/>
              </w:rPr>
            </w:pPr>
            <w:r>
              <w:rPr>
                <w:rFonts w:ascii="Times New Roman" w:cs="Times New Roman" w:eastAsia="Times New Roman" w:hAnsi="Times New Roman"/>
                <w:sz w:val="11"/>
                <w:szCs w:val="11"/>
                <w:color w:val="auto"/>
              </w:rPr>
              <w:t>Executive Director</w:t>
            </w:r>
          </w:p>
        </w:tc>
      </w:tr>
    </w:tbl>
    <w:p>
      <w:pPr>
        <w:spacing w:after="0" w:line="120"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ACCEPTED AND AGREED:</w:t>
      </w:r>
    </w:p>
    <w:p>
      <w:pPr>
        <w:spacing w:after="0" w:line="108"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1"/>
          <w:szCs w:val="11"/>
          <w:color w:val="auto"/>
        </w:rPr>
        <w:t>Black Rock Institutional Trust Company, N.A.</w:t>
      </w:r>
    </w:p>
    <w:p>
      <w:pPr>
        <w:spacing w:after="0" w:line="216" w:lineRule="exact"/>
        <w:rPr>
          <w:sz w:val="20"/>
          <w:szCs w:val="20"/>
          <w:color w:val="auto"/>
        </w:rPr>
      </w:pPr>
    </w:p>
    <w:tbl>
      <w:tblPr>
        <w:tblLayout w:type="fixed"/>
        <w:tblInd w:w="128" w:type="dxa"/>
        <w:tblCellMar>
          <w:top w:w="0" w:type="dxa"/>
          <w:left w:w="0" w:type="dxa"/>
          <w:bottom w:w="0" w:type="dxa"/>
          <w:right w:w="0" w:type="dxa"/>
        </w:tblCellMar>
      </w:tblPr>
      <w:tr>
        <w:trPr>
          <w:trHeight w:val="157"/>
        </w:trPr>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Paul C. Lohrey</w:t>
            </w:r>
          </w:p>
        </w:tc>
      </w:tr>
      <w:tr>
        <w:trPr>
          <w:trHeight w:val="133"/>
        </w:trPr>
        <w:tc>
          <w:tcPr>
            <w:tcW w:w="54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Name: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Paul C. Lohrey</w:t>
            </w:r>
          </w:p>
        </w:tc>
      </w:tr>
      <w:tr>
        <w:trPr>
          <w:trHeight w:val="126"/>
        </w:trPr>
        <w:tc>
          <w:tcPr>
            <w:tcW w:w="54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Title: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Managing Director</w:t>
            </w:r>
          </w:p>
        </w:tc>
      </w:tr>
    </w:tbl>
    <w:p>
      <w:pPr>
        <w:spacing w:after="0" w:line="210" w:lineRule="exact"/>
        <w:rPr>
          <w:sz w:val="20"/>
          <w:szCs w:val="20"/>
          <w:color w:val="auto"/>
        </w:rPr>
      </w:pPr>
    </w:p>
    <w:p>
      <w:pPr>
        <w:jc w:val="center"/>
        <w:ind w:right="-207"/>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1308"/>
          </w:cols>
          <w:pgMar w:left="292" w:top="267" w:right="29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2"/>
          <w:szCs w:val="12"/>
          <w:b w:val="1"/>
          <w:bCs w:val="1"/>
          <w:color w:val="auto"/>
        </w:rPr>
        <w:t>Exhibit 10.88</w:t>
      </w:r>
    </w:p>
    <w:p>
      <w:pPr>
        <w:spacing w:after="0" w:line="154" w:lineRule="exact"/>
        <w:rPr>
          <w:sz w:val="20"/>
          <w:szCs w:val="20"/>
          <w:color w:val="auto"/>
        </w:rPr>
      </w:pPr>
    </w:p>
    <w:tbl>
      <w:tblPr>
        <w:tblLayout w:type="fixed"/>
        <w:tblInd w:w="18"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600" w:type="dxa"/>
            <w:vAlign w:val="bottom"/>
            <w:gridSpan w:val="2"/>
          </w:tcPr>
          <w:p>
            <w:pPr>
              <w:jc w:val="center"/>
              <w:ind w:right="3640"/>
              <w:spacing w:after="0"/>
              <w:rPr>
                <w:sz w:val="20"/>
                <w:szCs w:val="20"/>
                <w:color w:val="auto"/>
              </w:rPr>
            </w:pPr>
            <w:r>
              <w:rPr>
                <w:rFonts w:ascii="Times New Roman" w:cs="Times New Roman" w:eastAsia="Times New Roman" w:hAnsi="Times New Roman"/>
                <w:sz w:val="12"/>
                <w:szCs w:val="12"/>
                <w:color w:val="auto"/>
                <w:w w:val="98"/>
              </w:rPr>
              <w:t>Non-Employee Director Compensation</w:t>
            </w:r>
            <w:r>
              <w:rPr>
                <w:rFonts w:ascii="Times New Roman" w:cs="Times New Roman" w:eastAsia="Times New Roman" w:hAnsi="Times New Roman"/>
                <w:sz w:val="17"/>
                <w:szCs w:val="17"/>
                <w:color w:val="auto"/>
                <w:w w:val="98"/>
                <w:vertAlign w:val="superscript"/>
              </w:rPr>
              <w:t>(1)</w:t>
            </w:r>
          </w:p>
        </w:tc>
      </w:tr>
      <w:tr>
        <w:trPr>
          <w:trHeight w:val="29"/>
        </w:trPr>
        <w:tc>
          <w:tcPr>
            <w:tcW w:w="37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133"/>
        </w:trPr>
        <w:tc>
          <w:tcPr>
            <w:tcW w:w="3700" w:type="dxa"/>
            <w:vAlign w:val="bottom"/>
            <w:tcBorders>
              <w:left w:val="single" w:sz="8" w:color="auto"/>
              <w:bottom w:val="single" w:sz="8" w:color="auto"/>
            </w:tcBorders>
            <w:shd w:val="clear" w:color="auto" w:fill="D0CECE"/>
          </w:tcPr>
          <w:p>
            <w:pPr>
              <w:spacing w:after="0"/>
              <w:rPr>
                <w:sz w:val="11"/>
                <w:szCs w:val="11"/>
                <w:color w:val="auto"/>
              </w:rPr>
            </w:pPr>
          </w:p>
        </w:tc>
        <w:tc>
          <w:tcPr>
            <w:tcW w:w="7600" w:type="dxa"/>
            <w:vAlign w:val="bottom"/>
            <w:tcBorders>
              <w:bottom w:val="single" w:sz="8" w:color="auto"/>
              <w:right w:val="single" w:sz="8" w:color="auto"/>
            </w:tcBorders>
            <w:gridSpan w:val="2"/>
            <w:shd w:val="clear" w:color="auto" w:fill="D0CECE"/>
          </w:tcPr>
          <w:p>
            <w:pPr>
              <w:jc w:val="center"/>
              <w:ind w:right="3640"/>
              <w:spacing w:after="0" w:line="133" w:lineRule="exact"/>
              <w:rPr>
                <w:sz w:val="20"/>
                <w:szCs w:val="20"/>
                <w:color w:val="auto"/>
              </w:rPr>
            </w:pPr>
            <w:r>
              <w:rPr>
                <w:rFonts w:ascii="Times New Roman" w:cs="Times New Roman" w:eastAsia="Times New Roman" w:hAnsi="Times New Roman"/>
                <w:sz w:val="12"/>
                <w:szCs w:val="12"/>
                <w:color w:val="auto"/>
                <w:w w:val="98"/>
              </w:rPr>
              <w:t>Committee Chair</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Audit Committee</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$30,000</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Compensation and Talent Management Committee</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$25,000</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Strategy and Finance Committee</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$25,000</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Nominating and Corporate Governance Committee</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$20,000</w:t>
            </w:r>
          </w:p>
        </w:tc>
      </w:tr>
      <w:tr>
        <w:trPr>
          <w:trHeight w:val="133"/>
        </w:trPr>
        <w:tc>
          <w:tcPr>
            <w:tcW w:w="3700" w:type="dxa"/>
            <w:vAlign w:val="bottom"/>
            <w:tcBorders>
              <w:left w:val="single" w:sz="8" w:color="auto"/>
              <w:bottom w:val="single" w:sz="8" w:color="auto"/>
            </w:tcBorders>
            <w:shd w:val="clear" w:color="auto" w:fill="D0CECE"/>
          </w:tcPr>
          <w:p>
            <w:pPr>
              <w:spacing w:after="0"/>
              <w:rPr>
                <w:sz w:val="11"/>
                <w:szCs w:val="11"/>
                <w:color w:val="auto"/>
              </w:rPr>
            </w:pPr>
          </w:p>
        </w:tc>
        <w:tc>
          <w:tcPr>
            <w:tcW w:w="7600" w:type="dxa"/>
            <w:vAlign w:val="bottom"/>
            <w:tcBorders>
              <w:bottom w:val="single" w:sz="8" w:color="auto"/>
              <w:right w:val="single" w:sz="8" w:color="auto"/>
            </w:tcBorders>
            <w:gridSpan w:val="2"/>
            <w:shd w:val="clear" w:color="auto" w:fill="D0CECE"/>
          </w:tcPr>
          <w:p>
            <w:pPr>
              <w:jc w:val="center"/>
              <w:ind w:right="3640"/>
              <w:spacing w:after="0" w:line="133" w:lineRule="exact"/>
              <w:rPr>
                <w:sz w:val="20"/>
                <w:szCs w:val="20"/>
                <w:color w:val="auto"/>
              </w:rPr>
            </w:pPr>
            <w:r>
              <w:rPr>
                <w:rFonts w:ascii="Times New Roman" w:cs="Times New Roman" w:eastAsia="Times New Roman" w:hAnsi="Times New Roman"/>
                <w:sz w:val="12"/>
                <w:szCs w:val="12"/>
                <w:color w:val="auto"/>
              </w:rPr>
              <w:t>Committee Member</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Audit Committee</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$10,000</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Compensation and Talent Management Committee</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$10,000</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Strategy and Finance Committee</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$10,000</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Nominating and Corporate Governance Committee</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$10,000</w:t>
            </w:r>
          </w:p>
        </w:tc>
      </w:tr>
      <w:tr>
        <w:trPr>
          <w:trHeight w:val="133"/>
        </w:trPr>
        <w:tc>
          <w:tcPr>
            <w:tcW w:w="3700" w:type="dxa"/>
            <w:vAlign w:val="bottom"/>
            <w:tcBorders>
              <w:left w:val="single" w:sz="8" w:color="auto"/>
              <w:bottom w:val="single" w:sz="8" w:color="auto"/>
            </w:tcBorders>
            <w:shd w:val="clear" w:color="auto" w:fill="D0CECE"/>
          </w:tcPr>
          <w:p>
            <w:pPr>
              <w:spacing w:after="0"/>
              <w:rPr>
                <w:sz w:val="11"/>
                <w:szCs w:val="11"/>
                <w:color w:val="auto"/>
              </w:rPr>
            </w:pPr>
          </w:p>
        </w:tc>
        <w:tc>
          <w:tcPr>
            <w:tcW w:w="7600" w:type="dxa"/>
            <w:vAlign w:val="bottom"/>
            <w:tcBorders>
              <w:bottom w:val="single" w:sz="8" w:color="auto"/>
              <w:right w:val="single" w:sz="8" w:color="auto"/>
            </w:tcBorders>
            <w:gridSpan w:val="2"/>
            <w:shd w:val="clear" w:color="auto" w:fill="D0CECE"/>
          </w:tcPr>
          <w:p>
            <w:pPr>
              <w:jc w:val="center"/>
              <w:ind w:right="3640"/>
              <w:spacing w:after="0" w:line="133" w:lineRule="exact"/>
              <w:rPr>
                <w:sz w:val="20"/>
                <w:szCs w:val="20"/>
                <w:color w:val="auto"/>
              </w:rPr>
            </w:pPr>
            <w:r>
              <w:rPr>
                <w:rFonts w:ascii="Times New Roman" w:cs="Times New Roman" w:eastAsia="Times New Roman" w:hAnsi="Times New Roman"/>
                <w:sz w:val="12"/>
                <w:szCs w:val="12"/>
                <w:color w:val="auto"/>
                <w:w w:val="98"/>
              </w:rPr>
              <w:t>Annual Compensation</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Annual Cash Retainer</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$80,000</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1"/>
                <w:szCs w:val="11"/>
                <w:b w:val="1"/>
                <w:bCs w:val="1"/>
                <w:color w:val="auto"/>
              </w:rPr>
              <w:t>Annual Restricted Stock Units (non-Lead Director)</w:t>
            </w:r>
            <w:r>
              <w:rPr>
                <w:rFonts w:ascii="Times New Roman" w:cs="Times New Roman" w:eastAsia="Times New Roman" w:hAnsi="Times New Roman"/>
                <w:sz w:val="15"/>
                <w:szCs w:val="15"/>
                <w:b w:val="1"/>
                <w:bCs w:val="1"/>
                <w:color w:val="auto"/>
                <w:vertAlign w:val="superscript"/>
              </w:rPr>
              <w:t>(2)</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$165,000</w:t>
            </w:r>
          </w:p>
        </w:tc>
      </w:tr>
      <w:tr>
        <w:trPr>
          <w:trHeight w:val="133"/>
        </w:trPr>
        <w:tc>
          <w:tcPr>
            <w:tcW w:w="3700" w:type="dxa"/>
            <w:vAlign w:val="bottom"/>
            <w:tcBorders>
              <w:left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1"/>
                <w:szCs w:val="11"/>
                <w:b w:val="1"/>
                <w:bCs w:val="1"/>
                <w:color w:val="auto"/>
              </w:rPr>
              <w:t xml:space="preserve">Annual Restricted Stock Units (Lead Director) </w:t>
            </w:r>
            <w:r>
              <w:rPr>
                <w:rFonts w:ascii="Times New Roman" w:cs="Times New Roman" w:eastAsia="Times New Roman" w:hAnsi="Times New Roman"/>
                <w:sz w:val="15"/>
                <w:szCs w:val="15"/>
                <w:b w:val="1"/>
                <w:bCs w:val="1"/>
                <w:color w:val="auto"/>
                <w:vertAlign w:val="superscript"/>
              </w:rPr>
              <w:t>(2)</w:t>
            </w:r>
          </w:p>
        </w:tc>
        <w:tc>
          <w:tcPr>
            <w:tcW w:w="19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$215,000</w:t>
            </w:r>
          </w:p>
        </w:tc>
      </w:tr>
    </w:tbl>
    <w:p>
      <w:pPr>
        <w:spacing w:after="0" w:line="277" w:lineRule="exact"/>
        <w:rPr>
          <w:sz w:val="20"/>
          <w:szCs w:val="20"/>
          <w:color w:val="auto"/>
        </w:rPr>
      </w:pPr>
    </w:p>
    <w:p>
      <w:pPr>
        <w:ind w:left="8" w:right="140" w:hanging="8"/>
        <w:spacing w:after="0" w:line="215" w:lineRule="auto"/>
        <w:tabs>
          <w:tab w:leader="none" w:pos="178"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Board term commences on May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of the then-current year and concludes on April 30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of the following year. Accordingly, retainer fees are paid and restricted stock units are granted on May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of each year. Restricted stock units vest on the first anniversary of the grant date. Awards are prorated and vesting schedules adjusted for new directors joining in advance of the Annual Shareholders’ Meeting.</w:t>
      </w:r>
    </w:p>
    <w:p>
      <w:pPr>
        <w:spacing w:after="0" w:line="133"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fair market value of the restricted stock units is based on the closing price of MSCI Inc.’s common stock as reported by The New York Stock Exchange on the date prior to the date of grant.</w:t>
      </w:r>
    </w:p>
    <w:p>
      <w:pPr>
        <w:spacing w:after="0" w:line="150" w:lineRule="exact"/>
        <w:rPr>
          <w:sz w:val="20"/>
          <w:szCs w:val="20"/>
          <w:color w:val="auto"/>
        </w:rPr>
      </w:pPr>
    </w:p>
    <w:p>
      <w:pPr>
        <w:jc w:val="both"/>
        <w:ind w:left="8" w:right="240"/>
        <w:spacing w:after="0" w:line="265" w:lineRule="auto"/>
        <w:rPr>
          <w:sz w:val="20"/>
          <w:szCs w:val="20"/>
          <w:color w:val="auto"/>
        </w:rPr>
      </w:pPr>
      <w:r>
        <w:rPr>
          <w:rFonts w:ascii="Times New Roman" w:cs="Times New Roman" w:eastAsia="Times New Roman" w:hAnsi="Times New Roman"/>
          <w:sz w:val="12"/>
          <w:szCs w:val="12"/>
          <w:color w:val="auto"/>
        </w:rPr>
        <w:t>Members of the Board of Directors are subject to the Non-Employee Director Stock Ownership Guidelines, which are described in the MSCI Inc. Corporate Governance Policies available on the Investor Relations section of MSCI website’s (</w:t>
      </w:r>
      <w:r>
        <w:rPr>
          <w:rFonts w:ascii="Times New Roman" w:cs="Times New Roman" w:eastAsia="Times New Roman" w:hAnsi="Times New Roman"/>
          <w:sz w:val="12"/>
          <w:szCs w:val="12"/>
          <w:i w:val="1"/>
          <w:iCs w:val="1"/>
          <w:color w:val="auto"/>
        </w:rPr>
        <w:t>http://ir.msci.com</w:t>
      </w:r>
      <w:r>
        <w:rPr>
          <w:rFonts w:ascii="Times New Roman" w:cs="Times New Roman" w:eastAsia="Times New Roman" w:hAnsi="Times New Roman"/>
          <w:sz w:val="12"/>
          <w:szCs w:val="12"/>
          <w:color w:val="auto"/>
        </w:rPr>
        <w:t>). Information contained on our website is not deemed part of or incorporated by reference into this Annual Report on Form 10-K or any other report filed with the SEC. Additional information regarding MSCI Inc.’s non-employee director compensation program is available in its proxy statement for its annual meeting of shareholders.</w:t>
      </w:r>
    </w:p>
    <w:p>
      <w:pPr>
        <w:sectPr>
          <w:pgSz w:w="11900" w:h="16838" w:orient="portrait"/>
          <w:cols w:equalWidth="0" w:num="1">
            <w:col w:w="11308"/>
          </w:cols>
          <w:pgMar w:left="292" w:top="278" w:right="29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1"/>
          <w:szCs w:val="11"/>
          <w:b w:val="1"/>
          <w:bCs w:val="1"/>
          <w:color w:val="auto"/>
        </w:rPr>
        <w:t>Exhibit 10.89</w:t>
      </w:r>
    </w:p>
    <w:p>
      <w:pPr>
        <w:spacing w:after="0" w:line="118" w:lineRule="exact"/>
        <w:rPr>
          <w:sz w:val="20"/>
          <w:szCs w:val="20"/>
          <w:color w:val="auto"/>
        </w:rPr>
      </w:pPr>
    </w:p>
    <w:p>
      <w:pPr>
        <w:ind w:left="8" w:right="60" w:hanging="8"/>
        <w:spacing w:after="0" w:line="286" w:lineRule="auto"/>
        <w:tabs>
          <w:tab w:leader="none" w:pos="218" w:val="left"/>
        </w:tabs>
        <w:numPr>
          <w:ilvl w:val="0"/>
          <w:numId w:val="2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A.N.:130339</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AMD_00134673.0</w:t>
      </w:r>
    </w:p>
    <w:p>
      <w:pPr>
        <w:spacing w:after="0" w:line="1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July 9, 2014</w:t>
      </w:r>
    </w:p>
    <w:p>
      <w:pPr>
        <w:spacing w:after="0" w:line="120" w:lineRule="exact"/>
        <w:rPr>
          <w:sz w:val="20"/>
          <w:szCs w:val="20"/>
          <w:color w:val="auto"/>
        </w:rPr>
      </w:pPr>
    </w:p>
    <w:p>
      <w:pPr>
        <w:ind w:left="8" w:right="200"/>
        <w:spacing w:after="0" w:line="281" w:lineRule="auto"/>
        <w:rPr>
          <w:sz w:val="20"/>
          <w:szCs w:val="20"/>
          <w:color w:val="auto"/>
        </w:rPr>
      </w:pPr>
      <w:r>
        <w:rPr>
          <w:rFonts w:ascii="Times New Roman" w:cs="Times New Roman" w:eastAsia="Times New Roman" w:hAnsi="Times New Roman"/>
          <w:sz w:val="11"/>
          <w:szCs w:val="11"/>
          <w:color w:val="auto"/>
        </w:rPr>
        <w:t>This AMENDMENT (this “</w:t>
      </w:r>
      <w:r>
        <w:rPr>
          <w:rFonts w:ascii="Times New Roman" w:cs="Times New Roman" w:eastAsia="Times New Roman" w:hAnsi="Times New Roman"/>
          <w:sz w:val="11"/>
          <w:szCs w:val="11"/>
          <w:u w:val="single" w:color="auto"/>
          <w:color w:val="auto"/>
        </w:rPr>
        <w:t>Amendment</w:t>
      </w:r>
      <w:r>
        <w:rPr>
          <w:rFonts w:ascii="Times New Roman" w:cs="Times New Roman" w:eastAsia="Times New Roman" w:hAnsi="Times New Roman"/>
          <w:sz w:val="11"/>
          <w:szCs w:val="11"/>
          <w:color w:val="auto"/>
        </w:rPr>
        <w:t>”) to the Index License Agreement for Funds (MSCI reference number IXF_00040) dated as of March 18, 2000 (as previously amended,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is made by and between MSCI Inc. (formerly known as Morgan Stanley Capital International Inc.) (“MSCI”) and BlackRock Fund Advisors, a California corporation (as successor to Barclays Global Investors, N.A.) (“Licensee”). Capitalized terms used but not defined herein shall have the meanings ascribed to them in the Agreement.</w:t>
      </w:r>
    </w:p>
    <w:p>
      <w:pPr>
        <w:spacing w:after="0" w:line="101" w:lineRule="exact"/>
        <w:rPr>
          <w:sz w:val="20"/>
          <w:szCs w:val="20"/>
          <w:color w:val="auto"/>
        </w:rPr>
      </w:pPr>
    </w:p>
    <w:p>
      <w:pPr>
        <w:ind w:left="428" w:hanging="428"/>
        <w:spacing w:after="0"/>
        <w:tabs>
          <w:tab w:leader="none" w:pos="428" w:val="left"/>
        </w:tabs>
        <w:numPr>
          <w:ilvl w:val="0"/>
          <w:numId w:val="2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w:t>
      </w:r>
    </w:p>
    <w:p>
      <w:pPr>
        <w:spacing w:after="0" w:line="80" w:lineRule="exact"/>
        <w:rPr>
          <w:rFonts w:ascii="Times New Roman" w:cs="Times New Roman" w:eastAsia="Times New Roman" w:hAnsi="Times New Roman"/>
          <w:sz w:val="11"/>
          <w:szCs w:val="11"/>
          <w:color w:val="auto"/>
        </w:rPr>
      </w:pPr>
    </w:p>
    <w:p>
      <w:pPr>
        <w:ind w:left="1568" w:hanging="353"/>
        <w:spacing w:after="0"/>
        <w:tabs>
          <w:tab w:leader="none" w:pos="1568" w:val="left"/>
        </w:tabs>
        <w:numPr>
          <w:ilvl w:val="1"/>
          <w:numId w:val="2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Emerging Markets Horizon Index</w:t>
      </w:r>
    </w:p>
    <w:p>
      <w:pPr>
        <w:spacing w:after="0" w:line="171"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1"/>
          <w:szCs w:val="11"/>
          <w:color w:val="auto"/>
        </w:rPr>
        <w:t>Or such other index(es) as agreed by Licensee and MSCI in writing.</w:t>
      </w:r>
    </w:p>
    <w:p>
      <w:pPr>
        <w:spacing w:after="0" w:line="81" w:lineRule="exact"/>
        <w:rPr>
          <w:sz w:val="20"/>
          <w:szCs w:val="20"/>
          <w:color w:val="auto"/>
        </w:rPr>
      </w:pPr>
    </w:p>
    <w:p>
      <w:pPr>
        <w:ind w:left="428" w:hanging="428"/>
        <w:spacing w:after="0"/>
        <w:tabs>
          <w:tab w:leader="none" w:pos="428" w:val="left"/>
        </w:tabs>
        <w:numPr>
          <w:ilvl w:val="0"/>
          <w:numId w:val="2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may use the Index set forth in Section 1 above solely with respect to the following Fund. This fund shall also be a “Fund” as such term is defined in the Agreement:</w:t>
      </w:r>
    </w:p>
    <w:p>
      <w:pPr>
        <w:spacing w:after="0" w:line="80" w:lineRule="exact"/>
        <w:rPr>
          <w:rFonts w:ascii="Times New Roman" w:cs="Times New Roman" w:eastAsia="Times New Roman" w:hAnsi="Times New Roman"/>
          <w:sz w:val="11"/>
          <w:szCs w:val="11"/>
          <w:color w:val="auto"/>
        </w:rPr>
      </w:pPr>
    </w:p>
    <w:p>
      <w:pPr>
        <w:ind w:left="1568" w:hanging="353"/>
        <w:spacing w:after="0"/>
        <w:tabs>
          <w:tab w:leader="none" w:pos="1568" w:val="left"/>
        </w:tabs>
        <w:numPr>
          <w:ilvl w:val="1"/>
          <w:numId w:val="2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Emerging Markets Horizon ETF</w:t>
      </w:r>
    </w:p>
    <w:p>
      <w:pPr>
        <w:spacing w:after="0" w:line="171"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1"/>
          <w:szCs w:val="11"/>
          <w:color w:val="auto"/>
        </w:rPr>
        <w:t>Or such other name(s) as agreed by Licensee and MSCI in writing.</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The iShares MSCI Emerging Markets Horizon ETF shall be an exchange traded index fund listed on a national securities exchange located in the United States.</w:t>
      </w:r>
    </w:p>
    <w:p>
      <w:pPr>
        <w:spacing w:after="0" w:line="81" w:lineRule="exact"/>
        <w:rPr>
          <w:sz w:val="20"/>
          <w:szCs w:val="20"/>
          <w:color w:val="auto"/>
        </w:rPr>
      </w:pPr>
    </w:p>
    <w:p>
      <w:pPr>
        <w:ind w:left="428" w:hanging="428"/>
        <w:spacing w:after="0"/>
        <w:tabs>
          <w:tab w:leader="none" w:pos="428" w:val="left"/>
        </w:tabs>
        <w:numPr>
          <w:ilvl w:val="0"/>
          <w:numId w:val="2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pay MSCI a ********* license fee for the Fund based on the Fund’s</w:t>
      </w:r>
    </w:p>
    <w:p>
      <w:pPr>
        <w:spacing w:after="0" w:line="35" w:lineRule="exact"/>
        <w:rPr>
          <w:rFonts w:ascii="Times New Roman" w:cs="Times New Roman" w:eastAsia="Times New Roman" w:hAnsi="Times New Roman"/>
          <w:sz w:val="11"/>
          <w:szCs w:val="11"/>
          <w:color w:val="auto"/>
        </w:rPr>
      </w:pPr>
    </w:p>
    <w:p>
      <w:pPr>
        <w:ind w:left="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 which fee shall be due and payable on a</w:t>
      </w:r>
    </w:p>
    <w:p>
      <w:pPr>
        <w:spacing w:after="0" w:line="26" w:lineRule="exact"/>
        <w:rPr>
          <w:rFonts w:ascii="Times New Roman" w:cs="Times New Roman" w:eastAsia="Times New Roman" w:hAnsi="Times New Roman"/>
          <w:sz w:val="11"/>
          <w:szCs w:val="11"/>
          <w:color w:val="auto"/>
        </w:rPr>
      </w:pPr>
    </w:p>
    <w:p>
      <w:pPr>
        <w:ind w:left="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The ********* license fee shall be calculated</w:t>
      </w:r>
    </w:p>
    <w:p>
      <w:pPr>
        <w:spacing w:after="0" w:line="35" w:lineRule="exact"/>
        <w:rPr>
          <w:rFonts w:ascii="Times New Roman" w:cs="Times New Roman" w:eastAsia="Times New Roman" w:hAnsi="Times New Roman"/>
          <w:sz w:val="11"/>
          <w:szCs w:val="11"/>
          <w:color w:val="auto"/>
        </w:rPr>
      </w:pPr>
    </w:p>
    <w:p>
      <w:pPr>
        <w:ind w:left="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35" w:lineRule="exact"/>
        <w:rPr>
          <w:rFonts w:ascii="Times New Roman" w:cs="Times New Roman" w:eastAsia="Times New Roman" w:hAnsi="Times New Roman"/>
          <w:sz w:val="11"/>
          <w:szCs w:val="11"/>
          <w:color w:val="auto"/>
        </w:rPr>
      </w:pPr>
    </w:p>
    <w:p>
      <w:pPr>
        <w:ind w:left="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as follows:</w:t>
      </w:r>
    </w:p>
    <w:p>
      <w:pPr>
        <w:spacing w:after="0" w:line="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w:t>
      </w:r>
    </w:p>
    <w:p>
      <w:pPr>
        <w:spacing w:after="0" w:line="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w:t>
      </w:r>
    </w:p>
    <w:p>
      <w:pPr>
        <w:spacing w:after="0" w:line="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w:t>
      </w:r>
    </w:p>
    <w:p>
      <w:pPr>
        <w:spacing w:after="0" w:line="153" w:lineRule="exact"/>
        <w:rPr>
          <w:sz w:val="20"/>
          <w:szCs w:val="20"/>
          <w:color w:val="auto"/>
        </w:rPr>
      </w:pPr>
    </w:p>
    <w:p>
      <w:pPr>
        <w:ind w:left="8" w:right="5220"/>
        <w:spacing w:after="0" w:line="298" w:lineRule="auto"/>
        <w:rPr>
          <w:sz w:val="20"/>
          <w:szCs w:val="20"/>
          <w:color w:val="auto"/>
        </w:rPr>
      </w:pPr>
      <w:r>
        <w:rPr>
          <w:rFonts w:ascii="Times New Roman" w:cs="Times New Roman" w:eastAsia="Times New Roman" w:hAnsi="Times New Roman"/>
          <w:sz w:val="11"/>
          <w:szCs w:val="11"/>
          <w:color w:val="auto"/>
        </w:rPr>
        <w:t>For the avoidance of doubt, the ********* license fees shall be calculated *************. For example, ***********************************************************************************************************</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46" w:lineRule="exact"/>
        <w:rPr>
          <w:sz w:val="20"/>
          <w:szCs w:val="20"/>
          <w:color w:val="auto"/>
        </w:rPr>
      </w:pPr>
    </w:p>
    <w:p>
      <w:pPr>
        <w:jc w:val="center"/>
        <w:ind w:right="-287"/>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89470"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7" w:right="299" w:bottom="1440" w:gutter="0" w:footer="0" w:header="0"/>
        </w:sectPr>
      </w:pPr>
    </w:p>
    <w:bookmarkStart w:id="191" w:name="page192"/>
    <w:bookmarkEnd w:id="191"/>
    <w:p>
      <w:pPr>
        <w:ind w:left="8"/>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Expense Ratio</w:t>
      </w:r>
      <w:r>
        <w:rPr>
          <w:rFonts w:ascii="Times New Roman" w:cs="Times New Roman" w:eastAsia="Times New Roman" w:hAnsi="Times New Roman"/>
          <w:sz w:val="11"/>
          <w:szCs w:val="11"/>
          <w:color w:val="auto"/>
        </w:rPr>
        <w:t>” shall mean the ********************************* obtained when dividing</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27" w:lineRule="exact"/>
        <w:rPr>
          <w:sz w:val="20"/>
          <w:szCs w:val="20"/>
          <w:color w:val="auto"/>
        </w:rPr>
      </w:pPr>
    </w:p>
    <w:p>
      <w:pPr>
        <w:ind w:left="8" w:right="5220"/>
        <w:spacing w:after="0" w:line="347" w:lineRule="auto"/>
        <w:rPr>
          <w:sz w:val="20"/>
          <w:szCs w:val="20"/>
          <w:color w:val="auto"/>
        </w:rPr>
      </w:pPr>
      <w:r>
        <w:rPr>
          <w:rFonts w:ascii="Times New Roman" w:cs="Times New Roman" w:eastAsia="Times New Roman" w:hAnsi="Times New Roman"/>
          <w:sz w:val="11"/>
          <w:szCs w:val="11"/>
          <w:color w:val="auto"/>
        </w:rPr>
        <w:t>*********************************************************************************************************** **************************** *************.</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Notwithstanding anything to the contrary contained herein, if any Fund does not have an ************* or if a Fund’s</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or if a Fund has an *********************, the ********* licensee fee for such Fund shall equal</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140" w:lineRule="exact"/>
        <w:rPr>
          <w:sz w:val="20"/>
          <w:szCs w:val="20"/>
          <w:color w:val="auto"/>
        </w:rPr>
      </w:pPr>
    </w:p>
    <w:p>
      <w:pPr>
        <w:ind w:left="428" w:hanging="428"/>
        <w:spacing w:after="0"/>
        <w:tabs>
          <w:tab w:leader="none" w:pos="428" w:val="left"/>
        </w:tabs>
        <w:numPr>
          <w:ilvl w:val="0"/>
          <w:numId w:val="2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Special Conditions:</w:t>
      </w:r>
    </w:p>
    <w:p>
      <w:pPr>
        <w:spacing w:after="0" w:line="135" w:lineRule="exact"/>
        <w:rPr>
          <w:sz w:val="20"/>
          <w:szCs w:val="20"/>
          <w:color w:val="auto"/>
        </w:rPr>
      </w:pPr>
    </w:p>
    <w:p>
      <w:pPr>
        <w:ind w:left="508" w:hanging="508"/>
        <w:spacing w:after="0"/>
        <w:tabs>
          <w:tab w:leader="none" w:pos="508" w:val="left"/>
        </w:tabs>
        <w:numPr>
          <w:ilvl w:val="0"/>
          <w:numId w:val="2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this Amendment conflicts with the Agreement, this Amendment shall control. No right or license of any kind is granted to licensee expect as expressly provided in the Agreement and this Amendment.</w:t>
      </w:r>
    </w:p>
    <w:p>
      <w:pPr>
        <w:spacing w:after="0" w:line="125" w:lineRule="exact"/>
        <w:rPr>
          <w:rFonts w:ascii="Times New Roman" w:cs="Times New Roman" w:eastAsia="Times New Roman" w:hAnsi="Times New Roman"/>
          <w:sz w:val="11"/>
          <w:szCs w:val="11"/>
          <w:color w:val="auto"/>
        </w:rPr>
      </w:pPr>
    </w:p>
    <w:p>
      <w:pPr>
        <w:ind w:left="8" w:right="180" w:hanging="8"/>
        <w:spacing w:after="0" w:line="296" w:lineRule="auto"/>
        <w:tabs>
          <w:tab w:leader="none" w:pos="525" w:val="left"/>
        </w:tabs>
        <w:numPr>
          <w:ilvl w:val="0"/>
          <w:numId w:val="2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the Index set forth in Section 1 if, within one (1) year of the date of this Amendment, Licensee does not list the iShares MSCI Emerging Markets Horizon ETF that is based on the MSCI Emerging Markets Horizon Index.</w:t>
      </w:r>
    </w:p>
    <w:p>
      <w:pPr>
        <w:spacing w:after="0" w:line="74" w:lineRule="exact"/>
        <w:rPr>
          <w:rFonts w:ascii="Times New Roman" w:cs="Times New Roman" w:eastAsia="Times New Roman" w:hAnsi="Times New Roman"/>
          <w:sz w:val="11"/>
          <w:szCs w:val="11"/>
          <w:color w:val="auto"/>
        </w:rPr>
      </w:pPr>
    </w:p>
    <w:p>
      <w:pPr>
        <w:ind w:left="8" w:right="120" w:hanging="8"/>
        <w:spacing w:after="0" w:line="296" w:lineRule="auto"/>
        <w:tabs>
          <w:tab w:leader="none" w:pos="519" w:val="left"/>
        </w:tabs>
        <w:numPr>
          <w:ilvl w:val="0"/>
          <w:numId w:val="2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Licensee delists the iShares MSCI Emerging Markets Horizon ETF, or changes the underlying Index for the iShares MSCI Emerging Markets Horizon ETF, Licensee’s right to use the relevant Index set forth in Section 1 with respect to such iShares MSCI Emerging Markets Horizon ETF shall automatically and immediately terminate.</w:t>
      </w:r>
    </w:p>
    <w:p>
      <w:pPr>
        <w:spacing w:after="0" w:line="83" w:lineRule="exact"/>
        <w:rPr>
          <w:rFonts w:ascii="Times New Roman" w:cs="Times New Roman" w:eastAsia="Times New Roman" w:hAnsi="Times New Roman"/>
          <w:sz w:val="11"/>
          <w:szCs w:val="11"/>
          <w:color w:val="auto"/>
        </w:rPr>
      </w:pPr>
    </w:p>
    <w:p>
      <w:pPr>
        <w:ind w:left="508" w:hanging="508"/>
        <w:spacing w:after="0"/>
        <w:tabs>
          <w:tab w:leader="none" w:pos="508" w:val="left"/>
        </w:tabs>
        <w:numPr>
          <w:ilvl w:val="0"/>
          <w:numId w:val="2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ACKNOWLEDGED AND AGREED:</w:t>
      </w:r>
    </w:p>
    <w:p>
      <w:pPr>
        <w:spacing w:after="0" w:line="1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LICENSEE: BlackRock Fund Advisors</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MSCI Inc.</w:t>
            </w:r>
          </w:p>
        </w:tc>
        <w:tc>
          <w:tcPr>
            <w:tcW w:w="3780" w:type="dxa"/>
            <w:vAlign w:val="bottom"/>
          </w:tcPr>
          <w:p>
            <w:pPr>
              <w:spacing w:after="0"/>
              <w:rPr>
                <w:sz w:val="12"/>
                <w:szCs w:val="12"/>
                <w:color w:val="auto"/>
              </w:rPr>
            </w:pPr>
          </w:p>
        </w:tc>
      </w:tr>
      <w:tr>
        <w:trPr>
          <w:trHeight w:val="259"/>
        </w:trPr>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Ravi Goutam</w:t>
            </w:r>
          </w:p>
        </w:tc>
        <w:tc>
          <w:tcPr>
            <w:tcW w:w="3160" w:type="dxa"/>
            <w:vAlign w:val="bottom"/>
            <w:tcBorders>
              <w:bottom w:val="single" w:sz="8" w:color="auto"/>
            </w:tcBorders>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David Kinzelberg</w:t>
            </w: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2980" w:type="dxa"/>
            <w:vAlign w:val="bottom"/>
          </w:tcPr>
          <w:p>
            <w:pPr>
              <w:spacing w:after="0"/>
              <w:rPr>
                <w:sz w:val="20"/>
                <w:szCs w:val="20"/>
                <w:color w:val="auto"/>
              </w:rPr>
            </w:pPr>
            <w:r>
              <w:rPr>
                <w:rFonts w:ascii="Times New Roman" w:cs="Times New Roman" w:eastAsia="Times New Roman" w:hAnsi="Times New Roman"/>
                <w:sz w:val="11"/>
                <w:szCs w:val="11"/>
                <w:color w:val="auto"/>
              </w:rPr>
              <w:t>Ravi Goutam</w:t>
            </w:r>
          </w:p>
        </w:tc>
        <w:tc>
          <w:tcPr>
            <w:tcW w:w="316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David Kinzelberg</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1"/>
                <w:szCs w:val="11"/>
                <w:color w:val="auto"/>
              </w:rPr>
              <w:t>Managing Director</w:t>
            </w:r>
          </w:p>
        </w:tc>
        <w:tc>
          <w:tcPr>
            <w:tcW w:w="3160" w:type="dxa"/>
            <w:vAlign w:val="bottom"/>
          </w:tcPr>
          <w:p>
            <w:pPr>
              <w:spacing w:after="0"/>
              <w:rPr>
                <w:sz w:val="23"/>
                <w:szCs w:val="23"/>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29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August 8, 2014</w:t>
            </w:r>
          </w:p>
        </w:tc>
      </w:tr>
      <w:tr>
        <w:trPr>
          <w:trHeight w:val="425"/>
        </w:trPr>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60" w:type="dxa"/>
            <w:vAlign w:val="bottom"/>
          </w:tcPr>
          <w:p>
            <w:pPr>
              <w:jc w:val="right"/>
              <w:ind w:right="843"/>
              <w:spacing w:after="0"/>
              <w:rPr>
                <w:sz w:val="20"/>
                <w:szCs w:val="20"/>
                <w:color w:val="auto"/>
              </w:rPr>
            </w:pPr>
            <w:r>
              <w:rPr>
                <w:rFonts w:ascii="Arial" w:cs="Arial" w:eastAsia="Arial" w:hAnsi="Arial"/>
                <w:sz w:val="11"/>
                <w:szCs w:val="11"/>
                <w:color w:val="auto"/>
              </w:rPr>
              <w:t>2/2</w:t>
            </w:r>
          </w:p>
        </w:tc>
        <w:tc>
          <w:tcPr>
            <w:tcW w:w="76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ectPr>
          <w:pgSz w:w="11900" w:h="16838" w:orient="portrait"/>
          <w:cols w:equalWidth="0" w:num="1">
            <w:col w:w="11308"/>
          </w:cols>
          <w:pgMar w:left="292" w:top="440" w:right="299" w:bottom="1440" w:gutter="0" w:footer="0" w:header="0"/>
        </w:sectPr>
      </w:pPr>
    </w:p>
    <w:bookmarkStart w:id="192" w:name="page193"/>
    <w:bookmarkEnd w:id="192"/>
    <w:p>
      <w:pPr>
        <w:ind w:left="10668"/>
        <w:spacing w:after="0"/>
        <w:rPr>
          <w:sz w:val="20"/>
          <w:szCs w:val="20"/>
          <w:color w:val="auto"/>
        </w:rPr>
      </w:pPr>
      <w:r>
        <w:rPr>
          <w:rFonts w:ascii="Times New Roman" w:cs="Times New Roman" w:eastAsia="Times New Roman" w:hAnsi="Times New Roman"/>
          <w:sz w:val="11"/>
          <w:szCs w:val="11"/>
          <w:b w:val="1"/>
          <w:bCs w:val="1"/>
          <w:color w:val="auto"/>
        </w:rPr>
        <w:t>Exhibit 10.90</w:t>
      </w:r>
    </w:p>
    <w:p>
      <w:pPr>
        <w:spacing w:after="0" w:line="145" w:lineRule="exact"/>
        <w:rPr>
          <w:sz w:val="20"/>
          <w:szCs w:val="20"/>
          <w:color w:val="auto"/>
        </w:rPr>
      </w:pPr>
    </w:p>
    <w:p>
      <w:pPr>
        <w:ind w:left="8" w:hanging="8"/>
        <w:spacing w:after="0" w:line="286" w:lineRule="auto"/>
        <w:tabs>
          <w:tab w:leader="none" w:pos="220" w:val="left"/>
        </w:tabs>
        <w:numPr>
          <w:ilvl w:val="0"/>
          <w:numId w:val="2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A.N.:130339</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AMD_00133694.0</w:t>
      </w:r>
    </w:p>
    <w:p>
      <w:pPr>
        <w:spacing w:after="0" w:line="90"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July 16, 2014</w:t>
      </w:r>
    </w:p>
    <w:p>
      <w:pPr>
        <w:spacing w:after="0" w:line="54" w:lineRule="exact"/>
        <w:rPr>
          <w:sz w:val="20"/>
          <w:szCs w:val="20"/>
          <w:color w:val="auto"/>
        </w:rPr>
      </w:pPr>
    </w:p>
    <w:p>
      <w:pPr>
        <w:jc w:val="both"/>
        <w:ind w:left="8" w:right="180"/>
        <w:spacing w:after="0" w:line="276" w:lineRule="auto"/>
        <w:rPr>
          <w:sz w:val="20"/>
          <w:szCs w:val="20"/>
          <w:color w:val="auto"/>
        </w:rPr>
      </w:pPr>
      <w:r>
        <w:rPr>
          <w:rFonts w:ascii="Times New Roman" w:cs="Times New Roman" w:eastAsia="Times New Roman" w:hAnsi="Times New Roman"/>
          <w:sz w:val="11"/>
          <w:szCs w:val="11"/>
          <w:color w:val="auto"/>
        </w:rPr>
        <w:t>This AMENDMENT (the “</w:t>
      </w:r>
      <w:r>
        <w:rPr>
          <w:rFonts w:ascii="Times New Roman" w:cs="Times New Roman" w:eastAsia="Times New Roman" w:hAnsi="Times New Roman"/>
          <w:sz w:val="11"/>
          <w:szCs w:val="11"/>
          <w:u w:val="single" w:color="auto"/>
          <w:color w:val="auto"/>
        </w:rPr>
        <w:t>A mendment</w:t>
      </w:r>
      <w:r>
        <w:rPr>
          <w:rFonts w:ascii="Times New Roman" w:cs="Times New Roman" w:eastAsia="Times New Roman" w:hAnsi="Times New Roman"/>
          <w:sz w:val="11"/>
          <w:szCs w:val="11"/>
          <w:color w:val="auto"/>
        </w:rPr>
        <w:t>”) to the Index License Agreement for Funds (MSCI reference number IXF_00040) dated as of March 18, 2000 (as previously amended, the “</w:t>
      </w:r>
      <w:r>
        <w:rPr>
          <w:rFonts w:ascii="Times New Roman" w:cs="Times New Roman" w:eastAsia="Times New Roman" w:hAnsi="Times New Roman"/>
          <w:sz w:val="11"/>
          <w:szCs w:val="11"/>
          <w:u w:val="single" w:color="auto"/>
          <w:color w:val="auto"/>
        </w:rPr>
        <w:t>Agreement</w:t>
      </w:r>
      <w:r>
        <w:rPr>
          <w:rFonts w:ascii="Times New Roman" w:cs="Times New Roman" w:eastAsia="Times New Roman" w:hAnsi="Times New Roman"/>
          <w:sz w:val="11"/>
          <w:szCs w:val="11"/>
          <w:color w:val="auto"/>
        </w:rPr>
        <w:t>”) is made by and between MSCI Inc. (formerly known as Morgan Stanley Capital International Inc.) (“MSCI”) and BlackRock Fund Advisors, a California corporation (as successor to Barclays Global Investors, N.A.) (“Licensee”). Capitalized terms used but not defined herein shall have the meanings ascribed to them in the Agreement.</w:t>
      </w:r>
    </w:p>
    <w:p>
      <w:pPr>
        <w:spacing w:after="0" w:line="104" w:lineRule="exact"/>
        <w:rPr>
          <w:sz w:val="20"/>
          <w:szCs w:val="20"/>
          <w:color w:val="auto"/>
        </w:rPr>
      </w:pPr>
    </w:p>
    <w:p>
      <w:pPr>
        <w:ind w:left="428" w:hanging="428"/>
        <w:spacing w:after="0"/>
        <w:tabs>
          <w:tab w:leader="none" w:pos="428" w:val="left"/>
        </w:tabs>
        <w:numPr>
          <w:ilvl w:val="0"/>
          <w:numId w:val="2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w:t>
      </w:r>
    </w:p>
    <w:p>
      <w:pPr>
        <w:spacing w:after="0" w:line="72" w:lineRule="exact"/>
        <w:rPr>
          <w:sz w:val="20"/>
          <w:szCs w:val="20"/>
          <w:color w:val="auto"/>
        </w:rPr>
      </w:pPr>
    </w:p>
    <w:p>
      <w:pPr>
        <w:ind w:left="1548" w:hanging="522"/>
        <w:spacing w:after="0"/>
        <w:tabs>
          <w:tab w:leader="none" w:pos="1548" w:val="left"/>
        </w:tabs>
        <w:numPr>
          <w:ilvl w:val="0"/>
          <w:numId w:val="2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China A International Index</w:t>
      </w:r>
    </w:p>
    <w:p>
      <w:pPr>
        <w:spacing w:after="0" w:line="72" w:lineRule="exact"/>
        <w:rPr>
          <w:sz w:val="20"/>
          <w:szCs w:val="20"/>
          <w:color w:val="auto"/>
        </w:rPr>
      </w:pPr>
    </w:p>
    <w:p>
      <w:pPr>
        <w:ind w:left="1028"/>
        <w:spacing w:after="0"/>
        <w:rPr>
          <w:sz w:val="20"/>
          <w:szCs w:val="20"/>
          <w:color w:val="auto"/>
        </w:rPr>
      </w:pPr>
      <w:r>
        <w:rPr>
          <w:rFonts w:ascii="Times New Roman" w:cs="Times New Roman" w:eastAsia="Times New Roman" w:hAnsi="Times New Roman"/>
          <w:sz w:val="11"/>
          <w:szCs w:val="11"/>
          <w:color w:val="auto"/>
        </w:rPr>
        <w:t>Or such other index(es) as agreed by Licensee and MSCI in writing.</w:t>
      </w:r>
    </w:p>
    <w:p>
      <w:pPr>
        <w:spacing w:after="0" w:line="72" w:lineRule="exact"/>
        <w:rPr>
          <w:sz w:val="20"/>
          <w:szCs w:val="20"/>
          <w:color w:val="auto"/>
        </w:rPr>
      </w:pPr>
    </w:p>
    <w:p>
      <w:pPr>
        <w:ind w:left="428" w:hanging="428"/>
        <w:spacing w:after="0"/>
        <w:tabs>
          <w:tab w:leader="none" w:pos="428" w:val="left"/>
        </w:tabs>
        <w:numPr>
          <w:ilvl w:val="0"/>
          <w:numId w:val="2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may use the Index set forth in Section 1 above solely with respect to the following Fund. This fund shall also be a “Fund” as such term is defined in the Agreement:</w:t>
      </w:r>
    </w:p>
    <w:p>
      <w:pPr>
        <w:spacing w:after="0" w:line="71" w:lineRule="exact"/>
        <w:rPr>
          <w:rFonts w:ascii="Times New Roman" w:cs="Times New Roman" w:eastAsia="Times New Roman" w:hAnsi="Times New Roman"/>
          <w:sz w:val="11"/>
          <w:szCs w:val="11"/>
          <w:color w:val="auto"/>
        </w:rPr>
      </w:pPr>
    </w:p>
    <w:p>
      <w:pPr>
        <w:ind w:left="1548" w:hanging="522"/>
        <w:spacing w:after="0"/>
        <w:tabs>
          <w:tab w:leader="none" w:pos="1548" w:val="left"/>
        </w:tabs>
        <w:numPr>
          <w:ilvl w:val="1"/>
          <w:numId w:val="2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China A ETF</w:t>
      </w:r>
    </w:p>
    <w:p>
      <w:pPr>
        <w:spacing w:after="0" w:line="72" w:lineRule="exact"/>
        <w:rPr>
          <w:sz w:val="20"/>
          <w:szCs w:val="20"/>
          <w:color w:val="auto"/>
        </w:rPr>
      </w:pPr>
    </w:p>
    <w:p>
      <w:pPr>
        <w:ind w:left="1028"/>
        <w:spacing w:after="0"/>
        <w:rPr>
          <w:sz w:val="20"/>
          <w:szCs w:val="20"/>
          <w:color w:val="auto"/>
        </w:rPr>
      </w:pPr>
      <w:r>
        <w:rPr>
          <w:rFonts w:ascii="Times New Roman" w:cs="Times New Roman" w:eastAsia="Times New Roman" w:hAnsi="Times New Roman"/>
          <w:sz w:val="11"/>
          <w:szCs w:val="11"/>
          <w:color w:val="auto"/>
        </w:rPr>
        <w:t>Or such other names(s) as agreed by Licensee and MSCI in writing.</w:t>
      </w:r>
    </w:p>
    <w:p>
      <w:pPr>
        <w:spacing w:after="0" w:line="6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The iShares MSCI China A ETF shall be an exchange traded index fund listed on a national securities exchange located in the United States.</w:t>
      </w:r>
    </w:p>
    <w:p>
      <w:pPr>
        <w:spacing w:after="0" w:line="63" w:lineRule="exact"/>
        <w:rPr>
          <w:sz w:val="20"/>
          <w:szCs w:val="20"/>
          <w:color w:val="auto"/>
        </w:rPr>
      </w:pPr>
    </w:p>
    <w:p>
      <w:pPr>
        <w:ind w:left="428" w:hanging="428"/>
        <w:spacing w:after="0"/>
        <w:tabs>
          <w:tab w:leader="none" w:pos="428" w:val="left"/>
        </w:tabs>
        <w:numPr>
          <w:ilvl w:val="0"/>
          <w:numId w:val="2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pay MSCI a ********* license fee for the Fund based on the Fund’s</w:t>
      </w:r>
    </w:p>
    <w:p>
      <w:pPr>
        <w:spacing w:after="0" w:line="21"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which fee shall be due and payable on a ************************. The</w:t>
      </w:r>
    </w:p>
    <w:p>
      <w:pPr>
        <w:spacing w:after="0" w:line="17"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license fee shall be calculated ***************************************************************</w:t>
      </w:r>
    </w:p>
    <w:p>
      <w:pPr>
        <w:spacing w:after="0" w:line="17"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22"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as follows:</w:t>
      </w:r>
    </w:p>
    <w:p>
      <w:pPr>
        <w:spacing w:after="0" w:line="117" w:lineRule="exact"/>
        <w:rPr>
          <w:sz w:val="20"/>
          <w:szCs w:val="20"/>
          <w:color w:val="auto"/>
        </w:rPr>
      </w:pPr>
    </w:p>
    <w:p>
      <w:pPr>
        <w:ind w:left="5048"/>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ind w:left="5028"/>
        <w:spacing w:after="0"/>
        <w:rPr>
          <w:sz w:val="20"/>
          <w:szCs w:val="20"/>
          <w:color w:val="auto"/>
        </w:rPr>
      </w:pPr>
      <w:r>
        <w:rPr>
          <w:rFonts w:ascii="Times New Roman" w:cs="Times New Roman" w:eastAsia="Times New Roman" w:hAnsi="Times New Roman"/>
          <w:sz w:val="11"/>
          <w:szCs w:val="11"/>
          <w:color w:val="auto"/>
        </w:rPr>
        <w:t>**********************</w:t>
      </w:r>
    </w:p>
    <w:p>
      <w:pPr>
        <w:spacing w:after="0" w:line="18" w:lineRule="exact"/>
        <w:rPr>
          <w:sz w:val="20"/>
          <w:szCs w:val="20"/>
          <w:color w:val="auto"/>
        </w:rPr>
      </w:pPr>
    </w:p>
    <w:p>
      <w:pPr>
        <w:ind w:left="5048"/>
        <w:spacing w:after="0"/>
        <w:rPr>
          <w:sz w:val="20"/>
          <w:szCs w:val="20"/>
          <w:color w:val="auto"/>
        </w:rPr>
      </w:pPr>
      <w:r>
        <w:rPr>
          <w:rFonts w:ascii="Times New Roman" w:cs="Times New Roman" w:eastAsia="Times New Roman" w:hAnsi="Times New Roman"/>
          <w:sz w:val="11"/>
          <w:szCs w:val="11"/>
          <w:color w:val="auto"/>
        </w:rPr>
        <w:t>*********************</w:t>
      </w:r>
    </w:p>
    <w:p>
      <w:pPr>
        <w:spacing w:after="0" w:line="11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For the avoidance of doubt, the ********* license fees shall be calculated *************. For example,</w:t>
      </w:r>
    </w:p>
    <w:p>
      <w:pPr>
        <w:spacing w:after="0" w:line="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w:t>
      </w:r>
    </w:p>
    <w:p>
      <w:pPr>
        <w:spacing w:after="0" w:line="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w:t>
      </w:r>
    </w:p>
    <w:p>
      <w:pPr>
        <w:spacing w:after="0" w:line="23" w:lineRule="exact"/>
        <w:rPr>
          <w:sz w:val="20"/>
          <w:szCs w:val="20"/>
          <w:color w:val="auto"/>
        </w:rPr>
      </w:pPr>
    </w:p>
    <w:p>
      <w:pPr>
        <w:ind w:left="428" w:right="4500"/>
        <w:spacing w:after="0" w:line="313" w:lineRule="auto"/>
        <w:rPr>
          <w:sz w:val="20"/>
          <w:szCs w:val="20"/>
          <w:color w:val="auto"/>
        </w:rPr>
      </w:pPr>
      <w:r>
        <w:rPr>
          <w:rFonts w:ascii="Times New Roman" w:cs="Times New Roman" w:eastAsia="Times New Roman" w:hAnsi="Times New Roman"/>
          <w:sz w:val="11"/>
          <w:szCs w:val="11"/>
          <w:color w:val="auto"/>
        </w:rPr>
        <w:t>**************************************************************************************************************** ******************************************************************.</w:t>
      </w:r>
    </w:p>
    <w:p>
      <w:pPr>
        <w:spacing w:after="0" w:line="28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89470" cy="11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7" w:right="299" w:bottom="1440" w:gutter="0" w:footer="0" w:header="0"/>
        </w:sectPr>
      </w:pPr>
    </w:p>
    <w:bookmarkStart w:id="193" w:name="page194"/>
    <w:bookmarkEnd w:id="193"/>
    <w:p>
      <w:pPr>
        <w:ind w:left="1128"/>
        <w:spacing w:after="0"/>
        <w:rPr>
          <w:sz w:val="20"/>
          <w:szCs w:val="20"/>
          <w:color w:val="auto"/>
        </w:rPr>
      </w:pPr>
      <w:r>
        <w:rPr>
          <w:rFonts w:ascii="Times New Roman" w:cs="Times New Roman" w:eastAsia="Times New Roman" w:hAnsi="Times New Roman"/>
          <w:sz w:val="11"/>
          <w:szCs w:val="11"/>
          <w:color w:val="auto"/>
        </w:rPr>
        <w:t>“Expense Ratio” shall mean the ********************************* obtained when dividing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-19050</wp:posOffset>
            </wp:positionV>
            <wp:extent cx="445770" cy="114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6">
                      <a:extLst>
                        <a:ext uri="{28A0092B-C50C-407E-A947-70E740481C1C}"/>
                      </a:extLst>
                    </a:blip>
                    <a:srcRect/>
                    <a:stretch>
                      <a:fillRect/>
                    </a:stretch>
                  </pic:blipFill>
                  <pic:spPr bwMode="auto">
                    <a:xfrm>
                      <a:off x="0" y="0"/>
                      <a:ext cx="445770" cy="11430"/>
                    </a:xfrm>
                    <a:prstGeom prst="rect">
                      <a:avLst/>
                    </a:prstGeom>
                    <a:noFill/>
                  </pic:spPr>
                </pic:pic>
              </a:graphicData>
            </a:graphic>
          </wp:anchor>
        </w:drawing>
      </w:r>
    </w:p>
    <w:p>
      <w:pPr>
        <w:spacing w:after="0" w:line="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w:t>
      </w:r>
    </w:p>
    <w:p>
      <w:pPr>
        <w:spacing w:after="0" w:line="23" w:lineRule="exact"/>
        <w:rPr>
          <w:sz w:val="20"/>
          <w:szCs w:val="20"/>
          <w:color w:val="auto"/>
        </w:rPr>
      </w:pPr>
    </w:p>
    <w:p>
      <w:pPr>
        <w:ind w:left="428" w:right="5120"/>
        <w:spacing w:after="0" w:line="313" w:lineRule="auto"/>
        <w:rPr>
          <w:sz w:val="20"/>
          <w:szCs w:val="20"/>
          <w:color w:val="auto"/>
        </w:rPr>
      </w:pPr>
      <w:r>
        <w:rPr>
          <w:rFonts w:ascii="Times New Roman" w:cs="Times New Roman" w:eastAsia="Times New Roman" w:hAnsi="Times New Roman"/>
          <w:sz w:val="11"/>
          <w:szCs w:val="11"/>
          <w:color w:val="auto"/>
        </w:rPr>
        <w:t>***************************************************************************************************** *****************************************************.</w:t>
      </w:r>
    </w:p>
    <w:p>
      <w:pPr>
        <w:spacing w:after="0" w:line="12" w:lineRule="exact"/>
        <w:rPr>
          <w:sz w:val="20"/>
          <w:szCs w:val="20"/>
          <w:color w:val="auto"/>
        </w:rPr>
      </w:pPr>
    </w:p>
    <w:p>
      <w:pPr>
        <w:ind w:left="428" w:right="4980"/>
        <w:spacing w:after="0" w:line="293" w:lineRule="auto"/>
        <w:rPr>
          <w:sz w:val="20"/>
          <w:szCs w:val="20"/>
          <w:color w:val="auto"/>
        </w:rPr>
      </w:pPr>
      <w:r>
        <w:rPr>
          <w:rFonts w:ascii="Times New Roman" w:cs="Times New Roman" w:eastAsia="Times New Roman" w:hAnsi="Times New Roman"/>
          <w:sz w:val="11"/>
          <w:szCs w:val="11"/>
          <w:color w:val="auto"/>
        </w:rPr>
        <w:t>Notwithstanding anything to the contrary contained herein, if any Fund does not have an ************* or if a Fund’s ************* cannot be calculated or if a Fund has an ************* of zero, the ********* licensee fee for such Fund shall *****************************************************************************************.</w:t>
      </w:r>
    </w:p>
    <w:p>
      <w:pPr>
        <w:spacing w:after="0" w:line="23" w:lineRule="exact"/>
        <w:rPr>
          <w:sz w:val="20"/>
          <w:szCs w:val="20"/>
          <w:color w:val="auto"/>
        </w:rPr>
      </w:pPr>
    </w:p>
    <w:p>
      <w:pPr>
        <w:ind w:left="428" w:hanging="428"/>
        <w:spacing w:after="0"/>
        <w:tabs>
          <w:tab w:leader="none" w:pos="428" w:val="left"/>
        </w:tabs>
        <w:numPr>
          <w:ilvl w:val="0"/>
          <w:numId w:val="2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Special Conditions:</w:t>
      </w:r>
    </w:p>
    <w:p>
      <w:pPr>
        <w:spacing w:after="0" w:line="72" w:lineRule="exact"/>
        <w:rPr>
          <w:sz w:val="20"/>
          <w:szCs w:val="20"/>
          <w:color w:val="auto"/>
        </w:rPr>
      </w:pPr>
    </w:p>
    <w:p>
      <w:pPr>
        <w:ind w:left="508" w:hanging="508"/>
        <w:spacing w:after="0"/>
        <w:tabs>
          <w:tab w:leader="none" w:pos="508" w:val="left"/>
        </w:tabs>
        <w:numPr>
          <w:ilvl w:val="0"/>
          <w:numId w:val="2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this Amendment conflicts with the Agreement, this Amendment shall control. No right or license of any kind is granted to Licensee except as expressly provided in the Agreement and this Amendment.</w:t>
      </w:r>
    </w:p>
    <w:p>
      <w:pPr>
        <w:spacing w:after="0" w:line="71" w:lineRule="exact"/>
        <w:rPr>
          <w:rFonts w:ascii="Times New Roman" w:cs="Times New Roman" w:eastAsia="Times New Roman" w:hAnsi="Times New Roman"/>
          <w:sz w:val="11"/>
          <w:szCs w:val="11"/>
          <w:color w:val="auto"/>
        </w:rPr>
      </w:pPr>
    </w:p>
    <w:p>
      <w:pPr>
        <w:ind w:left="8" w:right="320" w:hanging="8"/>
        <w:spacing w:after="0" w:line="296" w:lineRule="auto"/>
        <w:tabs>
          <w:tab w:leader="none" w:pos="525" w:val="left"/>
        </w:tabs>
        <w:numPr>
          <w:ilvl w:val="0"/>
          <w:numId w:val="2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the Index set forth in Section 1 if, within one (1) year of the date of this Amendment, Licensee does not list the iShares MSCI China A ETF that is based on the MSCI China A International Index.</w:t>
      </w:r>
    </w:p>
    <w:p>
      <w:pPr>
        <w:spacing w:after="0" w:line="11" w:lineRule="exact"/>
        <w:rPr>
          <w:rFonts w:ascii="Times New Roman" w:cs="Times New Roman" w:eastAsia="Times New Roman" w:hAnsi="Times New Roman"/>
          <w:sz w:val="11"/>
          <w:szCs w:val="11"/>
          <w:color w:val="auto"/>
        </w:rPr>
      </w:pPr>
    </w:p>
    <w:p>
      <w:pPr>
        <w:ind w:left="8" w:right="180" w:hanging="8"/>
        <w:spacing w:after="0" w:line="296" w:lineRule="auto"/>
        <w:tabs>
          <w:tab w:leader="none" w:pos="519" w:val="left"/>
        </w:tabs>
        <w:numPr>
          <w:ilvl w:val="0"/>
          <w:numId w:val="2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Licensee delists the iShares MSCI China A ETF, or changes the underlying Index for the iShares MSCI China A ETF, Licensee’s right to use the relevant Index set forth in Section 1 with respect to such iShares MSCI China A ETF shall automatically and immediately terminate.</w:t>
      </w:r>
    </w:p>
    <w:p>
      <w:pPr>
        <w:spacing w:after="0" w:line="20" w:lineRule="exact"/>
        <w:rPr>
          <w:rFonts w:ascii="Times New Roman" w:cs="Times New Roman" w:eastAsia="Times New Roman" w:hAnsi="Times New Roman"/>
          <w:sz w:val="11"/>
          <w:szCs w:val="11"/>
          <w:color w:val="auto"/>
        </w:rPr>
      </w:pPr>
    </w:p>
    <w:p>
      <w:pPr>
        <w:ind w:left="508" w:hanging="508"/>
        <w:spacing w:after="0"/>
        <w:tabs>
          <w:tab w:leader="none" w:pos="508" w:val="left"/>
        </w:tabs>
        <w:numPr>
          <w:ilvl w:val="0"/>
          <w:numId w:val="2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3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ACKNOWLEDGED AND AGREED</w:t>
            </w:r>
          </w:p>
        </w:tc>
        <w:tc>
          <w:tcPr>
            <w:tcW w:w="5600" w:type="dxa"/>
            <w:vAlign w:val="bottom"/>
            <w:vMerge w:val="restart"/>
          </w:tcPr>
          <w:p>
            <w:pPr>
              <w:ind w:left="5000"/>
              <w:spacing w:after="0"/>
              <w:rPr>
                <w:sz w:val="20"/>
                <w:szCs w:val="20"/>
                <w:color w:val="auto"/>
              </w:rPr>
            </w:pPr>
            <w:r>
              <w:rPr>
                <w:rFonts w:ascii="Times New Roman" w:cs="Times New Roman" w:eastAsia="Times New Roman" w:hAnsi="Times New Roman"/>
                <w:sz w:val="11"/>
                <w:szCs w:val="11"/>
                <w:color w:val="auto"/>
              </w:rPr>
              <w:t>MSCI INC.</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LICENSEE: BlackRock Fund Advisors</w:t>
            </w:r>
          </w:p>
        </w:tc>
        <w:tc>
          <w:tcPr>
            <w:tcW w:w="5600" w:type="dxa"/>
            <w:vAlign w:val="bottom"/>
            <w:vMerge w:val="continue"/>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3300" w:type="dxa"/>
            <w:vAlign w:val="bottom"/>
            <w:gridSpan w:val="2"/>
            <w:vMerge w:val="continue"/>
          </w:tcPr>
          <w:p>
            <w:pPr>
              <w:spacing w:after="0"/>
              <w:rPr>
                <w:sz w:val="5"/>
                <w:szCs w:val="5"/>
                <w:color w:val="auto"/>
              </w:rPr>
            </w:pPr>
          </w:p>
        </w:tc>
        <w:tc>
          <w:tcPr>
            <w:tcW w:w="56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Ravi Goutam</w:t>
            </w:r>
          </w:p>
        </w:tc>
        <w:tc>
          <w:tcPr>
            <w:tcW w:w="5600" w:type="dxa"/>
            <w:vAlign w:val="bottom"/>
          </w:tcPr>
          <w:p>
            <w:pPr>
              <w:ind w:left="5000"/>
              <w:spacing w:after="0"/>
              <w:rPr>
                <w:sz w:val="20"/>
                <w:szCs w:val="20"/>
                <w:color w:val="auto"/>
              </w:rPr>
            </w:pPr>
            <w:r>
              <w:rPr>
                <w:rFonts w:ascii="Times New Roman" w:cs="Times New Roman" w:eastAsia="Times New Roman" w:hAnsi="Times New Roman"/>
                <w:sz w:val="11"/>
                <w:szCs w:val="11"/>
                <w:color w:val="auto"/>
              </w:rPr>
              <w:t>By</w:t>
            </w: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David Kinzelberg</w:t>
            </w:r>
          </w:p>
        </w:tc>
        <w:tc>
          <w:tcPr>
            <w:tcW w:w="0" w:type="dxa"/>
            <w:vAlign w:val="bottom"/>
          </w:tcPr>
          <w:p>
            <w:pPr>
              <w:spacing w:after="0"/>
              <w:rPr>
                <w:sz w:val="1"/>
                <w:szCs w:val="1"/>
                <w:color w:val="auto"/>
              </w:rPr>
            </w:pPr>
          </w:p>
        </w:tc>
      </w:tr>
      <w:tr>
        <w:trPr>
          <w:trHeight w:val="111"/>
        </w:trPr>
        <w:tc>
          <w:tcPr>
            <w:tcW w:w="48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282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Ravi Goutam</w:t>
            </w:r>
          </w:p>
        </w:tc>
        <w:tc>
          <w:tcPr>
            <w:tcW w:w="5600" w:type="dxa"/>
            <w:vAlign w:val="bottom"/>
          </w:tcPr>
          <w:p>
            <w:pPr>
              <w:ind w:left="5000"/>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240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David Kinzelberg</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2820" w:type="dxa"/>
            <w:vAlign w:val="bottom"/>
          </w:tcPr>
          <w:p>
            <w:pPr>
              <w:spacing w:after="0"/>
              <w:rPr>
                <w:sz w:val="20"/>
                <w:szCs w:val="20"/>
                <w:color w:val="auto"/>
              </w:rPr>
            </w:pPr>
            <w:r>
              <w:rPr>
                <w:rFonts w:ascii="Times New Roman" w:cs="Times New Roman" w:eastAsia="Times New Roman" w:hAnsi="Times New Roman"/>
                <w:sz w:val="11"/>
                <w:szCs w:val="11"/>
                <w:color w:val="auto"/>
              </w:rPr>
              <w:t>Managing Director</w:t>
            </w:r>
          </w:p>
        </w:tc>
        <w:tc>
          <w:tcPr>
            <w:tcW w:w="5600" w:type="dxa"/>
            <w:vAlign w:val="bottom"/>
          </w:tcPr>
          <w:p>
            <w:pPr>
              <w:ind w:left="5000"/>
              <w:spacing w:after="0"/>
              <w:rPr>
                <w:sz w:val="20"/>
                <w:szCs w:val="20"/>
                <w:color w:val="auto"/>
              </w:rPr>
            </w:pPr>
            <w:r>
              <w:rPr>
                <w:rFonts w:ascii="Times New Roman" w:cs="Times New Roman" w:eastAsia="Times New Roman" w:hAnsi="Times New Roman"/>
                <w:sz w:val="11"/>
                <w:szCs w:val="11"/>
                <w:color w:val="auto"/>
              </w:rPr>
              <w:t>Title</w:t>
            </w:r>
          </w:p>
        </w:tc>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2820" w:type="dxa"/>
            <w:vAlign w:val="bottom"/>
          </w:tcPr>
          <w:p>
            <w:pPr>
              <w:spacing w:after="0"/>
              <w:rPr>
                <w:sz w:val="12"/>
                <w:szCs w:val="12"/>
                <w:color w:val="auto"/>
              </w:rPr>
            </w:pPr>
          </w:p>
        </w:tc>
        <w:tc>
          <w:tcPr>
            <w:tcW w:w="5600" w:type="dxa"/>
            <w:vAlign w:val="bottom"/>
          </w:tcPr>
          <w:p>
            <w:pPr>
              <w:ind w:left="5000"/>
              <w:spacing w:after="0"/>
              <w:rPr>
                <w:sz w:val="20"/>
                <w:szCs w:val="20"/>
                <w:color w:val="auto"/>
              </w:rPr>
            </w:pPr>
            <w:r>
              <w:rPr>
                <w:rFonts w:ascii="Times New Roman" w:cs="Times New Roman" w:eastAsia="Times New Roman" w:hAnsi="Times New Roman"/>
                <w:sz w:val="11"/>
                <w:szCs w:val="11"/>
                <w:color w:val="auto"/>
              </w:rPr>
              <w:t>Date</w:t>
            </w:r>
          </w:p>
        </w:tc>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Aug 7,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308"/>
          </w:cols>
          <w:pgMar w:left="292" w:top="269" w:right="299" w:bottom="1440" w:gutter="0" w:footer="0" w:header="0"/>
        </w:sectPr>
      </w:pPr>
    </w:p>
    <w:bookmarkStart w:id="194" w:name="page195"/>
    <w:bookmarkEnd w:id="194"/>
    <w:p>
      <w:pPr>
        <w:ind w:left="10668"/>
        <w:spacing w:after="0"/>
        <w:rPr>
          <w:sz w:val="20"/>
          <w:szCs w:val="20"/>
          <w:color w:val="auto"/>
        </w:rPr>
      </w:pPr>
      <w:r>
        <w:rPr>
          <w:rFonts w:ascii="Times New Roman" w:cs="Times New Roman" w:eastAsia="Times New Roman" w:hAnsi="Times New Roman"/>
          <w:sz w:val="11"/>
          <w:szCs w:val="11"/>
          <w:b w:val="1"/>
          <w:bCs w:val="1"/>
          <w:color w:val="auto"/>
        </w:rPr>
        <w:t>Exhibit 10.91</w:t>
      </w:r>
    </w:p>
    <w:p>
      <w:pPr>
        <w:spacing w:after="0" w:line="154" w:lineRule="exact"/>
        <w:rPr>
          <w:sz w:val="20"/>
          <w:szCs w:val="20"/>
          <w:color w:val="auto"/>
        </w:rPr>
      </w:pPr>
    </w:p>
    <w:p>
      <w:pPr>
        <w:ind w:left="8" w:hanging="8"/>
        <w:spacing w:after="0" w:line="261" w:lineRule="auto"/>
        <w:tabs>
          <w:tab w:leader="none" w:pos="220" w:val="left"/>
        </w:tabs>
        <w:numPr>
          <w:ilvl w:val="0"/>
          <w:numId w:val="2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jc w:val="right"/>
        <w:spacing w:after="0"/>
        <w:rPr>
          <w:sz w:val="20"/>
          <w:szCs w:val="20"/>
          <w:color w:val="auto"/>
        </w:rPr>
      </w:pPr>
      <w:r>
        <w:rPr>
          <w:rFonts w:ascii="Times New Roman" w:cs="Times New Roman" w:eastAsia="Times New Roman" w:hAnsi="Times New Roman"/>
          <w:sz w:val="11"/>
          <w:szCs w:val="11"/>
          <w:color w:val="auto"/>
        </w:rPr>
        <w:t>A.N.:130339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AMD_00135107.0</w:t>
      </w:r>
    </w:p>
    <w:p>
      <w:pPr>
        <w:spacing w:after="0" w:line="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August 15, 2014</w:t>
      </w:r>
    </w:p>
    <w:p>
      <w:pPr>
        <w:spacing w:after="0" w:line="126" w:lineRule="exact"/>
        <w:rPr>
          <w:sz w:val="20"/>
          <w:szCs w:val="20"/>
          <w:color w:val="auto"/>
        </w:rPr>
      </w:pPr>
    </w:p>
    <w:p>
      <w:pPr>
        <w:ind w:left="8" w:right="180"/>
        <w:spacing w:after="0" w:line="276" w:lineRule="auto"/>
        <w:rPr>
          <w:sz w:val="20"/>
          <w:szCs w:val="20"/>
          <w:color w:val="auto"/>
        </w:rPr>
      </w:pPr>
      <w:r>
        <w:rPr>
          <w:rFonts w:ascii="Times New Roman" w:cs="Times New Roman" w:eastAsia="Times New Roman" w:hAnsi="Times New Roman"/>
          <w:sz w:val="11"/>
          <w:szCs w:val="11"/>
          <w:color w:val="auto"/>
        </w:rPr>
        <w:t>This AMENDMENT (this “</w:t>
      </w:r>
      <w:r>
        <w:rPr>
          <w:rFonts w:ascii="Times New Roman" w:cs="Times New Roman" w:eastAsia="Times New Roman" w:hAnsi="Times New Roman"/>
          <w:sz w:val="11"/>
          <w:szCs w:val="11"/>
          <w:u w:val="single" w:color="auto"/>
          <w:color w:val="auto"/>
        </w:rPr>
        <w:t>Amendment</w:t>
      </w:r>
      <w:r>
        <w:rPr>
          <w:rFonts w:ascii="Times New Roman" w:cs="Times New Roman" w:eastAsia="Times New Roman" w:hAnsi="Times New Roman"/>
          <w:sz w:val="11"/>
          <w:szCs w:val="11"/>
          <w:color w:val="auto"/>
        </w:rPr>
        <w:t>”) to the Index License Agreement for Funds (MSCI reference number IXF_00040) dated as of March 18, 2000 (as previously amended,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is made by and between MSCI Inc. (formerly known as Morgan Stanley Capital International Inc.)(“MSCI”) and BlackRock Fund Advisors (as successor to Barclays Global Investors, N.A.) (“</w:t>
      </w:r>
      <w:r>
        <w:rPr>
          <w:rFonts w:ascii="Times New Roman" w:cs="Times New Roman" w:eastAsia="Times New Roman" w:hAnsi="Times New Roman"/>
          <w:sz w:val="11"/>
          <w:szCs w:val="11"/>
          <w:u w:val="single" w:color="auto"/>
          <w:color w:val="auto"/>
        </w:rPr>
        <w:t>Licensee</w:t>
      </w:r>
      <w:r>
        <w:rPr>
          <w:rFonts w:ascii="Times New Roman" w:cs="Times New Roman" w:eastAsia="Times New Roman" w:hAnsi="Times New Roman"/>
          <w:sz w:val="11"/>
          <w:szCs w:val="11"/>
          <w:color w:val="auto"/>
        </w:rPr>
        <w:t>”). Capitalized terms used but not defined herein shall have the meanings ascribed to them in the Agreement.</w:t>
      </w:r>
    </w:p>
    <w:p>
      <w:pPr>
        <w:spacing w:after="0" w:line="113" w:lineRule="exact"/>
        <w:rPr>
          <w:sz w:val="20"/>
          <w:szCs w:val="20"/>
          <w:color w:val="auto"/>
        </w:rPr>
      </w:pPr>
    </w:p>
    <w:p>
      <w:pPr>
        <w:ind w:left="368" w:hanging="368"/>
        <w:spacing w:after="0"/>
        <w:tabs>
          <w:tab w:leader="none" w:pos="368" w:val="left"/>
        </w:tabs>
        <w:numPr>
          <w:ilvl w:val="0"/>
          <w:numId w:val="2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w:t>
      </w:r>
    </w:p>
    <w:p>
      <w:pPr>
        <w:spacing w:after="0" w:line="135" w:lineRule="exact"/>
        <w:rPr>
          <w:sz w:val="20"/>
          <w:szCs w:val="20"/>
          <w:color w:val="auto"/>
        </w:rPr>
      </w:pPr>
    </w:p>
    <w:p>
      <w:pPr>
        <w:ind w:left="728" w:hanging="368"/>
        <w:spacing w:after="0"/>
        <w:tabs>
          <w:tab w:leader="none" w:pos="728" w:val="left"/>
        </w:tabs>
        <w:numPr>
          <w:ilvl w:val="0"/>
          <w:numId w:val="2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Europe Small Cap Index</w:t>
      </w:r>
    </w:p>
    <w:p>
      <w:pPr>
        <w:spacing w:after="0" w:line="126"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1"/>
          <w:szCs w:val="11"/>
          <w:color w:val="auto"/>
        </w:rPr>
        <w:t>or such other index(es) as agreed by Licensee and MSCI in writing.</w:t>
      </w:r>
    </w:p>
    <w:p>
      <w:pPr>
        <w:spacing w:after="0" w:line="126" w:lineRule="exact"/>
        <w:rPr>
          <w:sz w:val="20"/>
          <w:szCs w:val="20"/>
          <w:color w:val="auto"/>
        </w:rPr>
      </w:pPr>
    </w:p>
    <w:p>
      <w:pPr>
        <w:jc w:val="both"/>
        <w:ind w:left="368" w:right="20" w:hanging="368"/>
        <w:spacing w:after="0" w:line="276" w:lineRule="auto"/>
        <w:tabs>
          <w:tab w:leader="none" w:pos="368" w:val="left"/>
        </w:tabs>
        <w:numPr>
          <w:ilvl w:val="0"/>
          <w:numId w:val="2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may use the Index set forth in Section 1 above solely with respect to an exchange traded fund that is known, as of the date of this Amendment, as the “iShares Developed Small-Cap ex North America ETF” (NASDAQ: IFSM), provided that, as soon as reasonably practicable after the date of this Amendment, Licensee (i) replaces the non-MSCI index that such fund tracked as of the date of this Amendment with the MSCI Index identified above, and (ii) causes such fund to adopt and use only the following name:</w:t>
      </w:r>
    </w:p>
    <w:p>
      <w:pPr>
        <w:spacing w:after="0" w:line="85" w:lineRule="exact"/>
        <w:rPr>
          <w:rFonts w:ascii="Times New Roman" w:cs="Times New Roman" w:eastAsia="Times New Roman" w:hAnsi="Times New Roman"/>
          <w:sz w:val="11"/>
          <w:szCs w:val="11"/>
          <w:color w:val="auto"/>
        </w:rPr>
      </w:pPr>
    </w:p>
    <w:p>
      <w:pPr>
        <w:ind w:left="36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Europe Small-Cap ETF</w:t>
      </w:r>
    </w:p>
    <w:p>
      <w:pPr>
        <w:spacing w:after="0" w:line="126"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1"/>
          <w:szCs w:val="11"/>
          <w:color w:val="auto"/>
        </w:rPr>
        <w:t>or such other name(s) as agreed by Licensee and MSCI in writing.</w:t>
      </w:r>
    </w:p>
    <w:p>
      <w:pPr>
        <w:spacing w:after="0" w:line="126"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1"/>
          <w:szCs w:val="11"/>
          <w:color w:val="auto"/>
        </w:rPr>
        <w:t>Such fund shall be a “Fund” (as such term is defined in the Agreement) and it shall be an exchange traded index fund listed on a national securities exchange located in the United States.</w:t>
      </w:r>
    </w:p>
    <w:p>
      <w:pPr>
        <w:spacing w:after="0" w:line="135" w:lineRule="exact"/>
        <w:rPr>
          <w:sz w:val="20"/>
          <w:szCs w:val="20"/>
          <w:color w:val="auto"/>
        </w:rPr>
      </w:pPr>
    </w:p>
    <w:p>
      <w:pPr>
        <w:ind w:left="368" w:hanging="368"/>
        <w:spacing w:after="0"/>
        <w:tabs>
          <w:tab w:leader="none" w:pos="368" w:val="left"/>
        </w:tabs>
        <w:numPr>
          <w:ilvl w:val="0"/>
          <w:numId w:val="2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Beginning on the ************** and continuing through each **************** during the term of the Agreement, Licensee shall pay to MSCI a ********* license fee (the “License Fee”)</w:t>
      </w:r>
    </w:p>
    <w:p>
      <w:pPr>
        <w:spacing w:after="0" w:line="11" w:lineRule="exact"/>
        <w:rPr>
          <w:rFonts w:ascii="Times New Roman" w:cs="Times New Roman" w:eastAsia="Times New Roman" w:hAnsi="Times New Roman"/>
          <w:sz w:val="11"/>
          <w:szCs w:val="11"/>
          <w:color w:val="auto"/>
        </w:rPr>
      </w:pPr>
    </w:p>
    <w:p>
      <w:pPr>
        <w:ind w:left="5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14" w:lineRule="exact"/>
        <w:rPr>
          <w:rFonts w:ascii="Times New Roman" w:cs="Times New Roman" w:eastAsia="Times New Roman" w:hAnsi="Times New Roman"/>
          <w:sz w:val="11"/>
          <w:szCs w:val="11"/>
          <w:color w:val="auto"/>
        </w:rPr>
      </w:pPr>
    </w:p>
    <w:p>
      <w:pPr>
        <w:ind w:left="5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21" w:lineRule="exact"/>
        <w:rPr>
          <w:rFonts w:ascii="Times New Roman" w:cs="Times New Roman" w:eastAsia="Times New Roman" w:hAnsi="Times New Roman"/>
          <w:sz w:val="11"/>
          <w:szCs w:val="11"/>
          <w:color w:val="auto"/>
        </w:rPr>
      </w:pPr>
    </w:p>
    <w:p>
      <w:pPr>
        <w:ind w:left="5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The ********* License Fee shall be due and payable on a ****************** basis in *******. “AUM” means, for any applicable period, the Fund’s</w:t>
      </w:r>
    </w:p>
    <w:p>
      <w:pPr>
        <w:spacing w:after="0" w:line="16" w:lineRule="exact"/>
        <w:rPr>
          <w:rFonts w:ascii="Times New Roman" w:cs="Times New Roman" w:eastAsia="Times New Roman" w:hAnsi="Times New Roman"/>
          <w:sz w:val="11"/>
          <w:szCs w:val="11"/>
          <w:color w:val="auto"/>
        </w:rPr>
      </w:pPr>
    </w:p>
    <w:p>
      <w:pPr>
        <w:ind w:left="60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during such period.</w:t>
      </w:r>
    </w:p>
    <w:p>
      <w:pPr>
        <w:spacing w:after="0" w:line="8" w:lineRule="exact"/>
        <w:rPr>
          <w:rFonts w:ascii="Times New Roman" w:cs="Times New Roman" w:eastAsia="Times New Roman" w:hAnsi="Times New Roman"/>
          <w:sz w:val="11"/>
          <w:szCs w:val="11"/>
          <w:color w:val="auto"/>
        </w:rPr>
      </w:pPr>
    </w:p>
    <w:p>
      <w:pPr>
        <w:ind w:left="60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9" w:lineRule="exact"/>
        <w:rPr>
          <w:rFonts w:ascii="Times New Roman" w:cs="Times New Roman" w:eastAsia="Times New Roman" w:hAnsi="Times New Roman"/>
          <w:sz w:val="11"/>
          <w:szCs w:val="11"/>
          <w:color w:val="auto"/>
        </w:rPr>
      </w:pPr>
    </w:p>
    <w:p>
      <w:pPr>
        <w:ind w:left="60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68" w:lineRule="exact"/>
        <w:rPr>
          <w:sz w:val="20"/>
          <w:szCs w:val="20"/>
          <w:color w:val="auto"/>
        </w:rPr>
      </w:pPr>
    </w:p>
    <w:p>
      <w:pPr>
        <w:ind w:left="608" w:right="5020"/>
        <w:spacing w:after="0" w:line="313" w:lineRule="auto"/>
        <w:rPr>
          <w:sz w:val="20"/>
          <w:szCs w:val="20"/>
          <w:color w:val="auto"/>
        </w:rPr>
      </w:pPr>
      <w:r>
        <w:rPr>
          <w:rFonts w:ascii="Times New Roman" w:cs="Times New Roman" w:eastAsia="Times New Roman" w:hAnsi="Times New Roman"/>
          <w:sz w:val="11"/>
          <w:szCs w:val="11"/>
          <w:color w:val="auto"/>
        </w:rPr>
        <w:t>**************************************************************************************************** ***********************************************.</w:t>
      </w:r>
    </w:p>
    <w:p>
      <w:pPr>
        <w:spacing w:after="0" w:line="21" w:lineRule="exact"/>
        <w:rPr>
          <w:sz w:val="20"/>
          <w:szCs w:val="20"/>
          <w:color w:val="auto"/>
        </w:rPr>
      </w:pPr>
    </w:p>
    <w:p>
      <w:pPr>
        <w:ind w:left="608" w:right="4900"/>
        <w:spacing w:after="0" w:line="324" w:lineRule="auto"/>
        <w:rPr>
          <w:sz w:val="20"/>
          <w:szCs w:val="20"/>
          <w:color w:val="auto"/>
        </w:rPr>
      </w:pPr>
      <w:r>
        <w:rPr>
          <w:rFonts w:ascii="Times New Roman" w:cs="Times New Roman" w:eastAsia="Times New Roman" w:hAnsi="Times New Roman"/>
          <w:sz w:val="11"/>
          <w:szCs w:val="11"/>
          <w:color w:val="auto"/>
        </w:rPr>
        <w:t>****************************************************************************************************** **********************************************************************.</w:t>
      </w:r>
    </w:p>
    <w:p>
      <w:pPr>
        <w:ind w:left="608"/>
        <w:spacing w:after="0"/>
        <w:rPr>
          <w:sz w:val="20"/>
          <w:szCs w:val="20"/>
          <w:color w:val="auto"/>
        </w:rPr>
      </w:pPr>
      <w:r>
        <w:rPr>
          <w:rFonts w:ascii="Times New Roman" w:cs="Times New Roman" w:eastAsia="Times New Roman" w:hAnsi="Times New Roman"/>
          <w:sz w:val="11"/>
          <w:szCs w:val="11"/>
          <w:color w:val="auto"/>
        </w:rPr>
        <w:t>“Expense Ratio” means the ********************************* obtained when dividing</w:t>
      </w:r>
    </w:p>
    <w:p>
      <w:pPr>
        <w:spacing w:after="0" w:line="27" w:lineRule="exact"/>
        <w:rPr>
          <w:sz w:val="20"/>
          <w:szCs w:val="20"/>
          <w:color w:val="auto"/>
        </w:rPr>
      </w:pPr>
    </w:p>
    <w:p>
      <w:pPr>
        <w:jc w:val="both"/>
        <w:ind w:left="608" w:right="4960"/>
        <w:spacing w:after="0" w:line="293" w:lineRule="auto"/>
        <w:rPr>
          <w:sz w:val="20"/>
          <w:szCs w:val="20"/>
          <w:color w:val="auto"/>
        </w:rPr>
      </w:pPr>
      <w:r>
        <w:rPr>
          <w:rFonts w:ascii="Times New Roman" w:cs="Times New Roman" w:eastAsia="Times New Roman" w:hAnsi="Times New Roman"/>
          <w:sz w:val="11"/>
          <w:szCs w:val="11"/>
          <w:color w:val="auto"/>
        </w:rPr>
        <w:t>***************************************************************************************************** ***************************************************************************************************** *****************************************************.</w:t>
      </w:r>
    </w:p>
    <w:p>
      <w:pPr>
        <w:spacing w:after="0" w:line="23"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1"/>
          <w:szCs w:val="11"/>
          <w:color w:val="auto"/>
        </w:rPr>
        <w:t>Notwithstanding anything to the contrary contained herein, if any Fund does not have an ************* or if a Fund’s</w:t>
      </w:r>
    </w:p>
    <w:p>
      <w:pPr>
        <w:spacing w:after="0" w:line="21"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1"/>
          <w:szCs w:val="11"/>
          <w:color w:val="auto"/>
        </w:rPr>
        <w:t>********************************** or if a Fund has an *********************, the ********* licensee fee for such Fund shall</w:t>
      </w:r>
    </w:p>
    <w:p>
      <w:pPr>
        <w:spacing w:after="0" w:line="17"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1"/>
          <w:szCs w:val="11"/>
          <w:color w:val="auto"/>
        </w:rPr>
        <w:t>**************************************************************************************************.</w:t>
      </w:r>
    </w:p>
    <w:p>
      <w:pPr>
        <w:spacing w:after="0" w:line="51"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1"/>
          <w:szCs w:val="11"/>
          <w:color w:val="auto"/>
        </w:rPr>
        <w:t>***********************************************, Licensee shall provide to MSCI a written report identifying Licensee’s</w:t>
      </w:r>
    </w:p>
    <w:p>
      <w:pPr>
        <w:spacing w:after="0" w:line="21"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1"/>
          <w:szCs w:val="11"/>
          <w:color w:val="auto"/>
        </w:rPr>
        <w:t>*************.</w:t>
      </w:r>
    </w:p>
    <w:p>
      <w:pPr>
        <w:spacing w:after="0" w:line="68"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1"/>
          <w:szCs w:val="11"/>
          <w:color w:val="auto"/>
        </w:rPr>
        <w:t>Where necessary to align any relevant payment schedule with the ****************, the License Fee shall be pro-rated using a calculation method reasonably determined by MSCI.</w:t>
      </w:r>
    </w:p>
    <w:p>
      <w:pPr>
        <w:spacing w:after="0" w:line="54" w:lineRule="exact"/>
        <w:rPr>
          <w:sz w:val="20"/>
          <w:szCs w:val="20"/>
          <w:color w:val="auto"/>
        </w:rPr>
      </w:pPr>
    </w:p>
    <w:p>
      <w:pPr>
        <w:ind w:left="368" w:hanging="368"/>
        <w:spacing w:after="0"/>
        <w:tabs>
          <w:tab w:leader="none" w:pos="368" w:val="left"/>
        </w:tabs>
        <w:numPr>
          <w:ilvl w:val="0"/>
          <w:numId w:val="2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Special Conditions:</w:t>
      </w:r>
    </w:p>
    <w:p>
      <w:pPr>
        <w:spacing w:after="0" w:line="305" w:lineRule="exact"/>
        <w:rPr>
          <w:sz w:val="20"/>
          <w:szCs w:val="20"/>
          <w:color w:val="auto"/>
        </w:rPr>
      </w:pPr>
    </w:p>
    <w:p>
      <w:pPr>
        <w:jc w:val="center"/>
        <w:ind w:right="-207"/>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89470"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411" w:right="299" w:bottom="1440" w:gutter="0" w:footer="0" w:header="0"/>
        </w:sectPr>
      </w:pPr>
    </w:p>
    <w:bookmarkStart w:id="195" w:name="page196"/>
    <w:bookmarkEnd w:id="195"/>
    <w:p>
      <w:pPr>
        <w:ind w:left="720" w:hanging="368"/>
        <w:spacing w:after="0"/>
        <w:tabs>
          <w:tab w:leader="none" w:pos="720" w:val="left"/>
        </w:tabs>
        <w:numPr>
          <w:ilvl w:val="0"/>
          <w:numId w:val="2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this Amendment conflicts with the Agreement, this Amendment shall control. No right or license of any kind is granted to Licensee except as expressly provided in the Agreement and this Amendment.</w:t>
      </w:r>
    </w:p>
    <w:p>
      <w:pPr>
        <w:spacing w:after="0" w:line="71" w:lineRule="exact"/>
        <w:rPr>
          <w:rFonts w:ascii="Times New Roman" w:cs="Times New Roman" w:eastAsia="Times New Roman" w:hAnsi="Times New Roman"/>
          <w:sz w:val="11"/>
          <w:szCs w:val="11"/>
          <w:color w:val="auto"/>
        </w:rPr>
      </w:pPr>
    </w:p>
    <w:p>
      <w:pPr>
        <w:ind w:left="720" w:hanging="368"/>
        <w:spacing w:after="0" w:line="296" w:lineRule="auto"/>
        <w:tabs>
          <w:tab w:leader="none" w:pos="720" w:val="left"/>
        </w:tabs>
        <w:numPr>
          <w:ilvl w:val="0"/>
          <w:numId w:val="2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the Index set forth in Section 1 if, within one (l) year of the date of this Amendment, Licensee does not replace the non-MSCI index used by the iShares Developed Small-Cap ex North America ETF (NASDAQ: IFSM, soon-to-be changed to IEUS) with the MSCI Europe Small Cap Index or such other index as agreed by Licensee and MSCI in writing.</w:t>
      </w:r>
    </w:p>
    <w:p>
      <w:pPr>
        <w:spacing w:after="0" w:line="2" w:lineRule="exact"/>
        <w:rPr>
          <w:rFonts w:ascii="Times New Roman" w:cs="Times New Roman" w:eastAsia="Times New Roman" w:hAnsi="Times New Roman"/>
          <w:sz w:val="11"/>
          <w:szCs w:val="11"/>
          <w:color w:val="auto"/>
        </w:rPr>
      </w:pPr>
    </w:p>
    <w:p>
      <w:pPr>
        <w:ind w:left="720" w:hanging="368"/>
        <w:spacing w:after="0"/>
        <w:tabs>
          <w:tab w:leader="none" w:pos="720" w:val="left"/>
        </w:tabs>
        <w:numPr>
          <w:ilvl w:val="0"/>
          <w:numId w:val="2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Licensee delists the Fund or changes the underlying index for the Fund to a non-MSCI index, Licensee’s right to use the Index set forth in Section 1 with respect to the Fund shall automatically and immediately terminate.</w:t>
      </w:r>
    </w:p>
    <w:p>
      <w:pPr>
        <w:spacing w:after="0" w:line="71" w:lineRule="exact"/>
        <w:rPr>
          <w:rFonts w:ascii="Times New Roman" w:cs="Times New Roman" w:eastAsia="Times New Roman" w:hAnsi="Times New Roman"/>
          <w:sz w:val="11"/>
          <w:szCs w:val="11"/>
          <w:color w:val="auto"/>
        </w:rPr>
      </w:pPr>
    </w:p>
    <w:p>
      <w:pPr>
        <w:ind w:left="720" w:hanging="368"/>
        <w:spacing w:after="0"/>
        <w:tabs>
          <w:tab w:leader="none" w:pos="720" w:val="left"/>
        </w:tabs>
        <w:numPr>
          <w:ilvl w:val="0"/>
          <w:numId w:val="2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6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ACKNOWLEDGED AND AGREED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79"/>
        </w:trPr>
        <w:tc>
          <w:tcPr>
            <w:tcW w:w="566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LICENSEE: BlackRock Fund Advisors</w:t>
            </w:r>
          </w:p>
        </w:tc>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MSCI INC.</w:t>
            </w:r>
          </w:p>
        </w:tc>
        <w:tc>
          <w:tcPr>
            <w:tcW w:w="940" w:type="dxa"/>
            <w:vAlign w:val="bottom"/>
          </w:tcPr>
          <w:p>
            <w:pPr>
              <w:spacing w:after="0"/>
              <w:rPr>
                <w:sz w:val="24"/>
                <w:szCs w:val="24"/>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w:t>
            </w:r>
          </w:p>
        </w:tc>
        <w:tc>
          <w:tcPr>
            <w:tcW w:w="5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 Paul C. Lohrey</w:t>
            </w:r>
          </w:p>
        </w:tc>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w:t>
            </w:r>
          </w:p>
        </w:tc>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/s/ David Kinzelberg</w:t>
            </w:r>
          </w:p>
        </w:tc>
      </w:tr>
      <w:tr>
        <w:trPr>
          <w:trHeight w:val="20"/>
        </w:trPr>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75"/>
        </w:trPr>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Name</w:t>
            </w:r>
          </w:p>
        </w:tc>
        <w:tc>
          <w:tcPr>
            <w:tcW w:w="5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Paul C. Lohrey</w:t>
            </w:r>
          </w:p>
        </w:tc>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Name</w:t>
            </w:r>
          </w:p>
        </w:tc>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David Kinzelberg</w:t>
            </w:r>
          </w:p>
        </w:tc>
      </w:tr>
      <w:tr>
        <w:trPr>
          <w:trHeight w:val="270"/>
        </w:trPr>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w:t>
            </w:r>
          </w:p>
        </w:tc>
        <w:tc>
          <w:tcPr>
            <w:tcW w:w="5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Managing Director</w:t>
            </w:r>
          </w:p>
        </w:tc>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w:t>
            </w:r>
          </w:p>
        </w:tc>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r>
      <w:tr>
        <w:trPr>
          <w:trHeight w:val="270"/>
        </w:trPr>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w:t>
            </w:r>
          </w:p>
        </w:tc>
        <w:tc>
          <w:tcPr>
            <w:tcW w:w="820" w:type="dxa"/>
            <w:vAlign w:val="bottom"/>
          </w:tcPr>
          <w:p>
            <w:pPr>
              <w:spacing w:after="0"/>
              <w:rPr>
                <w:sz w:val="20"/>
                <w:szCs w:val="20"/>
                <w:color w:val="auto"/>
              </w:rPr>
            </w:pPr>
            <w:r>
              <w:rPr>
                <w:rFonts w:ascii="Times New Roman" w:cs="Times New Roman" w:eastAsia="Times New Roman" w:hAnsi="Times New Roman"/>
                <w:sz w:val="11"/>
                <w:szCs w:val="11"/>
                <w:color w:val="auto"/>
              </w:rPr>
              <w:t>8/13/2014</w:t>
            </w:r>
          </w:p>
        </w:tc>
        <w:tc>
          <w:tcPr>
            <w:tcW w:w="428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w:t>
            </w:r>
          </w:p>
        </w:tc>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Aug 29, 2014</w:t>
            </w:r>
          </w:p>
        </w:tc>
      </w:tr>
    </w:tbl>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280"/>
          </w:cols>
          <w:pgMar w:left="300" w:top="458" w:right="3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1"/>
          <w:szCs w:val="11"/>
          <w:b w:val="1"/>
          <w:bCs w:val="1"/>
          <w:color w:val="auto"/>
        </w:rPr>
        <w:t>Exhibit 10.92</w:t>
      </w:r>
    </w:p>
    <w:p>
      <w:pPr>
        <w:spacing w:after="0" w:line="154" w:lineRule="exact"/>
        <w:rPr>
          <w:sz w:val="20"/>
          <w:szCs w:val="20"/>
          <w:color w:val="auto"/>
        </w:rPr>
      </w:pPr>
    </w:p>
    <w:p>
      <w:pPr>
        <w:ind w:left="8" w:hanging="8"/>
        <w:spacing w:after="0" w:line="286" w:lineRule="auto"/>
        <w:tabs>
          <w:tab w:leader="none" w:pos="220" w:val="left"/>
        </w:tabs>
        <w:numPr>
          <w:ilvl w:val="0"/>
          <w:numId w:val="2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A.N.:130339</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AMD00136364.0</w:t>
      </w:r>
    </w:p>
    <w:p>
      <w:pPr>
        <w:spacing w:after="0" w:line="17"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9"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1"/>
          <w:szCs w:val="11"/>
          <w:color w:val="auto"/>
        </w:rPr>
        <w:t>Date of Amendment: September 9, 2014</w:t>
      </w:r>
    </w:p>
    <w:p>
      <w:pPr>
        <w:spacing w:after="0" w:line="51" w:lineRule="exact"/>
        <w:rPr>
          <w:sz w:val="20"/>
          <w:szCs w:val="20"/>
          <w:color w:val="auto"/>
        </w:rPr>
      </w:pPr>
    </w:p>
    <w:p>
      <w:pPr>
        <w:ind w:left="168" w:right="40"/>
        <w:spacing w:after="0" w:line="276" w:lineRule="auto"/>
        <w:rPr>
          <w:sz w:val="20"/>
          <w:szCs w:val="20"/>
          <w:color w:val="auto"/>
        </w:rPr>
      </w:pPr>
      <w:r>
        <w:rPr>
          <w:rFonts w:ascii="Times New Roman" w:cs="Times New Roman" w:eastAsia="Times New Roman" w:hAnsi="Times New Roman"/>
          <w:sz w:val="11"/>
          <w:szCs w:val="11"/>
          <w:color w:val="auto"/>
        </w:rPr>
        <w:t>AMENDMENT (this “Amendment”) to the Index License Agreement for Funds (MSCI reference number IXF_00040) dated as of March 18, 2000 (as previously amended,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is made by and between MSCI Inc. (formerly known as Morgan Stanley Capital International Inc.) (“MSCI”) and BlackRock Fund Advisors, a California corporation (as successor to Barclays Global Investors, N.A.) (“Licensee”). Capitalized terms used but not defined herein shall have the meanings ascribed to them in the Agreement.</w:t>
      </w:r>
    </w:p>
    <w:p>
      <w:pPr>
        <w:spacing w:after="0" w:line="104" w:lineRule="exact"/>
        <w:rPr>
          <w:sz w:val="20"/>
          <w:szCs w:val="20"/>
          <w:color w:val="auto"/>
        </w:rPr>
      </w:pPr>
    </w:p>
    <w:p>
      <w:pPr>
        <w:ind w:left="588" w:hanging="426"/>
        <w:spacing w:after="0"/>
        <w:tabs>
          <w:tab w:leader="none" w:pos="588" w:val="left"/>
        </w:tabs>
        <w:numPr>
          <w:ilvl w:val="0"/>
          <w:numId w:val="2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A of the Agreement is hereby amended to add the following Indexes:</w:t>
      </w:r>
    </w:p>
    <w:p>
      <w:pPr>
        <w:spacing w:after="0" w:line="80" w:lineRule="exact"/>
        <w:rPr>
          <w:rFonts w:ascii="Times New Roman" w:cs="Times New Roman" w:eastAsia="Times New Roman" w:hAnsi="Times New Roman"/>
          <w:sz w:val="11"/>
          <w:szCs w:val="11"/>
          <w:color w:val="auto"/>
        </w:rPr>
      </w:pPr>
    </w:p>
    <w:p>
      <w:pPr>
        <w:ind w:left="1548" w:hanging="522"/>
        <w:spacing w:after="0"/>
        <w:tabs>
          <w:tab w:leader="none" w:pos="1548" w:val="left"/>
        </w:tabs>
        <w:numPr>
          <w:ilvl w:val="1"/>
          <w:numId w:val="2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World ex USA Momentum Index</w:t>
      </w:r>
    </w:p>
    <w:p>
      <w:pPr>
        <w:spacing w:after="0" w:line="71" w:lineRule="exact"/>
        <w:rPr>
          <w:rFonts w:ascii="Times New Roman" w:cs="Times New Roman" w:eastAsia="Times New Roman" w:hAnsi="Times New Roman"/>
          <w:sz w:val="11"/>
          <w:szCs w:val="11"/>
          <w:color w:val="auto"/>
        </w:rPr>
      </w:pPr>
    </w:p>
    <w:p>
      <w:pPr>
        <w:ind w:left="1548" w:hanging="522"/>
        <w:spacing w:after="0"/>
        <w:tabs>
          <w:tab w:leader="none" w:pos="1548" w:val="left"/>
        </w:tabs>
        <w:numPr>
          <w:ilvl w:val="1"/>
          <w:numId w:val="2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World ex USA Sector Neutral Quality Index</w:t>
      </w:r>
    </w:p>
    <w:p>
      <w:pPr>
        <w:spacing w:after="0" w:line="270" w:lineRule="exact"/>
        <w:rPr>
          <w:sz w:val="20"/>
          <w:szCs w:val="20"/>
          <w:color w:val="auto"/>
        </w:rPr>
      </w:pPr>
    </w:p>
    <w:p>
      <w:pPr>
        <w:ind w:left="588" w:right="180" w:hanging="426"/>
        <w:spacing w:after="0" w:line="296" w:lineRule="auto"/>
        <w:tabs>
          <w:tab w:leader="none" w:pos="588" w:val="left"/>
        </w:tabs>
        <w:numPr>
          <w:ilvl w:val="0"/>
          <w:numId w:val="2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may use the Indexes set forth in Section 1 above solely with respect to the following Licensee funds (each, a “World ex USA Factor ETF” and each World ex USA Factor ETF shall also be a “Fund” as such term is defined in the Agreement):</w:t>
      </w:r>
    </w:p>
    <w:p>
      <w:pPr>
        <w:spacing w:after="0" w:line="20" w:lineRule="exact"/>
        <w:rPr>
          <w:rFonts w:ascii="Times New Roman" w:cs="Times New Roman" w:eastAsia="Times New Roman" w:hAnsi="Times New Roman"/>
          <w:sz w:val="11"/>
          <w:szCs w:val="11"/>
          <w:color w:val="auto"/>
        </w:rPr>
      </w:pPr>
    </w:p>
    <w:p>
      <w:pPr>
        <w:ind w:left="1548" w:hanging="522"/>
        <w:spacing w:after="0"/>
        <w:tabs>
          <w:tab w:leader="none" w:pos="1548" w:val="left"/>
        </w:tabs>
        <w:numPr>
          <w:ilvl w:val="1"/>
          <w:numId w:val="2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International Developed Momentum Factor ETF</w:t>
      </w:r>
    </w:p>
    <w:p>
      <w:pPr>
        <w:spacing w:after="0" w:line="71" w:lineRule="exact"/>
        <w:rPr>
          <w:rFonts w:ascii="Times New Roman" w:cs="Times New Roman" w:eastAsia="Times New Roman" w:hAnsi="Times New Roman"/>
          <w:sz w:val="11"/>
          <w:szCs w:val="11"/>
          <w:color w:val="auto"/>
        </w:rPr>
      </w:pPr>
    </w:p>
    <w:p>
      <w:pPr>
        <w:ind w:left="1548" w:hanging="522"/>
        <w:spacing w:after="0"/>
        <w:tabs>
          <w:tab w:leader="none" w:pos="1548" w:val="left"/>
        </w:tabs>
        <w:numPr>
          <w:ilvl w:val="1"/>
          <w:numId w:val="2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MSCI International Developed Quality Factor ETF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-339090</wp:posOffset>
            </wp:positionV>
            <wp:extent cx="50292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8">
                      <a:extLst>
                        <a:ext uri="{28A0092B-C50C-407E-A947-70E740481C1C}"/>
                      </a:extLst>
                    </a:blip>
                    <a:srcRect/>
                    <a:stretch>
                      <a:fillRect/>
                    </a:stretch>
                  </pic:blipFill>
                  <pic:spPr bwMode="auto">
                    <a:xfrm>
                      <a:off x="0" y="0"/>
                      <a:ext cx="502920" cy="5715"/>
                    </a:xfrm>
                    <a:prstGeom prst="rect">
                      <a:avLst/>
                    </a:prstGeom>
                    <a:noFill/>
                  </pic:spPr>
                </pic:pic>
              </a:graphicData>
            </a:graphic>
          </wp:anchor>
        </w:drawing>
      </w:r>
    </w:p>
    <w:p>
      <w:pPr>
        <w:spacing w:after="0" w:line="367" w:lineRule="exact"/>
        <w:rPr>
          <w:sz w:val="20"/>
          <w:szCs w:val="20"/>
          <w:color w:val="auto"/>
        </w:rPr>
      </w:pPr>
    </w:p>
    <w:p>
      <w:pPr>
        <w:ind w:left="588" w:hanging="426"/>
        <w:spacing w:after="0"/>
        <w:tabs>
          <w:tab w:leader="none" w:pos="588" w:val="left"/>
        </w:tabs>
        <w:numPr>
          <w:ilvl w:val="0"/>
          <w:numId w:val="2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Licensee shall pay MSCI a ********* license fee per Fund based on each Fund’s</w:t>
      </w:r>
    </w:p>
    <w:p>
      <w:pPr>
        <w:spacing w:after="0" w:line="35" w:lineRule="exact"/>
        <w:rPr>
          <w:rFonts w:ascii="Times New Roman" w:cs="Times New Roman" w:eastAsia="Times New Roman" w:hAnsi="Times New Roman"/>
          <w:sz w:val="11"/>
          <w:szCs w:val="11"/>
          <w:color w:val="auto"/>
        </w:rPr>
      </w:pPr>
    </w:p>
    <w:p>
      <w:pPr>
        <w:ind w:left="5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which fee shall be calculated and payable on a ********* basis. The</w:t>
      </w:r>
    </w:p>
    <w:p>
      <w:pPr>
        <w:spacing w:after="0" w:line="26" w:lineRule="exact"/>
        <w:rPr>
          <w:rFonts w:ascii="Times New Roman" w:cs="Times New Roman" w:eastAsia="Times New Roman" w:hAnsi="Times New Roman"/>
          <w:sz w:val="11"/>
          <w:szCs w:val="11"/>
          <w:color w:val="auto"/>
        </w:rPr>
      </w:pPr>
    </w:p>
    <w:p>
      <w:pPr>
        <w:ind w:left="5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license fee shall be calculated *********************************************************************</w:t>
      </w:r>
    </w:p>
    <w:p>
      <w:pPr>
        <w:spacing w:after="0" w:line="21" w:lineRule="exact"/>
        <w:rPr>
          <w:rFonts w:ascii="Times New Roman" w:cs="Times New Roman" w:eastAsia="Times New Roman" w:hAnsi="Times New Roman"/>
          <w:sz w:val="11"/>
          <w:szCs w:val="11"/>
          <w:color w:val="auto"/>
        </w:rPr>
      </w:pPr>
    </w:p>
    <w:p>
      <w:pPr>
        <w:ind w:left="5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pacing w:after="0" w:line="17" w:lineRule="exact"/>
        <w:rPr>
          <w:rFonts w:ascii="Times New Roman" w:cs="Times New Roman" w:eastAsia="Times New Roman" w:hAnsi="Times New Roman"/>
          <w:sz w:val="11"/>
          <w:szCs w:val="11"/>
          <w:color w:val="auto"/>
        </w:rPr>
      </w:pPr>
    </w:p>
    <w:p>
      <w:pPr>
        <w:ind w:left="58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as follows:</w:t>
      </w:r>
    </w:p>
    <w:p>
      <w:pPr>
        <w:spacing w:after="0" w:line="113" w:lineRule="exact"/>
        <w:rPr>
          <w:sz w:val="20"/>
          <w:szCs w:val="20"/>
          <w:color w:val="auto"/>
        </w:rPr>
      </w:pPr>
    </w:p>
    <w:p>
      <w:pPr>
        <w:ind w:left="5308"/>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ind w:left="5308"/>
        <w:spacing w:after="0"/>
        <w:rPr>
          <w:sz w:val="20"/>
          <w:szCs w:val="20"/>
          <w:color w:val="auto"/>
        </w:rPr>
      </w:pPr>
      <w:r>
        <w:rPr>
          <w:rFonts w:ascii="Times New Roman" w:cs="Times New Roman" w:eastAsia="Times New Roman" w:hAnsi="Times New Roman"/>
          <w:sz w:val="11"/>
          <w:szCs w:val="11"/>
          <w:color w:val="auto"/>
        </w:rPr>
        <w:t>********************</w:t>
      </w:r>
    </w:p>
    <w:p>
      <w:pPr>
        <w:spacing w:after="0" w:line="18" w:lineRule="exact"/>
        <w:rPr>
          <w:sz w:val="20"/>
          <w:szCs w:val="20"/>
          <w:color w:val="auto"/>
        </w:rPr>
      </w:pPr>
    </w:p>
    <w:p>
      <w:pPr>
        <w:ind w:left="5308"/>
        <w:spacing w:after="0"/>
        <w:rPr>
          <w:sz w:val="20"/>
          <w:szCs w:val="20"/>
          <w:color w:val="auto"/>
        </w:rPr>
      </w:pPr>
      <w:r>
        <w:rPr>
          <w:rFonts w:ascii="Times New Roman" w:cs="Times New Roman" w:eastAsia="Times New Roman" w:hAnsi="Times New Roman"/>
          <w:sz w:val="11"/>
          <w:szCs w:val="11"/>
          <w:color w:val="auto"/>
        </w:rPr>
        <w:t>********************</w:t>
      </w:r>
    </w:p>
    <w:p>
      <w:pPr>
        <w:spacing w:after="0" w:line="68"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1"/>
          <w:szCs w:val="11"/>
          <w:color w:val="auto"/>
        </w:rPr>
        <w:t>For the avoidance of doubt, the ********* license fees shall be calculated *************. For example,</w:t>
      </w:r>
    </w:p>
    <w:p>
      <w:pPr>
        <w:spacing w:after="0" w:line="21"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1"/>
          <w:szCs w:val="11"/>
          <w:color w:val="auto"/>
        </w:rPr>
        <w:t>***************************************************************************************************</w:t>
      </w:r>
    </w:p>
    <w:p>
      <w:pPr>
        <w:spacing w:after="0" w:line="23" w:lineRule="exact"/>
        <w:rPr>
          <w:sz w:val="20"/>
          <w:szCs w:val="20"/>
          <w:color w:val="auto"/>
        </w:rPr>
      </w:pPr>
    </w:p>
    <w:p>
      <w:pPr>
        <w:ind w:left="3008"/>
        <w:spacing w:after="0"/>
        <w:rPr>
          <w:sz w:val="20"/>
          <w:szCs w:val="20"/>
          <w:color w:val="auto"/>
        </w:rPr>
      </w:pPr>
      <w:r>
        <w:rPr>
          <w:rFonts w:ascii="Times New Roman" w:cs="Times New Roman" w:eastAsia="Times New Roman" w:hAnsi="Times New Roman"/>
          <w:sz w:val="11"/>
          <w:szCs w:val="11"/>
          <w:color w:val="auto"/>
        </w:rPr>
        <w:t>*****************************************************************************************************</w:t>
      </w:r>
    </w:p>
    <w:p>
      <w:pPr>
        <w:spacing w:after="0" w:line="21"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1"/>
          <w:szCs w:val="11"/>
          <w:color w:val="auto"/>
        </w:rPr>
        <w:t>****************************************************************************************************</w:t>
      </w:r>
    </w:p>
    <w:p>
      <w:pPr>
        <w:spacing w:after="0" w:line="18" w:lineRule="exact"/>
        <w:rPr>
          <w:sz w:val="20"/>
          <w:szCs w:val="20"/>
          <w:color w:val="auto"/>
        </w:rPr>
      </w:pPr>
    </w:p>
    <w:p>
      <w:pPr>
        <w:ind w:left="3008"/>
        <w:spacing w:after="0"/>
        <w:rPr>
          <w:sz w:val="20"/>
          <w:szCs w:val="20"/>
          <w:color w:val="auto"/>
        </w:rPr>
      </w:pPr>
      <w:r>
        <w:rPr>
          <w:rFonts w:ascii="Times New Roman" w:cs="Times New Roman" w:eastAsia="Times New Roman" w:hAnsi="Times New Roman"/>
          <w:sz w:val="11"/>
          <w:szCs w:val="11"/>
          <w:color w:val="auto"/>
        </w:rPr>
        <w:t>*****************************************************************************************************</w:t>
      </w:r>
    </w:p>
    <w:p>
      <w:pPr>
        <w:spacing w:after="0" w:line="23" w:lineRule="exact"/>
        <w:rPr>
          <w:sz w:val="20"/>
          <w:szCs w:val="20"/>
          <w:color w:val="auto"/>
        </w:rPr>
      </w:pPr>
    </w:p>
    <w:p>
      <w:pPr>
        <w:ind w:left="608" w:right="5020"/>
        <w:spacing w:after="0" w:line="313" w:lineRule="auto"/>
        <w:rPr>
          <w:sz w:val="20"/>
          <w:szCs w:val="20"/>
          <w:color w:val="auto"/>
        </w:rPr>
      </w:pPr>
      <w:r>
        <w:rPr>
          <w:rFonts w:ascii="Times New Roman" w:cs="Times New Roman" w:eastAsia="Times New Roman" w:hAnsi="Times New Roman"/>
          <w:sz w:val="11"/>
          <w:szCs w:val="11"/>
          <w:color w:val="auto"/>
        </w:rPr>
        <w:t>**************************************************************************************************** **************.</w:t>
      </w:r>
    </w:p>
    <w:p>
      <w:pPr>
        <w:spacing w:after="0" w:line="273" w:lineRule="exact"/>
        <w:rPr>
          <w:sz w:val="20"/>
          <w:szCs w:val="20"/>
          <w:color w:val="auto"/>
        </w:rPr>
      </w:pPr>
    </w:p>
    <w:p>
      <w:pPr>
        <w:jc w:val="center"/>
        <w:ind w:right="-207"/>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89470" cy="11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501" w:right="299" w:bottom="1440" w:gutter="0" w:footer="0" w:header="0"/>
        </w:sectPr>
      </w:pPr>
    </w:p>
    <w:bookmarkStart w:id="197" w:name="page198"/>
    <w:bookmarkEnd w:id="197"/>
    <w:p>
      <w:pPr>
        <w:ind w:left="600" w:right="4940"/>
        <w:spacing w:after="0" w:line="281" w:lineRule="auto"/>
        <w:rPr>
          <w:sz w:val="20"/>
          <w:szCs w:val="20"/>
          <w:color w:val="auto"/>
        </w:rPr>
      </w:pPr>
      <w:r>
        <w:rPr>
          <w:rFonts w:ascii="Times New Roman" w:cs="Times New Roman" w:eastAsia="Times New Roman" w:hAnsi="Times New Roman"/>
          <w:sz w:val="11"/>
          <w:szCs w:val="11"/>
          <w:color w:val="auto"/>
        </w:rPr>
        <w:t>“Expense Ratio” shall mean the ********************************* obtained when dividing *****************************************************************************************************</w:t>
      </w:r>
    </w:p>
    <w:p>
      <w:pPr>
        <w:spacing w:after="0" w:line="1" w:lineRule="exact"/>
        <w:rPr>
          <w:sz w:val="20"/>
          <w:szCs w:val="20"/>
          <w:color w:val="auto"/>
        </w:rPr>
      </w:pPr>
    </w:p>
    <w:p>
      <w:pPr>
        <w:ind w:left="600" w:right="4940"/>
        <w:spacing w:after="0" w:line="313" w:lineRule="auto"/>
        <w:rPr>
          <w:sz w:val="20"/>
          <w:szCs w:val="20"/>
          <w:color w:val="auto"/>
        </w:rPr>
      </w:pPr>
      <w:r>
        <w:rPr>
          <w:rFonts w:ascii="Times New Roman" w:cs="Times New Roman" w:eastAsia="Times New Roman" w:hAnsi="Times New Roman"/>
          <w:sz w:val="11"/>
          <w:szCs w:val="11"/>
          <w:color w:val="auto"/>
        </w:rPr>
        <w:t>***************************************************************************************************** *****************************************************.</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1"/>
          <w:szCs w:val="11"/>
          <w:color w:val="auto"/>
        </w:rPr>
        <w:t>Notwithstanding anything to the contrary contained herein, if any Fund does not have an ******* ***** or if a Fund’s</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1"/>
          <w:szCs w:val="11"/>
          <w:color w:val="auto"/>
        </w:rPr>
        <w:t>********************************** or if a Fund has an ***************************************************** such Fund shall equal</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1"/>
          <w:szCs w:val="11"/>
          <w:color w:val="auto"/>
        </w:rPr>
        <w:t>***********************************************************************************.</w:t>
      </w:r>
    </w:p>
    <w:p>
      <w:pPr>
        <w:spacing w:after="0" w:line="42" w:lineRule="exact"/>
        <w:rPr>
          <w:sz w:val="20"/>
          <w:szCs w:val="20"/>
          <w:color w:val="auto"/>
        </w:rPr>
      </w:pPr>
    </w:p>
    <w:p>
      <w:pPr>
        <w:ind w:left="580" w:hanging="426"/>
        <w:spacing w:after="0"/>
        <w:tabs>
          <w:tab w:leader="none" w:pos="580" w:val="left"/>
        </w:tabs>
        <w:numPr>
          <w:ilvl w:val="0"/>
          <w:numId w:val="2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Special Conditions:</w:t>
      </w:r>
    </w:p>
    <w:p>
      <w:pPr>
        <w:spacing w:after="0" w:line="206" w:lineRule="exact"/>
        <w:rPr>
          <w:rFonts w:ascii="Times New Roman" w:cs="Times New Roman" w:eastAsia="Times New Roman" w:hAnsi="Times New Roman"/>
          <w:sz w:val="11"/>
          <w:szCs w:val="11"/>
          <w:color w:val="auto"/>
        </w:rPr>
      </w:pPr>
    </w:p>
    <w:p>
      <w:pPr>
        <w:ind w:left="940" w:hanging="588"/>
        <w:spacing w:after="0"/>
        <w:tabs>
          <w:tab w:leader="none" w:pos="940" w:val="left"/>
        </w:tabs>
        <w:numPr>
          <w:ilvl w:val="1"/>
          <w:numId w:val="2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this Amendment conflicts with the Agreement, this Amendment shall control. No right or license of any kind is granted to Licensee except as expressly provided in the Agreement and this Amendment.</w:t>
      </w:r>
    </w:p>
    <w:p>
      <w:pPr>
        <w:spacing w:after="0" w:line="260" w:lineRule="exact"/>
        <w:rPr>
          <w:rFonts w:ascii="Times New Roman" w:cs="Times New Roman" w:eastAsia="Times New Roman" w:hAnsi="Times New Roman"/>
          <w:sz w:val="11"/>
          <w:szCs w:val="11"/>
          <w:color w:val="auto"/>
        </w:rPr>
      </w:pPr>
    </w:p>
    <w:p>
      <w:pPr>
        <w:ind w:left="940" w:hanging="588"/>
        <w:spacing w:after="0"/>
        <w:tabs>
          <w:tab w:leader="none" w:pos="940" w:val="left"/>
        </w:tabs>
        <w:numPr>
          <w:ilvl w:val="1"/>
          <w:numId w:val="2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Indexes set forth in Section 1 if, within one (1) year of the date of this Amendment, Licensee does not list a World ex USA Factor ETF that is based on such Index.</w:t>
      </w:r>
    </w:p>
    <w:p>
      <w:pPr>
        <w:spacing w:after="0" w:line="206" w:lineRule="exact"/>
        <w:rPr>
          <w:rFonts w:ascii="Times New Roman" w:cs="Times New Roman" w:eastAsia="Times New Roman" w:hAnsi="Times New Roman"/>
          <w:sz w:val="11"/>
          <w:szCs w:val="11"/>
          <w:color w:val="auto"/>
        </w:rPr>
      </w:pPr>
    </w:p>
    <w:p>
      <w:pPr>
        <w:ind w:left="940" w:hanging="588"/>
        <w:spacing w:after="0" w:line="296" w:lineRule="auto"/>
        <w:tabs>
          <w:tab w:leader="none" w:pos="940" w:val="left"/>
        </w:tabs>
        <w:numPr>
          <w:ilvl w:val="1"/>
          <w:numId w:val="2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Licensee, delists a particular World ex USA Factor ETF or changes the underlying Index for such World ex USA Factor ETF, Licensee’s right to use the relevant Index set forth in Section 1 with respect to such World ex USA Factor ETF shall automatically and immediately terminate.</w:t>
      </w:r>
    </w:p>
    <w:p>
      <w:pPr>
        <w:spacing w:after="0" w:line="182" w:lineRule="exact"/>
        <w:rPr>
          <w:rFonts w:ascii="Times New Roman" w:cs="Times New Roman" w:eastAsia="Times New Roman" w:hAnsi="Times New Roman"/>
          <w:sz w:val="11"/>
          <w:szCs w:val="11"/>
          <w:color w:val="auto"/>
        </w:rPr>
      </w:pPr>
    </w:p>
    <w:p>
      <w:pPr>
        <w:ind w:left="940" w:hanging="588"/>
        <w:spacing w:after="0"/>
        <w:tabs>
          <w:tab w:leader="none" w:pos="940" w:val="left"/>
        </w:tabs>
        <w:numPr>
          <w:ilvl w:val="1"/>
          <w:numId w:val="2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3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ACKNOWLEDGED AND AGREED</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LICENSEE: BlackRock Fund Advisors</w:t>
            </w: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MSCI INC.</w:t>
            </w:r>
          </w:p>
        </w:tc>
        <w:tc>
          <w:tcPr>
            <w:tcW w:w="0" w:type="dxa"/>
            <w:vAlign w:val="bottom"/>
          </w:tcPr>
          <w:p>
            <w:pPr>
              <w:spacing w:after="0"/>
              <w:rPr>
                <w:sz w:val="1"/>
                <w:szCs w:val="1"/>
                <w:color w:val="auto"/>
              </w:rPr>
            </w:pPr>
          </w:p>
        </w:tc>
      </w:tr>
      <w:tr>
        <w:trPr>
          <w:trHeight w:val="72"/>
        </w:trPr>
        <w:tc>
          <w:tcPr>
            <w:tcW w:w="730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By/s/ Ravi Goutam</w:t>
            </w:r>
          </w:p>
        </w:tc>
        <w:tc>
          <w:tcPr>
            <w:tcW w:w="64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By/s/ David Kinzelberg</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6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Ravi Goutam</w:t>
            </w: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Name David Kinzelberg</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Managing Director</w:t>
            </w: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  Executive Director</w:t>
            </w:r>
          </w:p>
        </w:tc>
        <w:tc>
          <w:tcPr>
            <w:tcW w:w="0" w:type="dxa"/>
            <w:vAlign w:val="bottom"/>
          </w:tcPr>
          <w:p>
            <w:pPr>
              <w:spacing w:after="0"/>
              <w:rPr>
                <w:sz w:val="1"/>
                <w:szCs w:val="1"/>
                <w:color w:val="auto"/>
              </w:rPr>
            </w:pPr>
          </w:p>
        </w:tc>
      </w:tr>
      <w:tr>
        <w:trPr>
          <w:trHeight w:val="148"/>
        </w:trPr>
        <w:tc>
          <w:tcPr>
            <w:tcW w:w="73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Date10/9/14</w:t>
            </w: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 10/11/2014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280"/>
          </w:cols>
          <w:pgMar w:left="300" w:top="341" w:right="3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2"/>
          <w:szCs w:val="12"/>
          <w:b w:val="1"/>
          <w:bCs w:val="1"/>
          <w:color w:val="auto"/>
        </w:rPr>
        <w:t>Exhibit 10.96</w:t>
      </w:r>
    </w:p>
    <w:p>
      <w:pPr>
        <w:spacing w:after="0" w:line="150" w:lineRule="exact"/>
        <w:rPr>
          <w:sz w:val="20"/>
          <w:szCs w:val="20"/>
          <w:color w:val="auto"/>
        </w:rPr>
      </w:pPr>
    </w:p>
    <w:p>
      <w:pPr>
        <w:ind w:left="8" w:right="60" w:hanging="8"/>
        <w:spacing w:after="0" w:line="286" w:lineRule="auto"/>
        <w:tabs>
          <w:tab w:leader="none" w:pos="218" w:val="left"/>
        </w:tabs>
        <w:numPr>
          <w:ilvl w:val="0"/>
          <w:numId w:val="2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AMD_00146453.0</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October 30, 2014</w:t>
      </w:r>
    </w:p>
    <w:p>
      <w:pPr>
        <w:spacing w:after="0" w:line="132"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2"/>
          <w:szCs w:val="12"/>
          <w:color w:val="auto"/>
        </w:rPr>
        <w:t>AMENDMENT (this “Amendment”) to the Index License Agreement for Funds (MSCI reference number IXF_00040) dated as of March 18, 2000 (as previously amended,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is made by and between MSC1 Inc. (formerly known as Morgan Stanley Capital International Inc.) (“MSCI”) and BlackRock Fund Advisors, a California corporation (as successor to Barclays Global Investors, N.A.) (“Licensee”). Capitalized terms used but not defined herein shall have the meanings ascribed to them in the Agreement.</w:t>
      </w:r>
    </w:p>
    <w:p>
      <w:pPr>
        <w:spacing w:after="0" w:line="47" w:lineRule="exact"/>
        <w:rPr>
          <w:sz w:val="20"/>
          <w:szCs w:val="20"/>
          <w:color w:val="auto"/>
        </w:rPr>
      </w:pPr>
    </w:p>
    <w:p>
      <w:pPr>
        <w:ind w:left="428" w:hanging="428"/>
        <w:spacing w:after="0"/>
        <w:tabs>
          <w:tab w:leader="none" w:pos="428" w:val="left"/>
        </w:tabs>
        <w:numPr>
          <w:ilvl w:val="0"/>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w:t>
      </w:r>
    </w:p>
    <w:p>
      <w:pPr>
        <w:spacing w:after="0" w:line="78" w:lineRule="exact"/>
        <w:rPr>
          <w:rFonts w:ascii="Times New Roman" w:cs="Times New Roman" w:eastAsia="Times New Roman" w:hAnsi="Times New Roman"/>
          <w:sz w:val="12"/>
          <w:szCs w:val="12"/>
          <w:color w:val="auto"/>
        </w:rPr>
      </w:pPr>
    </w:p>
    <w:p>
      <w:pPr>
        <w:ind w:left="808" w:hanging="322"/>
        <w:spacing w:after="0"/>
        <w:tabs>
          <w:tab w:leader="none" w:pos="808"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2"/>
          <w:szCs w:val="12"/>
          <w:color w:val="auto"/>
        </w:rPr>
        <w:t>Or such other ***** as agreed by Licensee and MSCI in writing.</w:t>
      </w:r>
    </w:p>
    <w:p>
      <w:pPr>
        <w:spacing w:after="0" w:line="7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2"/>
          <w:szCs w:val="12"/>
          <w:color w:val="auto"/>
        </w:rPr>
        <w:t>Licensee may use the ***** set forth in Section 1 above solely with respect to the following Licensee fund (which shall be a “Fund” as such term is defined in the Agreement):</w:t>
      </w:r>
    </w:p>
    <w:p>
      <w:pPr>
        <w:spacing w:after="0" w:line="78" w:lineRule="exact"/>
        <w:rPr>
          <w:sz w:val="20"/>
          <w:szCs w:val="20"/>
          <w:color w:val="auto"/>
        </w:rPr>
      </w:pPr>
    </w:p>
    <w:p>
      <w:pPr>
        <w:ind w:left="848" w:hanging="362"/>
        <w:spacing w:after="0"/>
        <w:tabs>
          <w:tab w:leader="none" w:pos="848" w:val="left"/>
        </w:tabs>
        <w:numPr>
          <w:ilvl w:val="0"/>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Emerging Workforce ETF</w:t>
      </w:r>
    </w:p>
    <w:p>
      <w:pPr>
        <w:spacing w:after="0" w:line="78"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78"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2"/>
          <w:szCs w:val="12"/>
          <w:color w:val="auto"/>
        </w:rPr>
        <w:t>The Fund shall be ************************ fund listed on a national securities exchange located in the United States.</w:t>
      </w:r>
    </w:p>
    <w:p>
      <w:pPr>
        <w:spacing w:after="0" w:line="78" w:lineRule="exact"/>
        <w:rPr>
          <w:sz w:val="20"/>
          <w:szCs w:val="20"/>
          <w:color w:val="auto"/>
        </w:rPr>
      </w:pPr>
    </w:p>
    <w:p>
      <w:pPr>
        <w:ind w:left="428" w:hanging="428"/>
        <w:spacing w:after="0"/>
        <w:tabs>
          <w:tab w:leader="none" w:pos="42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 license fee based on the Fund’s</w:t>
      </w:r>
    </w:p>
    <w:p>
      <w:pPr>
        <w:spacing w:after="0" w:line="17" w:lineRule="exact"/>
        <w:rPr>
          <w:sz w:val="20"/>
          <w:szCs w:val="20"/>
          <w:color w:val="auto"/>
        </w:rPr>
      </w:pPr>
    </w:p>
    <w:p>
      <w:pPr>
        <w:ind w:left="488" w:right="2480"/>
        <w:spacing w:after="0" w:line="255" w:lineRule="auto"/>
        <w:rPr>
          <w:sz w:val="20"/>
          <w:szCs w:val="20"/>
          <w:color w:val="auto"/>
        </w:rPr>
      </w:pPr>
      <w:r>
        <w:rPr>
          <w:rFonts w:ascii="Times New Roman" w:cs="Times New Roman" w:eastAsia="Times New Roman" w:hAnsi="Times New Roman"/>
          <w:sz w:val="12"/>
          <w:szCs w:val="12"/>
          <w:color w:val="auto"/>
        </w:rPr>
        <w:t>*************************************************, which fee shall be calculated and payable on a ********* basis. The ********* license fee shall be calculated ************************************************************************************* ************************************************************************************** ***********************, as follows:</w:t>
      </w:r>
    </w:p>
    <w:p>
      <w:pPr>
        <w:spacing w:after="0" w:line="278" w:lineRule="exact"/>
        <w:rPr>
          <w:sz w:val="20"/>
          <w:szCs w:val="20"/>
          <w:color w:val="auto"/>
        </w:rPr>
      </w:pPr>
    </w:p>
    <w:p>
      <w:pPr>
        <w:ind w:left="5028"/>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4988"/>
        <w:spacing w:after="0"/>
        <w:rPr>
          <w:sz w:val="20"/>
          <w:szCs w:val="20"/>
          <w:color w:val="auto"/>
        </w:rPr>
      </w:pPr>
      <w:r>
        <w:rPr>
          <w:rFonts w:ascii="Times New Roman" w:cs="Times New Roman" w:eastAsia="Times New Roman" w:hAnsi="Times New Roman"/>
          <w:sz w:val="12"/>
          <w:szCs w:val="12"/>
          <w:color w:val="auto"/>
        </w:rPr>
        <w:t>**********************</w:t>
      </w:r>
    </w:p>
    <w:p>
      <w:pPr>
        <w:spacing w:after="0" w:line="22" w:lineRule="exact"/>
        <w:rPr>
          <w:sz w:val="20"/>
          <w:szCs w:val="20"/>
          <w:color w:val="auto"/>
        </w:rPr>
      </w:pPr>
    </w:p>
    <w:p>
      <w:pPr>
        <w:ind w:left="5028"/>
        <w:spacing w:after="0"/>
        <w:rPr>
          <w:sz w:val="20"/>
          <w:szCs w:val="20"/>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88" w:right="4880"/>
        <w:spacing w:after="0" w:line="255" w:lineRule="auto"/>
        <w:rPr>
          <w:sz w:val="20"/>
          <w:szCs w:val="20"/>
          <w:color w:val="auto"/>
        </w:rPr>
      </w:pPr>
      <w:r>
        <w:rPr>
          <w:rFonts w:ascii="Times New Roman" w:cs="Times New Roman" w:eastAsia="Times New Roman" w:hAnsi="Times New Roman"/>
          <w:sz w:val="12"/>
          <w:szCs w:val="12"/>
          <w:color w:val="auto"/>
        </w:rPr>
        <w:t>For the avoidance of doubt, the ********* license fees shall be calculated *************. For example, *************************************************************************************************** ************************************************************************************************ ****************************************************************************************** ******************************************************************************************* ******************************************************************************************** ***********************************************</w:t>
      </w:r>
    </w:p>
    <w:p>
      <w:pPr>
        <w:spacing w:after="0" w:line="2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9470"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99" w:name="page200"/>
    <w:bookmarkEnd w:id="199"/>
    <w:p>
      <w:pPr>
        <w:ind w:left="488" w:right="5100"/>
        <w:spacing w:after="0" w:line="291"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Expense Ratio</w:t>
      </w:r>
      <w:r>
        <w:rPr>
          <w:rFonts w:ascii="Times New Roman" w:cs="Times New Roman" w:eastAsia="Times New Roman" w:hAnsi="Times New Roman"/>
          <w:sz w:val="11"/>
          <w:szCs w:val="11"/>
          <w:color w:val="auto"/>
        </w:rPr>
        <w:t>” shall mean the ********************************* obtained when dividing ******************************************************************************* ********************************************************************************* ***********************************************************************************************.</w:t>
      </w:r>
    </w:p>
    <w:p>
      <w:pPr>
        <w:spacing w:after="0" w:line="107" w:lineRule="exact"/>
        <w:rPr>
          <w:sz w:val="20"/>
          <w:szCs w:val="20"/>
          <w:color w:val="auto"/>
        </w:rPr>
      </w:pPr>
    </w:p>
    <w:p>
      <w:pPr>
        <w:ind w:left="488" w:right="3960"/>
        <w:spacing w:after="0" w:line="265" w:lineRule="auto"/>
        <w:rPr>
          <w:sz w:val="20"/>
          <w:szCs w:val="20"/>
          <w:color w:val="auto"/>
        </w:rPr>
      </w:pPr>
      <w:r>
        <w:rPr>
          <w:rFonts w:ascii="Times New Roman" w:cs="Times New Roman" w:eastAsia="Times New Roman" w:hAnsi="Times New Roman"/>
          <w:sz w:val="12"/>
          <w:szCs w:val="12"/>
          <w:color w:val="auto"/>
        </w:rPr>
        <w:t>Notwithstanding anything to the contrary contained herein, if the Fund does not have an ************* or if a Fund’s ********************************** or if a Fund has an *********************, the ********* licensee fee for such Fund shall equal ***********************************************************************************.</w:t>
      </w:r>
    </w:p>
    <w:p>
      <w:pPr>
        <w:spacing w:after="0" w:line="47" w:lineRule="exact"/>
        <w:rPr>
          <w:sz w:val="20"/>
          <w:szCs w:val="20"/>
          <w:color w:val="auto"/>
        </w:rPr>
      </w:pPr>
    </w:p>
    <w:p>
      <w:pPr>
        <w:ind w:left="368" w:hanging="368"/>
        <w:spacing w:after="0"/>
        <w:tabs>
          <w:tab w:leader="none" w:pos="368" w:val="left"/>
        </w:tabs>
        <w:numPr>
          <w:ilvl w:val="0"/>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50" w:lineRule="exact"/>
        <w:rPr>
          <w:rFonts w:ascii="Times New Roman" w:cs="Times New Roman" w:eastAsia="Times New Roman" w:hAnsi="Times New Roman"/>
          <w:sz w:val="12"/>
          <w:szCs w:val="12"/>
          <w:color w:val="auto"/>
        </w:rPr>
      </w:pPr>
    </w:p>
    <w:p>
      <w:pPr>
        <w:ind w:left="848" w:right="600" w:hanging="362"/>
        <w:spacing w:after="0" w:line="279" w:lineRule="auto"/>
        <w:tabs>
          <w:tab w:leader="none" w:pos="848" w:val="left"/>
        </w:tabs>
        <w:numPr>
          <w:ilvl w:val="1"/>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this Amendment shall control. No right or license of any kind is granted to Licensee except as expressly provided in the Agreement and this Amendment.</w:t>
      </w:r>
    </w:p>
    <w:p>
      <w:pPr>
        <w:spacing w:after="0" w:line="39" w:lineRule="exact"/>
        <w:rPr>
          <w:rFonts w:ascii="Times New Roman" w:cs="Times New Roman" w:eastAsia="Times New Roman" w:hAnsi="Times New Roman"/>
          <w:sz w:val="12"/>
          <w:szCs w:val="12"/>
          <w:color w:val="auto"/>
        </w:rPr>
      </w:pPr>
    </w:p>
    <w:p>
      <w:pPr>
        <w:ind w:left="848" w:hanging="362"/>
        <w:spacing w:after="0"/>
        <w:tabs>
          <w:tab w:leader="none" w:pos="848" w:val="left"/>
        </w:tabs>
        <w:numPr>
          <w:ilvl w:val="1"/>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the Index set forth in Section 1 if, within one (1) year of the date of this Amendment, Licensee does not list the Fund and/or the Fund is not based on the Index.</w:t>
      </w:r>
    </w:p>
    <w:p>
      <w:pPr>
        <w:spacing w:after="0" w:line="87" w:lineRule="exact"/>
        <w:rPr>
          <w:rFonts w:ascii="Times New Roman" w:cs="Times New Roman" w:eastAsia="Times New Roman" w:hAnsi="Times New Roman"/>
          <w:sz w:val="12"/>
          <w:szCs w:val="12"/>
          <w:color w:val="auto"/>
        </w:rPr>
      </w:pPr>
    </w:p>
    <w:p>
      <w:pPr>
        <w:ind w:left="848" w:hanging="362"/>
        <w:spacing w:after="0"/>
        <w:tabs>
          <w:tab w:leader="none" w:pos="848" w:val="left"/>
        </w:tabs>
        <w:numPr>
          <w:ilvl w:val="1"/>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the Fund or changes the underlying MSCI index for the Fund, then Licensee’s right to use the Index with respect to the Fund shall automatically and immediately terminate.</w:t>
      </w:r>
    </w:p>
    <w:p>
      <w:pPr>
        <w:spacing w:after="0" w:line="87" w:lineRule="exact"/>
        <w:rPr>
          <w:rFonts w:ascii="Times New Roman" w:cs="Times New Roman" w:eastAsia="Times New Roman" w:hAnsi="Times New Roman"/>
          <w:sz w:val="12"/>
          <w:szCs w:val="12"/>
          <w:color w:val="auto"/>
        </w:rPr>
      </w:pPr>
    </w:p>
    <w:p>
      <w:pPr>
        <w:ind w:left="848" w:hanging="362"/>
        <w:spacing w:after="0"/>
        <w:tabs>
          <w:tab w:leader="none" w:pos="848" w:val="left"/>
        </w:tabs>
        <w:numPr>
          <w:ilvl w:val="1"/>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378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77"/>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3780" w:type="dxa"/>
            <w:vAlign w:val="bottom"/>
          </w:tcPr>
          <w:p>
            <w:pPr>
              <w:ind w:left="2980"/>
              <w:spacing w:after="0"/>
              <w:rPr>
                <w:sz w:val="20"/>
                <w:szCs w:val="20"/>
                <w:color w:val="auto"/>
              </w:rPr>
            </w:pPr>
            <w:r>
              <w:rPr>
                <w:rFonts w:ascii="Times New Roman" w:cs="Times New Roman" w:eastAsia="Times New Roman" w:hAnsi="Times New Roman"/>
                <w:sz w:val="12"/>
                <w:szCs w:val="12"/>
                <w:color w:val="auto"/>
              </w:rPr>
              <w:t>MSCI INC.</w:t>
            </w:r>
          </w:p>
        </w:tc>
        <w:tc>
          <w:tcPr>
            <w:tcW w:w="3380" w:type="dxa"/>
            <w:vAlign w:val="bottom"/>
          </w:tcPr>
          <w:p>
            <w:pPr>
              <w:spacing w:after="0"/>
              <w:rPr>
                <w:sz w:val="24"/>
                <w:szCs w:val="24"/>
                <w:color w:val="auto"/>
              </w:rPr>
            </w:pPr>
          </w:p>
        </w:tc>
      </w:tr>
      <w:tr>
        <w:trPr>
          <w:trHeight w:val="155"/>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C. Lohrey</w:t>
            </w:r>
          </w:p>
        </w:tc>
        <w:tc>
          <w:tcPr>
            <w:tcW w:w="3780" w:type="dxa"/>
            <w:vAlign w:val="bottom"/>
          </w:tcPr>
          <w:p>
            <w:pPr>
              <w:ind w:left="2980"/>
              <w:spacing w:after="0"/>
              <w:rPr>
                <w:sz w:val="20"/>
                <w:szCs w:val="20"/>
                <w:color w:val="auto"/>
              </w:rPr>
            </w:pPr>
            <w:r>
              <w:rPr>
                <w:rFonts w:ascii="Times New Roman" w:cs="Times New Roman" w:eastAsia="Times New Roman" w:hAnsi="Times New Roman"/>
                <w:sz w:val="12"/>
                <w:szCs w:val="12"/>
                <w:color w:val="auto"/>
              </w:rPr>
              <w:t>By</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David Kinzelberg</w:t>
            </w:r>
          </w:p>
        </w:tc>
      </w:tr>
      <w:tr>
        <w:trPr>
          <w:trHeight w:val="122"/>
        </w:trPr>
        <w:tc>
          <w:tcPr>
            <w:tcW w:w="7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3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Paul C. Lohrey</w:t>
            </w:r>
          </w:p>
        </w:tc>
        <w:tc>
          <w:tcPr>
            <w:tcW w:w="3780" w:type="dxa"/>
            <w:vAlign w:val="bottom"/>
          </w:tcPr>
          <w:p>
            <w:pPr>
              <w:ind w:left="29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David Kinzelberg</w:t>
            </w:r>
          </w:p>
        </w:tc>
      </w:tr>
      <w:tr>
        <w:trPr>
          <w:trHeight w:val="144"/>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3780" w:type="dxa"/>
            <w:vAlign w:val="bottom"/>
          </w:tcPr>
          <w:p>
            <w:pPr>
              <w:ind w:left="2980"/>
              <w:spacing w:after="0"/>
              <w:rPr>
                <w:sz w:val="20"/>
                <w:szCs w:val="20"/>
                <w:color w:val="auto"/>
              </w:rPr>
            </w:pPr>
            <w:r>
              <w:rPr>
                <w:rFonts w:ascii="Times New Roman" w:cs="Times New Roman" w:eastAsia="Times New Roman" w:hAnsi="Times New Roman"/>
                <w:sz w:val="12"/>
                <w:szCs w:val="12"/>
                <w:color w:val="auto"/>
              </w:rPr>
              <w:t>Title</w:t>
            </w:r>
          </w:p>
        </w:tc>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155"/>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10/29/2014</w:t>
            </w:r>
          </w:p>
        </w:tc>
        <w:tc>
          <w:tcPr>
            <w:tcW w:w="3780" w:type="dxa"/>
            <w:vAlign w:val="bottom"/>
          </w:tcPr>
          <w:p>
            <w:pPr>
              <w:ind w:left="2980"/>
              <w:spacing w:after="0"/>
              <w:rPr>
                <w:sz w:val="20"/>
                <w:szCs w:val="20"/>
                <w:color w:val="auto"/>
              </w:rPr>
            </w:pPr>
            <w:r>
              <w:rPr>
                <w:rFonts w:ascii="Times New Roman" w:cs="Times New Roman" w:eastAsia="Times New Roman" w:hAnsi="Times New Roman"/>
                <w:sz w:val="12"/>
                <w:szCs w:val="12"/>
                <w:color w:val="auto"/>
              </w:rPr>
              <w:t>Date</w:t>
            </w:r>
          </w:p>
        </w:tc>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Nov 3, 2014</w:t>
            </w:r>
          </w:p>
        </w:tc>
      </w:tr>
      <w:tr>
        <w:trPr>
          <w:trHeight w:val="432"/>
        </w:trPr>
        <w:tc>
          <w:tcPr>
            <w:tcW w:w="7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8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2/2</w:t>
            </w:r>
          </w:p>
        </w:tc>
        <w:tc>
          <w:tcPr>
            <w:tcW w:w="3380" w:type="dxa"/>
            <w:vAlign w:val="bottom"/>
          </w:tcPr>
          <w:p>
            <w:pPr>
              <w:spacing w:after="0"/>
              <w:rPr>
                <w:sz w:val="24"/>
                <w:szCs w:val="24"/>
                <w:color w:val="auto"/>
              </w:rPr>
            </w:pPr>
          </w:p>
        </w:tc>
      </w:tr>
    </w:tbl>
    <w:p>
      <w:pPr>
        <w:sectPr>
          <w:pgSz w:w="11900" w:h="16838" w:orient="portrait"/>
          <w:cols w:equalWidth="0" w:num="1">
            <w:col w:w="11308"/>
          </w:cols>
          <w:pgMar w:left="292" w:top="453" w:right="29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2"/>
          <w:szCs w:val="12"/>
          <w:b w:val="1"/>
          <w:bCs w:val="1"/>
          <w:color w:val="auto"/>
        </w:rPr>
        <w:t>Exhibit 10.102</w:t>
      </w:r>
    </w:p>
    <w:p>
      <w:pPr>
        <w:spacing w:after="0" w:line="159" w:lineRule="exact"/>
        <w:rPr>
          <w:sz w:val="20"/>
          <w:szCs w:val="20"/>
          <w:color w:val="auto"/>
        </w:rPr>
      </w:pPr>
    </w:p>
    <w:p>
      <w:pPr>
        <w:ind w:left="8" w:hanging="8"/>
        <w:spacing w:after="0" w:line="263" w:lineRule="auto"/>
        <w:tabs>
          <w:tab w:leader="none" w:pos="220" w:val="left"/>
        </w:tabs>
        <w:numPr>
          <w:ilvl w:val="0"/>
          <w:numId w:val="24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ind w:left="10528"/>
        <w:spacing w:after="0"/>
        <w:rPr>
          <w:sz w:val="20"/>
          <w:szCs w:val="20"/>
          <w:color w:val="auto"/>
        </w:rPr>
      </w:pPr>
      <w:r>
        <w:rPr>
          <w:rFonts w:ascii="Times New Roman" w:cs="Times New Roman" w:eastAsia="Times New Roman" w:hAnsi="Times New Roman"/>
          <w:sz w:val="12"/>
          <w:szCs w:val="12"/>
          <w:color w:val="auto"/>
        </w:rPr>
        <w:t>A.N.: 130339</w:t>
      </w:r>
    </w:p>
    <w:p>
      <w:pPr>
        <w:spacing w:after="0" w:line="6" w:lineRule="exact"/>
        <w:rPr>
          <w:sz w:val="20"/>
          <w:szCs w:val="20"/>
          <w:color w:val="auto"/>
        </w:rPr>
      </w:pPr>
    </w:p>
    <w:p>
      <w:pPr>
        <w:ind w:left="10268"/>
        <w:spacing w:after="0"/>
        <w:rPr>
          <w:sz w:val="20"/>
          <w:szCs w:val="20"/>
          <w:color w:val="auto"/>
        </w:rPr>
      </w:pPr>
      <w:r>
        <w:rPr>
          <w:rFonts w:ascii="Times New Roman" w:cs="Times New Roman" w:eastAsia="Times New Roman" w:hAnsi="Times New Roman"/>
          <w:sz w:val="12"/>
          <w:szCs w:val="12"/>
          <w:color w:val="auto"/>
        </w:rPr>
        <w:t>AMD_00125855.0</w:t>
      </w:r>
    </w:p>
    <w:p>
      <w:pPr>
        <w:spacing w:after="0" w:line="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6"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Date of Amendment: February 4, 2015</w:t>
      </w:r>
    </w:p>
    <w:p>
      <w:pPr>
        <w:spacing w:after="0" w:line="67" w:lineRule="exact"/>
        <w:rPr>
          <w:sz w:val="20"/>
          <w:szCs w:val="20"/>
          <w:color w:val="auto"/>
        </w:rPr>
      </w:pPr>
    </w:p>
    <w:p>
      <w:pPr>
        <w:ind w:left="168" w:right="340"/>
        <w:spacing w:after="0" w:line="279" w:lineRule="auto"/>
        <w:rPr>
          <w:sz w:val="20"/>
          <w:szCs w:val="20"/>
          <w:color w:val="auto"/>
        </w:rPr>
      </w:pPr>
      <w:r>
        <w:rPr>
          <w:rFonts w:ascii="Times New Roman" w:cs="Times New Roman" w:eastAsia="Times New Roman" w:hAnsi="Times New Roman"/>
          <w:sz w:val="12"/>
          <w:szCs w:val="12"/>
          <w:color w:val="auto"/>
        </w:rPr>
        <w:t>AMENDMENT to the Index License Agreement for Funds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dated as of March 18, 2000, by and between MSCI Inc, (formerly known as Morgan Stanley Capital International Inc.) (“MSCI”) and BlackRock Fund Advisors (as successor to Barclays Global Investors, NA.) (“Licensee”), as previously amended. Capitalized terms used but not defined herein shall have the meanings ascribed to them in the Agreement.</w:t>
      </w:r>
    </w:p>
    <w:p>
      <w:pPr>
        <w:spacing w:after="0" w:line="111"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WHEREAS, pursuant to the terms of the Amendment (MSCI reference # AMD_00105603.0.0) between MSCI and Licensee dated December 10, 2013 (the “Previous Amendment”) and the letter agreement (MSCI reference #</w:t>
      </w:r>
    </w:p>
    <w:p>
      <w:pPr>
        <w:spacing w:after="0" w:line="17"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AMD_00123218.0) between MSCI and Licensee dated March 18, 2014, MSCI granted Licensee the right to use the MSCI indexes identified below as the basis for the Licensee Funds identified below in the United States:</w:t>
      </w:r>
    </w:p>
    <w:p>
      <w:pPr>
        <w:spacing w:after="0" w:line="132" w:lineRule="exact"/>
        <w:rPr>
          <w:sz w:val="20"/>
          <w:szCs w:val="20"/>
          <w:color w:val="auto"/>
        </w:rPr>
      </w:pPr>
    </w:p>
    <w:p>
      <w:pPr>
        <w:ind w:left="728" w:hanging="368"/>
        <w:spacing w:after="0"/>
        <w:tabs>
          <w:tab w:leader="none" w:pos="728"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iShares Currency Hedged MSCI Japan ETF, which seeks to track the investment results of the MSCI Japan 100% Hedged to USD Index.</w:t>
      </w:r>
    </w:p>
    <w:p>
      <w:pPr>
        <w:spacing w:after="0" w:line="8" w:lineRule="exact"/>
        <w:rPr>
          <w:rFonts w:ascii="Times New Roman" w:cs="Times New Roman" w:eastAsia="Times New Roman" w:hAnsi="Times New Roman"/>
          <w:sz w:val="12"/>
          <w:szCs w:val="12"/>
          <w:color w:val="auto"/>
        </w:rPr>
      </w:pPr>
    </w:p>
    <w:p>
      <w:pPr>
        <w:ind w:left="728" w:hanging="368"/>
        <w:spacing w:after="0" w:line="231" w:lineRule="auto"/>
        <w:tabs>
          <w:tab w:leader="none" w:pos="728"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iShares Currency Hedged MSCI Germany ETF, which seeks to track the investment results of the MSCI Germany 100% Hedged to USD Index.</w:t>
      </w:r>
    </w:p>
    <w:p>
      <w:pPr>
        <w:ind w:left="728" w:hanging="368"/>
        <w:spacing w:after="0" w:line="231" w:lineRule="auto"/>
        <w:tabs>
          <w:tab w:leader="none" w:pos="728"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iShares Currency Hedged MSCI EAFE ETF, which seeks to track the investment results of the MSCI EAFE 100% Hedged to USD Index.</w:t>
      </w:r>
    </w:p>
    <w:p>
      <w:pPr>
        <w:ind w:left="728" w:hanging="368"/>
        <w:spacing w:after="0" w:line="231" w:lineRule="auto"/>
        <w:tabs>
          <w:tab w:leader="none" w:pos="728"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iShares Currency Hedged MSCI EMU ETF, which seeks to track the investment results of the MSCI EMU 100% Hedged to USD Index.</w:t>
      </w:r>
    </w:p>
    <w:p>
      <w:pPr>
        <w:ind w:left="728" w:hanging="368"/>
        <w:spacing w:after="0"/>
        <w:tabs>
          <w:tab w:leader="none" w:pos="728"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iShares Currency Hedged MSCI Emerging Markets ETF, which seeks to track the investment results of the MSCI Emerging Markets 100% Hedged to USD Index.</w:t>
      </w:r>
    </w:p>
    <w:p>
      <w:pPr>
        <w:spacing w:after="0" w:line="132"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(The term “Fund” as used herein shall have the meaning ascribed to it in the Previous Amendment)</w:t>
      </w:r>
    </w:p>
    <w:p>
      <w:pPr>
        <w:spacing w:after="0" w:line="150"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WHEREAS, the parties wish to further amend the Agreement to allow for the cross-listing of the Licensee Funds identified above, as set forth below.</w:t>
      </w:r>
    </w:p>
    <w:p>
      <w:pPr>
        <w:spacing w:after="0" w:line="150"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NOW, THEREFORE, for good and valuable consideration, the receipt and sufficiency of which is hereby acknowledged, the parties hereto agree as follows:</w:t>
      </w:r>
    </w:p>
    <w:p>
      <w:pPr>
        <w:spacing w:after="0" w:line="150" w:lineRule="exact"/>
        <w:rPr>
          <w:sz w:val="20"/>
          <w:szCs w:val="20"/>
          <w:color w:val="auto"/>
        </w:rPr>
      </w:pPr>
    </w:p>
    <w:p>
      <w:pPr>
        <w:ind w:left="8" w:right="40" w:hanging="8"/>
        <w:spacing w:after="0" w:line="280" w:lineRule="auto"/>
        <w:tabs>
          <w:tab w:leader="none" w:pos="434" w:val="left"/>
        </w:tabs>
        <w:numPr>
          <w:ilvl w:val="0"/>
          <w:numId w:val="2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of the Agreement is hereby amended to allow each Licensee Fund identified above to be listed and traded on the Mexican Stock Exchange (Bolsa Mexicana de Valores) (herein referred to as the “Mexican Listed Funds”) after such Fund is listed on a United States exchange. All Mexican Listed Funds must be issued, sold and traded on a public basis in accordance with applicable Mexican securities law. All other terms and restrictions contained in Exhibit B of the Agreement shall apply to the Mexican Listed Funds. For the avoidance of doubt, ******************************************** shall apply with respect to all Mexican Listed Funds. For clarity, there shall be</w:t>
      </w:r>
    </w:p>
    <w:p>
      <w:pPr>
        <w:ind w:left="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 from the Mexican Listed Funds shall be included in the **********************************************************************</w:t>
      </w:r>
    </w:p>
    <w:p>
      <w:pPr>
        <w:spacing w:after="0" w:line="6" w:lineRule="exact"/>
        <w:rPr>
          <w:rFonts w:ascii="Times New Roman" w:cs="Times New Roman" w:eastAsia="Times New Roman" w:hAnsi="Times New Roman"/>
          <w:sz w:val="11"/>
          <w:szCs w:val="11"/>
          <w:color w:val="auto"/>
        </w:rPr>
      </w:pPr>
    </w:p>
    <w:p>
      <w:pPr>
        <w:ind w:left="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 **********************************.</w:t>
      </w:r>
    </w:p>
    <w:p>
      <w:pPr>
        <w:spacing w:after="0" w:line="139" w:lineRule="exact"/>
        <w:rPr>
          <w:rFonts w:ascii="Times New Roman" w:cs="Times New Roman" w:eastAsia="Times New Roman" w:hAnsi="Times New Roman"/>
          <w:sz w:val="11"/>
          <w:szCs w:val="11"/>
          <w:color w:val="auto"/>
        </w:rPr>
      </w:pPr>
    </w:p>
    <w:p>
      <w:pPr>
        <w:jc w:val="both"/>
        <w:ind w:left="8" w:right="20" w:hanging="8"/>
        <w:spacing w:after="0" w:line="265" w:lineRule="auto"/>
        <w:tabs>
          <w:tab w:leader="none" w:pos="434" w:val="left"/>
        </w:tabs>
        <w:numPr>
          <w:ilvl w:val="0"/>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200" w:lineRule="exact"/>
        <w:rPr>
          <w:sz w:val="20"/>
          <w:szCs w:val="20"/>
          <w:color w:val="auto"/>
        </w:rPr>
      </w:pPr>
    </w:p>
    <w:p>
      <w:pPr>
        <w:spacing w:after="0" w:line="2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AMD_00125855.0</w:t>
      </w:r>
    </w:p>
    <w:p>
      <w:pPr>
        <w:spacing w:after="0" w:line="139" w:lineRule="exact"/>
        <w:rPr>
          <w:sz w:val="20"/>
          <w:szCs w:val="20"/>
          <w:color w:val="auto"/>
        </w:rPr>
      </w:pPr>
    </w:p>
    <w:p>
      <w:pPr>
        <w:ind w:left="548" w:hanging="548"/>
        <w:spacing w:after="0"/>
        <w:tabs>
          <w:tab w:leader="none" w:pos="548"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0" w:lineRule="exact"/>
        <w:rPr>
          <w:sz w:val="20"/>
          <w:szCs w:val="20"/>
          <w:color w:val="auto"/>
        </w:rPr>
      </w:pPr>
    </w:p>
    <w:tbl>
      <w:tblPr>
        <w:tblLayout w:type="fixed"/>
        <w:tblInd w:w="68" w:type="dxa"/>
        <w:tblCellMar>
          <w:top w:w="0" w:type="dxa"/>
          <w:left w:w="0" w:type="dxa"/>
          <w:bottom w:w="0" w:type="dxa"/>
          <w:right w:w="0" w:type="dxa"/>
        </w:tblCellMar>
      </w:tblPr>
      <w:tr>
        <w:trPr>
          <w:trHeight w:val="155"/>
        </w:trPr>
        <w:tc>
          <w:tcPr>
            <w:tcW w:w="5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1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MSCI INC.</w:t>
            </w:r>
          </w:p>
        </w:tc>
        <w:tc>
          <w:tcPr>
            <w:tcW w:w="4600" w:type="dxa"/>
            <w:vAlign w:val="bottom"/>
          </w:tcPr>
          <w:p>
            <w:pPr>
              <w:spacing w:after="0"/>
              <w:rPr>
                <w:sz w:val="13"/>
                <w:szCs w:val="13"/>
                <w:color w:val="auto"/>
              </w:rPr>
            </w:pPr>
          </w:p>
        </w:tc>
      </w:tr>
      <w:tr>
        <w:trPr>
          <w:trHeight w:val="288"/>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/s/ Paul C Lohrey</w:t>
            </w:r>
          </w:p>
        </w:tc>
        <w:tc>
          <w:tcPr>
            <w:tcW w:w="1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/s/ David Kinzelberg</w:t>
            </w:r>
          </w:p>
        </w:tc>
      </w:tr>
      <w:tr>
        <w:trPr>
          <w:trHeight w:val="122"/>
        </w:trPr>
        <w:tc>
          <w:tcPr>
            <w:tcW w:w="7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40" w:type="dxa"/>
            <w:vAlign w:val="bottom"/>
          </w:tcPr>
          <w:p>
            <w:pPr>
              <w:spacing w:after="0"/>
              <w:rPr>
                <w:sz w:val="10"/>
                <w:szCs w:val="10"/>
                <w:color w:val="auto"/>
              </w:rPr>
            </w:pPr>
          </w:p>
        </w:tc>
        <w:tc>
          <w:tcPr>
            <w:tcW w:w="40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Paul C Lohrey</w:t>
            </w:r>
          </w:p>
        </w:tc>
        <w:tc>
          <w:tcPr>
            <w:tcW w:w="1400" w:type="dxa"/>
            <w:vAlign w:val="bottom"/>
          </w:tcPr>
          <w:p>
            <w:pPr>
              <w:ind w:left="24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6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David Kinzelberg</w:t>
            </w:r>
          </w:p>
        </w:tc>
      </w:tr>
      <w:tr>
        <w:trPr>
          <w:trHeight w:val="144"/>
        </w:trPr>
        <w:tc>
          <w:tcPr>
            <w:tcW w:w="720" w:type="dxa"/>
            <w:vAlign w:val="bottom"/>
          </w:tcPr>
          <w:p>
            <w:pPr>
              <w:spacing w:after="0"/>
              <w:rPr>
                <w:sz w:val="12"/>
                <w:szCs w:val="12"/>
                <w:color w:val="auto"/>
              </w:rPr>
            </w:pP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(printed)</w:t>
            </w:r>
          </w:p>
        </w:tc>
        <w:tc>
          <w:tcPr>
            <w:tcW w:w="140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(printed)</w:t>
            </w:r>
          </w:p>
        </w:tc>
      </w:tr>
      <w:tr>
        <w:trPr>
          <w:trHeight w:val="155"/>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Managing Director</w:t>
            </w:r>
          </w:p>
        </w:tc>
        <w:tc>
          <w:tcPr>
            <w:tcW w:w="1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432"/>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2/2</w:t>
            </w:r>
          </w:p>
        </w:tc>
        <w:tc>
          <w:tcPr>
            <w:tcW w:w="4600" w:type="dxa"/>
            <w:vAlign w:val="bottom"/>
          </w:tcPr>
          <w:p>
            <w:pPr>
              <w:spacing w:after="0"/>
              <w:rPr>
                <w:sz w:val="24"/>
                <w:szCs w:val="24"/>
                <w:color w:val="auto"/>
              </w:rPr>
            </w:pPr>
          </w:p>
        </w:tc>
      </w:tr>
    </w:tbl>
    <w:p>
      <w:pPr>
        <w:sectPr>
          <w:pgSz w:w="11900" w:h="16838" w:orient="portrait"/>
          <w:cols w:equalWidth="0" w:num="1">
            <w:col w:w="11308"/>
          </w:cols>
          <w:pgMar w:left="292" w:top="426" w:right="299" w:bottom="1440" w:gutter="0" w:footer="0" w:header="0"/>
        </w:sectPr>
      </w:pPr>
    </w:p>
    <w:bookmarkStart w:id="202" w:name="page203"/>
    <w:bookmarkEnd w:id="202"/>
    <w:p>
      <w:pPr>
        <w:ind w:left="10568"/>
        <w:spacing w:after="0"/>
        <w:rPr>
          <w:sz w:val="20"/>
          <w:szCs w:val="20"/>
          <w:color w:val="auto"/>
        </w:rPr>
      </w:pPr>
      <w:r>
        <w:rPr>
          <w:rFonts w:ascii="Times New Roman" w:cs="Times New Roman" w:eastAsia="Times New Roman" w:hAnsi="Times New Roman"/>
          <w:sz w:val="11"/>
          <w:szCs w:val="11"/>
          <w:b w:val="1"/>
          <w:bCs w:val="1"/>
          <w:color w:val="auto"/>
        </w:rPr>
        <w:t>Exhibit 10.103</w:t>
      </w:r>
    </w:p>
    <w:p>
      <w:pPr>
        <w:spacing w:after="0" w:line="162" w:lineRule="exact"/>
        <w:rPr>
          <w:sz w:val="20"/>
          <w:szCs w:val="20"/>
          <w:color w:val="auto"/>
        </w:rPr>
      </w:pPr>
    </w:p>
    <w:p>
      <w:pPr>
        <w:ind w:left="8" w:hanging="8"/>
        <w:spacing w:after="0" w:line="263" w:lineRule="auto"/>
        <w:tabs>
          <w:tab w:leader="none" w:pos="220" w:val="left"/>
        </w:tabs>
        <w:numPr>
          <w:ilvl w:val="0"/>
          <w:numId w:val="2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AMD_00163614.0</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67"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Date of Amendment: February 25, 2015</w:t>
      </w:r>
    </w:p>
    <w:p>
      <w:pPr>
        <w:spacing w:after="0" w:line="78" w:lineRule="exact"/>
        <w:rPr>
          <w:sz w:val="20"/>
          <w:szCs w:val="20"/>
          <w:color w:val="auto"/>
        </w:rPr>
      </w:pPr>
    </w:p>
    <w:p>
      <w:pPr>
        <w:jc w:val="both"/>
        <w:ind w:left="168" w:right="280"/>
        <w:spacing w:after="0" w:line="265" w:lineRule="auto"/>
        <w:rPr>
          <w:sz w:val="20"/>
          <w:szCs w:val="20"/>
          <w:color w:val="auto"/>
        </w:rPr>
      </w:pPr>
      <w:r>
        <w:rPr>
          <w:rFonts w:ascii="Times New Roman" w:cs="Times New Roman" w:eastAsia="Times New Roman" w:hAnsi="Times New Roman"/>
          <w:sz w:val="12"/>
          <w:szCs w:val="12"/>
          <w:color w:val="auto"/>
        </w:rPr>
        <w:t>AMENDMENT (this “Amendment”) to the Index License Agreement for Funds (MSCI reference number IXF_00040) dated as of March 18, 2000 (as previously amended,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is made by and between MSCI Inc. (formerly known as Morgan Stanley Capital International Inc.) (“MSCI”) and BlackRock Fund Advisors, a California corporation (as successor to Barclays Global Investors, N.A.) (“Licensee”). Capitalized terms used but not defined herein shall have the meanings ascribed to them in the Agreement.</w:t>
      </w:r>
    </w:p>
    <w:p>
      <w:pPr>
        <w:spacing w:after="0" w:line="47" w:lineRule="exact"/>
        <w:rPr>
          <w:sz w:val="20"/>
          <w:szCs w:val="20"/>
          <w:color w:val="auto"/>
        </w:rPr>
      </w:pPr>
    </w:p>
    <w:p>
      <w:pPr>
        <w:ind w:left="568" w:hanging="415"/>
        <w:spacing w:after="0"/>
        <w:tabs>
          <w:tab w:leader="none" w:pos="568"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87" w:lineRule="exact"/>
        <w:rPr>
          <w:rFonts w:ascii="Times New Roman" w:cs="Times New Roman" w:eastAsia="Times New Roman" w:hAnsi="Times New Roman"/>
          <w:sz w:val="12"/>
          <w:szCs w:val="12"/>
          <w:color w:val="auto"/>
        </w:rPr>
      </w:pPr>
    </w:p>
    <w:p>
      <w:pPr>
        <w:ind w:left="1068" w:hanging="467"/>
        <w:spacing w:after="0"/>
        <w:tabs>
          <w:tab w:leader="none" w:pos="1068"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World ex USA Risk Weighted Index</w:t>
      </w:r>
    </w:p>
    <w:p>
      <w:pPr>
        <w:spacing w:after="0" w:line="78" w:lineRule="exact"/>
        <w:rPr>
          <w:rFonts w:ascii="Times New Roman" w:cs="Times New Roman" w:eastAsia="Times New Roman" w:hAnsi="Times New Roman"/>
          <w:sz w:val="12"/>
          <w:szCs w:val="12"/>
          <w:color w:val="auto"/>
        </w:rPr>
      </w:pPr>
    </w:p>
    <w:p>
      <w:pPr>
        <w:ind w:left="1068" w:hanging="467"/>
        <w:spacing w:after="0"/>
        <w:tabs>
          <w:tab w:leader="none" w:pos="1068"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World ex USA Enhanced Value Index</w:t>
      </w:r>
    </w:p>
    <w:p>
      <w:pPr>
        <w:spacing w:after="0" w:line="78"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Or such other indexes as agreed by Licensee and MSCI in writing.</w:t>
      </w:r>
    </w:p>
    <w:p>
      <w:pPr>
        <w:spacing w:after="0" w:line="78" w:lineRule="exact"/>
        <w:rPr>
          <w:sz w:val="20"/>
          <w:szCs w:val="20"/>
          <w:color w:val="auto"/>
        </w:rPr>
      </w:pPr>
    </w:p>
    <w:p>
      <w:pPr>
        <w:ind w:left="568" w:right="300" w:hanging="415"/>
        <w:spacing w:after="0" w:line="279" w:lineRule="auto"/>
        <w:tabs>
          <w:tab w:leader="none" w:pos="568"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Indexes set forth in Section 1 above solely with respect to the following Licensee fluids (each, a “World ex U</w:t>
      </w:r>
      <w:r>
        <w:rPr>
          <w:rFonts w:ascii="Times New Roman" w:cs="Times New Roman" w:eastAsia="Times New Roman" w:hAnsi="Times New Roman"/>
          <w:sz w:val="12"/>
          <w:szCs w:val="12"/>
          <w:u w:val="single" w:color="auto"/>
          <w:color w:val="auto"/>
        </w:rPr>
        <w:t>SA Factor ETF</w:t>
      </w:r>
      <w:r>
        <w:rPr>
          <w:rFonts w:ascii="Times New Roman" w:cs="Times New Roman" w:eastAsia="Times New Roman" w:hAnsi="Times New Roman"/>
          <w:sz w:val="12"/>
          <w:szCs w:val="12"/>
          <w:color w:val="auto"/>
        </w:rPr>
        <w:t>” and each World ex USA Factor ETF shall also be a “Fund” as such term is defined in the Agreement):</w:t>
      </w:r>
    </w:p>
    <w:p>
      <w:pPr>
        <w:spacing w:after="0" w:line="39" w:lineRule="exact"/>
        <w:rPr>
          <w:rFonts w:ascii="Times New Roman" w:cs="Times New Roman" w:eastAsia="Times New Roman" w:hAnsi="Times New Roman"/>
          <w:sz w:val="12"/>
          <w:szCs w:val="12"/>
          <w:color w:val="auto"/>
        </w:rPr>
      </w:pPr>
    </w:p>
    <w:p>
      <w:pPr>
        <w:ind w:left="1068" w:hanging="467"/>
        <w:spacing w:after="0"/>
        <w:tabs>
          <w:tab w:leader="none" w:pos="1068"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International Developed Size Factor ETF</w:t>
      </w:r>
    </w:p>
    <w:p>
      <w:pPr>
        <w:spacing w:after="0" w:line="78" w:lineRule="exact"/>
        <w:rPr>
          <w:rFonts w:ascii="Times New Roman" w:cs="Times New Roman" w:eastAsia="Times New Roman" w:hAnsi="Times New Roman"/>
          <w:sz w:val="12"/>
          <w:szCs w:val="12"/>
          <w:color w:val="auto"/>
        </w:rPr>
      </w:pPr>
    </w:p>
    <w:p>
      <w:pPr>
        <w:ind w:left="1068" w:hanging="467"/>
        <w:spacing w:after="0"/>
        <w:tabs>
          <w:tab w:leader="none" w:pos="1068"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International Developed Value Factor ETF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-371475</wp:posOffset>
            </wp:positionV>
            <wp:extent cx="1841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2">
                      <a:extLst>
                        <a:ext uri="{28A0092B-C50C-407E-A947-70E740481C1C}"/>
                      </a:extLst>
                    </a:blip>
                    <a:srcRect/>
                    <a:stretch>
                      <a:fillRect/>
                    </a:stretch>
                  </pic:blipFill>
                  <pic:spPr bwMode="auto">
                    <a:xfrm>
                      <a:off x="0" y="0"/>
                      <a:ext cx="18415" cy="5715"/>
                    </a:xfrm>
                    <a:prstGeom prst="rect">
                      <a:avLst/>
                    </a:prstGeom>
                    <a:noFill/>
                  </pic:spPr>
                </pic:pic>
              </a:graphicData>
            </a:graphic>
          </wp:anchor>
        </w:drawing>
      </w:r>
    </w:p>
    <w:p>
      <w:pPr>
        <w:spacing w:after="0" w:line="58"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78"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The World ex USA Factor ETFs shall be exchange traded Index funds listed on a national securities exchange located in the United States.</w:t>
      </w:r>
    </w:p>
    <w:p>
      <w:pPr>
        <w:spacing w:after="0" w:line="78" w:lineRule="exact"/>
        <w:rPr>
          <w:sz w:val="20"/>
          <w:szCs w:val="20"/>
          <w:color w:val="auto"/>
        </w:rPr>
      </w:pPr>
    </w:p>
    <w:p>
      <w:pPr>
        <w:ind w:left="568" w:right="660" w:hanging="415"/>
        <w:spacing w:after="0" w:line="259" w:lineRule="auto"/>
        <w:tabs>
          <w:tab w:leader="none" w:pos="568"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a *********** license fee per Fund based on ******************************** which fee shall be calculated and payable on a ***********. The *********** license fee shall be calculated</w:t>
      </w:r>
    </w:p>
    <w:p>
      <w:pPr>
        <w:spacing w:after="0" w:line="1" w:lineRule="exact"/>
        <w:rPr>
          <w:rFonts w:ascii="Times New Roman" w:cs="Times New Roman" w:eastAsia="Times New Roman" w:hAnsi="Times New Roman"/>
          <w:sz w:val="12"/>
          <w:szCs w:val="12"/>
          <w:color w:val="auto"/>
        </w:rPr>
      </w:pPr>
    </w:p>
    <w:p>
      <w:pPr>
        <w:ind w:left="5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5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as follows:</w:t>
      </w:r>
    </w:p>
    <w:p>
      <w:pPr>
        <w:spacing w:after="0" w:line="76"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2"/>
          <w:szCs w:val="12"/>
          <w:color w:val="auto"/>
        </w:rPr>
        <w:t>For the avoidance of doubt, the *********** license fees shall be calculated ***********. For example,</w:t>
      </w:r>
    </w:p>
    <w:p>
      <w:pPr>
        <w:spacing w:after="0" w:line="17"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2"/>
          <w:szCs w:val="12"/>
          <w:color w:val="auto"/>
        </w:rPr>
        <w:t>********************************.</w:t>
      </w:r>
    </w:p>
    <w:p>
      <w:pPr>
        <w:spacing w:after="0" w:line="67"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2"/>
          <w:szCs w:val="12"/>
          <w:color w:val="auto"/>
        </w:rPr>
        <w:t>“Expense Ratio” shall mean the *********** when dividing **********************************</w:t>
      </w:r>
    </w:p>
    <w:p>
      <w:pPr>
        <w:spacing w:after="0" w:line="17"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2"/>
          <w:szCs w:val="12"/>
          <w:color w:val="auto"/>
        </w:rPr>
        <w:t>******************************************************************************.</w:t>
      </w:r>
    </w:p>
    <w:p>
      <w:pPr>
        <w:spacing w:after="0" w:line="67" w:lineRule="exact"/>
        <w:rPr>
          <w:sz w:val="20"/>
          <w:szCs w:val="20"/>
          <w:color w:val="auto"/>
        </w:rPr>
      </w:pPr>
    </w:p>
    <w:p>
      <w:pPr>
        <w:ind w:left="608" w:right="520"/>
        <w:spacing w:after="0" w:line="279" w:lineRule="auto"/>
        <w:rPr>
          <w:sz w:val="20"/>
          <w:szCs w:val="20"/>
          <w:color w:val="auto"/>
        </w:rPr>
      </w:pPr>
      <w:r>
        <w:rPr>
          <w:rFonts w:ascii="Times New Roman" w:cs="Times New Roman" w:eastAsia="Times New Roman" w:hAnsi="Times New Roman"/>
          <w:sz w:val="12"/>
          <w:szCs w:val="12"/>
          <w:color w:val="auto"/>
        </w:rPr>
        <w:t>Notwithstanding anything to the contrary contained herein, if any Fund *********** or if a Fund’s ********************** or if a Fund has an ***********, the *********** licensee fee for such Fund shall *******************************************************.</w:t>
      </w:r>
    </w:p>
    <w:p>
      <w:pPr>
        <w:spacing w:after="0" w:line="39" w:lineRule="exact"/>
        <w:rPr>
          <w:sz w:val="20"/>
          <w:szCs w:val="20"/>
          <w:color w:val="auto"/>
        </w:rPr>
      </w:pPr>
    </w:p>
    <w:p>
      <w:pPr>
        <w:ind w:left="568" w:hanging="415"/>
        <w:spacing w:after="0"/>
        <w:tabs>
          <w:tab w:leader="none" w:pos="568"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05" w:lineRule="exact"/>
        <w:rPr>
          <w:sz w:val="20"/>
          <w:szCs w:val="20"/>
          <w:color w:val="auto"/>
        </w:rPr>
      </w:pPr>
    </w:p>
    <w:p>
      <w:pPr>
        <w:jc w:val="center"/>
        <w:ind w:left="5568" w:right="240" w:hanging="5415"/>
        <w:spacing w:after="0" w:line="530" w:lineRule="auto"/>
        <w:tabs>
          <w:tab w:leader="none" w:pos="569"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this Amendment shall control. No right or license of any kind is granted to Licensee except as expressly provided in the Agreement and this Amendment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213995</wp:posOffset>
            </wp:positionV>
            <wp:extent cx="7189470" cy="11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AMD_00163614.0</w:t>
      </w:r>
    </w:p>
    <w:p>
      <w:pPr>
        <w:spacing w:after="0" w:line="63" w:lineRule="exact"/>
        <w:rPr>
          <w:sz w:val="20"/>
          <w:szCs w:val="20"/>
          <w:color w:val="auto"/>
        </w:rPr>
      </w:pPr>
    </w:p>
    <w:p>
      <w:pPr>
        <w:ind w:left="560" w:hanging="415"/>
        <w:spacing w:after="0"/>
        <w:tabs>
          <w:tab w:leader="none" w:pos="560" w:val="left"/>
        </w:tabs>
        <w:numPr>
          <w:ilvl w:val="0"/>
          <w:numId w:val="2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may terminate this Amendment with respect to Indexes set forth in Section I if, within one (1) year of the date of this Amendment, Licensee does not list a World ex USA Factor ETF that is based on such Index.</w:t>
      </w:r>
    </w:p>
    <w:p>
      <w:pPr>
        <w:spacing w:after="0" w:line="80" w:lineRule="exact"/>
        <w:rPr>
          <w:rFonts w:ascii="Times New Roman" w:cs="Times New Roman" w:eastAsia="Times New Roman" w:hAnsi="Times New Roman"/>
          <w:sz w:val="11"/>
          <w:szCs w:val="11"/>
          <w:color w:val="auto"/>
        </w:rPr>
      </w:pPr>
    </w:p>
    <w:p>
      <w:pPr>
        <w:ind w:left="560" w:right="100" w:hanging="415"/>
        <w:spacing w:after="0" w:line="296" w:lineRule="auto"/>
        <w:tabs>
          <w:tab w:leader="none" w:pos="560" w:val="left"/>
        </w:tabs>
        <w:numPr>
          <w:ilvl w:val="0"/>
          <w:numId w:val="2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Licensee delists a particular World ex USA Factor ETF or changes the underlying Index for such World ex USA Factor ETF, Licensee’s right to use the relevant Index set forth in Section 1 with respect to such World ex USA Factor ETF shall automatically and immediately terminate.</w:t>
      </w:r>
    </w:p>
    <w:p>
      <w:pPr>
        <w:spacing w:after="0" w:line="29" w:lineRule="exact"/>
        <w:rPr>
          <w:rFonts w:ascii="Times New Roman" w:cs="Times New Roman" w:eastAsia="Times New Roman" w:hAnsi="Times New Roman"/>
          <w:sz w:val="11"/>
          <w:szCs w:val="11"/>
          <w:color w:val="auto"/>
        </w:rPr>
      </w:pPr>
    </w:p>
    <w:p>
      <w:pPr>
        <w:ind w:left="560" w:hanging="415"/>
        <w:spacing w:after="0"/>
        <w:tabs>
          <w:tab w:leader="none" w:pos="560" w:val="left"/>
        </w:tabs>
        <w:numPr>
          <w:ilvl w:val="0"/>
          <w:numId w:val="2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3280" w:type="dxa"/>
            <w:vAlign w:val="bottom"/>
          </w:tcPr>
          <w:p>
            <w:pPr>
              <w:ind w:left="2780"/>
              <w:spacing w:after="0"/>
              <w:rPr>
                <w:sz w:val="20"/>
                <w:szCs w:val="20"/>
                <w:color w:val="auto"/>
              </w:rPr>
            </w:pPr>
            <w:r>
              <w:rPr>
                <w:rFonts w:ascii="Times New Roman" w:cs="Times New Roman" w:eastAsia="Times New Roman" w:hAnsi="Times New Roman"/>
                <w:sz w:val="11"/>
                <w:szCs w:val="11"/>
                <w:color w:val="auto"/>
              </w:rPr>
              <w:t>.</w:t>
            </w: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LICENSEE: BlackRock Fund Advisors</w:t>
            </w:r>
          </w:p>
        </w:tc>
        <w:tc>
          <w:tcPr>
            <w:tcW w:w="7040" w:type="dxa"/>
            <w:vAlign w:val="bottom"/>
            <w:gridSpan w:val="2"/>
          </w:tcPr>
          <w:p>
            <w:pPr>
              <w:ind w:left="2780"/>
              <w:spacing w:after="0"/>
              <w:rPr>
                <w:sz w:val="20"/>
                <w:szCs w:val="20"/>
                <w:color w:val="auto"/>
              </w:rPr>
            </w:pPr>
            <w:r>
              <w:rPr>
                <w:rFonts w:ascii="Times New Roman" w:cs="Times New Roman" w:eastAsia="Times New Roman" w:hAnsi="Times New Roman"/>
                <w:sz w:val="11"/>
                <w:szCs w:val="11"/>
                <w:color w:val="auto"/>
              </w:rPr>
              <w:t>MSCI INC</w:t>
            </w:r>
          </w:p>
        </w:tc>
        <w:tc>
          <w:tcPr>
            <w:tcW w:w="0" w:type="dxa"/>
            <w:vAlign w:val="bottom"/>
          </w:tcPr>
          <w:p>
            <w:pPr>
              <w:spacing w:after="0"/>
              <w:rPr>
                <w:sz w:val="1"/>
                <w:szCs w:val="1"/>
                <w:color w:val="auto"/>
              </w:rPr>
            </w:pPr>
          </w:p>
        </w:tc>
      </w:tr>
      <w:tr>
        <w:trPr>
          <w:trHeight w:val="200"/>
        </w:trPr>
        <w:tc>
          <w:tcPr>
            <w:tcW w:w="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w:t>
            </w:r>
          </w:p>
        </w:tc>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/s/ Manish Mehta</w:t>
            </w:r>
          </w:p>
        </w:tc>
        <w:tc>
          <w:tcPr>
            <w:tcW w:w="3280" w:type="dxa"/>
            <w:vAlign w:val="bottom"/>
          </w:tcPr>
          <w:p>
            <w:pPr>
              <w:ind w:left="2780"/>
              <w:spacing w:after="0"/>
              <w:rPr>
                <w:sz w:val="20"/>
                <w:szCs w:val="20"/>
                <w:color w:val="auto"/>
              </w:rPr>
            </w:pPr>
            <w:r>
              <w:rPr>
                <w:rFonts w:ascii="Times New Roman" w:cs="Times New Roman" w:eastAsia="Times New Roman" w:hAnsi="Times New Roman"/>
                <w:sz w:val="11"/>
                <w:szCs w:val="11"/>
                <w:color w:val="auto"/>
              </w:rPr>
              <w:t>By</w:t>
            </w:r>
          </w:p>
        </w:tc>
        <w:tc>
          <w:tcPr>
            <w:tcW w:w="3760" w:type="dxa"/>
            <w:vAlign w:val="bottom"/>
          </w:tcPr>
          <w:p>
            <w:pPr>
              <w:spacing w:after="0"/>
              <w:rPr>
                <w:sz w:val="20"/>
                <w:szCs w:val="20"/>
                <w:color w:val="auto"/>
              </w:rPr>
            </w:pPr>
            <w:r>
              <w:rPr>
                <w:rFonts w:ascii="Times New Roman" w:cs="Times New Roman" w:eastAsia="Times New Roman" w:hAnsi="Times New Roman"/>
                <w:sz w:val="11"/>
                <w:szCs w:val="11"/>
                <w:color w:val="auto"/>
              </w:rPr>
              <w:t>/s/ Alex Gil</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Name</w:t>
            </w:r>
          </w:p>
        </w:tc>
        <w:tc>
          <w:tcPr>
            <w:tcW w:w="3780" w:type="dxa"/>
            <w:vAlign w:val="bottom"/>
            <w:tcBorders>
              <w:bottom w:val="single" w:sz="8" w:color="auto"/>
            </w:tcBorders>
          </w:tcPr>
          <w:p>
            <w:pPr>
              <w:spacing w:after="0" w:line="20" w:lineRule="exact"/>
              <w:rPr>
                <w:sz w:val="1"/>
                <w:szCs w:val="1"/>
                <w:color w:val="auto"/>
              </w:rPr>
            </w:pPr>
          </w:p>
        </w:tc>
        <w:tc>
          <w:tcPr>
            <w:tcW w:w="3280" w:type="dxa"/>
            <w:vAlign w:val="bottom"/>
            <w:vMerge w:val="restart"/>
          </w:tcPr>
          <w:p>
            <w:pPr>
              <w:ind w:left="2780"/>
              <w:spacing w:after="0"/>
              <w:rPr>
                <w:sz w:val="20"/>
                <w:szCs w:val="20"/>
                <w:color w:val="auto"/>
              </w:rPr>
            </w:pPr>
            <w:r>
              <w:rPr>
                <w:rFonts w:ascii="Times New Roman" w:cs="Times New Roman" w:eastAsia="Times New Roman" w:hAnsi="Times New Roman"/>
                <w:sz w:val="11"/>
                <w:szCs w:val="11"/>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80" w:type="dxa"/>
            <w:vAlign w:val="bottom"/>
            <w:gridSpan w:val="2"/>
            <w:vMerge w:val="continue"/>
          </w:tcPr>
          <w:p>
            <w:pPr>
              <w:spacing w:after="0"/>
              <w:rPr>
                <w:sz w:val="8"/>
                <w:szCs w:val="8"/>
                <w:color w:val="auto"/>
              </w:rPr>
            </w:pPr>
          </w:p>
        </w:tc>
        <w:tc>
          <w:tcPr>
            <w:tcW w:w="378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Manish Mehta</w:t>
            </w:r>
          </w:p>
        </w:tc>
        <w:tc>
          <w:tcPr>
            <w:tcW w:w="3280" w:type="dxa"/>
            <w:vAlign w:val="bottom"/>
            <w:vMerge w:val="continue"/>
          </w:tcPr>
          <w:p>
            <w:pPr>
              <w:spacing w:after="0"/>
              <w:rPr>
                <w:sz w:val="8"/>
                <w:szCs w:val="8"/>
                <w:color w:val="auto"/>
              </w:rPr>
            </w:pPr>
          </w:p>
        </w:tc>
        <w:tc>
          <w:tcPr>
            <w:tcW w:w="376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Alex Gil</w:t>
            </w:r>
          </w:p>
        </w:tc>
        <w:tc>
          <w:tcPr>
            <w:tcW w:w="0" w:type="dxa"/>
            <w:vAlign w:val="bottom"/>
          </w:tcPr>
          <w:p>
            <w:pPr>
              <w:spacing w:after="0"/>
              <w:rPr>
                <w:sz w:val="1"/>
                <w:szCs w:val="1"/>
                <w:color w:val="auto"/>
              </w:rPr>
            </w:pPr>
          </w:p>
        </w:tc>
      </w:tr>
      <w:tr>
        <w:trPr>
          <w:trHeight w:val="135"/>
        </w:trPr>
        <w:tc>
          <w:tcPr>
            <w:tcW w:w="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Managing Director</w:t>
            </w:r>
          </w:p>
        </w:tc>
        <w:tc>
          <w:tcPr>
            <w:tcW w:w="3280" w:type="dxa"/>
            <w:vAlign w:val="bottom"/>
          </w:tcPr>
          <w:p>
            <w:pPr>
              <w:ind w:left="2780"/>
              <w:spacing w:after="0"/>
              <w:rPr>
                <w:sz w:val="20"/>
                <w:szCs w:val="20"/>
                <w:color w:val="auto"/>
              </w:rPr>
            </w:pPr>
            <w:r>
              <w:rPr>
                <w:rFonts w:ascii="Times New Roman" w:cs="Times New Roman" w:eastAsia="Times New Roman" w:hAnsi="Times New Roman"/>
                <w:sz w:val="11"/>
                <w:szCs w:val="11"/>
                <w:color w:val="auto"/>
              </w:rPr>
              <w:t>Title</w:t>
            </w:r>
          </w:p>
        </w:tc>
        <w:tc>
          <w:tcPr>
            <w:tcW w:w="3760" w:type="dxa"/>
            <w:vAlign w:val="bottom"/>
          </w:tcPr>
          <w:p>
            <w:pPr>
              <w:spacing w:after="0"/>
              <w:rPr>
                <w:sz w:val="20"/>
                <w:szCs w:val="20"/>
                <w:color w:val="auto"/>
              </w:rPr>
            </w:pPr>
            <w:r>
              <w:rPr>
                <w:rFonts w:ascii="Times New Roman" w:cs="Times New Roman" w:eastAsia="Times New Roman" w:hAnsi="Times New Roman"/>
                <w:sz w:val="11"/>
                <w:szCs w:val="11"/>
                <w:color w:val="auto"/>
              </w:rPr>
              <w:t>Executive Director</w:t>
            </w:r>
          </w:p>
        </w:tc>
        <w:tc>
          <w:tcPr>
            <w:tcW w:w="0" w:type="dxa"/>
            <w:vAlign w:val="bottom"/>
          </w:tcPr>
          <w:p>
            <w:pPr>
              <w:spacing w:after="0"/>
              <w:rPr>
                <w:sz w:val="1"/>
                <w:szCs w:val="1"/>
                <w:color w:val="auto"/>
              </w:rPr>
            </w:pPr>
          </w:p>
        </w:tc>
      </w:tr>
      <w:tr>
        <w:trPr>
          <w:trHeight w:val="148"/>
        </w:trPr>
        <w:tc>
          <w:tcPr>
            <w:tcW w:w="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8/20/2015</w:t>
            </w:r>
          </w:p>
        </w:tc>
        <w:tc>
          <w:tcPr>
            <w:tcW w:w="3280" w:type="dxa"/>
            <w:vAlign w:val="bottom"/>
          </w:tcPr>
          <w:p>
            <w:pPr>
              <w:ind w:left="2780"/>
              <w:spacing w:after="0"/>
              <w:rPr>
                <w:sz w:val="20"/>
                <w:szCs w:val="20"/>
                <w:color w:val="auto"/>
              </w:rPr>
            </w:pPr>
            <w:r>
              <w:rPr>
                <w:rFonts w:ascii="Times New Roman" w:cs="Times New Roman" w:eastAsia="Times New Roman" w:hAnsi="Times New Roman"/>
                <w:sz w:val="11"/>
                <w:szCs w:val="11"/>
                <w:color w:val="auto"/>
              </w:rPr>
              <w:t>Date</w:t>
            </w:r>
          </w:p>
        </w:tc>
        <w:tc>
          <w:tcPr>
            <w:tcW w:w="3760" w:type="dxa"/>
            <w:vAlign w:val="bottom"/>
          </w:tcPr>
          <w:p>
            <w:pPr>
              <w:spacing w:after="0"/>
              <w:rPr>
                <w:sz w:val="20"/>
                <w:szCs w:val="20"/>
                <w:color w:val="auto"/>
              </w:rPr>
            </w:pPr>
            <w:r>
              <w:rPr>
                <w:rFonts w:ascii="Times New Roman" w:cs="Times New Roman" w:eastAsia="Times New Roman" w:hAnsi="Times New Roman"/>
                <w:sz w:val="11"/>
                <w:szCs w:val="11"/>
                <w:color w:val="auto"/>
              </w:rPr>
              <w:t>Sep 30, 2015</w:t>
            </w:r>
          </w:p>
        </w:tc>
        <w:tc>
          <w:tcPr>
            <w:tcW w:w="0" w:type="dxa"/>
            <w:vAlign w:val="bottom"/>
          </w:tcPr>
          <w:p>
            <w:pPr>
              <w:spacing w:after="0"/>
              <w:rPr>
                <w:sz w:val="1"/>
                <w:szCs w:val="1"/>
                <w:color w:val="auto"/>
              </w:rPr>
            </w:pPr>
          </w:p>
        </w:tc>
      </w:tr>
      <w:tr>
        <w:trPr>
          <w:trHeight w:val="46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8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2/2</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3" w:right="299" w:bottom="1440" w:gutter="0" w:footer="0" w:header="0"/>
        </w:sectPr>
      </w:pPr>
    </w:p>
    <w:bookmarkStart w:id="204" w:name="page205"/>
    <w:bookmarkEnd w:id="204"/>
    <w:p>
      <w:pPr>
        <w:ind w:left="10568"/>
        <w:spacing w:after="0"/>
        <w:rPr>
          <w:sz w:val="20"/>
          <w:szCs w:val="20"/>
          <w:color w:val="auto"/>
        </w:rPr>
      </w:pPr>
      <w:r>
        <w:rPr>
          <w:rFonts w:ascii="Times New Roman" w:cs="Times New Roman" w:eastAsia="Times New Roman" w:hAnsi="Times New Roman"/>
          <w:sz w:val="11"/>
          <w:szCs w:val="11"/>
          <w:b w:val="1"/>
          <w:bCs w:val="1"/>
          <w:color w:val="auto"/>
        </w:rPr>
        <w:t>Exhibit 10.104</w:t>
      </w:r>
    </w:p>
    <w:p>
      <w:pPr>
        <w:spacing w:after="0" w:line="171" w:lineRule="exact"/>
        <w:rPr>
          <w:sz w:val="20"/>
          <w:szCs w:val="20"/>
          <w:color w:val="auto"/>
        </w:rPr>
      </w:pPr>
    </w:p>
    <w:p>
      <w:pPr>
        <w:ind w:left="8" w:right="60" w:hanging="8"/>
        <w:spacing w:after="0" w:line="286" w:lineRule="auto"/>
        <w:tabs>
          <w:tab w:leader="none" w:pos="218" w:val="left"/>
        </w:tabs>
        <w:numPr>
          <w:ilvl w:val="0"/>
          <w:numId w:val="2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AMD_00165372</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BlackRock Fund Advisors Attention: Tim Meyer</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400 Howard Street San</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Francisco, California 94105</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March 17, 2015</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Tim:</w:t>
      </w:r>
    </w:p>
    <w:p>
      <w:pPr>
        <w:spacing w:after="0" w:line="13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Reference is hereby made to the Amendment (MSCI reference: AMD_00105603.0) dated December 10, 2013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dated March 18, 2000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Institutional Trust Company, N.A. (formerly known as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All capitalized terms used but not defined herein shall have the meanings ascribed to them in the Amendment or the Agreement, as the case may be.</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MSCI and Licensee hereby agree to modify the Amendment as follows:</w:t>
      </w:r>
    </w:p>
    <w:p>
      <w:pPr>
        <w:spacing w:after="0" w:line="123" w:lineRule="exact"/>
        <w:rPr>
          <w:sz w:val="20"/>
          <w:szCs w:val="20"/>
          <w:color w:val="auto"/>
        </w:rPr>
      </w:pPr>
    </w:p>
    <w:p>
      <w:pPr>
        <w:ind w:left="428" w:hanging="428"/>
        <w:spacing w:after="0"/>
        <w:tabs>
          <w:tab w:leader="none" w:pos="428"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Section 1 of the Amendment, the parties agree to add the following Indexes:</w:t>
      </w:r>
    </w:p>
    <w:p>
      <w:pPr>
        <w:spacing w:after="0" w:line="6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Australia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Korea 25 150 100%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Mexico IMI 25/50 100%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United Kingdom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Canada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Switzerland 25/50 100%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Italy 25/50 100%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Spain 25/50 100%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ACWI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ACWI ex USA 100% Hedged to USD Index</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EAFE Small-Cap 100% Hedged to USD Index</w:t>
      </w:r>
    </w:p>
    <w:p>
      <w:pPr>
        <w:spacing w:after="0" w:line="14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Section 2 of the Amendment, the parties agree to add the following Hedged ETFs:</w:t>
      </w:r>
    </w:p>
    <w:p>
      <w:pPr>
        <w:spacing w:after="0" w:line="6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Australia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South Korea Capped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Mexico Capped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United Kingdom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Canada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Switzerland Capped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Italy Capped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Spain Capped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ACWI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ACWI ex U.S. ETF</w:t>
      </w:r>
    </w:p>
    <w:p>
      <w:pPr>
        <w:spacing w:after="0" w:line="7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EAFE Small-Cap ETF</w:t>
      </w:r>
    </w:p>
    <w:p>
      <w:pPr>
        <w:spacing w:after="0" w:line="200" w:lineRule="exact"/>
        <w:rPr>
          <w:sz w:val="20"/>
          <w:szCs w:val="20"/>
          <w:color w:val="auto"/>
        </w:rPr>
      </w:pP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89470"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AMD_00165372</w:t>
      </w:r>
    </w:p>
    <w:p>
      <w:pPr>
        <w:spacing w:after="0" w:line="112" w:lineRule="exact"/>
        <w:rPr>
          <w:sz w:val="20"/>
          <w:szCs w:val="20"/>
          <w:color w:val="auto"/>
        </w:rPr>
      </w:pPr>
    </w:p>
    <w:p>
      <w:pPr>
        <w:ind w:left="428" w:hanging="428"/>
        <w:spacing w:after="0"/>
        <w:tabs>
          <w:tab w:leader="none" w:pos="428" w:val="left"/>
        </w:tabs>
        <w:numPr>
          <w:ilvl w:val="0"/>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definition of *********** in Section 3(a) of the Amendment, the parties agree to add the following *********** for the corresponding *********** specified below:</w:t>
      </w:r>
    </w:p>
    <w:p>
      <w:pPr>
        <w:spacing w:after="0" w:line="150"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8" w:right="100"/>
        <w:spacing w:after="0" w:line="260" w:lineRule="auto"/>
        <w:rPr>
          <w:sz w:val="20"/>
          <w:szCs w:val="20"/>
          <w:color w:val="auto"/>
        </w:rPr>
      </w:pPr>
      <w:r>
        <w:rPr>
          <w:rFonts w:ascii="Times New Roman" w:cs="Times New Roman" w:eastAsia="Times New Roman" w:hAnsi="Times New Roman"/>
          <w:sz w:val="12"/>
          <w:szCs w:val="12"/>
          <w:color w:val="auto"/>
        </w:rPr>
        <w:t>The parties acknowledge that the Agreement was previously amended by, among other amendments, the Amendment. This letter modifies and operates in conjunction with the Previous Amendment and the Amendment. Together this letter, the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any terms of this letter conflict with any terms of the Amendment or the Agreement, the terms of this letter shall control. This letter shall be governed by, and construed in accordance with, the laws of the State of New York without regard to its conflict or choice of laws principles.</w:t>
      </w:r>
    </w:p>
    <w:p>
      <w:pPr>
        <w:spacing w:after="0" w:line="1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Please indicate your agreement with the foregoing by countersigning and returning a copy of this letter.</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MSCI Inc.</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 Name Alex Gil</w:t>
            </w:r>
          </w:p>
        </w:tc>
      </w:tr>
      <w:tr>
        <w:trPr>
          <w:trHeight w:val="151"/>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bl>
    <w:p>
      <w:pPr>
        <w:spacing w:after="0" w:line="1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ACCEPTED AND AGREED: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BlackRock Institutional Trust Company, N.A.</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Craig Zolan Name Craig Zolan</w:t>
            </w:r>
          </w:p>
        </w:tc>
      </w:tr>
      <w:tr>
        <w:trPr>
          <w:trHeight w:val="151"/>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Craig Zolan</w:t>
            </w:r>
          </w:p>
        </w:tc>
      </w:t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r>
    </w:tbl>
    <w:p>
      <w:pPr>
        <w:spacing w:after="0" w:line="2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308"/>
          </w:cols>
          <w:pgMar w:left="292" w:top="426" w:right="299" w:bottom="1440" w:gutter="0" w:footer="0" w:header="0"/>
        </w:sectPr>
      </w:pPr>
    </w:p>
    <w:bookmarkStart w:id="206" w:name="page207"/>
    <w:bookmarkEnd w:id="206"/>
    <w:p>
      <w:pPr>
        <w:ind w:left="10568"/>
        <w:spacing w:after="0"/>
        <w:rPr>
          <w:sz w:val="20"/>
          <w:szCs w:val="20"/>
          <w:color w:val="auto"/>
        </w:rPr>
      </w:pPr>
      <w:r>
        <w:rPr>
          <w:rFonts w:ascii="Times New Roman" w:cs="Times New Roman" w:eastAsia="Times New Roman" w:hAnsi="Times New Roman"/>
          <w:sz w:val="11"/>
          <w:szCs w:val="11"/>
          <w:b w:val="1"/>
          <w:bCs w:val="1"/>
          <w:color w:val="auto"/>
        </w:rPr>
        <w:t>Exhibit 10.105</w:t>
      </w:r>
    </w:p>
    <w:p>
      <w:pPr>
        <w:spacing w:after="0" w:line="162" w:lineRule="exact"/>
        <w:rPr>
          <w:sz w:val="20"/>
          <w:szCs w:val="20"/>
          <w:color w:val="auto"/>
        </w:rPr>
      </w:pPr>
    </w:p>
    <w:p>
      <w:pPr>
        <w:ind w:left="8" w:hanging="8"/>
        <w:spacing w:after="0" w:line="286" w:lineRule="auto"/>
        <w:tabs>
          <w:tab w:leader="none" w:pos="220" w:val="left"/>
        </w:tabs>
        <w:numPr>
          <w:ilvl w:val="0"/>
          <w:numId w:val="2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AMD_00151505.0</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April 20, 2015</w:t>
      </w:r>
    </w:p>
    <w:p>
      <w:pPr>
        <w:spacing w:after="0" w:line="123" w:lineRule="exact"/>
        <w:rPr>
          <w:sz w:val="20"/>
          <w:szCs w:val="20"/>
          <w:color w:val="auto"/>
        </w:rPr>
      </w:pPr>
    </w:p>
    <w:p>
      <w:pPr>
        <w:ind w:left="8" w:right="160" w:firstLine="423"/>
        <w:spacing w:after="0" w:line="265"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(internal MSCI reference number DCF_00040) dated as of March 18, 2000 (as previously amended,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WHEREAS, MSCI owns rights in and to the Indexes listed in Section 1 below (the “Indexes”)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WHEREAS, Licensee wishes to obtain a license to use the Indexes as the basis of the Licensee funds listed in Section 2 below;</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WHEREAS, MSCI and Licensee have agreed that the license fees for Licensee’s use of the Indexes as the basis of the Funds will be calculated</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WHEREAS, the parties must adjust the ********************************* of all Funds ********** due to the fact that one or more of the Funds may *********************************;</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WHEREAS, each of the Funds may have a different *********** and, as a result, it is necessary for the parties to apply</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WHEREAS, the parties must apply another ************************************* of all the Funds collectively due to the fact that one or more of the Funds may ******************************************</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and</w:t>
      </w:r>
    </w:p>
    <w:p>
      <w:pPr>
        <w:spacing w:after="0" w:line="121" w:lineRule="exact"/>
        <w:rPr>
          <w:sz w:val="20"/>
          <w:szCs w:val="20"/>
          <w:color w:val="auto"/>
        </w:rPr>
      </w:pPr>
    </w:p>
    <w:p>
      <w:pPr>
        <w:ind w:left="8" w:right="4860"/>
        <w:spacing w:after="0" w:line="279" w:lineRule="auto"/>
        <w:rPr>
          <w:sz w:val="20"/>
          <w:szCs w:val="20"/>
          <w:color w:val="auto"/>
        </w:rPr>
      </w:pPr>
      <w:r>
        <w:rPr>
          <w:rFonts w:ascii="Times New Roman" w:cs="Times New Roman" w:eastAsia="Times New Roman" w:hAnsi="Times New Roman"/>
          <w:sz w:val="12"/>
          <w:szCs w:val="12"/>
          <w:color w:val="auto"/>
        </w:rPr>
        <w:t>WHEREAS, due to the ************************************** of all the Funds ***********, it is necessary for the parties to ******************************************************* of all the Funds ***********.</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NOW, THEREFORE, in consideration of the promises and the mutual covenants and agreements contained herein, the parties agree as follows:</w:t>
      </w:r>
    </w:p>
    <w:p>
      <w:pPr>
        <w:spacing w:after="0" w:line="119" w:lineRule="exact"/>
        <w:rPr>
          <w:sz w:val="20"/>
          <w:szCs w:val="20"/>
          <w:color w:val="auto"/>
        </w:rPr>
      </w:pPr>
    </w:p>
    <w:p>
      <w:pPr>
        <w:ind w:left="8"/>
        <w:spacing w:after="0"/>
        <w:tabs>
          <w:tab w:leader="none" w:pos="388" w:val="left"/>
        </w:tabs>
        <w:rPr>
          <w:sz w:val="20"/>
          <w:szCs w:val="20"/>
          <w:color w:val="auto"/>
        </w:rPr>
      </w:pPr>
      <w:r>
        <w:rPr>
          <w:rFonts w:ascii="Times New Roman" w:cs="Times New Roman" w:eastAsia="Times New Roman" w:hAnsi="Times New Roman"/>
          <w:sz w:val="11"/>
          <w:szCs w:val="11"/>
          <w:color w:val="auto"/>
        </w:rPr>
        <w:t>1.</w:t>
      </w:r>
      <w:r>
        <w:rPr>
          <w:sz w:val="20"/>
          <w:szCs w:val="20"/>
          <w:color w:val="auto"/>
        </w:rPr>
        <w:tab/>
      </w:r>
      <w:r>
        <w:rPr>
          <w:rFonts w:ascii="Times New Roman" w:cs="Times New Roman" w:eastAsia="Times New Roman" w:hAnsi="Times New Roman"/>
          <w:sz w:val="12"/>
          <w:szCs w:val="12"/>
          <w:color w:val="auto"/>
        </w:rPr>
        <w:t>Exhibit A of the Agreement is hereby amended to add the following indexes (each, an “</w:t>
      </w:r>
      <w:r>
        <w:rPr>
          <w:rFonts w:ascii="Times New Roman" w:cs="Times New Roman" w:eastAsia="Times New Roman" w:hAnsi="Times New Roman"/>
          <w:sz w:val="12"/>
          <w:szCs w:val="12"/>
          <w:u w:val="single" w:color="auto"/>
          <w:color w:val="auto"/>
        </w:rPr>
        <w:t>Index</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ind w:left="828" w:hanging="414"/>
        <w:spacing w:after="0"/>
        <w:tabs>
          <w:tab w:leader="none" w:pos="828" w:val="left"/>
        </w:tabs>
        <w:numPr>
          <w:ilvl w:val="0"/>
          <w:numId w:val="262"/>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MSCI ACWI Diversified Multi-Factor Index</w:t>
      </w:r>
    </w:p>
    <w:p>
      <w:pPr>
        <w:spacing w:after="0" w:line="87" w:lineRule="exact"/>
        <w:rPr>
          <w:rFonts w:ascii="Times New Roman" w:cs="Times New Roman" w:eastAsia="Times New Roman" w:hAnsi="Times New Roman"/>
          <w:sz w:val="11"/>
          <w:szCs w:val="11"/>
          <w:color w:val="auto"/>
        </w:rPr>
      </w:pPr>
    </w:p>
    <w:p>
      <w:pPr>
        <w:ind w:left="828" w:hanging="414"/>
        <w:spacing w:after="0"/>
        <w:tabs>
          <w:tab w:leader="none" w:pos="828" w:val="left"/>
        </w:tabs>
        <w:numPr>
          <w:ilvl w:val="0"/>
          <w:numId w:val="262"/>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MSCI Emerging Markets Diversified Multi-Factor Index</w:t>
      </w:r>
    </w:p>
    <w:p>
      <w:pPr>
        <w:spacing w:after="0" w:line="87" w:lineRule="exact"/>
        <w:rPr>
          <w:rFonts w:ascii="Times New Roman" w:cs="Times New Roman" w:eastAsia="Times New Roman" w:hAnsi="Times New Roman"/>
          <w:sz w:val="11"/>
          <w:szCs w:val="11"/>
          <w:color w:val="auto"/>
        </w:rPr>
      </w:pPr>
    </w:p>
    <w:p>
      <w:pPr>
        <w:ind w:left="828" w:hanging="414"/>
        <w:spacing w:after="0"/>
        <w:tabs>
          <w:tab w:leader="none" w:pos="828" w:val="left"/>
        </w:tabs>
        <w:numPr>
          <w:ilvl w:val="0"/>
          <w:numId w:val="262"/>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MSCI World ex USA Diversified Multi-Factor Index</w:t>
      </w:r>
    </w:p>
    <w:p>
      <w:pPr>
        <w:spacing w:after="0" w:line="87" w:lineRule="exact"/>
        <w:rPr>
          <w:rFonts w:ascii="Times New Roman" w:cs="Times New Roman" w:eastAsia="Times New Roman" w:hAnsi="Times New Roman"/>
          <w:sz w:val="11"/>
          <w:szCs w:val="11"/>
          <w:color w:val="auto"/>
        </w:rPr>
      </w:pPr>
    </w:p>
    <w:p>
      <w:pPr>
        <w:ind w:left="828" w:hanging="414"/>
        <w:spacing w:after="0"/>
        <w:tabs>
          <w:tab w:leader="none" w:pos="828" w:val="left"/>
        </w:tabs>
        <w:numPr>
          <w:ilvl w:val="0"/>
          <w:numId w:val="262"/>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MSCI World ex USA Small Cap Diversified Multi-Factor Index</w:t>
      </w:r>
    </w:p>
    <w:p>
      <w:pPr>
        <w:spacing w:after="0" w:line="13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or such other indexes as agreed by Licensee and MSCI in writing.</w:t>
      </w:r>
    </w:p>
    <w:p>
      <w:pPr>
        <w:spacing w:after="0" w:line="132" w:lineRule="exact"/>
        <w:rPr>
          <w:sz w:val="20"/>
          <w:szCs w:val="20"/>
          <w:color w:val="auto"/>
        </w:rPr>
      </w:pPr>
    </w:p>
    <w:p>
      <w:pPr>
        <w:ind w:left="428" w:right="460" w:hanging="428"/>
        <w:spacing w:after="0" w:line="279" w:lineRule="auto"/>
        <w:tabs>
          <w:tab w:leader="none" w:pos="428" w:val="left"/>
        </w:tabs>
        <w:numPr>
          <w:ilvl w:val="0"/>
          <w:numId w:val="263"/>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Licensee may use the Indexes set forth in Section 1 above solely with respect to the following Licensee funds (each, a “</w:t>
      </w:r>
      <w:r>
        <w:rPr>
          <w:rFonts w:ascii="Times New Roman" w:cs="Times New Roman" w:eastAsia="Times New Roman" w:hAnsi="Times New Roman"/>
          <w:sz w:val="12"/>
          <w:szCs w:val="12"/>
          <w:u w:val="single" w:color="auto"/>
          <w:color w:val="auto"/>
        </w:rPr>
        <w:t>Multi-Factor ETF</w:t>
      </w:r>
      <w:r>
        <w:rPr>
          <w:rFonts w:ascii="Times New Roman" w:cs="Times New Roman" w:eastAsia="Times New Roman" w:hAnsi="Times New Roman"/>
          <w:sz w:val="12"/>
          <w:szCs w:val="12"/>
          <w:color w:val="auto"/>
        </w:rPr>
        <w:t>” and each Multi-Factor ETF shall also be a “Fund” as such term is defined in the Agreement):</w:t>
      </w:r>
    </w:p>
    <w:p>
      <w:pPr>
        <w:spacing w:after="0" w:line="30" w:lineRule="exact"/>
        <w:rPr>
          <w:rFonts w:ascii="Times New Roman" w:cs="Times New Roman" w:eastAsia="Times New Roman" w:hAnsi="Times New Roman"/>
          <w:sz w:val="11"/>
          <w:szCs w:val="11"/>
          <w:color w:val="auto"/>
        </w:rPr>
      </w:pPr>
    </w:p>
    <w:p>
      <w:pPr>
        <w:ind w:left="828" w:hanging="414"/>
        <w:spacing w:after="0"/>
        <w:tabs>
          <w:tab w:leader="none" w:pos="828" w:val="left"/>
        </w:tabs>
        <w:numPr>
          <w:ilvl w:val="1"/>
          <w:numId w:val="263"/>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iShares FactorSelect MSCI Global ETF</w:t>
      </w:r>
    </w:p>
    <w:p>
      <w:pPr>
        <w:spacing w:after="0" w:line="87" w:lineRule="exact"/>
        <w:rPr>
          <w:rFonts w:ascii="Times New Roman" w:cs="Times New Roman" w:eastAsia="Times New Roman" w:hAnsi="Times New Roman"/>
          <w:sz w:val="11"/>
          <w:szCs w:val="11"/>
          <w:color w:val="auto"/>
        </w:rPr>
      </w:pPr>
    </w:p>
    <w:p>
      <w:pPr>
        <w:ind w:left="828" w:hanging="414"/>
        <w:spacing w:after="0"/>
        <w:tabs>
          <w:tab w:leader="none" w:pos="828" w:val="left"/>
        </w:tabs>
        <w:numPr>
          <w:ilvl w:val="1"/>
          <w:numId w:val="263"/>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iShares FactorSelect MSCI Emerging ETF</w:t>
      </w:r>
    </w:p>
    <w:p>
      <w:pPr>
        <w:spacing w:after="0" w:line="87" w:lineRule="exact"/>
        <w:rPr>
          <w:rFonts w:ascii="Times New Roman" w:cs="Times New Roman" w:eastAsia="Times New Roman" w:hAnsi="Times New Roman"/>
          <w:sz w:val="11"/>
          <w:szCs w:val="11"/>
          <w:color w:val="auto"/>
        </w:rPr>
      </w:pPr>
    </w:p>
    <w:p>
      <w:pPr>
        <w:ind w:left="828" w:hanging="414"/>
        <w:spacing w:after="0"/>
        <w:tabs>
          <w:tab w:leader="none" w:pos="828" w:val="left"/>
        </w:tabs>
        <w:numPr>
          <w:ilvl w:val="1"/>
          <w:numId w:val="263"/>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iShares FactorSelect MSCI International ETF</w:t>
      </w:r>
    </w:p>
    <w:p>
      <w:pPr>
        <w:spacing w:after="0" w:line="87" w:lineRule="exact"/>
        <w:rPr>
          <w:rFonts w:ascii="Times New Roman" w:cs="Times New Roman" w:eastAsia="Times New Roman" w:hAnsi="Times New Roman"/>
          <w:sz w:val="11"/>
          <w:szCs w:val="11"/>
          <w:color w:val="auto"/>
        </w:rPr>
      </w:pPr>
    </w:p>
    <w:p>
      <w:pPr>
        <w:ind w:left="828" w:hanging="414"/>
        <w:spacing w:after="0"/>
        <w:tabs>
          <w:tab w:leader="none" w:pos="828" w:val="left"/>
        </w:tabs>
        <w:numPr>
          <w:ilvl w:val="1"/>
          <w:numId w:val="263"/>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iShares FactorSelect MSCI Intl Small-Cap ETF</w:t>
      </w:r>
    </w:p>
    <w:p>
      <w:pPr>
        <w:spacing w:after="0" w:line="14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89470" cy="11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AMD_00151505.0</w:t>
      </w:r>
    </w:p>
    <w:p>
      <w:pPr>
        <w:spacing w:after="0" w:line="11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Multi-Factor ETFs shall be exchange traded index funds listed on a national securities exchange located in the United States.</w:t>
      </w:r>
    </w:p>
    <w:p>
      <w:pPr>
        <w:spacing w:after="0" w:line="132" w:lineRule="exact"/>
        <w:rPr>
          <w:sz w:val="20"/>
          <w:szCs w:val="20"/>
          <w:color w:val="auto"/>
        </w:rPr>
      </w:pPr>
    </w:p>
    <w:p>
      <w:pPr>
        <w:ind w:left="408" w:hanging="408"/>
        <w:spacing w:after="0"/>
        <w:tabs>
          <w:tab w:leader="none" w:pos="408" w:val="left"/>
        </w:tabs>
        <w:numPr>
          <w:ilvl w:val="0"/>
          <w:numId w:val="26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Each ***********, Licensee shall pay MSCI a *********** license fee that is calculated for each applicable *********** in accordance with the *********** set forth in the table below and Section 3(a) below. In addition,</w:t>
      </w:r>
    </w:p>
    <w:p>
      <w:pPr>
        <w:spacing w:after="0" w:line="17" w:lineRule="exact"/>
        <w:rPr>
          <w:sz w:val="20"/>
          <w:szCs w:val="20"/>
          <w:color w:val="auto"/>
        </w:rPr>
      </w:pPr>
    </w:p>
    <w:p>
      <w:pPr>
        <w:ind w:left="8" w:right="4120" w:firstLine="414"/>
        <w:spacing w:after="0" w:line="289" w:lineRule="auto"/>
        <w:rPr>
          <w:sz w:val="20"/>
          <w:szCs w:val="20"/>
          <w:color w:val="auto"/>
        </w:rPr>
      </w:pPr>
      <w:r>
        <w:rPr>
          <w:rFonts w:ascii="Times New Roman" w:cs="Times New Roman" w:eastAsia="Times New Roman" w:hAnsi="Times New Roman"/>
          <w:sz w:val="11"/>
          <w:szCs w:val="11"/>
          <w:color w:val="auto"/>
        </w:rPr>
        <w:t>the *********** license fee shall be subject to *************************************************************************** ********************************************************************.</w:t>
      </w:r>
    </w:p>
    <w:p>
      <w:pPr>
        <w:spacing w:after="0" w:line="35"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right="4280"/>
        <w:spacing w:after="0" w:line="291" w:lineRule="auto"/>
        <w:rPr>
          <w:sz w:val="20"/>
          <w:szCs w:val="20"/>
          <w:color w:val="auto"/>
        </w:rPr>
      </w:pPr>
      <w:r>
        <w:rPr>
          <w:rFonts w:ascii="Times New Roman" w:cs="Times New Roman" w:eastAsia="Times New Roman" w:hAnsi="Times New Roman"/>
          <w:sz w:val="11"/>
          <w:szCs w:val="11"/>
          <w:color w:val="auto"/>
        </w:rPr>
        <w:t>For the avoidance of doubt, the *********** license fees in the table above shall be calculated ***********. For example, ***************************************************************************** ****************************************************************************************** **************************************************************************************** *********************.</w:t>
      </w:r>
    </w:p>
    <w:p>
      <w:pPr>
        <w:spacing w:after="0" w:line="89" w:lineRule="exact"/>
        <w:rPr>
          <w:sz w:val="20"/>
          <w:szCs w:val="20"/>
          <w:color w:val="auto"/>
        </w:rPr>
      </w:pPr>
    </w:p>
    <w:p>
      <w:pPr>
        <w:ind w:left="408" w:hanging="408"/>
        <w:spacing w:after="0"/>
        <w:tabs>
          <w:tab w:leader="none" w:pos="40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 and Calculation Periods</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in any ***********, no Multi-Factor ETF is (i) launched on any day other than the first calendar day of such *********** and/or</w:t>
      </w:r>
    </w:p>
    <w:p>
      <w:pPr>
        <w:spacing w:after="0" w:line="17" w:lineRule="exact"/>
        <w:rPr>
          <w:sz w:val="20"/>
          <w:szCs w:val="20"/>
          <w:color w:val="auto"/>
        </w:rPr>
      </w:pPr>
    </w:p>
    <w:p>
      <w:pPr>
        <w:ind w:left="608" w:hanging="185"/>
        <w:spacing w:after="0"/>
        <w:tabs>
          <w:tab w:leader="none" w:pos="608"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terminated on any day other than the last calendar day of such ***********, then</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in any ***********, any Multi-Factor ETF is (i) launched on any day other than the first calendar day of such *********** and/or</w:t>
      </w:r>
    </w:p>
    <w:p>
      <w:pPr>
        <w:spacing w:after="0" w:line="17" w:lineRule="exact"/>
        <w:rPr>
          <w:sz w:val="20"/>
          <w:szCs w:val="20"/>
          <w:color w:val="auto"/>
        </w:rPr>
      </w:pPr>
    </w:p>
    <w:p>
      <w:pPr>
        <w:ind w:left="608" w:hanging="185"/>
        <w:spacing w:after="0"/>
        <w:tabs>
          <w:tab w:leader="none" w:pos="608"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terminated on any day other than the last *********** of such ***********, then the parties shall first determine the total number of *****************************. Then, the parties shall calculate the</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Next, the parties shall calculate the</w:t>
      </w:r>
    </w:p>
    <w:p>
      <w:pPr>
        <w:spacing w:after="0" w:line="112" w:lineRule="exact"/>
        <w:rPr>
          <w:sz w:val="20"/>
          <w:szCs w:val="20"/>
          <w:color w:val="auto"/>
        </w:rPr>
      </w:pPr>
    </w:p>
    <w:p>
      <w:pPr>
        <w:ind w:left="428" w:right="560"/>
        <w:spacing w:after="0" w:line="265" w:lineRule="auto"/>
        <w:rPr>
          <w:sz w:val="20"/>
          <w:szCs w:val="20"/>
          <w:color w:val="auto"/>
        </w:rPr>
      </w:pPr>
      <w:r>
        <w:rPr>
          <w:rFonts w:ascii="Times New Roman" w:cs="Times New Roman" w:eastAsia="Times New Roman" w:hAnsi="Times New Roman"/>
          <w:sz w:val="12"/>
          <w:szCs w:val="12"/>
          <w:color w:val="auto"/>
        </w:rPr>
        <w:t>************************************************************************************************* ****************************************************************************************************************. Finally, the parties shall calculate the total amount of all license fees of all ********************************.</w:t>
      </w:r>
    </w:p>
    <w:p>
      <w:pPr>
        <w:spacing w:after="0" w:line="101" w:lineRule="exact"/>
        <w:rPr>
          <w:sz w:val="20"/>
          <w:szCs w:val="20"/>
          <w:color w:val="auto"/>
        </w:rPr>
      </w:pPr>
    </w:p>
    <w:p>
      <w:pPr>
        <w:ind w:left="368" w:hanging="368"/>
        <w:spacing w:after="0"/>
        <w:tabs>
          <w:tab w:leader="none" w:pos="368"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Qualified Expense Ratio</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To determine the Qualified Expense Ratio, the parties shall perform the following calculations in the following order:</w:t>
      </w:r>
    </w:p>
    <w:p>
      <w:pPr>
        <w:spacing w:after="0" w:line="78"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the avoidance of doubt, the parties agree that only one Qualified Expense Ratio shall be calculated in each applicable ***********.</w:t>
      </w:r>
    </w:p>
    <w:p>
      <w:pPr>
        <w:spacing w:after="0" w:line="123" w:lineRule="exact"/>
        <w:rPr>
          <w:sz w:val="20"/>
          <w:szCs w:val="20"/>
          <w:color w:val="auto"/>
        </w:rPr>
      </w:pPr>
    </w:p>
    <w:p>
      <w:pPr>
        <w:ind w:left="408" w:hanging="408"/>
        <w:spacing w:after="0"/>
        <w:tabs>
          <w:tab w:leader="none" w:pos="408" w:val="left"/>
        </w:tabs>
        <w:numPr>
          <w:ilvl w:val="0"/>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p>
    <w:p>
      <w:pPr>
        <w:spacing w:after="0" w:line="12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used herein, the following capitalized terms shall have the meanings set forth below:</w:t>
      </w:r>
    </w:p>
    <w:p>
      <w:pPr>
        <w:spacing w:after="0" w:line="132" w:lineRule="exact"/>
        <w:rPr>
          <w:rFonts w:ascii="Times New Roman" w:cs="Times New Roman" w:eastAsia="Times New Roman" w:hAnsi="Times New Roman"/>
          <w:sz w:val="12"/>
          <w:szCs w:val="12"/>
          <w:color w:val="auto"/>
        </w:rPr>
      </w:pPr>
    </w:p>
    <w:p>
      <w:pPr>
        <w:ind w:left="428" w:right="2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means, for each Multi-Factor ETF individually, the total number of calendar days during any *********** when shares of such Multi-Factor ETF was offered or made available for purchase or sale to or by the general public via an exchange.</w:t>
      </w:r>
    </w:p>
    <w:p>
      <w:pPr>
        <w:spacing w:after="0" w:line="1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89470"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AMD_00151505.0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means the total of the ********************************************** ********************. “</w:t>
      </w:r>
      <w:r>
        <w:rPr>
          <w:rFonts w:ascii="Times New Roman" w:cs="Times New Roman" w:eastAsia="Times New Roman" w:hAnsi="Times New Roman"/>
          <w:sz w:val="12"/>
          <w:szCs w:val="12"/>
          <w:u w:val="single" w:color="auto"/>
          <w:color w:val="auto"/>
        </w:rPr>
        <w:t>AUM</w:t>
      </w:r>
      <w:r>
        <w:rPr>
          <w:rFonts w:ascii="Times New Roman" w:cs="Times New Roman" w:eastAsia="Times New Roman" w:hAnsi="Times New Roman"/>
          <w:sz w:val="12"/>
          <w:szCs w:val="12"/>
          <w:color w:val="auto"/>
        </w:rPr>
        <w:t>” means the *********** individually in each applicable period over the applicable Active Days.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Calculation Period</w:t>
      </w:r>
      <w:r>
        <w:rPr>
          <w:rFonts w:ascii="Times New Roman" w:cs="Times New Roman" w:eastAsia="Times New Roman" w:hAnsi="Times New Roman"/>
          <w:sz w:val="12"/>
          <w:szCs w:val="12"/>
          <w:color w:val="auto"/>
        </w:rPr>
        <w:t>” means each period of time within a *********** during which there was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right="4880"/>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Double Weighted Value</w:t>
      </w:r>
      <w:r>
        <w:rPr>
          <w:rFonts w:ascii="Times New Roman" w:cs="Times New Roman" w:eastAsia="Times New Roman" w:hAnsi="Times New Roman"/>
          <w:sz w:val="12"/>
          <w:szCs w:val="12"/>
          <w:color w:val="auto"/>
        </w:rPr>
        <w:t>” means, for each Multi-Factor ETF individually, the number obtained by multiplying **************************************************************************************************** *********************.</w:t>
      </w:r>
    </w:p>
    <w:p>
      <w:pPr>
        <w:spacing w:after="0" w:line="92" w:lineRule="exact"/>
        <w:rPr>
          <w:sz w:val="20"/>
          <w:szCs w:val="20"/>
          <w:color w:val="auto"/>
        </w:rPr>
      </w:pPr>
    </w:p>
    <w:p>
      <w:pPr>
        <w:ind w:right="4880"/>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Expense Ratio</w:t>
      </w:r>
      <w:r>
        <w:rPr>
          <w:rFonts w:ascii="Times New Roman" w:cs="Times New Roman" w:eastAsia="Times New Roman" w:hAnsi="Times New Roman"/>
          <w:sz w:val="12"/>
          <w:szCs w:val="12"/>
          <w:color w:val="auto"/>
        </w:rPr>
        <w:t>” means, for each Multi-Factor ETF individually, the ********************************* when dividing ***************************************************************************** *******************************************************.</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Prorated</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u w:val="single" w:color="auto"/>
          <w:color w:val="auto"/>
        </w:rPr>
        <w:t>Value</w:t>
      </w:r>
      <w:r>
        <w:rPr>
          <w:rFonts w:ascii="Times New Roman" w:cs="Times New Roman" w:eastAsia="Times New Roman" w:hAnsi="Times New Roman"/>
          <w:sz w:val="12"/>
          <w:szCs w:val="12"/>
          <w:color w:val="auto"/>
        </w:rPr>
        <w:t>” means, for each Multi-Factor ETF individually, the number obtained by dividing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Qualified Expense Ratio</w:t>
      </w:r>
      <w:r>
        <w:rPr>
          <w:rFonts w:ascii="Times New Roman" w:cs="Times New Roman" w:eastAsia="Times New Roman" w:hAnsi="Times New Roman"/>
          <w:sz w:val="12"/>
          <w:szCs w:val="12"/>
          <w:color w:val="auto"/>
        </w:rPr>
        <w:t>” means the number obtained by dividing ********************************</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Total AUM</w:t>
      </w:r>
      <w:r>
        <w:rPr>
          <w:rFonts w:ascii="Times New Roman" w:cs="Times New Roman" w:eastAsia="Times New Roman" w:hAnsi="Times New Roman"/>
          <w:sz w:val="12"/>
          <w:szCs w:val="12"/>
          <w:color w:val="auto"/>
        </w:rPr>
        <w:t>” means the ******************************************************* over all Active Days in each applicable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over the applicable ************************* ******************** **********. “</w:t>
      </w:r>
      <w:r>
        <w:rPr>
          <w:rFonts w:ascii="Times New Roman" w:cs="Times New Roman" w:eastAsia="Times New Roman" w:hAnsi="Times New Roman"/>
          <w:sz w:val="12"/>
          <w:szCs w:val="12"/>
          <w:u w:val="single" w:color="auto"/>
          <w:color w:val="auto"/>
        </w:rPr>
        <w:t>Total Days</w:t>
      </w:r>
      <w:r>
        <w:rPr>
          <w:rFonts w:ascii="Times New Roman" w:cs="Times New Roman" w:eastAsia="Times New Roman" w:hAnsi="Times New Roman"/>
          <w:sz w:val="12"/>
          <w:szCs w:val="12"/>
          <w:color w:val="auto"/>
        </w:rPr>
        <w:t>” means the total number of calendar days in each applicable ***********.</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Total Double Weighted Value</w:t>
      </w:r>
      <w:r>
        <w:rPr>
          <w:rFonts w:ascii="Times New Roman" w:cs="Times New Roman" w:eastAsia="Times New Roman" w:hAnsi="Times New Roman"/>
          <w:sz w:val="12"/>
          <w:szCs w:val="12"/>
          <w:color w:val="auto"/>
        </w:rPr>
        <w:t>” means, for each applicable ***********, the total of the ********************** of all Multi-Factor ETFs **********************.</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Total Prorated</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u w:val="single" w:color="auto"/>
          <w:color w:val="auto"/>
        </w:rPr>
        <w:t>Value</w:t>
      </w:r>
      <w:r>
        <w:rPr>
          <w:rFonts w:ascii="Times New Roman" w:cs="Times New Roman" w:eastAsia="Times New Roman" w:hAnsi="Times New Roman"/>
          <w:sz w:val="12"/>
          <w:szCs w:val="12"/>
          <w:color w:val="auto"/>
        </w:rPr>
        <w:t>” means, for each applicable ***********, the total of the *********** of all Multi-Factor ETFs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Weig</w:t>
      </w:r>
      <w:r>
        <w:rPr>
          <w:rFonts w:ascii="Times New Roman" w:cs="Times New Roman" w:eastAsia="Times New Roman" w:hAnsi="Times New Roman"/>
          <w:sz w:val="12"/>
          <w:szCs w:val="12"/>
          <w:u w:val="single" w:color="auto"/>
          <w:color w:val="auto"/>
        </w:rPr>
        <w:t>hting Adjustment</w:t>
      </w:r>
      <w:r>
        <w:rPr>
          <w:rFonts w:ascii="Times New Roman" w:cs="Times New Roman" w:eastAsia="Times New Roman" w:hAnsi="Times New Roman"/>
          <w:sz w:val="12"/>
          <w:szCs w:val="12"/>
          <w:color w:val="auto"/>
        </w:rPr>
        <w:t>” means, for each applicable ***********, the total of the *********** of all Multi-Factor ETFs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right="4880"/>
        <w:spacing w:after="0" w:line="327"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Weighted AUM Factor</w:t>
      </w:r>
      <w:r>
        <w:rPr>
          <w:rFonts w:ascii="Times New Roman" w:cs="Times New Roman" w:eastAsia="Times New Roman" w:hAnsi="Times New Roman"/>
          <w:sz w:val="11"/>
          <w:szCs w:val="11"/>
          <w:color w:val="auto"/>
        </w:rPr>
        <w:t>” means, for each Multi-Factor ETF individually, the number obtained by dividing **************************************************************************************** ***********.</w:t>
      </w:r>
    </w:p>
    <w:p>
      <w:pPr>
        <w:spacing w:after="0" w:line="60" w:lineRule="exact"/>
        <w:rPr>
          <w:sz w:val="20"/>
          <w:szCs w:val="20"/>
          <w:color w:val="auto"/>
        </w:rPr>
      </w:pPr>
    </w:p>
    <w:p>
      <w:pPr>
        <w:ind w:right="5100"/>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Weighted Average Expense Ratio</w:t>
      </w:r>
      <w:r>
        <w:rPr>
          <w:rFonts w:ascii="Times New Roman" w:cs="Times New Roman" w:eastAsia="Times New Roman" w:hAnsi="Times New Roman"/>
          <w:sz w:val="12"/>
          <w:szCs w:val="12"/>
          <w:color w:val="auto"/>
        </w:rPr>
        <w:t>” means, for each Multi-Factor ETF individually, the number obtained by multiplying ***************************************************************************** ****************************************************************.</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Weighted Prorating Factor</w:t>
      </w:r>
      <w:r>
        <w:rPr>
          <w:rFonts w:ascii="Times New Roman" w:cs="Times New Roman" w:eastAsia="Times New Roman" w:hAnsi="Times New Roman"/>
          <w:sz w:val="12"/>
          <w:szCs w:val="12"/>
          <w:color w:val="auto"/>
        </w:rPr>
        <w:t>” means, for each Multi-Factor ETF individually, the number obtained by dividing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Weighted Adjustment</w:t>
      </w:r>
      <w:r>
        <w:rPr>
          <w:rFonts w:ascii="Times New Roman" w:cs="Times New Roman" w:eastAsia="Times New Roman" w:hAnsi="Times New Roman"/>
          <w:sz w:val="12"/>
          <w:szCs w:val="12"/>
          <w:color w:val="auto"/>
        </w:rPr>
        <w:t>” means, for each Multi-Factor ETF individually, the number obtained by multiplying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148590</wp:posOffset>
            </wp:positionV>
            <wp:extent cx="7189470"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AMD_00151505.0</w:t>
      </w:r>
    </w:p>
    <w:p>
      <w:pPr>
        <w:spacing w:after="0" w:line="112" w:lineRule="exact"/>
        <w:rPr>
          <w:sz w:val="20"/>
          <w:szCs w:val="20"/>
          <w:color w:val="auto"/>
        </w:rPr>
      </w:pPr>
    </w:p>
    <w:p>
      <w:pPr>
        <w:ind w:left="428" w:hanging="428"/>
        <w:spacing w:after="0"/>
        <w:tabs>
          <w:tab w:leader="none" w:pos="428" w:val="left"/>
        </w:tabs>
        <w:numPr>
          <w:ilvl w:val="0"/>
          <w:numId w:val="270"/>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u w:val="single" w:color="auto"/>
          <w:color w:val="auto"/>
        </w:rPr>
        <w:t>Special Notes</w:t>
      </w:r>
    </w:p>
    <w:p>
      <w:pPr>
        <w:spacing w:after="0" w:line="123"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Notwithstanding anything to the contrary contained herein, if, at any time during any ****, a Multi-Factor ETF</w:t>
      </w:r>
    </w:p>
    <w:p>
      <w:pPr>
        <w:spacing w:after="0" w:line="16"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1"/>
          <w:szCs w:val="11"/>
          <w:color w:val="auto"/>
        </w:rPr>
      </w:pPr>
    </w:p>
    <w:p>
      <w:pPr>
        <w:ind w:left="428" w:right="500"/>
        <w:spacing w:after="0" w:line="279"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Where necessary to align any relevant payment with the ***********. MSCI shall ********************************* applicable to any Multi-Factor ETF using a calculation method for such *********** that is reasonably determined by MSCI.</w:t>
      </w:r>
    </w:p>
    <w:p>
      <w:pPr>
        <w:spacing w:after="0" w:line="84" w:lineRule="exact"/>
        <w:rPr>
          <w:rFonts w:ascii="Times New Roman" w:cs="Times New Roman" w:eastAsia="Times New Roman" w:hAnsi="Times New Roman"/>
          <w:sz w:val="11"/>
          <w:szCs w:val="11"/>
          <w:color w:val="auto"/>
        </w:rPr>
      </w:pPr>
    </w:p>
    <w:p>
      <w:pPr>
        <w:ind w:left="428" w:hanging="428"/>
        <w:spacing w:after="0"/>
        <w:tabs>
          <w:tab w:leader="none" w:pos="428" w:val="left"/>
        </w:tabs>
        <w:numPr>
          <w:ilvl w:val="0"/>
          <w:numId w:val="270"/>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u w:val="single" w:color="auto"/>
          <w:color w:val="auto"/>
        </w:rPr>
        <w:t>Reporting Requirements</w:t>
      </w:r>
    </w:p>
    <w:p>
      <w:pPr>
        <w:spacing w:after="0" w:line="123"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Within *********** days after the close of each *********** during the term of this Amendment, Licensee shall provide to MSCI a written report identifying</w:t>
      </w:r>
    </w:p>
    <w:p>
      <w:pPr>
        <w:spacing w:after="0" w:line="16"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1"/>
          <w:szCs w:val="11"/>
          <w:color w:val="auto"/>
        </w:rPr>
      </w:pP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408" w:hanging="408"/>
        <w:spacing w:after="0"/>
        <w:tabs>
          <w:tab w:leader="none" w:pos="408" w:val="left"/>
        </w:tabs>
        <w:numPr>
          <w:ilvl w:val="0"/>
          <w:numId w:val="271"/>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Special Conditions:</w:t>
      </w:r>
    </w:p>
    <w:p>
      <w:pPr>
        <w:spacing w:after="0" w:line="123" w:lineRule="exact"/>
        <w:rPr>
          <w:rFonts w:ascii="Times New Roman" w:cs="Times New Roman" w:eastAsia="Times New Roman" w:hAnsi="Times New Roman"/>
          <w:sz w:val="11"/>
          <w:szCs w:val="11"/>
          <w:color w:val="auto"/>
        </w:rPr>
      </w:pPr>
    </w:p>
    <w:p>
      <w:pPr>
        <w:jc w:val="both"/>
        <w:ind w:left="428" w:right="40" w:hanging="5"/>
        <w:spacing w:after="0" w:line="265" w:lineRule="auto"/>
        <w:tabs>
          <w:tab w:leader="none" w:pos="943"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this Amendment conflicts with the Agreement, this Amendment shall control. No right or license of any kind is granted to Licensee except as expressly provided in the Agreement and this Amendment.</w:t>
      </w:r>
    </w:p>
    <w:p>
      <w:pPr>
        <w:spacing w:after="0" w:line="100" w:lineRule="exact"/>
        <w:rPr>
          <w:rFonts w:ascii="Times New Roman" w:cs="Times New Roman" w:eastAsia="Times New Roman" w:hAnsi="Times New Roman"/>
          <w:sz w:val="12"/>
          <w:szCs w:val="12"/>
          <w:color w:val="auto"/>
        </w:rPr>
      </w:pPr>
    </w:p>
    <w:p>
      <w:pPr>
        <w:ind w:left="428" w:right="220" w:hanging="5"/>
        <w:spacing w:after="0" w:line="259" w:lineRule="auto"/>
        <w:tabs>
          <w:tab w:leader="none" w:pos="950"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any individual Index set forth in Section 1 if within two (2) years of the date on which MSCI first launches any one of the, Licensee does not list the relevant Multi-Factor ETF that is based on such Index. As used herein, “*********** means any one or more of</w:t>
      </w:r>
    </w:p>
    <w:p>
      <w:pPr>
        <w:spacing w:after="0" w:line="1"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112" w:lineRule="exact"/>
        <w:rPr>
          <w:rFonts w:ascii="Times New Roman" w:cs="Times New Roman" w:eastAsia="Times New Roman" w:hAnsi="Times New Roman"/>
          <w:sz w:val="12"/>
          <w:szCs w:val="12"/>
          <w:color w:val="auto"/>
        </w:rPr>
      </w:pPr>
    </w:p>
    <w:p>
      <w:pPr>
        <w:ind w:left="428" w:right="400" w:hanging="5"/>
        <w:spacing w:after="0" w:line="279" w:lineRule="auto"/>
        <w:tabs>
          <w:tab w:leader="none" w:pos="943"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any Multi-Factor ETF or changes the underlying Index for any Multi-Factor ETF, Licensee’s right to use the relevant Index set forth in Section 1 with respect to such Multi-Factor ETF shall automatically and immediately terminate.</w:t>
      </w:r>
    </w:p>
    <w:p>
      <w:pPr>
        <w:spacing w:after="0" w:line="84" w:lineRule="exact"/>
        <w:rPr>
          <w:rFonts w:ascii="Times New Roman" w:cs="Times New Roman" w:eastAsia="Times New Roman" w:hAnsi="Times New Roman"/>
          <w:sz w:val="12"/>
          <w:szCs w:val="12"/>
          <w:color w:val="auto"/>
        </w:rPr>
      </w:pPr>
    </w:p>
    <w:p>
      <w:pPr>
        <w:ind w:left="948" w:hanging="525"/>
        <w:spacing w:after="0"/>
        <w:tabs>
          <w:tab w:leader="none" w:pos="948"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32" w:lineRule="exact"/>
        <w:rPr>
          <w:rFonts w:ascii="Times New Roman" w:cs="Times New Roman" w:eastAsia="Times New Roman" w:hAnsi="Times New Roman"/>
          <w:sz w:val="12"/>
          <w:szCs w:val="12"/>
          <w:color w:val="auto"/>
        </w:rPr>
      </w:pPr>
    </w:p>
    <w:p>
      <w:pPr>
        <w:ind w:left="928" w:hanging="505"/>
        <w:spacing w:after="0"/>
        <w:tabs>
          <w:tab w:leader="none" w:pos="928"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shall not ******************************************** any exchange traded fund listed in</w:t>
      </w:r>
    </w:p>
    <w:p>
      <w:pPr>
        <w:spacing w:after="0" w:line="17" w:lineRule="exact"/>
        <w:rPr>
          <w:sz w:val="20"/>
          <w:szCs w:val="20"/>
          <w:color w:val="auto"/>
        </w:rPr>
      </w:pPr>
    </w:p>
    <w:p>
      <w:pPr>
        <w:ind w:left="428" w:right="3180"/>
        <w:spacing w:after="0" w:line="289" w:lineRule="auto"/>
        <w:rPr>
          <w:sz w:val="20"/>
          <w:szCs w:val="20"/>
          <w:color w:val="auto"/>
        </w:rPr>
      </w:pPr>
      <w:r>
        <w:rPr>
          <w:rFonts w:ascii="Times New Roman" w:cs="Times New Roman" w:eastAsia="Times New Roman" w:hAnsi="Times New Roman"/>
          <w:sz w:val="11"/>
          <w:szCs w:val="11"/>
          <w:color w:val="auto"/>
        </w:rPr>
        <w:t>********************** that is based on any ********************************* on which Licensee ********************************************. Notwithstanding the foregoing, at any time after ******************************************************************** ********************** that is based on any or all of the ***********.</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8020" w:type="dxa"/>
            <w:vAlign w:val="bottom"/>
            <w:gridSpan w:val="3"/>
          </w:tcPr>
          <w:p>
            <w:pPr>
              <w:ind w:left="3480"/>
              <w:spacing w:after="0"/>
              <w:rPr>
                <w:sz w:val="20"/>
                <w:szCs w:val="20"/>
                <w:color w:val="auto"/>
              </w:rPr>
            </w:pPr>
            <w:r>
              <w:rPr>
                <w:rFonts w:ascii="Times New Roman" w:cs="Times New Roman" w:eastAsia="Times New Roman" w:hAnsi="Times New Roman"/>
                <w:sz w:val="12"/>
                <w:szCs w:val="12"/>
                <w:color w:val="auto"/>
              </w:rPr>
              <w:t>MSCI INC.</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40" w:type="dxa"/>
            <w:vAlign w:val="bottom"/>
          </w:tcPr>
          <w:p>
            <w:pPr>
              <w:spacing w:after="0"/>
              <w:rPr>
                <w:sz w:val="12"/>
                <w:szCs w:val="12"/>
                <w:color w:val="auto"/>
              </w:rPr>
            </w:pPr>
          </w:p>
        </w:tc>
      </w:tr>
      <w:tr>
        <w:trPr>
          <w:trHeight w:val="155"/>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By/s/ Patrick Dunne</w:t>
            </w:r>
          </w:p>
        </w:tc>
        <w:tc>
          <w:tcPr>
            <w:tcW w:w="8020" w:type="dxa"/>
            <w:vAlign w:val="bottom"/>
            <w:gridSpan w:val="3"/>
          </w:tcPr>
          <w:p>
            <w:pPr>
              <w:ind w:left="3480"/>
              <w:spacing w:after="0"/>
              <w:rPr>
                <w:sz w:val="20"/>
                <w:szCs w:val="20"/>
                <w:color w:val="auto"/>
              </w:rPr>
            </w:pPr>
            <w:r>
              <w:rPr>
                <w:rFonts w:ascii="Times New Roman" w:cs="Times New Roman" w:eastAsia="Times New Roman" w:hAnsi="Times New Roman"/>
                <w:sz w:val="12"/>
                <w:szCs w:val="12"/>
                <w:color w:val="auto"/>
              </w:rPr>
              <w:t>By  /s/ Alex Gil</w:t>
            </w:r>
          </w:p>
        </w:tc>
      </w:tr>
      <w:tr>
        <w:trPr>
          <w:trHeight w:val="122"/>
        </w:trPr>
        <w:tc>
          <w:tcPr>
            <w:tcW w:w="3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2920" w:type="dxa"/>
            <w:vAlign w:val="bottom"/>
            <w:tcBorders>
              <w:top w:val="single" w:sz="8" w:color="auto"/>
            </w:tcBorders>
          </w:tcPr>
          <w:p>
            <w:pPr>
              <w:spacing w:after="0"/>
              <w:rPr>
                <w:sz w:val="10"/>
                <w:szCs w:val="10"/>
                <w:color w:val="auto"/>
              </w:rPr>
            </w:pPr>
          </w:p>
        </w:tc>
        <w:tc>
          <w:tcPr>
            <w:tcW w:w="3740" w:type="dxa"/>
            <w:vAlign w:val="bottom"/>
          </w:tcPr>
          <w:p>
            <w:pPr>
              <w:ind w:left="3480"/>
              <w:spacing w:after="0" w:line="122" w:lineRule="exact"/>
              <w:rPr>
                <w:sz w:val="20"/>
                <w:szCs w:val="20"/>
                <w:color w:val="auto"/>
              </w:rPr>
            </w:pPr>
            <w:r>
              <w:rPr>
                <w:rFonts w:ascii="Times New Roman" w:cs="Times New Roman" w:eastAsia="Times New Roman" w:hAnsi="Times New Roman"/>
                <w:sz w:val="12"/>
                <w:szCs w:val="12"/>
                <w:color w:val="auto"/>
                <w:w w:val="83"/>
              </w:rPr>
              <w:t>Name</w:t>
            </w:r>
          </w:p>
        </w:tc>
        <w:tc>
          <w:tcPr>
            <w:tcW w:w="140" w:type="dxa"/>
            <w:vAlign w:val="bottom"/>
            <w:tcBorders>
              <w:top w:val="single" w:sz="8" w:color="auto"/>
            </w:tcBorders>
          </w:tcPr>
          <w:p>
            <w:pPr>
              <w:spacing w:after="0"/>
              <w:rPr>
                <w:sz w:val="10"/>
                <w:szCs w:val="10"/>
                <w:color w:val="auto"/>
              </w:rPr>
            </w:pPr>
          </w:p>
        </w:tc>
        <w:tc>
          <w:tcPr>
            <w:tcW w:w="4140" w:type="dxa"/>
            <w:vAlign w:val="bottom"/>
            <w:tcBorders>
              <w:top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Alex Gil</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3880" w:type="dxa"/>
            <w:vAlign w:val="bottom"/>
            <w:gridSpan w:val="2"/>
          </w:tcPr>
          <w:p>
            <w:pPr>
              <w:ind w:left="3480"/>
              <w:spacing w:after="0"/>
              <w:rPr>
                <w:sz w:val="20"/>
                <w:szCs w:val="20"/>
                <w:color w:val="auto"/>
              </w:rPr>
            </w:pPr>
            <w:r>
              <w:rPr>
                <w:rFonts w:ascii="Times New Roman" w:cs="Times New Roman" w:eastAsia="Times New Roman" w:hAnsi="Times New Roman"/>
                <w:sz w:val="12"/>
                <w:szCs w:val="12"/>
                <w:color w:val="auto"/>
              </w:rPr>
              <w:t>Title</w:t>
            </w:r>
          </w:p>
        </w:tc>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155"/>
        </w:trPr>
        <w:tc>
          <w:tcPr>
            <w:tcW w:w="3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880" w:type="dxa"/>
            <w:vAlign w:val="bottom"/>
            <w:gridSpan w:val="2"/>
          </w:tcPr>
          <w:p>
            <w:pPr>
              <w:ind w:left="3480"/>
              <w:spacing w:after="0"/>
              <w:rPr>
                <w:sz w:val="20"/>
                <w:szCs w:val="20"/>
                <w:color w:val="auto"/>
              </w:rPr>
            </w:pPr>
            <w:r>
              <w:rPr>
                <w:rFonts w:ascii="Times New Roman" w:cs="Times New Roman" w:eastAsia="Times New Roman" w:hAnsi="Times New Roman"/>
                <w:sz w:val="12"/>
                <w:szCs w:val="1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May 13, 2015</w:t>
            </w:r>
          </w:p>
        </w:tc>
      </w:tr>
    </w:tbl>
    <w:p>
      <w:pPr>
        <w:spacing w:after="0" w:line="2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308"/>
          </w:cols>
          <w:pgMar w:left="292" w:top="273" w:right="299" w:bottom="1440" w:gutter="0" w:footer="0" w:header="0"/>
        </w:sectPr>
      </w:pPr>
    </w:p>
    <w:bookmarkStart w:id="210" w:name="page211"/>
    <w:bookmarkEnd w:id="210"/>
    <w:p>
      <w:pPr>
        <w:ind w:left="10568"/>
        <w:spacing w:after="0"/>
        <w:rPr>
          <w:sz w:val="20"/>
          <w:szCs w:val="20"/>
          <w:color w:val="auto"/>
        </w:rPr>
      </w:pPr>
      <w:r>
        <w:rPr>
          <w:rFonts w:ascii="Times New Roman" w:cs="Times New Roman" w:eastAsia="Times New Roman" w:hAnsi="Times New Roman"/>
          <w:sz w:val="11"/>
          <w:szCs w:val="11"/>
          <w:b w:val="1"/>
          <w:bCs w:val="1"/>
          <w:color w:val="auto"/>
        </w:rPr>
        <w:t>Exhibit 10.106</w:t>
      </w:r>
    </w:p>
    <w:p>
      <w:pPr>
        <w:spacing w:after="0" w:line="162" w:lineRule="exact"/>
        <w:rPr>
          <w:sz w:val="20"/>
          <w:szCs w:val="20"/>
          <w:color w:val="auto"/>
        </w:rPr>
      </w:pPr>
    </w:p>
    <w:p>
      <w:pPr>
        <w:ind w:left="8" w:right="60" w:hanging="8"/>
        <w:spacing w:after="0" w:line="263" w:lineRule="auto"/>
        <w:tabs>
          <w:tab w:leader="none" w:pos="218" w:val="left"/>
        </w:tabs>
        <w:numPr>
          <w:ilvl w:val="0"/>
          <w:numId w:val="2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AMD_00156266.0</w:t>
      </w:r>
    </w:p>
    <w:p>
      <w:pPr>
        <w:spacing w:after="0" w:line="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April 20, 2015</w:t>
      </w:r>
    </w:p>
    <w:p>
      <w:pPr>
        <w:spacing w:after="0" w:line="150" w:lineRule="exact"/>
        <w:rPr>
          <w:sz w:val="20"/>
          <w:szCs w:val="20"/>
          <w:color w:val="auto"/>
        </w:rPr>
      </w:pPr>
    </w:p>
    <w:p>
      <w:pPr>
        <w:ind w:left="8" w:right="180"/>
        <w:spacing w:after="0" w:line="265" w:lineRule="auto"/>
        <w:rPr>
          <w:sz w:val="20"/>
          <w:szCs w:val="20"/>
          <w:color w:val="auto"/>
        </w:rPr>
      </w:pPr>
      <w:r>
        <w:rPr>
          <w:rFonts w:ascii="Times New Roman" w:cs="Times New Roman" w:eastAsia="Times New Roman" w:hAnsi="Times New Roman"/>
          <w:sz w:val="12"/>
          <w:szCs w:val="12"/>
          <w:color w:val="auto"/>
        </w:rPr>
        <w:t>AMENDMENT (this “Amendment”) to the Index License Agreement for Funds (MSCI reference number IXF_00040) dated as of March 18, 2000 (as previously amended,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is made by and between MSCI Inc. (formerly known as Morgan Stanley Capital International Inc.) (“MSCI”) and BlackRock Fund Advisors, a California corporation (as successor to Barclays Global Investors, NA) (“Licensee”). Capitalized terms used but not defined herein shall have the meanings ascribed to them in the Agreement</w:t>
      </w:r>
    </w:p>
    <w:p>
      <w:pPr>
        <w:spacing w:after="0" w:line="92" w:lineRule="exact"/>
        <w:rPr>
          <w:sz w:val="20"/>
          <w:szCs w:val="20"/>
          <w:color w:val="auto"/>
        </w:rPr>
      </w:pPr>
    </w:p>
    <w:p>
      <w:pPr>
        <w:ind w:left="728" w:hanging="368"/>
        <w:spacing w:after="0"/>
        <w:tabs>
          <w:tab w:leader="none" w:pos="7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hereby amended to add the following Indexes.</w:t>
      </w:r>
    </w:p>
    <w:p>
      <w:pPr>
        <w:spacing w:after="0" w:line="132" w:lineRule="exact"/>
        <w:rPr>
          <w:rFonts w:ascii="Times New Roman" w:cs="Times New Roman" w:eastAsia="Times New Roman" w:hAnsi="Times New Roman"/>
          <w:sz w:val="12"/>
          <w:szCs w:val="12"/>
          <w:color w:val="auto"/>
        </w:rPr>
      </w:pPr>
    </w:p>
    <w:p>
      <w:pPr>
        <w:ind w:left="3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MSCI USA Diversified Multi-Factor Index</w:t>
      </w:r>
    </w:p>
    <w:p>
      <w:pPr>
        <w:spacing w:after="0" w:line="123" w:lineRule="exact"/>
        <w:rPr>
          <w:rFonts w:ascii="Times New Roman" w:cs="Times New Roman" w:eastAsia="Times New Roman" w:hAnsi="Times New Roman"/>
          <w:sz w:val="12"/>
          <w:szCs w:val="12"/>
          <w:color w:val="auto"/>
        </w:rPr>
      </w:pPr>
    </w:p>
    <w:p>
      <w:pPr>
        <w:ind w:left="3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MSCI USA Small Cap Diversified Multi-Factor Index</w:t>
      </w:r>
    </w:p>
    <w:p>
      <w:pPr>
        <w:spacing w:after="0" w:line="123" w:lineRule="exact"/>
        <w:rPr>
          <w:rFonts w:ascii="Times New Roman" w:cs="Times New Roman" w:eastAsia="Times New Roman" w:hAnsi="Times New Roman"/>
          <w:sz w:val="12"/>
          <w:szCs w:val="12"/>
          <w:color w:val="auto"/>
        </w:rPr>
      </w:pPr>
    </w:p>
    <w:p>
      <w:pPr>
        <w:ind w:left="3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such other indexes as agreed by Licensee and MSCI in writing.</w:t>
      </w:r>
    </w:p>
    <w:p>
      <w:pPr>
        <w:spacing w:after="0" w:line="132" w:lineRule="exact"/>
        <w:rPr>
          <w:rFonts w:ascii="Times New Roman" w:cs="Times New Roman" w:eastAsia="Times New Roman" w:hAnsi="Times New Roman"/>
          <w:sz w:val="12"/>
          <w:szCs w:val="12"/>
          <w:color w:val="auto"/>
        </w:rPr>
      </w:pPr>
    </w:p>
    <w:p>
      <w:pPr>
        <w:ind w:left="728" w:right="360" w:hanging="368"/>
        <w:spacing w:after="0" w:line="279" w:lineRule="auto"/>
        <w:tabs>
          <w:tab w:leader="none" w:pos="7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Indexes set forth in Section 1 above solely with respect to the following Licensee funds (each, a “USA Multi-Factor ETF” and each USA Multi-Factor ETF shall also be a “Fund” as such term is defined in the Agreement):</w:t>
      </w:r>
    </w:p>
    <w:p>
      <w:pPr>
        <w:spacing w:after="0" w:line="84" w:lineRule="exact"/>
        <w:rPr>
          <w:sz w:val="20"/>
          <w:szCs w:val="20"/>
          <w:color w:val="auto"/>
        </w:rPr>
      </w:pPr>
    </w:p>
    <w:p>
      <w:pPr>
        <w:ind w:left="728" w:hanging="368"/>
        <w:spacing w:after="0"/>
        <w:tabs>
          <w:tab w:leader="none" w:pos="728"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FactorSelect MSCI USA ETF</w:t>
      </w:r>
    </w:p>
    <w:p>
      <w:pPr>
        <w:spacing w:after="0" w:line="123"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FactorSelect MSCI USA Small-Cap ETF</w:t>
      </w:r>
    </w:p>
    <w:p>
      <w:pPr>
        <w:spacing w:after="0" w:line="123"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23"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The USA Multi-Factor ETFs shall be exchange traded index funds listed on a national securities exchange located in the United States.</w:t>
      </w:r>
    </w:p>
    <w:p>
      <w:pPr>
        <w:spacing w:after="0" w:line="123" w:lineRule="exact"/>
        <w:rPr>
          <w:sz w:val="20"/>
          <w:szCs w:val="20"/>
          <w:color w:val="auto"/>
        </w:rPr>
      </w:pPr>
    </w:p>
    <w:p>
      <w:pPr>
        <w:ind w:left="728" w:hanging="368"/>
        <w:spacing w:after="0"/>
        <w:tabs>
          <w:tab w:leader="none" w:pos="728"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USA Multi-Factor ETF, Licensee shall pay MSCI a *********** license fee based on</w:t>
      </w:r>
    </w:p>
    <w:p>
      <w:pPr>
        <w:spacing w:after="0" w:line="87" w:lineRule="exact"/>
        <w:rPr>
          <w:rFonts w:ascii="Times New Roman" w:cs="Times New Roman" w:eastAsia="Times New Roman" w:hAnsi="Times New Roman"/>
          <w:sz w:val="12"/>
          <w:szCs w:val="12"/>
          <w:color w:val="auto"/>
        </w:rPr>
      </w:pPr>
    </w:p>
    <w:p>
      <w:pPr>
        <w:ind w:left="7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which fee shall be calculated and payable on a *********** basis. The</w:t>
      </w:r>
    </w:p>
    <w:p>
      <w:pPr>
        <w:spacing w:after="0" w:line="16" w:lineRule="exact"/>
        <w:rPr>
          <w:rFonts w:ascii="Times New Roman" w:cs="Times New Roman" w:eastAsia="Times New Roman" w:hAnsi="Times New Roman"/>
          <w:sz w:val="12"/>
          <w:szCs w:val="12"/>
          <w:color w:val="auto"/>
        </w:rPr>
      </w:pPr>
    </w:p>
    <w:p>
      <w:pPr>
        <w:ind w:left="7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license fee for each USA Multi-Factor ETF shall be **********************.</w:t>
      </w:r>
    </w:p>
    <w:p>
      <w:pPr>
        <w:spacing w:after="0" w:line="112"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32" w:lineRule="exact"/>
        <w:rPr>
          <w:sz w:val="20"/>
          <w:szCs w:val="20"/>
          <w:color w:val="auto"/>
        </w:rPr>
      </w:pPr>
    </w:p>
    <w:p>
      <w:pPr>
        <w:ind w:left="728" w:right="20" w:hanging="368"/>
        <w:spacing w:after="0" w:line="265" w:lineRule="auto"/>
        <w:tabs>
          <w:tab w:leader="none" w:pos="728"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this Amendment conflicts with the Agreement, this Amendment shall control. No right or license of any kind is granted to Licensee except as expressly provided in the Agreement and this Amendment.</w:t>
      </w:r>
    </w:p>
    <w:p>
      <w:pPr>
        <w:spacing w:after="0" w:line="91" w:lineRule="exact"/>
        <w:rPr>
          <w:rFonts w:ascii="Times New Roman" w:cs="Times New Roman" w:eastAsia="Times New Roman" w:hAnsi="Times New Roman"/>
          <w:sz w:val="12"/>
          <w:szCs w:val="12"/>
          <w:color w:val="auto"/>
        </w:rPr>
      </w:pPr>
    </w:p>
    <w:p>
      <w:pPr>
        <w:ind w:left="728" w:right="160" w:hanging="368"/>
        <w:spacing w:after="0" w:line="279" w:lineRule="auto"/>
        <w:tabs>
          <w:tab w:leader="none" w:pos="728"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any individual Index set forth in Section 1 it within two (2) years of the date on which MSCI first launches any one of the Specified Indexes, Licensee does not list the relevant USA Multi- Factor ETF that is based on such Index. As used herein, “*********** means any one or more of</w:t>
      </w:r>
    </w:p>
    <w:p>
      <w:pPr>
        <w:spacing w:after="0" w:line="66" w:lineRule="exact"/>
        <w:rPr>
          <w:rFonts w:ascii="Times New Roman" w:cs="Times New Roman" w:eastAsia="Times New Roman" w:hAnsi="Times New Roman"/>
          <w:sz w:val="12"/>
          <w:szCs w:val="12"/>
          <w:color w:val="auto"/>
        </w:rPr>
      </w:pPr>
    </w:p>
    <w:p>
      <w:pPr>
        <w:ind w:left="7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96" w:lineRule="exact"/>
        <w:rPr>
          <w:rFonts w:ascii="Times New Roman" w:cs="Times New Roman" w:eastAsia="Times New Roman" w:hAnsi="Times New Roman"/>
          <w:sz w:val="12"/>
          <w:szCs w:val="12"/>
          <w:color w:val="auto"/>
        </w:rPr>
      </w:pPr>
    </w:p>
    <w:p>
      <w:pPr>
        <w:ind w:left="7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5" w:lineRule="exact"/>
        <w:rPr>
          <w:rFonts w:ascii="Times New Roman" w:cs="Times New Roman" w:eastAsia="Times New Roman" w:hAnsi="Times New Roman"/>
          <w:sz w:val="12"/>
          <w:szCs w:val="12"/>
          <w:color w:val="auto"/>
        </w:rPr>
      </w:pPr>
    </w:p>
    <w:p>
      <w:pPr>
        <w:ind w:left="7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728" w:right="60" w:hanging="368"/>
        <w:spacing w:after="0" w:line="279" w:lineRule="auto"/>
        <w:tabs>
          <w:tab w:leader="none" w:pos="728"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any USA Multi-Factor ETF or changes the underlying Index for any USA Multi-Factor ETF, Licensee’s right to use the relevant Index set forth in Section 1 with respect to such USA Multi-Factor ETF shall automatically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89470" cy="11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413" w:right="29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2"/>
          <w:szCs w:val="12"/>
          <w:color w:val="auto"/>
        </w:rPr>
        <w:t>A.N.: 130339 AMD_00156266.0</w:t>
      </w:r>
    </w:p>
    <w:p>
      <w:pPr>
        <w:spacing w:after="0" w:line="146" w:lineRule="exact"/>
        <w:rPr>
          <w:sz w:val="20"/>
          <w:szCs w:val="20"/>
          <w:color w:val="auto"/>
        </w:rPr>
      </w:pPr>
    </w:p>
    <w:p>
      <w:pPr>
        <w:ind w:left="720" w:hanging="368"/>
        <w:spacing w:after="0"/>
        <w:tabs>
          <w:tab w:leader="none" w:pos="720" w:val="left"/>
        </w:tabs>
        <w:numPr>
          <w:ilvl w:val="0"/>
          <w:numId w:val="2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Amendment shall be governed by, and construed in accordance with, the laws of the State of New York without regard to its conflict or choice of laws principles.</w:t>
      </w:r>
    </w:p>
    <w:p>
      <w:pPr>
        <w:spacing w:after="0" w:line="134" w:lineRule="exact"/>
        <w:rPr>
          <w:rFonts w:ascii="Times New Roman" w:cs="Times New Roman" w:eastAsia="Times New Roman" w:hAnsi="Times New Roman"/>
          <w:sz w:val="11"/>
          <w:szCs w:val="11"/>
          <w:color w:val="auto"/>
        </w:rPr>
      </w:pPr>
    </w:p>
    <w:p>
      <w:pPr>
        <w:ind w:left="720" w:hanging="368"/>
        <w:spacing w:after="0"/>
        <w:tabs>
          <w:tab w:leader="none" w:pos="720" w:val="left"/>
        </w:tabs>
        <w:numPr>
          <w:ilvl w:val="0"/>
          <w:numId w:val="2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MSCI shall not *********** *********** any exchange traded fund listed in *********** that is based on any ********************** based on the same such ***********. Notwithstanding the foregoing, at any time after</w:t>
      </w:r>
    </w:p>
    <w:p>
      <w:pPr>
        <w:spacing w:after="0" w:line="71" w:lineRule="exact"/>
        <w:rPr>
          <w:rFonts w:ascii="Times New Roman" w:cs="Times New Roman" w:eastAsia="Times New Roman" w:hAnsi="Times New Roman"/>
          <w:sz w:val="11"/>
          <w:szCs w:val="11"/>
          <w:color w:val="auto"/>
        </w:rPr>
      </w:pPr>
    </w:p>
    <w:p>
      <w:pPr>
        <w:ind w:left="7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MSCI may license ********************** that is based on any or all of the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ACKNOWLEDGED AND AGREED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LICENSEE: BlackRock Fund Advisors</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MSCI INC.</w:t>
            </w:r>
          </w:p>
        </w:tc>
      </w:tr>
      <w:tr>
        <w:trPr>
          <w:trHeight w:val="148"/>
        </w:trPr>
        <w:tc>
          <w:tcPr>
            <w:tcW w:w="5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By /s/ Patrick Dunne</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By /s/ Alex Gil</w:t>
            </w:r>
          </w:p>
        </w:tc>
      </w:tr>
      <w:tr>
        <w:trPr>
          <w:trHeight w:val="111"/>
        </w:trPr>
        <w:tc>
          <w:tcPr>
            <w:tcW w:w="546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180" w:type="dxa"/>
            <w:vAlign w:val="bottom"/>
          </w:tcPr>
          <w:p>
            <w:pPr>
              <w:spacing w:after="0"/>
              <w:rPr>
                <w:sz w:val="9"/>
                <w:szCs w:val="9"/>
                <w:color w:val="auto"/>
              </w:rPr>
            </w:pPr>
          </w:p>
        </w:tc>
        <w:tc>
          <w:tcPr>
            <w:tcW w:w="566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Name Alex Gil</w:t>
            </w:r>
          </w:p>
        </w:tc>
      </w:tr>
      <w:tr>
        <w:trPr>
          <w:trHeight w:val="135"/>
        </w:trPr>
        <w:tc>
          <w:tcPr>
            <w:tcW w:w="5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Title   Executive Director</w:t>
            </w:r>
          </w:p>
        </w:tc>
      </w:tr>
      <w:tr>
        <w:trPr>
          <w:trHeight w:val="148"/>
        </w:trPr>
        <w:tc>
          <w:tcPr>
            <w:tcW w:w="5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Date. May 12, 2015</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300"/>
          </w:cols>
          <w:pgMar w:left="300" w:top="318" w:right="299" w:bottom="1440" w:gutter="0" w:footer="0" w:header="0"/>
        </w:sectPr>
      </w:pPr>
    </w:p>
    <w:bookmarkStart w:id="212" w:name="page213"/>
    <w:bookmarkEnd w:id="212"/>
    <w:p>
      <w:pPr>
        <w:ind w:left="10568"/>
        <w:spacing w:after="0"/>
        <w:rPr>
          <w:sz w:val="20"/>
          <w:szCs w:val="20"/>
          <w:color w:val="auto"/>
        </w:rPr>
      </w:pPr>
      <w:r>
        <w:rPr>
          <w:rFonts w:ascii="Times New Roman" w:cs="Times New Roman" w:eastAsia="Times New Roman" w:hAnsi="Times New Roman"/>
          <w:sz w:val="11"/>
          <w:szCs w:val="11"/>
          <w:b w:val="1"/>
          <w:bCs w:val="1"/>
          <w:color w:val="auto"/>
        </w:rPr>
        <w:t>Exhibit 10.110</w:t>
      </w:r>
    </w:p>
    <w:p>
      <w:pPr>
        <w:spacing w:after="0" w:line="90" w:lineRule="exact"/>
        <w:rPr>
          <w:sz w:val="20"/>
          <w:szCs w:val="20"/>
          <w:color w:val="auto"/>
        </w:rPr>
      </w:pPr>
    </w:p>
    <w:p>
      <w:pPr>
        <w:ind w:left="8" w:hanging="8"/>
        <w:spacing w:after="0" w:line="263" w:lineRule="auto"/>
        <w:tabs>
          <w:tab w:leader="none" w:pos="220" w:val="left"/>
        </w:tabs>
        <w:numPr>
          <w:ilvl w:val="0"/>
          <w:numId w:val="2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AMD_00172058.0</w:t>
      </w:r>
    </w:p>
    <w:p>
      <w:pPr>
        <w:spacing w:after="0" w:line="3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June 1, 2015</w:t>
      </w:r>
    </w:p>
    <w:p>
      <w:pPr>
        <w:spacing w:after="0" w:line="78" w:lineRule="exact"/>
        <w:rPr>
          <w:sz w:val="20"/>
          <w:szCs w:val="20"/>
          <w:color w:val="auto"/>
        </w:rPr>
      </w:pPr>
    </w:p>
    <w:p>
      <w:pPr>
        <w:jc w:val="both"/>
        <w:ind w:left="8" w:right="120"/>
        <w:spacing w:after="0" w:line="265" w:lineRule="auto"/>
        <w:rPr>
          <w:sz w:val="20"/>
          <w:szCs w:val="20"/>
          <w:color w:val="auto"/>
        </w:rPr>
      </w:pPr>
      <w:r>
        <w:rPr>
          <w:rFonts w:ascii="Times New Roman" w:cs="Times New Roman" w:eastAsia="Times New Roman" w:hAnsi="Times New Roman"/>
          <w:sz w:val="12"/>
          <w:szCs w:val="12"/>
          <w:color w:val="auto"/>
        </w:rPr>
        <w:t>AMENDMENT to the Amendment dated February 21, 2013 (the “Orig</w:t>
      </w:r>
      <w:r>
        <w:rPr>
          <w:rFonts w:ascii="Times New Roman" w:cs="Times New Roman" w:eastAsia="Times New Roman" w:hAnsi="Times New Roman"/>
          <w:sz w:val="12"/>
          <w:szCs w:val="12"/>
          <w:u w:val="single" w:color="auto"/>
          <w:color w:val="auto"/>
        </w:rPr>
        <w:t>inal Amendment</w:t>
      </w:r>
      <w:r>
        <w:rPr>
          <w:rFonts w:ascii="Times New Roman" w:cs="Times New Roman" w:eastAsia="Times New Roman" w:hAnsi="Times New Roman"/>
          <w:sz w:val="12"/>
          <w:szCs w:val="12"/>
          <w:color w:val="auto"/>
        </w:rPr>
        <w:t>”) to the Index License Agreement for Funds dated as of March 18, 2000 with MSCI internal reference DCF_00040 (as previously amended,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by and between MSCI Inc. (f/k/a Morgan Stanley Capital International Inc.) (“MSCI”) and Black Rack Fund Advisors, a California corporation (as successor to Barclays Global Investors, NA) (“Licensee”). Capitalized terms used but not defined herein shall have the meanings ascribed to them in the Original Amendment or the Agreement, as the case may be.</w:t>
      </w:r>
    </w:p>
    <w:p>
      <w:pPr>
        <w:spacing w:after="0" w:line="56" w:lineRule="exact"/>
        <w:rPr>
          <w:sz w:val="20"/>
          <w:szCs w:val="20"/>
          <w:color w:val="auto"/>
        </w:rPr>
      </w:pPr>
    </w:p>
    <w:p>
      <w:pPr>
        <w:ind w:left="8" w:right="240"/>
        <w:spacing w:after="0" w:line="279" w:lineRule="auto"/>
        <w:rPr>
          <w:sz w:val="20"/>
          <w:szCs w:val="20"/>
          <w:color w:val="auto"/>
        </w:rPr>
      </w:pPr>
      <w:r>
        <w:rPr>
          <w:rFonts w:ascii="Times New Roman" w:cs="Times New Roman" w:eastAsia="Times New Roman" w:hAnsi="Times New Roman"/>
          <w:sz w:val="12"/>
          <w:szCs w:val="12"/>
          <w:color w:val="auto"/>
        </w:rPr>
        <w:t>WHEREAS, in accordance with the Original Amendment and the Agreement, Licensee launched (i) the iShares MSCI USA Value Factor ETF, tracking the performance of the MSCI USA Value Weighted Index; and (ii) the iShares MSCI USA Quality Factor ETF, tracking the performance of the MSCI USA Quality Index; and</w:t>
      </w:r>
    </w:p>
    <w:p>
      <w:pPr>
        <w:spacing w:after="0" w:line="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WHEREAS, Licensee now wishes for such ETFs to begin tracking the performance of different MSCI indexes. NOW, THEREFORE, for good and valuable consideration, MSCI and Licensee hereby agree as follows:</w:t>
      </w:r>
    </w:p>
    <w:p>
      <w:pPr>
        <w:spacing w:after="0" w:line="78" w:lineRule="exact"/>
        <w:rPr>
          <w:sz w:val="20"/>
          <w:szCs w:val="20"/>
          <w:color w:val="auto"/>
        </w:rPr>
      </w:pPr>
    </w:p>
    <w:p>
      <w:pPr>
        <w:ind w:left="8" w:right="100" w:hanging="8"/>
        <w:spacing w:after="0" w:line="279" w:lineRule="auto"/>
        <w:tabs>
          <w:tab w:leader="none" w:pos="530"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the applicable Transition Date, Section 1 of the Original Amendment shall be amended to (i) delete the “MSCI USA Value Weighted Index” and replace it with the “MSCI USA Enhanced Value Index” and (ii) delete the “MSCI USA Quality Index” and replace it with the “MSCI USA Sector Neutral Quality Index.”</w:t>
      </w:r>
    </w:p>
    <w:p>
      <w:pPr>
        <w:spacing w:after="0" w:line="48" w:lineRule="exact"/>
        <w:rPr>
          <w:rFonts w:ascii="Times New Roman" w:cs="Times New Roman" w:eastAsia="Times New Roman" w:hAnsi="Times New Roman"/>
          <w:sz w:val="12"/>
          <w:szCs w:val="12"/>
          <w:color w:val="auto"/>
        </w:rPr>
      </w:pPr>
    </w:p>
    <w:p>
      <w:pPr>
        <w:ind w:left="8" w:right="40" w:hanging="8"/>
        <w:spacing w:after="0" w:line="265" w:lineRule="auto"/>
        <w:tabs>
          <w:tab w:leader="none" w:pos="530"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the applicable Transition Date, Section 2 of the Original Amendment shall be amended to (i) delete the second bullet point and replace it with “iShares MSCI USA Value Factor ETF which seeks investment results that correspond generally to the price and yield performance, before fees and expenses, of the MSCI USA Enhanced Value Index” and (ii) delete the fourth bullet point and replace it with “iShares MSCI USA Quality Factor ETF which seeks investment results that correspond generally to the price and yield performance, before fees and expenses, of the MSCI USA Sector Neutral Quality Index.”</w:t>
      </w:r>
    </w:p>
    <w:p>
      <w:pPr>
        <w:spacing w:after="0" w:line="55" w:lineRule="exact"/>
        <w:rPr>
          <w:rFonts w:ascii="Times New Roman" w:cs="Times New Roman" w:eastAsia="Times New Roman" w:hAnsi="Times New Roman"/>
          <w:sz w:val="12"/>
          <w:szCs w:val="12"/>
          <w:color w:val="auto"/>
        </w:rPr>
      </w:pPr>
    </w:p>
    <w:p>
      <w:pPr>
        <w:jc w:val="both"/>
        <w:ind w:left="8" w:right="200" w:hanging="8"/>
        <w:spacing w:after="0" w:line="256" w:lineRule="auto"/>
        <w:tabs>
          <w:tab w:leader="none" w:pos="530"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used herein, the “Transition Date” means, as applicable, either (i) the date on which the iShares MSCI USA Value Factor ETF begins tracking the MSCI USA Enhanced Value Index or (ii) the date on which the iShares MSCI USA Quality Factor ETF begins tracking the MSCI USA Sector Neutral Quality Index. Licensee shall provide MSCI with prompt written notice of each Transition Date. Where necessary, the applicable license fees under this Amendment and the Original Amendment shall be</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76" w:lineRule="exact"/>
        <w:rPr>
          <w:rFonts w:ascii="Times New Roman" w:cs="Times New Roman" w:eastAsia="Times New Roman" w:hAnsi="Times New Roman"/>
          <w:sz w:val="12"/>
          <w:szCs w:val="12"/>
          <w:color w:val="auto"/>
        </w:rPr>
      </w:pPr>
    </w:p>
    <w:p>
      <w:pPr>
        <w:jc w:val="both"/>
        <w:ind w:left="8" w:right="160" w:hanging="8"/>
        <w:spacing w:after="0" w:line="260" w:lineRule="auto"/>
        <w:tabs>
          <w:tab w:leader="none" w:pos="530"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Original Amendment and the Agreement and, together, this Amendment the Original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Original Amendment or the Agreement, the terms of this Amendment shall control. No right or license of any kind is granted to Licensee except as expressly provided in the Agreement, the Original Amendment and this Amendment.</w:t>
      </w:r>
    </w:p>
    <w:p>
      <w:pPr>
        <w:spacing w:after="0" w:line="59" w:lineRule="exact"/>
        <w:rPr>
          <w:rFonts w:ascii="Times New Roman" w:cs="Times New Roman" w:eastAsia="Times New Roman" w:hAnsi="Times New Roman"/>
          <w:sz w:val="12"/>
          <w:szCs w:val="12"/>
          <w:color w:val="auto"/>
        </w:rPr>
      </w:pPr>
    </w:p>
    <w:p>
      <w:pPr>
        <w:ind w:left="528" w:hanging="528"/>
        <w:spacing w:after="0"/>
        <w:tabs>
          <w:tab w:leader="none" w:pos="528"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56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LICENSEE: BlackRock Fund Advisors</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MSCI INC.</w:t>
            </w:r>
          </w:p>
        </w:tc>
      </w:tr>
      <w:tr>
        <w:trPr>
          <w:trHeight w:val="216"/>
        </w:trPr>
        <w:tc>
          <w:tcPr>
            <w:tcW w:w="56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By/s/ Paul C. Lohrey</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r>
      <w:tr>
        <w:trPr>
          <w:trHeight w:val="111"/>
        </w:trPr>
        <w:tc>
          <w:tcPr>
            <w:tcW w:w="32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c>
          <w:tcPr>
            <w:tcW w:w="5220" w:type="dxa"/>
            <w:vAlign w:val="bottom"/>
            <w:tcBorders>
              <w:top w:val="single" w:sz="8" w:color="auto"/>
            </w:tcBorders>
          </w:tcPr>
          <w:p>
            <w:pPr>
              <w:ind w:left="60"/>
              <w:spacing w:after="0" w:line="112" w:lineRule="exact"/>
              <w:rPr>
                <w:sz w:val="20"/>
                <w:szCs w:val="20"/>
                <w:color w:val="auto"/>
              </w:rPr>
            </w:pPr>
            <w:r>
              <w:rPr>
                <w:rFonts w:ascii="Times New Roman" w:cs="Times New Roman" w:eastAsia="Times New Roman" w:hAnsi="Times New Roman"/>
                <w:sz w:val="11"/>
                <w:szCs w:val="11"/>
                <w:color w:val="auto"/>
              </w:rPr>
              <w:t>Paul C. Lohrey</w:t>
            </w:r>
          </w:p>
        </w:tc>
        <w:tc>
          <w:tcPr>
            <w:tcW w:w="100" w:type="dxa"/>
            <w:vAlign w:val="bottom"/>
          </w:tcPr>
          <w:p>
            <w:pPr>
              <w:spacing w:after="0"/>
              <w:rPr>
                <w:sz w:val="9"/>
                <w:szCs w:val="9"/>
                <w:color w:val="auto"/>
              </w:rPr>
            </w:pPr>
          </w:p>
        </w:tc>
        <w:tc>
          <w:tcPr>
            <w:tcW w:w="566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Name</w:t>
            </w:r>
          </w:p>
        </w:tc>
      </w:tr>
      <w:tr>
        <w:trPr>
          <w:trHeight w:val="147"/>
        </w:trPr>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Managing Director</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r>
    </w:tbl>
    <w:p>
      <w:pPr>
        <w:ind w:left="8"/>
        <w:spacing w:after="0"/>
        <w:rPr>
          <w:sz w:val="20"/>
          <w:szCs w:val="20"/>
          <w:color w:val="auto"/>
        </w:rPr>
      </w:pPr>
      <w:r>
        <w:rPr>
          <w:rFonts w:ascii="Times New Roman" w:cs="Times New Roman" w:eastAsia="Times New Roman" w:hAnsi="Times New Roman"/>
          <w:sz w:val="11"/>
          <w:szCs w:val="11"/>
          <w:color w:val="auto"/>
        </w:rPr>
        <w:t>Date July 28, 2015</w:t>
      </w:r>
    </w:p>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AMD_00172058.0</w:t>
      </w:r>
    </w:p>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Signature: /s/ Alex Gil</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Email: alex.gil@msci.com</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Title: Executive Director</w:t>
      </w:r>
    </w:p>
    <w:p>
      <w:pPr>
        <w:spacing w:after="0" w:line="2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8"/>
          </w:cols>
          <w:pgMar w:left="292" w:top="269" w:right="299" w:bottom="1440" w:gutter="0" w:footer="0" w:header="0"/>
        </w:sectPr>
      </w:pPr>
    </w:p>
    <w:bookmarkStart w:id="213" w:name="page214"/>
    <w:bookmarkEnd w:id="213"/>
    <w:p>
      <w:pPr>
        <w:ind w:left="10568"/>
        <w:spacing w:after="0"/>
        <w:rPr>
          <w:sz w:val="20"/>
          <w:szCs w:val="20"/>
          <w:color w:val="auto"/>
        </w:rPr>
      </w:pPr>
      <w:r>
        <w:rPr>
          <w:rFonts w:ascii="Times New Roman" w:cs="Times New Roman" w:eastAsia="Times New Roman" w:hAnsi="Times New Roman"/>
          <w:sz w:val="12"/>
          <w:szCs w:val="12"/>
          <w:b w:val="1"/>
          <w:bCs w:val="1"/>
          <w:color w:val="auto"/>
        </w:rPr>
        <w:t>Exhibit 10.111</w:t>
      </w:r>
    </w:p>
    <w:p>
      <w:pPr>
        <w:spacing w:after="0" w:line="150" w:lineRule="exact"/>
        <w:rPr>
          <w:sz w:val="20"/>
          <w:szCs w:val="20"/>
          <w:color w:val="auto"/>
        </w:rPr>
      </w:pPr>
    </w:p>
    <w:p>
      <w:pPr>
        <w:ind w:left="8" w:right="120" w:hanging="8"/>
        <w:spacing w:after="0" w:line="286" w:lineRule="auto"/>
        <w:tabs>
          <w:tab w:leader="none" w:pos="218" w:val="left"/>
        </w:tabs>
        <w:numPr>
          <w:ilvl w:val="0"/>
          <w:numId w:val="28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44" w:lineRule="exact"/>
        <w:rPr>
          <w:sz w:val="20"/>
          <w:szCs w:val="20"/>
          <w:color w:val="auto"/>
        </w:rPr>
      </w:pPr>
    </w:p>
    <w:p>
      <w:pPr>
        <w:ind w:left="10648"/>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ind w:left="10388"/>
        <w:spacing w:after="0"/>
        <w:rPr>
          <w:sz w:val="20"/>
          <w:szCs w:val="20"/>
          <w:color w:val="auto"/>
        </w:rPr>
      </w:pPr>
      <w:r>
        <w:rPr>
          <w:rFonts w:ascii="Times New Roman" w:cs="Times New Roman" w:eastAsia="Times New Roman" w:hAnsi="Times New Roman"/>
          <w:sz w:val="12"/>
          <w:szCs w:val="12"/>
          <w:color w:val="auto"/>
        </w:rPr>
        <w:t>AMD_00172354.0</w:t>
      </w:r>
    </w:p>
    <w:p>
      <w:pPr>
        <w:spacing w:after="0" w:line="63"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June 1, 2015</w:t>
      </w:r>
    </w:p>
    <w:p>
      <w:pPr>
        <w:spacing w:after="0" w:line="78" w:lineRule="exact"/>
        <w:rPr>
          <w:sz w:val="20"/>
          <w:szCs w:val="20"/>
          <w:color w:val="auto"/>
        </w:rPr>
      </w:pPr>
    </w:p>
    <w:p>
      <w:pPr>
        <w:ind w:left="8" w:right="240"/>
        <w:spacing w:after="0" w:line="265"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(MSCI reference number IXF 00040) dated as of March 18, 2000 (as previously amended,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is made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47" w:lineRule="exact"/>
        <w:rPr>
          <w:sz w:val="20"/>
          <w:szCs w:val="20"/>
          <w:color w:val="auto"/>
        </w:rPr>
      </w:pPr>
    </w:p>
    <w:p>
      <w:pPr>
        <w:ind w:left="428" w:hanging="428"/>
        <w:spacing w:after="0"/>
        <w:tabs>
          <w:tab w:leader="none" w:pos="428" w:val="left"/>
        </w:tabs>
        <w:numPr>
          <w:ilvl w:val="0"/>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w:t>
      </w:r>
    </w:p>
    <w:p>
      <w:pPr>
        <w:spacing w:after="0" w:line="78"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MSCI Saudi Arabia IMI 25/50 Index</w:t>
      </w:r>
    </w:p>
    <w:p>
      <w:pPr>
        <w:spacing w:after="0" w:line="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Or such other index as agreed by Licensee and MSCI in writing,</w:t>
      </w:r>
    </w:p>
    <w:p>
      <w:pPr>
        <w:spacing w:after="0" w:line="7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2"/>
          <w:szCs w:val="12"/>
          <w:color w:val="auto"/>
        </w:rPr>
        <w:t>Licensee may use the Index set forth in Section 1 above solely with respect to the following Licensee fund (which shall be a “Fund” as such term is defined in the Agreement):</w:t>
      </w:r>
    </w:p>
    <w:p>
      <w:pPr>
        <w:spacing w:after="0" w:line="78" w:lineRule="exact"/>
        <w:rPr>
          <w:sz w:val="20"/>
          <w:szCs w:val="20"/>
          <w:color w:val="auto"/>
        </w:rPr>
      </w:pPr>
    </w:p>
    <w:p>
      <w:pPr>
        <w:ind w:left="848" w:hanging="425"/>
        <w:spacing w:after="0"/>
        <w:tabs>
          <w:tab w:leader="none" w:pos="848"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Saudi Arabia Capped ETF</w:t>
      </w:r>
    </w:p>
    <w:p>
      <w:pPr>
        <w:spacing w:after="0" w:line="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Fund shall be an exchange traded index fund listed on a national securities exchange located in the United States.</w:t>
      </w:r>
    </w:p>
    <w:p>
      <w:pPr>
        <w:spacing w:after="0" w:line="78" w:lineRule="exact"/>
        <w:rPr>
          <w:sz w:val="20"/>
          <w:szCs w:val="20"/>
          <w:color w:val="auto"/>
        </w:rPr>
      </w:pPr>
    </w:p>
    <w:p>
      <w:pPr>
        <w:ind w:left="428" w:right="160" w:hanging="428"/>
        <w:spacing w:after="0" w:line="279" w:lineRule="auto"/>
        <w:tabs>
          <w:tab w:leader="none" w:pos="428"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a *********** license fee based on the Fund’s ***************************************, which fee shall be calculated and payable on a *********** *****. The *********** license fee shall be calculated as a percentage of the Fund’s AUM during the applicable *********************************, as follows:</w:t>
      </w:r>
    </w:p>
    <w:p>
      <w:pPr>
        <w:spacing w:after="0" w:line="48"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avoidance of doubt, the *********** license fees shall be calculated ***********. For example,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Expense Ratio</w:t>
      </w:r>
      <w:r>
        <w:rPr>
          <w:rFonts w:ascii="Times New Roman" w:cs="Times New Roman" w:eastAsia="Times New Roman" w:hAnsi="Times New Roman"/>
          <w:sz w:val="12"/>
          <w:szCs w:val="12"/>
          <w:color w:val="auto"/>
        </w:rPr>
        <w:t>” shall mean the *********** obtained when dividing **************************************************************************************************************.</w:t>
      </w:r>
    </w:p>
    <w:p>
      <w:pPr>
        <w:spacing w:after="0" w:line="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Notwithstanding anything to the contrary contained herein, if the Fund does not have an *********** or if a Fund’s ********************** or if a Fund has an ***********, the *********** licensee fee for such Fund shall</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76" w:lineRule="exact"/>
        <w:rPr>
          <w:sz w:val="20"/>
          <w:szCs w:val="20"/>
          <w:color w:val="auto"/>
        </w:rPr>
      </w:pPr>
    </w:p>
    <w:p>
      <w:pPr>
        <w:ind w:left="428" w:hanging="428"/>
        <w:spacing w:after="0"/>
        <w:tabs>
          <w:tab w:leader="none" w:pos="428"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87" w:lineRule="exact"/>
        <w:rPr>
          <w:rFonts w:ascii="Times New Roman" w:cs="Times New Roman" w:eastAsia="Times New Roman" w:hAnsi="Times New Roman"/>
          <w:sz w:val="12"/>
          <w:szCs w:val="12"/>
          <w:color w:val="auto"/>
        </w:rPr>
      </w:pPr>
    </w:p>
    <w:p>
      <w:pPr>
        <w:ind w:left="788" w:hanging="365"/>
        <w:spacing w:after="0"/>
        <w:tabs>
          <w:tab w:leader="none" w:pos="788"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this Amendment shall control. No right or license of any kind is granted to Licensee except as expressly provided in the Agreement and this Amendment.</w:t>
      </w:r>
    </w:p>
    <w:p>
      <w:pPr>
        <w:spacing w:after="0" w:line="78" w:lineRule="exact"/>
        <w:rPr>
          <w:rFonts w:ascii="Times New Roman" w:cs="Times New Roman" w:eastAsia="Times New Roman" w:hAnsi="Times New Roman"/>
          <w:sz w:val="12"/>
          <w:szCs w:val="12"/>
          <w:color w:val="auto"/>
        </w:rPr>
      </w:pPr>
    </w:p>
    <w:p>
      <w:pPr>
        <w:ind w:left="788" w:hanging="365"/>
        <w:spacing w:after="0"/>
        <w:tabs>
          <w:tab w:leader="none" w:pos="788"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the Index set forth in Section 1 if within one (1) year of the date of this Amendment, Licensee does not list the Fund and/or the Fund is not based on the Index.</w:t>
      </w:r>
    </w:p>
    <w:p>
      <w:pPr>
        <w:spacing w:after="0" w:line="78" w:lineRule="exact"/>
        <w:rPr>
          <w:rFonts w:ascii="Times New Roman" w:cs="Times New Roman" w:eastAsia="Times New Roman" w:hAnsi="Times New Roman"/>
          <w:sz w:val="12"/>
          <w:szCs w:val="12"/>
          <w:color w:val="auto"/>
        </w:rPr>
      </w:pPr>
    </w:p>
    <w:p>
      <w:pPr>
        <w:ind w:left="788" w:hanging="365"/>
        <w:spacing w:after="0"/>
        <w:tabs>
          <w:tab w:leader="none" w:pos="788"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the Fund or changes the underlying MSCI index for the Fund, then Licensee’s right to use the Index with respect to the Fund shall automatically and immediately terminate.</w:t>
      </w:r>
    </w:p>
    <w:p>
      <w:pPr>
        <w:spacing w:after="0" w:line="78" w:lineRule="exact"/>
        <w:rPr>
          <w:rFonts w:ascii="Times New Roman" w:cs="Times New Roman" w:eastAsia="Times New Roman" w:hAnsi="Times New Roman"/>
          <w:sz w:val="12"/>
          <w:szCs w:val="12"/>
          <w:color w:val="auto"/>
        </w:rPr>
      </w:pPr>
    </w:p>
    <w:p>
      <w:pPr>
        <w:ind w:left="788" w:hanging="365"/>
        <w:spacing w:after="0"/>
        <w:tabs>
          <w:tab w:leader="none" w:pos="788"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78" w:lineRule="exact"/>
        <w:rPr>
          <w:rFonts w:ascii="Times New Roman" w:cs="Times New Roman" w:eastAsia="Times New Roman" w:hAnsi="Times New Roman"/>
          <w:sz w:val="12"/>
          <w:szCs w:val="12"/>
          <w:color w:val="auto"/>
        </w:rPr>
      </w:pPr>
    </w:p>
    <w:p>
      <w:pPr>
        <w:ind w:left="788" w:right="860" w:hanging="365"/>
        <w:spacing w:after="0" w:line="279" w:lineRule="auto"/>
        <w:tabs>
          <w:tab w:leader="none" w:pos="788"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hereof this Amendment, this Amendment shall cancel and replace in its entirety that certain Amendment dated September 17, 2014 between MSCI and Licensee with MSCI internal reference AMD_00145052.0.</w:t>
      </w:r>
    </w:p>
    <w:p>
      <w:pPr>
        <w:spacing w:after="0" w:line="111"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947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68"/>
          </w:cols>
          <w:pgMar w:left="292" w:top="341"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144"/>
        </w:trPr>
        <w:tc>
          <w:tcPr>
            <w:tcW w:w="3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4"/>
        </w:trPr>
        <w:tc>
          <w:tcPr>
            <w:tcW w:w="3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2020" w:type="dxa"/>
            <w:vAlign w:val="bottom"/>
          </w:tcPr>
          <w:p>
            <w:pPr>
              <w:spacing w:after="0"/>
              <w:rPr>
                <w:sz w:val="12"/>
                <w:szCs w:val="12"/>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MSCI Inc.</w:t>
            </w:r>
          </w:p>
        </w:tc>
      </w:tr>
      <w:tr>
        <w:trPr>
          <w:trHeight w:val="128"/>
        </w:trPr>
        <w:tc>
          <w:tcPr>
            <w:tcW w:w="374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auto"/>
              </w:rPr>
              <w:t>By/s/ Paul C. Lohrey</w:t>
            </w:r>
          </w:p>
        </w:tc>
        <w:tc>
          <w:tcPr>
            <w:tcW w:w="2020" w:type="dxa"/>
            <w:vAlign w:val="bottom"/>
          </w:tcPr>
          <w:p>
            <w:pPr>
              <w:spacing w:after="0"/>
              <w:rPr>
                <w:sz w:val="11"/>
                <w:szCs w:val="11"/>
                <w:color w:val="auto"/>
              </w:rPr>
            </w:pPr>
          </w:p>
        </w:tc>
        <w:tc>
          <w:tcPr>
            <w:tcW w:w="132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auto"/>
              </w:rPr>
              <w:t>By/s/ Alex Gil</w:t>
            </w:r>
          </w:p>
        </w:tc>
      </w:tr>
      <w:tr>
        <w:trPr>
          <w:trHeight w:val="20"/>
        </w:trPr>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0"/>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Paul C. Lohrey</w:t>
            </w:r>
          </w:p>
        </w:tc>
        <w:tc>
          <w:tcPr>
            <w:tcW w:w="20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Alex Gil</w:t>
            </w:r>
          </w:p>
        </w:tc>
      </w:tr>
      <w:tr>
        <w:trPr>
          <w:trHeight w:val="14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Managing Director</w:t>
            </w:r>
          </w:p>
        </w:tc>
        <w:tc>
          <w:tcPr>
            <w:tcW w:w="20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8"/>
              </w:rPr>
              <w:t>Executive Director</w:t>
            </w:r>
          </w:p>
        </w:tc>
      </w:tr>
      <w:tr>
        <w:trPr>
          <w:trHeight w:val="155"/>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July 28, 2015</w:t>
            </w:r>
          </w:p>
        </w:tc>
        <w:tc>
          <w:tcPr>
            <w:tcW w:w="202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Aug 18, 2015</w:t>
            </w:r>
          </w:p>
        </w:tc>
      </w:tr>
      <w:tr>
        <w:trPr>
          <w:trHeight w:val="369"/>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159"/>
          </w:cols>
          <w:pgMar w:left="300" w:top="354" w:right="1440" w:bottom="1440" w:gutter="0" w:footer="0" w:header="0"/>
        </w:sectPr>
      </w:pPr>
    </w:p>
    <w:bookmarkStart w:id="215" w:name="page216"/>
    <w:bookmarkEnd w:id="215"/>
    <w:p>
      <w:pPr>
        <w:ind w:left="10568"/>
        <w:spacing w:after="0"/>
        <w:rPr>
          <w:sz w:val="20"/>
          <w:szCs w:val="20"/>
          <w:color w:val="auto"/>
        </w:rPr>
      </w:pPr>
      <w:r>
        <w:rPr>
          <w:rFonts w:ascii="Times New Roman" w:cs="Times New Roman" w:eastAsia="Times New Roman" w:hAnsi="Times New Roman"/>
          <w:sz w:val="11"/>
          <w:szCs w:val="11"/>
          <w:b w:val="1"/>
          <w:bCs w:val="1"/>
          <w:color w:val="auto"/>
        </w:rPr>
        <w:t>Exhibit 10.112</w:t>
      </w:r>
    </w:p>
    <w:p>
      <w:pPr>
        <w:spacing w:after="0" w:line="180" w:lineRule="exact"/>
        <w:rPr>
          <w:sz w:val="20"/>
          <w:szCs w:val="20"/>
          <w:color w:val="auto"/>
        </w:rPr>
      </w:pPr>
    </w:p>
    <w:p>
      <w:pPr>
        <w:ind w:left="8" w:hanging="8"/>
        <w:spacing w:after="0" w:line="286" w:lineRule="auto"/>
        <w:tabs>
          <w:tab w:leader="none" w:pos="220" w:val="left"/>
        </w:tabs>
        <w:numPr>
          <w:ilvl w:val="0"/>
          <w:numId w:val="2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AMD_00173884.0</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June 4, 2015</w:t>
      </w:r>
    </w:p>
    <w:p>
      <w:pPr>
        <w:spacing w:after="0" w:line="168" w:lineRule="exact"/>
        <w:rPr>
          <w:sz w:val="20"/>
          <w:szCs w:val="20"/>
          <w:color w:val="auto"/>
        </w:rPr>
      </w:pPr>
    </w:p>
    <w:p>
      <w:pPr>
        <w:ind w:left="8" w:right="40"/>
        <w:spacing w:after="0" w:line="265" w:lineRule="auto"/>
        <w:rPr>
          <w:sz w:val="20"/>
          <w:szCs w:val="20"/>
          <w:color w:val="auto"/>
        </w:rPr>
      </w:pPr>
      <w:r>
        <w:rPr>
          <w:rFonts w:ascii="Times New Roman" w:cs="Times New Roman" w:eastAsia="Times New Roman" w:hAnsi="Times New Roman"/>
          <w:sz w:val="12"/>
          <w:szCs w:val="12"/>
          <w:color w:val="auto"/>
        </w:rPr>
        <w:t>AMENDMENT to the Index License Agreement for Funds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dated as of March 18, 2000,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(formerly known as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xml:space="preserve">”), as previously amended. Capitalized terms used but not defined herein shall have the meanings ascribed to them in the Agreement or the November 6 Amendment (defined below), as the case </w:t>
      </w:r>
      <w:r>
        <w:rPr>
          <w:rFonts w:ascii="Times New Roman" w:cs="Times New Roman" w:eastAsia="Times New Roman" w:hAnsi="Times New Roman"/>
          <w:sz w:val="12"/>
          <w:szCs w:val="12"/>
          <w:i w:val="1"/>
          <w:iCs w:val="1"/>
          <w:color w:val="auto"/>
        </w:rPr>
        <w:t>may</w:t>
      </w:r>
      <w:r>
        <w:rPr>
          <w:rFonts w:ascii="Times New Roman" w:cs="Times New Roman" w:eastAsia="Times New Roman" w:hAnsi="Times New Roman"/>
          <w:sz w:val="12"/>
          <w:szCs w:val="12"/>
          <w:color w:val="auto"/>
        </w:rPr>
        <w:t xml:space="preserve"> be.</w:t>
      </w:r>
    </w:p>
    <w:p>
      <w:pPr>
        <w:spacing w:after="0" w:line="137"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WHEREAS, MSCI previously granted Licensee the right to use the MSCI indexes identified below as the basis for the Licensee funds identified below in the United States in accordance with the terms of the Amendment (MSCI reference # AMD_00083357.0) between the parties dated November 6, 2012 (the “</w:t>
      </w:r>
      <w:r>
        <w:rPr>
          <w:rFonts w:ascii="Times New Roman" w:cs="Times New Roman" w:eastAsia="Times New Roman" w:hAnsi="Times New Roman"/>
          <w:sz w:val="12"/>
          <w:szCs w:val="12"/>
          <w:u w:val="single" w:color="auto"/>
          <w:color w:val="auto"/>
        </w:rPr>
        <w:t>November 6 Amendment</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ind w:left="848" w:hanging="425"/>
        <w:spacing w:after="0"/>
        <w:tabs>
          <w:tab w:leader="none" w:pos="848" w:val="left"/>
        </w:tabs>
        <w:numPr>
          <w:ilvl w:val="0"/>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Core MSCI Total International Stock ETF which seeks to track the investment results of the MSCI ACWI ex USA IMI Index</w:t>
      </w:r>
    </w:p>
    <w:p>
      <w:pPr>
        <w:spacing w:after="0" w:line="8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Core MSCI EAFE ETF which seeks to track the investment results of the MSCI EAFE IMI Index</w:t>
      </w:r>
    </w:p>
    <w:p>
      <w:pPr>
        <w:spacing w:after="0" w:line="8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Core MSCI Emerging Markets ETF which seeks to track the investment results of the MSCI Emerging Markets IMI Index</w:t>
      </w:r>
    </w:p>
    <w:p>
      <w:pPr>
        <w:spacing w:after="0" w:line="1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term “Fund” as used herein shall have the meaning ascribed to it in the November 6 Amendment.)</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WHEREAS, the parties wish to further amend the Agreement to allow for the cross-listing of each Fund identified above, as set forth below.</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NOW, THEREFORE, for good and valuable consideration, the receipt and sufficiency of which is hereby acknowledged, the parties hereto agree as follows:</w:t>
      </w:r>
    </w:p>
    <w:p>
      <w:pPr>
        <w:spacing w:after="0" w:line="168" w:lineRule="exact"/>
        <w:rPr>
          <w:sz w:val="20"/>
          <w:szCs w:val="20"/>
          <w:color w:val="auto"/>
        </w:rPr>
      </w:pPr>
    </w:p>
    <w:p>
      <w:pPr>
        <w:ind w:left="428" w:right="180" w:hanging="428"/>
        <w:spacing w:after="0" w:line="255" w:lineRule="auto"/>
        <w:tabs>
          <w:tab w:leader="none" w:pos="428"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March 12, 2013, Exhibit B of the Agreement is amended to allow each Fund identified above to be listed and traded on the Mexican Stock Exchange (Bolsa Mexicana de Valores) after such Fund is listed on a United States exchange. Each Fund listed in Mexico must be issued, sold and traded on a public basis in accordance with applicable Mexican securities law. All other terms and restrictions contained in Exhibit B of the Agreement shall apply to each Fund listed in Mexico. For the avoidance of doubt, the *********** attributable to the listing in Mexico shall be included in the total ***********, and the *********** set forth in the November 6 Amendment shall apply with respect to the combined ********************************************. For clarity, there shall be *************************************</w:t>
      </w:r>
    </w:p>
    <w:p>
      <w:pPr>
        <w:ind w:left="428" w:right="60"/>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Notwithstanding anything to the contrary, but in addition to any other information that Licensee may be required to report to MSCI, Licensee shall, upon MSCI’ s written request from time to time, provide a written report showing the ******************************************* (i) Mexican domiciled stock or security exchanges and (ii) United States domiciled stock or security exchanges.</w:t>
      </w:r>
    </w:p>
    <w:p>
      <w:pPr>
        <w:spacing w:after="0" w:line="143" w:lineRule="exact"/>
        <w:rPr>
          <w:rFonts w:ascii="Times New Roman" w:cs="Times New Roman" w:eastAsia="Times New Roman" w:hAnsi="Times New Roman"/>
          <w:sz w:val="12"/>
          <w:szCs w:val="12"/>
          <w:color w:val="auto"/>
        </w:rPr>
      </w:pPr>
    </w:p>
    <w:p>
      <w:pPr>
        <w:ind w:left="428" w:right="20" w:hanging="428"/>
        <w:spacing w:after="0" w:line="265" w:lineRule="auto"/>
        <w:tabs>
          <w:tab w:leader="none" w:pos="428"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13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200" w:lineRule="exact"/>
        <w:rPr>
          <w:sz w:val="20"/>
          <w:szCs w:val="20"/>
          <w:color w:val="auto"/>
        </w:rPr>
      </w:pPr>
    </w:p>
    <w:p>
      <w:pPr>
        <w:spacing w:after="0" w:line="2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89470"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AMD_00173884.0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MSCI Inc.</w:t>
            </w:r>
          </w:p>
        </w:tc>
      </w:tr>
      <w:tr>
        <w:trPr>
          <w:trHeight w:val="288"/>
        </w:trPr>
        <w:tc>
          <w:tcPr>
            <w:tcW w:w="6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 /s/ Manish Mehta</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By: /s/ Alex Gil</w:t>
            </w:r>
          </w:p>
        </w:tc>
      </w:tr>
      <w:tr>
        <w:trPr>
          <w:trHeight w:val="122"/>
        </w:trPr>
        <w:tc>
          <w:tcPr>
            <w:tcW w:w="50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 Manish Mehta</w:t>
            </w:r>
          </w:p>
        </w:tc>
        <w:tc>
          <w:tcPr>
            <w:tcW w:w="1140" w:type="dxa"/>
            <w:vAlign w:val="bottom"/>
          </w:tcPr>
          <w:p>
            <w:pPr>
              <w:spacing w:after="0"/>
              <w:rPr>
                <w:sz w:val="10"/>
                <w:szCs w:val="10"/>
                <w:color w:val="auto"/>
              </w:rPr>
            </w:pPr>
          </w:p>
        </w:tc>
        <w:tc>
          <w:tcPr>
            <w:tcW w:w="50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 Alex Gil</w:t>
            </w:r>
          </w:p>
        </w:tc>
      </w:tr>
      <w:tr>
        <w:trPr>
          <w:trHeight w:val="144"/>
        </w:trPr>
        <w:tc>
          <w:tcPr>
            <w:tcW w:w="6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(printed)</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(printed)</w:t>
            </w:r>
          </w:p>
        </w:tc>
      </w:tr>
      <w:tr>
        <w:trPr>
          <w:trHeight w:val="155"/>
        </w:trPr>
        <w:tc>
          <w:tcPr>
            <w:tcW w:w="6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Managing Director</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Title: Executive Director</w:t>
            </w:r>
          </w:p>
        </w:tc>
      </w:tr>
    </w:tbl>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0"/>
          </w:cols>
          <w:pgMar w:left="300" w:top="273" w:right="299" w:bottom="1440" w:gutter="0" w:footer="0" w:header="0"/>
        </w:sectPr>
      </w:pPr>
    </w:p>
    <w:bookmarkStart w:id="217" w:name="page218"/>
    <w:bookmarkEnd w:id="217"/>
    <w:p>
      <w:pPr>
        <w:ind w:left="10608"/>
        <w:spacing w:after="0"/>
        <w:rPr>
          <w:sz w:val="20"/>
          <w:szCs w:val="20"/>
          <w:color w:val="auto"/>
        </w:rPr>
      </w:pPr>
      <w:r>
        <w:rPr>
          <w:rFonts w:ascii="Times New Roman" w:cs="Times New Roman" w:eastAsia="Times New Roman" w:hAnsi="Times New Roman"/>
          <w:sz w:val="11"/>
          <w:szCs w:val="11"/>
          <w:b w:val="1"/>
          <w:bCs w:val="1"/>
          <w:color w:val="auto"/>
        </w:rPr>
        <w:t>Exhibit 10.113</w:t>
      </w:r>
    </w:p>
    <w:p>
      <w:pPr>
        <w:spacing w:after="0" w:line="144" w:lineRule="exact"/>
        <w:rPr>
          <w:sz w:val="20"/>
          <w:szCs w:val="20"/>
          <w:color w:val="auto"/>
        </w:rPr>
      </w:pPr>
    </w:p>
    <w:p>
      <w:pPr>
        <w:ind w:left="8" w:hanging="8"/>
        <w:spacing w:after="0" w:line="299" w:lineRule="auto"/>
        <w:tabs>
          <w:tab w:leader="none" w:pos="235" w:val="left"/>
        </w:tabs>
        <w:numPr>
          <w:ilvl w:val="0"/>
          <w:numId w:val="28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A.N.: 130339</w:t>
      </w:r>
    </w:p>
    <w:p>
      <w:pPr>
        <w:spacing w:after="0" w:line="21" w:lineRule="exact"/>
        <w:rPr>
          <w:sz w:val="20"/>
          <w:szCs w:val="20"/>
          <w:color w:val="auto"/>
        </w:rPr>
      </w:pPr>
    </w:p>
    <w:p>
      <w:pPr>
        <w:ind w:left="10448"/>
        <w:spacing w:after="0"/>
        <w:rPr>
          <w:sz w:val="20"/>
          <w:szCs w:val="20"/>
          <w:color w:val="auto"/>
        </w:rPr>
      </w:pPr>
      <w:r>
        <w:rPr>
          <w:rFonts w:ascii="Times New Roman" w:cs="Times New Roman" w:eastAsia="Times New Roman" w:hAnsi="Times New Roman"/>
          <w:sz w:val="11"/>
          <w:szCs w:val="11"/>
          <w:color w:val="auto"/>
        </w:rPr>
        <w:t>AMD_00173882.0</w:t>
      </w:r>
    </w:p>
    <w:p>
      <w:pPr>
        <w:spacing w:after="0" w:line="2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AMENDMENT</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of Amendment: June 4, 2015</w:t>
      </w:r>
    </w:p>
    <w:p>
      <w:pPr>
        <w:spacing w:after="0" w:line="153" w:lineRule="exact"/>
        <w:rPr>
          <w:sz w:val="20"/>
          <w:szCs w:val="20"/>
          <w:color w:val="auto"/>
        </w:rPr>
      </w:pPr>
    </w:p>
    <w:p>
      <w:pPr>
        <w:ind w:left="8" w:right="240"/>
        <w:spacing w:after="0" w:line="276" w:lineRule="auto"/>
        <w:rPr>
          <w:sz w:val="20"/>
          <w:szCs w:val="20"/>
          <w:color w:val="auto"/>
        </w:rPr>
      </w:pPr>
      <w:r>
        <w:rPr>
          <w:rFonts w:ascii="Times New Roman" w:cs="Times New Roman" w:eastAsia="Times New Roman" w:hAnsi="Times New Roman"/>
          <w:sz w:val="11"/>
          <w:szCs w:val="11"/>
          <w:color w:val="auto"/>
        </w:rPr>
        <w:t>AMENDMENT to the Index License Agreement for Funds (the “Ag</w:t>
      </w:r>
      <w:r>
        <w:rPr>
          <w:rFonts w:ascii="Times New Roman" w:cs="Times New Roman" w:eastAsia="Times New Roman" w:hAnsi="Times New Roman"/>
          <w:sz w:val="11"/>
          <w:szCs w:val="11"/>
          <w:u w:val="single" w:color="auto"/>
          <w:color w:val="auto"/>
        </w:rPr>
        <w:t>reement</w:t>
      </w:r>
      <w:r>
        <w:rPr>
          <w:rFonts w:ascii="Times New Roman" w:cs="Times New Roman" w:eastAsia="Times New Roman" w:hAnsi="Times New Roman"/>
          <w:sz w:val="11"/>
          <w:szCs w:val="11"/>
          <w:color w:val="auto"/>
        </w:rPr>
        <w:t>”), dated as of March 18, 2000, by and between MSCI Inc. (formerly known as Morgan Stanley Capital International Inc.) (“MSCI”) and BlackRock Fund Advisors, a California corporation (formerly known as Barclays Global Investors, NA.) (“Licensee”), as previously amended. Capitalized terms used but not defined herein shall have the meanings ascribed to them in the Agreement or the ******************** (defined below), as the case may be.</w:t>
      </w:r>
    </w:p>
    <w:p>
      <w:pPr>
        <w:spacing w:after="0" w:line="113" w:lineRule="exact"/>
        <w:rPr>
          <w:sz w:val="20"/>
          <w:szCs w:val="20"/>
          <w:color w:val="auto"/>
        </w:rPr>
      </w:pPr>
    </w:p>
    <w:p>
      <w:pPr>
        <w:ind w:left="8" w:right="780"/>
        <w:spacing w:after="0" w:line="276" w:lineRule="auto"/>
        <w:rPr>
          <w:sz w:val="20"/>
          <w:szCs w:val="20"/>
          <w:color w:val="auto"/>
        </w:rPr>
      </w:pPr>
      <w:r>
        <w:rPr>
          <w:rFonts w:ascii="Times New Roman" w:cs="Times New Roman" w:eastAsia="Times New Roman" w:hAnsi="Times New Roman"/>
          <w:sz w:val="11"/>
          <w:szCs w:val="11"/>
          <w:color w:val="auto"/>
        </w:rPr>
        <w:t>WHEREAS, MSCI previously granted Licensee the right to use the MSCI indexes identified below as the basis for the Licensee funds identified below in the United States in accordance with the terms of (i) ******************* ************************** between the parties dated ******************************************** *********************** and (ii) that certain Amendment **************************************** ******************** between the parties dated **************:</w:t>
      </w:r>
    </w:p>
    <w:p>
      <w:pPr>
        <w:spacing w:after="0" w:line="113" w:lineRule="exact"/>
        <w:rPr>
          <w:sz w:val="20"/>
          <w:szCs w:val="20"/>
          <w:color w:val="auto"/>
        </w:rPr>
      </w:pPr>
    </w:p>
    <w:p>
      <w:pPr>
        <w:ind w:left="828" w:hanging="414"/>
        <w:spacing w:after="0"/>
        <w:tabs>
          <w:tab w:leader="none" w:pos="828" w:val="left"/>
        </w:tabs>
        <w:numPr>
          <w:ilvl w:val="0"/>
          <w:numId w:val="28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Core MSCI Europe ETF which seeks to track the investment results of the MSCI Europe Investable Market Index (IMI)</w:t>
      </w:r>
    </w:p>
    <w:p>
      <w:pPr>
        <w:spacing w:after="0" w:line="152" w:lineRule="exact"/>
        <w:rPr>
          <w:rFonts w:ascii="Times New Roman" w:cs="Times New Roman" w:eastAsia="Times New Roman" w:hAnsi="Times New Roman"/>
          <w:sz w:val="11"/>
          <w:szCs w:val="11"/>
          <w:color w:val="auto"/>
        </w:rPr>
      </w:pPr>
    </w:p>
    <w:p>
      <w:pPr>
        <w:ind w:left="428" w:right="4640" w:hanging="14"/>
        <w:spacing w:after="0" w:line="503" w:lineRule="auto"/>
        <w:tabs>
          <w:tab w:leader="none" w:pos="833" w:val="left"/>
        </w:tabs>
        <w:numPr>
          <w:ilvl w:val="0"/>
          <w:numId w:val="28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iShares Core MSCI Pacific ETF, which seeks to track the investment results of the MSCI Pacific Investable Market Index (IMI) (The term “Fund” as used herein shall have the meaning ascribed to it in the ********************.)</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WHEREAS, the parties wish to further amend the Agreement to allow for the cross-listing of each Fund identified above, as set forth below.</w:t>
      </w:r>
    </w:p>
    <w:p>
      <w:pPr>
        <w:spacing w:after="0" w:line="1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NOW, THEREFORE, for good and valuable consideration, the receipt and sufficiency of which is hereby acknowledged, the parties hereto agree as follows:</w:t>
      </w:r>
    </w:p>
    <w:p>
      <w:pPr>
        <w:spacing w:after="0" w:line="144" w:lineRule="exact"/>
        <w:rPr>
          <w:sz w:val="20"/>
          <w:szCs w:val="20"/>
          <w:color w:val="auto"/>
        </w:rPr>
      </w:pPr>
    </w:p>
    <w:p>
      <w:pPr>
        <w:ind w:left="8" w:right="120" w:hanging="8"/>
        <w:spacing w:after="0" w:line="263" w:lineRule="auto"/>
        <w:tabs>
          <w:tab w:leader="none" w:pos="525" w:val="left"/>
        </w:tabs>
        <w:numPr>
          <w:ilvl w:val="0"/>
          <w:numId w:val="29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B of the Agreement is hereby amended to allow each Fund identified above to be listed and traded on the Mexican Stock Exchange (Bolsa Mexicana de Valores) after such Fund is listed on a United States exchange. Each Fund listed in Mexico must be issued, sold and traded on a public basis in accordance with applicable Mexican securities law. All other terms and restrictions contained in Exhibit B of the Agreement shall apply to each Fund listed in Mexico. For the avoidance of doubt, the *************************** attributable to the listing in Mexico shall be included in the total ***************, and the ************ set forth in the ********** Amendment</w:t>
      </w:r>
    </w:p>
    <w:p>
      <w:pPr>
        <w:spacing w:after="0" w:line="1" w:lineRule="exact"/>
        <w:rPr>
          <w:sz w:val="20"/>
          <w:szCs w:val="20"/>
          <w:color w:val="auto"/>
        </w:rPr>
      </w:pPr>
    </w:p>
    <w:p>
      <w:pPr>
        <w:ind w:left="8"/>
        <w:spacing w:after="0"/>
        <w:tabs>
          <w:tab w:leader="none" w:pos="928" w:val="left"/>
        </w:tabs>
        <w:rPr>
          <w:sz w:val="20"/>
          <w:szCs w:val="20"/>
          <w:color w:val="auto"/>
        </w:rPr>
      </w:pPr>
      <w:r>
        <w:rPr>
          <w:rFonts w:ascii="Times New Roman" w:cs="Times New Roman" w:eastAsia="Times New Roman" w:hAnsi="Times New Roman"/>
          <w:sz w:val="11"/>
          <w:szCs w:val="11"/>
          <w:color w:val="auto"/>
        </w:rPr>
        <w:t>shall apply</w:t>
      </w:r>
      <w:r>
        <w:rPr>
          <w:sz w:val="20"/>
          <w:szCs w:val="20"/>
          <w:color w:val="auto"/>
        </w:rPr>
        <w:tab/>
      </w:r>
      <w:r>
        <w:rPr>
          <w:rFonts w:ascii="Times New Roman" w:cs="Times New Roman" w:eastAsia="Times New Roman" w:hAnsi="Times New Roman"/>
          <w:sz w:val="11"/>
          <w:szCs w:val="11"/>
          <w:color w:val="auto"/>
        </w:rPr>
        <w:t>withrespecttothe***********************************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For clarity, there shall be</w:t>
      </w:r>
    </w:p>
    <w:p>
      <w:pPr>
        <w:spacing w:after="0" w:line="9" w:lineRule="exact"/>
        <w:rPr>
          <w:sz w:val="20"/>
          <w:szCs w:val="20"/>
          <w:color w:val="auto"/>
        </w:rPr>
      </w:pPr>
    </w:p>
    <w:p>
      <w:pPr>
        <w:ind w:left="8"/>
        <w:spacing w:after="0"/>
        <w:tabs>
          <w:tab w:leader="none" w:pos="1828" w:val="left"/>
          <w:tab w:leader="none" w:pos="2628" w:val="left"/>
          <w:tab w:leader="none" w:pos="3308" w:val="left"/>
          <w:tab w:leader="none" w:pos="4028" w:val="left"/>
          <w:tab w:leader="none" w:pos="4568" w:val="left"/>
          <w:tab w:leader="none" w:pos="5388" w:val="left"/>
          <w:tab w:leader="none" w:pos="6108" w:val="left"/>
          <w:tab w:leader="none" w:pos="7308"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for any</w:t>
      </w:r>
      <w:r>
        <w:rPr>
          <w:sz w:val="20"/>
          <w:szCs w:val="20"/>
          <w:color w:val="auto"/>
        </w:rPr>
        <w:tab/>
      </w:r>
      <w:r>
        <w:rPr>
          <w:rFonts w:ascii="Times New Roman" w:cs="Times New Roman" w:eastAsia="Times New Roman" w:hAnsi="Times New Roman"/>
          <w:sz w:val="11"/>
          <w:szCs w:val="11"/>
          <w:color w:val="auto"/>
        </w:rPr>
        <w:t>Fund</w:t>
      </w:r>
      <w:r>
        <w:rPr>
          <w:sz w:val="20"/>
          <w:szCs w:val="20"/>
          <w:color w:val="auto"/>
        </w:rPr>
        <w:tab/>
      </w:r>
      <w:r>
        <w:rPr>
          <w:rFonts w:ascii="Times New Roman" w:cs="Times New Roman" w:eastAsia="Times New Roman" w:hAnsi="Times New Roman"/>
          <w:sz w:val="11"/>
          <w:szCs w:val="11"/>
          <w:color w:val="auto"/>
        </w:rPr>
        <w:t>listed</w:t>
      </w:r>
      <w:r>
        <w:rPr>
          <w:sz w:val="20"/>
          <w:szCs w:val="20"/>
          <w:color w:val="auto"/>
        </w:rPr>
        <w:tab/>
      </w:r>
      <w:r>
        <w:rPr>
          <w:rFonts w:ascii="Times New Roman" w:cs="Times New Roman" w:eastAsia="Times New Roman" w:hAnsi="Times New Roman"/>
          <w:sz w:val="11"/>
          <w:szCs w:val="11"/>
          <w:color w:val="auto"/>
        </w:rPr>
        <w:t>in</w:t>
      </w:r>
      <w:r>
        <w:rPr>
          <w:sz w:val="20"/>
          <w:szCs w:val="20"/>
          <w:color w:val="auto"/>
        </w:rPr>
        <w:tab/>
      </w:r>
      <w:r>
        <w:rPr>
          <w:rFonts w:ascii="Times New Roman" w:cs="Times New Roman" w:eastAsia="Times New Roman" w:hAnsi="Times New Roman"/>
          <w:sz w:val="11"/>
          <w:szCs w:val="11"/>
          <w:color w:val="auto"/>
        </w:rPr>
        <w:t>Mexico</w:t>
      </w:r>
      <w:r>
        <w:rPr>
          <w:sz w:val="20"/>
          <w:szCs w:val="20"/>
          <w:color w:val="auto"/>
        </w:rPr>
        <w:tab/>
      </w:r>
      <w:r>
        <w:rPr>
          <w:rFonts w:ascii="Times New Roman" w:cs="Times New Roman" w:eastAsia="Times New Roman" w:hAnsi="Times New Roman"/>
          <w:sz w:val="11"/>
          <w:szCs w:val="11"/>
          <w:color w:val="auto"/>
        </w:rPr>
        <w:t>under</w:t>
      </w:r>
      <w:r>
        <w:rPr>
          <w:sz w:val="20"/>
          <w:szCs w:val="20"/>
          <w:color w:val="auto"/>
        </w:rPr>
        <w:tab/>
      </w:r>
      <w:r>
        <w:rPr>
          <w:rFonts w:ascii="Times New Roman" w:cs="Times New Roman" w:eastAsia="Times New Roman" w:hAnsi="Times New Roman"/>
          <w:sz w:val="11"/>
          <w:szCs w:val="11"/>
          <w:color w:val="auto"/>
        </w:rPr>
        <w:t>this Amendment</w:t>
      </w:r>
      <w:r>
        <w:rPr>
          <w:sz w:val="20"/>
          <w:szCs w:val="20"/>
          <w:color w:val="auto"/>
        </w:rPr>
        <w:tab/>
      </w:r>
      <w:r>
        <w:rPr>
          <w:rFonts w:ascii="Times New Roman" w:cs="Times New Roman" w:eastAsia="Times New Roman" w:hAnsi="Times New Roman"/>
          <w:sz w:val="11"/>
          <w:szCs w:val="11"/>
          <w:color w:val="auto"/>
        </w:rPr>
        <w:t>since any</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9" w:lineRule="exact"/>
        <w:rPr>
          <w:sz w:val="20"/>
          <w:szCs w:val="20"/>
          <w:color w:val="auto"/>
        </w:rPr>
      </w:pPr>
    </w:p>
    <w:p>
      <w:pPr>
        <w:ind w:left="8" w:right="140"/>
        <w:spacing w:after="0" w:line="264" w:lineRule="auto"/>
        <w:rPr>
          <w:sz w:val="20"/>
          <w:szCs w:val="20"/>
          <w:color w:val="auto"/>
        </w:rPr>
      </w:pPr>
      <w:r>
        <w:rPr>
          <w:rFonts w:ascii="Times New Roman" w:cs="Times New Roman" w:eastAsia="Times New Roman" w:hAnsi="Times New Roman"/>
          <w:sz w:val="11"/>
          <w:szCs w:val="11"/>
          <w:color w:val="auto"/>
        </w:rPr>
        <w:t>****************************************************************************************************************. Notwithstanding anything to the contrary, but in addition to any other information that Licensee may be required to report to MSCI, Licensee shall, upon MSCI' s written request from time to time, provide a written report showing the ******************************************* (i) Mexican domiciled stock or security exchanges and (ii) United States domiciled stock or security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89470"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402" w:right="299" w:bottom="1440" w:gutter="0" w:footer="0" w:header="0"/>
        </w:sectPr>
      </w:pPr>
    </w:p>
    <w:bookmarkStart w:id="218" w:name="page219"/>
    <w:bookmarkEnd w:id="218"/>
    <w:p>
      <w:pPr>
        <w:ind w:left="9780"/>
        <w:spacing w:after="0"/>
        <w:rPr>
          <w:sz w:val="20"/>
          <w:szCs w:val="20"/>
          <w:color w:val="auto"/>
        </w:rPr>
      </w:pPr>
      <w:r>
        <w:rPr>
          <w:rFonts w:ascii="Times New Roman" w:cs="Times New Roman" w:eastAsia="Times New Roman" w:hAnsi="Times New Roman"/>
          <w:sz w:val="11"/>
          <w:szCs w:val="11"/>
          <w:color w:val="auto"/>
        </w:rPr>
        <w:t>A.N.: 130339 AMD_00173882.0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 This Amendment is intended to amend and operate in conjunction with the Agreement and together this Amendment and the Agreement constitute the complete and exclusive statement of the agreement between the parties and supersede</w:t>
      </w:r>
    </w:p>
    <w:p>
      <w:pPr>
        <w:spacing w:after="0" w:line="21"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1"/>
          <w:szCs w:val="11"/>
          <w:color w:val="auto"/>
        </w:rPr>
        <w:t>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 This Amendment shall be governed by, and construed in accordance with, the laws of the State of New York without regard to its conflict or choice of laws principles.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6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LICENSEE: BlackRock Fund Advisors</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MSCI Inc.</w:t>
            </w:r>
          </w:p>
        </w:tc>
      </w:tr>
      <w:tr>
        <w:trPr>
          <w:trHeight w:val="148"/>
        </w:trPr>
        <w:tc>
          <w:tcPr>
            <w:tcW w:w="56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By /s/ Manish Mehta</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By /s/ Alex Gil</w:t>
            </w:r>
          </w:p>
        </w:tc>
      </w:tr>
      <w:tr>
        <w:trPr>
          <w:trHeight w:val="111"/>
        </w:trPr>
        <w:tc>
          <w:tcPr>
            <w:tcW w:w="554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rPr>
              <w:t>Name (printed) Manish Mehta</w:t>
            </w:r>
          </w:p>
        </w:tc>
        <w:tc>
          <w:tcPr>
            <w:tcW w:w="100" w:type="dxa"/>
            <w:vAlign w:val="bottom"/>
          </w:tcPr>
          <w:p>
            <w:pPr>
              <w:spacing w:after="0"/>
              <w:rPr>
                <w:sz w:val="9"/>
                <w:szCs w:val="9"/>
                <w:color w:val="auto"/>
              </w:rPr>
            </w:pPr>
          </w:p>
        </w:tc>
        <w:tc>
          <w:tcPr>
            <w:tcW w:w="566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Name (printed) Alex Gil</w:t>
            </w:r>
          </w:p>
        </w:tc>
      </w:tr>
      <w:tr>
        <w:trPr>
          <w:trHeight w:val="148"/>
        </w:trPr>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Managing Director</w:t>
            </w:r>
          </w:p>
        </w:tc>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Title   Executive Director</w:t>
            </w: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300"/>
          </w:cols>
          <w:pgMar w:left="300" w:top="548" w:right="299" w:bottom="1440" w:gutter="0" w:footer="0" w:header="0"/>
        </w:sectPr>
      </w:pPr>
    </w:p>
    <w:bookmarkStart w:id="219" w:name="page220"/>
    <w:bookmarkEnd w:id="219"/>
    <w:p>
      <w:pPr>
        <w:ind w:left="10568"/>
        <w:spacing w:after="0"/>
        <w:rPr>
          <w:sz w:val="20"/>
          <w:szCs w:val="20"/>
          <w:color w:val="auto"/>
        </w:rPr>
      </w:pPr>
      <w:r>
        <w:rPr>
          <w:rFonts w:ascii="Times New Roman" w:cs="Times New Roman" w:eastAsia="Times New Roman" w:hAnsi="Times New Roman"/>
          <w:sz w:val="11"/>
          <w:szCs w:val="11"/>
          <w:b w:val="1"/>
          <w:bCs w:val="1"/>
          <w:color w:val="auto"/>
        </w:rPr>
        <w:t>Exhibit 10.116</w:t>
      </w:r>
    </w:p>
    <w:p>
      <w:pPr>
        <w:spacing w:after="0" w:line="135" w:lineRule="exact"/>
        <w:rPr>
          <w:sz w:val="20"/>
          <w:szCs w:val="20"/>
          <w:color w:val="auto"/>
        </w:rPr>
      </w:pPr>
    </w:p>
    <w:p>
      <w:pPr>
        <w:ind w:left="8" w:hanging="8"/>
        <w:spacing w:after="0" w:line="286" w:lineRule="auto"/>
        <w:tabs>
          <w:tab w:leader="none" w:pos="220" w:val="left"/>
        </w:tabs>
        <w:numPr>
          <w:ilvl w:val="0"/>
          <w:numId w:val="2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AMD_00175670.0</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Effective Date as of August 1, 2015</w:t>
      </w:r>
    </w:p>
    <w:p>
      <w:pPr>
        <w:spacing w:after="0" w:line="123" w:lineRule="exact"/>
        <w:rPr>
          <w:sz w:val="20"/>
          <w:szCs w:val="20"/>
          <w:color w:val="auto"/>
        </w:rPr>
      </w:pPr>
    </w:p>
    <w:p>
      <w:pPr>
        <w:ind w:left="8" w:right="200"/>
        <w:spacing w:after="0" w:line="265"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(internal MSCI reference: IXF_00040) dated as of March 18, 2000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avoidance of doubt, the Agreement and this Amendment relate solely to “Funds” which are exchange traded fields (ETFs) listed in the United States.</w:t>
      </w:r>
    </w:p>
    <w:p>
      <w:pPr>
        <w:spacing w:after="0" w:line="123" w:lineRule="exact"/>
        <w:rPr>
          <w:sz w:val="20"/>
          <w:szCs w:val="20"/>
          <w:color w:val="auto"/>
        </w:rPr>
      </w:pPr>
    </w:p>
    <w:p>
      <w:pPr>
        <w:ind w:left="8" w:right="220"/>
        <w:spacing w:after="0" w:line="279" w:lineRule="auto"/>
        <w:rPr>
          <w:sz w:val="20"/>
          <w:szCs w:val="20"/>
          <w:color w:val="auto"/>
        </w:rPr>
      </w:pPr>
      <w:r>
        <w:rPr>
          <w:rFonts w:ascii="Times New Roman" w:cs="Times New Roman" w:eastAsia="Times New Roman" w:hAnsi="Times New Roman"/>
          <w:sz w:val="12"/>
          <w:szCs w:val="12"/>
          <w:color w:val="auto"/>
        </w:rPr>
        <w:t>MSCI and Licensee acknowledge and agree that, notwithstanding anything to the contrary, all *********** applicable to the iShares MSCI USA ETF (which tracks the performance of the MSCI USA Index) are intended to be, and shall at all times be, *********** described in this Amendment which ********************************************.</w:t>
      </w:r>
    </w:p>
    <w:p>
      <w:pPr>
        <w:spacing w:after="0" w:line="84" w:lineRule="exact"/>
        <w:rPr>
          <w:sz w:val="20"/>
          <w:szCs w:val="20"/>
          <w:color w:val="auto"/>
        </w:rPr>
      </w:pPr>
    </w:p>
    <w:p>
      <w:pPr>
        <w:ind w:left="368" w:hanging="368"/>
        <w:spacing w:after="0"/>
        <w:tabs>
          <w:tab w:leader="none" w:pos="368" w:val="left"/>
        </w:tabs>
        <w:numPr>
          <w:ilvl w:val="0"/>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MSCI USA Equal Weighted Index:</w:t>
      </w:r>
    </w:p>
    <w:p>
      <w:pPr>
        <w:spacing w:after="0" w:line="123" w:lineRule="exact"/>
        <w:rPr>
          <w:sz w:val="20"/>
          <w:szCs w:val="20"/>
          <w:color w:val="auto"/>
        </w:rPr>
      </w:pPr>
    </w:p>
    <w:p>
      <w:pPr>
        <w:ind w:left="368" w:right="40" w:hanging="368"/>
        <w:spacing w:after="0" w:line="265" w:lineRule="auto"/>
        <w:tabs>
          <w:tab w:leader="none" w:pos="368"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the Effective Date of this Amendment, and in accordance with the terms of the Agreement, Licensee launched the iShares MSCI USA ETF, which tracks the performance of the MSCI USA Index. On a date to be selected by Licensee following the Effective Date of this Schedule (the “</w:t>
      </w:r>
      <w:r>
        <w:rPr>
          <w:rFonts w:ascii="Times New Roman" w:cs="Times New Roman" w:eastAsia="Times New Roman" w:hAnsi="Times New Roman"/>
          <w:sz w:val="12"/>
          <w:szCs w:val="12"/>
          <w:u w:val="single" w:color="auto"/>
          <w:color w:val="auto"/>
        </w:rPr>
        <w:t>Conversion Date</w:t>
      </w:r>
      <w:r>
        <w:rPr>
          <w:rFonts w:ascii="Times New Roman" w:cs="Times New Roman" w:eastAsia="Times New Roman" w:hAnsi="Times New Roman"/>
          <w:sz w:val="12"/>
          <w:szCs w:val="12"/>
          <w:color w:val="auto"/>
        </w:rPr>
        <w:t>”), Licensee shall cause the iShares MSCI USA ETF to (i) stop tracking the performance of the MSCI USA Index and (ii) begin tracking the performance of the MSCI USA Equal Weighted Index. Commencing on the Conversion Date, the iShares MSCI USA ETF shall be renamed the “iShares MSCI USA Equal Weighted ETF.”</w:t>
      </w:r>
    </w:p>
    <w:p>
      <w:pPr>
        <w:spacing w:after="0" w:line="92" w:lineRule="exact"/>
        <w:rPr>
          <w:sz w:val="20"/>
          <w:szCs w:val="20"/>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On the Conversion Date, the Agreement shall be amended by (i) deleting all references therein to the MSCI USA Index and (ii) adding the MSCI USA Equal Weighted Index to Exhibit A of the Agreement. For the avoidance of doubt, Licensee shall have no right or license to use the MSCI USA Index under the Agreement at any time on or after the Conversion Date.</w:t>
      </w:r>
    </w:p>
    <w:p>
      <w:pPr>
        <w:spacing w:after="0" w:line="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Until to Conversion Date, all *********** for the iShares MSCI USA ETF shall be *********** Section 2(c) of that certain Amendment (internal MSCI reference: AMD_00058142.0) dated as of July 1, 2011 between MSCI and</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Licensee; provided, however, that such ************************************************** Amendment (internal MSCI reference: AMD_00058142.0) dated as of July 1, 2011 between MSCI and Licensee).</w:t>
      </w:r>
    </w:p>
    <w:p>
      <w:pPr>
        <w:spacing w:after="0" w:line="112" w:lineRule="exact"/>
        <w:rPr>
          <w:sz w:val="20"/>
          <w:szCs w:val="20"/>
          <w:color w:val="auto"/>
        </w:rPr>
      </w:pPr>
    </w:p>
    <w:p>
      <w:pPr>
        <w:ind w:left="8" w:right="20"/>
        <w:spacing w:after="0" w:line="273" w:lineRule="auto"/>
        <w:rPr>
          <w:sz w:val="20"/>
          <w:szCs w:val="20"/>
          <w:color w:val="auto"/>
        </w:rPr>
      </w:pPr>
      <w:r>
        <w:rPr>
          <w:rFonts w:ascii="Times New Roman" w:cs="Times New Roman" w:eastAsia="Times New Roman" w:hAnsi="Times New Roman"/>
          <w:sz w:val="12"/>
          <w:szCs w:val="12"/>
          <w:color w:val="auto"/>
        </w:rPr>
        <w:t>Commencing on the Conversion Date, Licensee shall pay MSCI a *********** license fee with respect to Licensee’s use of the MSCI USA Equal Weighted Index as ***********, the iShares MSCI USA Equal Weighted ETF. For the iShares MSCI USA Equal Weighted ETF, the *********** license fee shall be as set forth in the table below, but subject to a *************************** **********************************************.</w:t>
      </w:r>
    </w:p>
    <w:p>
      <w:pPr>
        <w:spacing w:after="0" w:line="235"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8" w:right="4840"/>
        <w:spacing w:after="0" w:line="291" w:lineRule="auto"/>
        <w:rPr>
          <w:sz w:val="20"/>
          <w:szCs w:val="20"/>
          <w:color w:val="auto"/>
        </w:rPr>
      </w:pPr>
      <w:r>
        <w:rPr>
          <w:rFonts w:ascii="Times New Roman" w:cs="Times New Roman" w:eastAsia="Times New Roman" w:hAnsi="Times New Roman"/>
          <w:sz w:val="11"/>
          <w:szCs w:val="11"/>
          <w:color w:val="auto"/>
        </w:rPr>
        <w:t>For the avoidance of doubt, the *********** license fees shall be calculated ***********. For example, ********************** *********************************************************************************************************** ************************************************************************************************************ ****************.</w:t>
      </w:r>
    </w:p>
    <w:p>
      <w:pPr>
        <w:spacing w:after="0" w:line="200" w:lineRule="exact"/>
        <w:rPr>
          <w:sz w:val="20"/>
          <w:szCs w:val="20"/>
          <w:color w:val="auto"/>
        </w:rPr>
      </w:pPr>
    </w:p>
    <w:p>
      <w:pPr>
        <w:spacing w:after="0" w:line="3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9470"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20" w:name="page221"/>
    <w:bookmarkEnd w:id="220"/>
    <w:p>
      <w:pPr>
        <w:ind w:left="10248"/>
        <w:spacing w:after="0"/>
        <w:rPr>
          <w:sz w:val="20"/>
          <w:szCs w:val="20"/>
          <w:color w:val="auto"/>
        </w:rPr>
      </w:pPr>
      <w:r>
        <w:rPr>
          <w:rFonts w:ascii="Times New Roman" w:cs="Times New Roman" w:eastAsia="Times New Roman" w:hAnsi="Times New Roman"/>
          <w:sz w:val="12"/>
          <w:szCs w:val="12"/>
          <w:b w:val="1"/>
          <w:bCs w:val="1"/>
          <w:color w:val="auto"/>
        </w:rPr>
        <w:t>AMD_ 00175670.0</w:t>
      </w:r>
    </w:p>
    <w:p>
      <w:pPr>
        <w:spacing w:after="0" w:line="123" w:lineRule="exact"/>
        <w:rPr>
          <w:sz w:val="20"/>
          <w:szCs w:val="20"/>
          <w:color w:val="auto"/>
        </w:rPr>
      </w:pPr>
    </w:p>
    <w:p>
      <w:pPr>
        <w:ind w:left="368" w:right="360" w:hanging="368"/>
        <w:spacing w:after="0" w:line="281" w:lineRule="auto"/>
        <w:tabs>
          <w:tab w:leader="none" w:pos="368"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xml:space="preserve">: As used herein, the following terms shall have the meanings set forth below: </w:t>
      </w:r>
      <w:r>
        <w:rPr>
          <w:rFonts w:ascii="Times New Roman" w:cs="Times New Roman" w:eastAsia="Times New Roman" w:hAnsi="Times New Roman"/>
          <w:sz w:val="13"/>
          <w:szCs w:val="13"/>
          <w:color w:val="auto"/>
        </w:rPr>
        <w:t>“AUM” means, ***********, the aggregate ********************************* of such Fund during any relevant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3"/>
          <w:szCs w:val="13"/>
          <w:color w:val="auto"/>
        </w:rPr>
        <w:t>period.</w:t>
      </w:r>
    </w:p>
    <w:p>
      <w:pPr>
        <w:spacing w:after="0" w:line="77" w:lineRule="exact"/>
        <w:rPr>
          <w:sz w:val="20"/>
          <w:szCs w:val="20"/>
          <w:color w:val="auto"/>
        </w:rPr>
      </w:pPr>
    </w:p>
    <w:p>
      <w:pPr>
        <w:ind w:left="8" w:right="680"/>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Expense Ratio</w:t>
      </w:r>
      <w:r>
        <w:rPr>
          <w:rFonts w:ascii="Times New Roman" w:cs="Times New Roman" w:eastAsia="Times New Roman" w:hAnsi="Times New Roman"/>
          <w:sz w:val="12"/>
          <w:szCs w:val="12"/>
          <w:color w:val="auto"/>
        </w:rPr>
        <w:t>” means the *********** obtained when dividing ****************************************************** ******************************************************************************. Notwithstanding anything to the contrary, if a Fund *********** or if the Fund’s ********************** or if a Fund’s ***********, then the license fees for such Fund shall be deemed to equal ****************************************************************************** **************.</w:t>
      </w:r>
    </w:p>
    <w:p>
      <w:pPr>
        <w:spacing w:after="0" w:line="241" w:lineRule="exact"/>
        <w:rPr>
          <w:sz w:val="20"/>
          <w:szCs w:val="20"/>
          <w:color w:val="auto"/>
        </w:rPr>
      </w:pPr>
    </w:p>
    <w:p>
      <w:pPr>
        <w:ind w:left="368" w:right="480" w:hanging="368"/>
        <w:spacing w:after="0" w:line="259" w:lineRule="auto"/>
        <w:tabs>
          <w:tab w:leader="none" w:pos="368"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w:t>
      </w:r>
      <w:r>
        <w:rPr>
          <w:rFonts w:ascii="Times New Roman" w:cs="Times New Roman" w:eastAsia="Times New Roman" w:hAnsi="Times New Roman"/>
          <w:sz w:val="12"/>
          <w:szCs w:val="12"/>
          <w:color w:val="auto"/>
        </w:rPr>
        <w:t>: The license fees set forth above shall be *********** to MSCI by the *********** day of the following *********** and shall be accompanied by a statement from Licensee stating that such license fees are accurate. Where necessary, all license fees applicable to any Fund shall be *********************************. Any license fees or other amounts due hereunder that are not timely paid shall</w:t>
      </w:r>
    </w:p>
    <w:p>
      <w:pPr>
        <w:spacing w:after="0" w:line="1" w:lineRule="exact"/>
        <w:rPr>
          <w:rFonts w:ascii="Times New Roman" w:cs="Times New Roman" w:eastAsia="Times New Roman" w:hAnsi="Times New Roman"/>
          <w:sz w:val="12"/>
          <w:szCs w:val="12"/>
          <w:color w:val="auto"/>
        </w:rPr>
      </w:pPr>
    </w:p>
    <w:p>
      <w:pPr>
        <w:ind w:left="3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which ****** shall begin ****** on the relevant due date and shall continue to ******** ************************************.</w:t>
      </w:r>
    </w:p>
    <w:p>
      <w:pPr>
        <w:spacing w:after="0" w:line="112" w:lineRule="exact"/>
        <w:rPr>
          <w:rFonts w:ascii="Times New Roman" w:cs="Times New Roman" w:eastAsia="Times New Roman" w:hAnsi="Times New Roman"/>
          <w:sz w:val="12"/>
          <w:szCs w:val="12"/>
          <w:color w:val="auto"/>
        </w:rPr>
      </w:pPr>
    </w:p>
    <w:p>
      <w:pPr>
        <w:jc w:val="both"/>
        <w:ind w:left="368" w:right="440" w:hanging="368"/>
        <w:spacing w:after="0" w:line="279" w:lineRule="auto"/>
        <w:tabs>
          <w:tab w:leader="none" w:pos="368" w:val="left"/>
        </w:tabs>
        <w:numPr>
          <w:ilvl w:val="0"/>
          <w:numId w:val="29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Records</w:t>
      </w:r>
      <w:r>
        <w:rPr>
          <w:rFonts w:ascii="Times New Roman" w:cs="Times New Roman" w:eastAsia="Times New Roman" w:hAnsi="Times New Roman"/>
          <w:sz w:val="11"/>
          <w:szCs w:val="11"/>
          <w:color w:val="auto"/>
        </w:rPr>
        <w:t>: Licensee shall maintain detailed and accurate records with respect to the ********************** to MSCI hereunder. During the term of the Agreement and for a period of three (3) years after its termination, Licensee shall, upon written request from MSCI, provide MSCI and/or an independent accounting organization chosen and compensated by MSCI with access to such records during normal business hours. Licensee shall promptly ******************************************************* for the period of time during which **********************. If such audit reveals **********************, then Licensee shall also</w:t>
      </w:r>
    </w:p>
    <w:p>
      <w:pPr>
        <w:spacing w:after="0" w:line="1" w:lineRule="exact"/>
        <w:rPr>
          <w:rFonts w:ascii="Times New Roman" w:cs="Times New Roman" w:eastAsia="Times New Roman" w:hAnsi="Times New Roman"/>
          <w:sz w:val="11"/>
          <w:szCs w:val="11"/>
          <w:color w:val="auto"/>
        </w:rPr>
      </w:pPr>
    </w:p>
    <w:p>
      <w:pPr>
        <w:ind w:left="36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w:t>
      </w:r>
    </w:p>
    <w:p>
      <w:pPr>
        <w:spacing w:after="0" w:line="110" w:lineRule="exact"/>
        <w:rPr>
          <w:rFonts w:ascii="Times New Roman" w:cs="Times New Roman" w:eastAsia="Times New Roman" w:hAnsi="Times New Roman"/>
          <w:sz w:val="11"/>
          <w:szCs w:val="11"/>
          <w:color w:val="auto"/>
        </w:rPr>
      </w:pPr>
    </w:p>
    <w:p>
      <w:pPr>
        <w:ind w:left="368" w:hanging="368"/>
        <w:spacing w:after="0"/>
        <w:tabs>
          <w:tab w:leader="none" w:pos="368"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xml:space="preserve"> Licensee shall promptly pay all federal, state and local sales, personal property, ad valorem and other taxes of a similar nature arising as a result of the Agreement, other than taxes based on MSCI’s income.</w:t>
      </w:r>
    </w:p>
    <w:p>
      <w:pPr>
        <w:spacing w:after="0" w:line="123" w:lineRule="exact"/>
        <w:rPr>
          <w:sz w:val="20"/>
          <w:szCs w:val="20"/>
          <w:color w:val="auto"/>
        </w:rPr>
      </w:pPr>
    </w:p>
    <w:p>
      <w:pPr>
        <w:ind w:left="368" w:hanging="368"/>
        <w:spacing w:after="0"/>
        <w:tabs>
          <w:tab w:leader="none" w:pos="368" w:val="left"/>
        </w:tabs>
        <w:numPr>
          <w:ilvl w:val="0"/>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Miscellaneous:</w:t>
      </w:r>
    </w:p>
    <w:p>
      <w:pPr>
        <w:spacing w:after="0" w:line="123" w:lineRule="exact"/>
        <w:rPr>
          <w:sz w:val="20"/>
          <w:szCs w:val="20"/>
          <w:color w:val="auto"/>
        </w:rPr>
      </w:pPr>
    </w:p>
    <w:p>
      <w:pPr>
        <w:ind w:left="368" w:hanging="368"/>
        <w:spacing w:after="0"/>
        <w:tabs>
          <w:tab w:leader="none" w:pos="368"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if the Conversion Date does not occur on or before July 31, 2016, then MSCI may terminate this Amendment in its entirety upon written notice to Licensee — with the effect that</w:t>
      </w:r>
    </w:p>
    <w:p>
      <w:pPr>
        <w:spacing w:after="0" w:line="16" w:lineRule="exact"/>
        <w:rPr>
          <w:rFonts w:ascii="Times New Roman" w:cs="Times New Roman" w:eastAsia="Times New Roman" w:hAnsi="Times New Roman"/>
          <w:sz w:val="12"/>
          <w:szCs w:val="12"/>
          <w:color w:val="auto"/>
        </w:rPr>
      </w:pPr>
    </w:p>
    <w:p>
      <w:pPr>
        <w:ind w:left="3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t>
      </w:r>
    </w:p>
    <w:p>
      <w:pPr>
        <w:spacing w:after="0" w:line="124" w:lineRule="exact"/>
        <w:rPr>
          <w:sz w:val="20"/>
          <w:szCs w:val="20"/>
          <w:color w:val="auto"/>
        </w:rPr>
      </w:pPr>
    </w:p>
    <w:p>
      <w:pPr>
        <w:jc w:val="both"/>
        <w:ind w:left="368" w:right="100" w:hanging="368"/>
        <w:spacing w:after="0" w:line="260" w:lineRule="auto"/>
        <w:tabs>
          <w:tab w:leader="none" w:pos="368"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In the event of any conflict or inconsistency between this Amendment and the Agreement (or any other amendment to the Agreement), this Amendment shall control. No right or license of any kind of granted to Licensee except as expressly provided in the Agreement and this Amendment. This Amendment shall be governed by, and construed in accordance with, the laws of the State of New York without regard to its conflict of laws principles.</w:t>
      </w:r>
    </w:p>
    <w:p>
      <w:pPr>
        <w:spacing w:after="0" w:line="200" w:lineRule="exact"/>
        <w:rPr>
          <w:sz w:val="20"/>
          <w:szCs w:val="20"/>
          <w:color w:val="auto"/>
        </w:rPr>
      </w:pPr>
    </w:p>
    <w:p>
      <w:pPr>
        <w:spacing w:after="0" w:line="363"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9470" cy="11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68"/>
          </w:cols>
          <w:pgMar w:left="292" w:top="494" w:right="239" w:bottom="1440" w:gutter="0" w:footer="0" w:header="0"/>
        </w:sectPr>
      </w:pPr>
    </w:p>
    <w:bookmarkStart w:id="221" w:name="page222"/>
    <w:bookmarkEnd w:id="221"/>
    <w:p>
      <w:pPr>
        <w:ind w:left="10240"/>
        <w:spacing w:after="0"/>
        <w:rPr>
          <w:sz w:val="20"/>
          <w:szCs w:val="20"/>
          <w:color w:val="auto"/>
        </w:rPr>
      </w:pPr>
      <w:r>
        <w:rPr>
          <w:rFonts w:ascii="Times New Roman" w:cs="Times New Roman" w:eastAsia="Times New Roman" w:hAnsi="Times New Roman"/>
          <w:sz w:val="12"/>
          <w:szCs w:val="12"/>
          <w:b w:val="1"/>
          <w:bCs w:val="1"/>
          <w:color w:val="auto"/>
        </w:rPr>
        <w:t>AMD_ 00175670.0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ACCEPTED AND AGREED:</w:t>
            </w:r>
          </w:p>
        </w:tc>
        <w:tc>
          <w:tcPr>
            <w:tcW w:w="720" w:type="dxa"/>
            <w:vAlign w:val="bottom"/>
          </w:tcPr>
          <w:p>
            <w:pPr>
              <w:spacing w:after="0"/>
              <w:rPr>
                <w:sz w:val="13"/>
                <w:szCs w:val="13"/>
                <w:color w:val="auto"/>
              </w:rPr>
            </w:pPr>
          </w:p>
        </w:tc>
        <w:tc>
          <w:tcPr>
            <w:tcW w:w="5080" w:type="dxa"/>
            <w:vAlign w:val="bottom"/>
          </w:tcPr>
          <w:p>
            <w:pPr>
              <w:spacing w:after="0"/>
              <w:rPr>
                <w:sz w:val="13"/>
                <w:szCs w:val="13"/>
                <w:color w:val="auto"/>
              </w:rPr>
            </w:pPr>
          </w:p>
        </w:tc>
      </w:tr>
      <w:tr>
        <w:trPr>
          <w:trHeight w:val="172"/>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MSCI Inc.</w:t>
            </w:r>
          </w:p>
        </w:tc>
        <w:tc>
          <w:tcPr>
            <w:tcW w:w="4820" w:type="dxa"/>
            <w:vAlign w:val="bottom"/>
          </w:tcPr>
          <w:p>
            <w:pPr>
              <w:spacing w:after="0"/>
              <w:rPr>
                <w:sz w:val="14"/>
                <w:szCs w:val="14"/>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BlackRock Fund Advisors</w:t>
            </w:r>
          </w:p>
        </w:tc>
      </w:tr>
      <w:tr>
        <w:trPr>
          <w:trHeight w:val="293"/>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Alex Gil</w:t>
            </w: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Manish Mehta</w:t>
            </w:r>
          </w:p>
        </w:tc>
      </w:tr>
      <w:tr>
        <w:trPr>
          <w:trHeight w:val="127"/>
        </w:trPr>
        <w:tc>
          <w:tcPr>
            <w:tcW w:w="6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48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Alex Gil</w:t>
            </w:r>
          </w:p>
        </w:tc>
        <w:tc>
          <w:tcPr>
            <w:tcW w:w="72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Manish Mehta</w:t>
            </w:r>
          </w:p>
        </w:tc>
      </w:tr>
      <w:tr>
        <w:trPr>
          <w:trHeight w:val="172"/>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Managing Director</w:t>
            </w:r>
          </w:p>
        </w:tc>
      </w:tr>
      <w:tr>
        <w:trPr>
          <w:trHeight w:val="572"/>
        </w:trPr>
        <w:tc>
          <w:tcPr>
            <w:tcW w:w="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3/3</w:t>
            </w:r>
          </w:p>
        </w:tc>
        <w:tc>
          <w:tcPr>
            <w:tcW w:w="5080" w:type="dxa"/>
            <w:vAlign w:val="bottom"/>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222" w:name="page223"/>
    <w:bookmarkEnd w:id="222"/>
    <w:p>
      <w:pPr>
        <w:ind w:left="10568"/>
        <w:spacing w:after="0"/>
        <w:rPr>
          <w:sz w:val="20"/>
          <w:szCs w:val="20"/>
          <w:color w:val="auto"/>
        </w:rPr>
      </w:pPr>
      <w:r>
        <w:rPr>
          <w:rFonts w:ascii="Times New Roman" w:cs="Times New Roman" w:eastAsia="Times New Roman" w:hAnsi="Times New Roman"/>
          <w:sz w:val="11"/>
          <w:szCs w:val="11"/>
          <w:b w:val="1"/>
          <w:bCs w:val="1"/>
          <w:color w:val="auto"/>
        </w:rPr>
        <w:t>Exhibit 10.117</w:t>
      </w:r>
    </w:p>
    <w:p>
      <w:pPr>
        <w:spacing w:after="0" w:line="126" w:lineRule="exact"/>
        <w:rPr>
          <w:sz w:val="20"/>
          <w:szCs w:val="20"/>
          <w:color w:val="auto"/>
        </w:rPr>
      </w:pPr>
    </w:p>
    <w:p>
      <w:pPr>
        <w:ind w:left="8" w:right="60" w:hanging="8"/>
        <w:spacing w:after="0" w:line="263" w:lineRule="auto"/>
        <w:tabs>
          <w:tab w:leader="none" w:pos="218" w:val="left"/>
        </w:tabs>
        <w:numPr>
          <w:ilvl w:val="0"/>
          <w:numId w:val="29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ind w:left="10668"/>
        <w:spacing w:after="0"/>
        <w:rPr>
          <w:sz w:val="20"/>
          <w:szCs w:val="20"/>
          <w:color w:val="auto"/>
        </w:rPr>
      </w:pPr>
      <w:r>
        <w:rPr>
          <w:rFonts w:ascii="Times New Roman" w:cs="Times New Roman" w:eastAsia="Times New Roman" w:hAnsi="Times New Roman"/>
          <w:sz w:val="12"/>
          <w:szCs w:val="12"/>
          <w:color w:val="auto"/>
        </w:rPr>
        <w:t>A.N.:130339</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AMD_00178568.0</w:t>
      </w:r>
    </w:p>
    <w:p>
      <w:pPr>
        <w:spacing w:after="0" w:line="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45"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Date of Amendment: August 3, 2015</w:t>
      </w:r>
    </w:p>
    <w:p>
      <w:pPr>
        <w:spacing w:after="0" w:line="150" w:lineRule="exact"/>
        <w:rPr>
          <w:sz w:val="20"/>
          <w:szCs w:val="20"/>
          <w:color w:val="auto"/>
        </w:rPr>
      </w:pPr>
    </w:p>
    <w:p>
      <w:pPr>
        <w:ind w:left="368" w:right="220"/>
        <w:spacing w:after="0" w:line="279" w:lineRule="auto"/>
        <w:rPr>
          <w:sz w:val="20"/>
          <w:szCs w:val="20"/>
          <w:color w:val="auto"/>
        </w:rPr>
      </w:pPr>
      <w:r>
        <w:rPr>
          <w:rFonts w:ascii="Times New Roman" w:cs="Times New Roman" w:eastAsia="Times New Roman" w:hAnsi="Times New Roman"/>
          <w:sz w:val="12"/>
          <w:szCs w:val="12"/>
          <w:color w:val="auto"/>
        </w:rPr>
        <w:t>AMENDMENT (this “Amendment”) to the Index License Agreement for Funds (internal MSCI reference: IXF_00040) dated as of March 18, 2000 (the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by and between MSCI Inc. (formerly known as Morgan Stanley Capital International Inc.) (“MSCI”) and BlackRock Fund Advisors, a California corporation (as successor to Barclays Global Investors, N.A.) (“Licensee”).</w:t>
      </w:r>
    </w:p>
    <w:p>
      <w:pPr>
        <w:spacing w:after="0" w:line="111" w:lineRule="exact"/>
        <w:rPr>
          <w:sz w:val="20"/>
          <w:szCs w:val="20"/>
          <w:color w:val="auto"/>
        </w:rPr>
      </w:pPr>
    </w:p>
    <w:p>
      <w:pPr>
        <w:ind w:left="368" w:right="120"/>
        <w:spacing w:after="0" w:line="265" w:lineRule="auto"/>
        <w:rPr>
          <w:sz w:val="20"/>
          <w:szCs w:val="20"/>
          <w:color w:val="auto"/>
        </w:rPr>
      </w:pPr>
      <w:r>
        <w:rPr>
          <w:rFonts w:ascii="Times New Roman" w:cs="Times New Roman" w:eastAsia="Times New Roman" w:hAnsi="Times New Roman"/>
          <w:sz w:val="12"/>
          <w:szCs w:val="12"/>
          <w:color w:val="auto"/>
        </w:rPr>
        <w:t>The parties acknowledge that the Agreement was previously amended by, among other amendments, that certain Amendment (internal MSCI reference: AMD_00403) dated as of October 4, 2011 (the “Previous Amendment”). This Amendment shall supplement and operate in conjunction with the Previous Amendment. Capitalized terms used but not defined in this Amendment shall have the meanings ascribed to them in the Agreement or the Previous Amendment, as the case maybe.</w:t>
      </w:r>
    </w:p>
    <w:p>
      <w:pPr>
        <w:spacing w:after="0" w:line="92" w:lineRule="exact"/>
        <w:rPr>
          <w:sz w:val="20"/>
          <w:szCs w:val="20"/>
          <w:color w:val="auto"/>
        </w:rPr>
      </w:pPr>
    </w:p>
    <w:p>
      <w:pPr>
        <w:ind w:left="788" w:hanging="428"/>
        <w:spacing w:after="0"/>
        <w:tabs>
          <w:tab w:leader="none" w:pos="788" w:val="left"/>
        </w:tabs>
        <w:numPr>
          <w:ilvl w:val="0"/>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150" w:lineRule="exact"/>
        <w:rPr>
          <w:rFonts w:ascii="Times New Roman" w:cs="Times New Roman" w:eastAsia="Times New Roman" w:hAnsi="Times New Roman"/>
          <w:sz w:val="12"/>
          <w:szCs w:val="12"/>
          <w:color w:val="auto"/>
        </w:rPr>
      </w:pPr>
    </w:p>
    <w:p>
      <w:pPr>
        <w:ind w:left="1088" w:hanging="359"/>
        <w:spacing w:after="0"/>
        <w:tabs>
          <w:tab w:leader="none" w:pos="1088"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EAFE Minimum Volatility (USD) 100% Hedged to USD Index</w:t>
      </w:r>
    </w:p>
    <w:p>
      <w:pPr>
        <w:spacing w:after="0" w:line="16" w:lineRule="exact"/>
        <w:rPr>
          <w:rFonts w:ascii="Times New Roman" w:cs="Times New Roman" w:eastAsia="Times New Roman" w:hAnsi="Times New Roman"/>
          <w:sz w:val="12"/>
          <w:szCs w:val="12"/>
          <w:color w:val="auto"/>
        </w:rPr>
      </w:pPr>
    </w:p>
    <w:p>
      <w:pPr>
        <w:ind w:left="1088" w:hanging="359"/>
        <w:spacing w:after="0"/>
        <w:tabs>
          <w:tab w:leader="none" w:pos="1088"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Emerging Markets Minimum Volatility (USD) 100% Hedged to USD Index</w:t>
      </w:r>
    </w:p>
    <w:p>
      <w:pPr>
        <w:spacing w:after="0" w:line="6" w:lineRule="exact"/>
        <w:rPr>
          <w:rFonts w:ascii="Times New Roman" w:cs="Times New Roman" w:eastAsia="Times New Roman" w:hAnsi="Times New Roman"/>
          <w:sz w:val="12"/>
          <w:szCs w:val="12"/>
          <w:color w:val="auto"/>
        </w:rPr>
      </w:pPr>
    </w:p>
    <w:p>
      <w:pPr>
        <w:ind w:left="1088" w:hanging="359"/>
        <w:spacing w:after="0"/>
        <w:tabs>
          <w:tab w:leader="none" w:pos="1088"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ACWI Minimum Volatility (USD) 100% Hedged to USD Index</w:t>
      </w:r>
    </w:p>
    <w:p>
      <w:pPr>
        <w:spacing w:after="0" w:line="7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23" w:lineRule="exact"/>
        <w:rPr>
          <w:sz w:val="20"/>
          <w:szCs w:val="20"/>
          <w:color w:val="auto"/>
        </w:rPr>
      </w:pPr>
    </w:p>
    <w:p>
      <w:pPr>
        <w:ind w:left="368"/>
        <w:spacing w:after="0"/>
        <w:tabs>
          <w:tab w:leader="none" w:pos="768"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2"/>
          <w:szCs w:val="12"/>
          <w:color w:val="auto"/>
        </w:rPr>
        <w:t>Licensee may use the Indexes set forth in Section 1 above solely with respect to the following Funds (each, a “Hedg</w:t>
      </w:r>
      <w:r>
        <w:rPr>
          <w:rFonts w:ascii="Times New Roman" w:cs="Times New Roman" w:eastAsia="Times New Roman" w:hAnsi="Times New Roman"/>
          <w:sz w:val="12"/>
          <w:szCs w:val="12"/>
          <w:u w:val="single" w:color="auto"/>
          <w:color w:val="auto"/>
        </w:rPr>
        <w:t>ed ETF</w:t>
      </w:r>
      <w:r>
        <w:rPr>
          <w:rFonts w:ascii="Times New Roman" w:cs="Times New Roman" w:eastAsia="Times New Roman" w:hAnsi="Times New Roman"/>
          <w:sz w:val="12"/>
          <w:szCs w:val="12"/>
          <w:color w:val="auto"/>
        </w:rPr>
        <w:t>” and each Hedged ETF shall also be a “Fund” as such term is defined in the Agreement)</w:t>
      </w:r>
      <w:r>
        <w:rPr>
          <w:rFonts w:ascii="Times New Roman" w:cs="Times New Roman" w:eastAsia="Times New Roman" w:hAnsi="Times New Roman"/>
          <w:sz w:val="10"/>
          <w:szCs w:val="10"/>
          <w:color w:val="auto"/>
        </w:rPr>
        <w:t>.</w:t>
      </w:r>
    </w:p>
    <w:p>
      <w:pPr>
        <w:spacing w:after="0" w:line="143" w:lineRule="exact"/>
        <w:rPr>
          <w:sz w:val="20"/>
          <w:szCs w:val="20"/>
          <w:color w:val="auto"/>
        </w:rPr>
      </w:pPr>
    </w:p>
    <w:p>
      <w:pPr>
        <w:ind w:left="1088" w:hanging="359"/>
        <w:spacing w:after="0"/>
        <w:tabs>
          <w:tab w:leader="none" w:pos="1088"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iShares </w:t>
      </w:r>
      <w:r>
        <w:rPr>
          <w:rFonts w:ascii="Times New Roman" w:cs="Times New Roman" w:eastAsia="Times New Roman" w:hAnsi="Times New Roman"/>
          <w:sz w:val="11"/>
          <w:szCs w:val="11"/>
          <w:color w:val="auto"/>
        </w:rPr>
        <w:t>Currency Hedged MSCI EAFE Minimum Volatility ETF</w:t>
      </w:r>
    </w:p>
    <w:p>
      <w:pPr>
        <w:spacing w:after="0" w:line="8" w:lineRule="exact"/>
        <w:rPr>
          <w:rFonts w:ascii="Times New Roman" w:cs="Times New Roman" w:eastAsia="Times New Roman" w:hAnsi="Times New Roman"/>
          <w:sz w:val="12"/>
          <w:szCs w:val="12"/>
          <w:color w:val="auto"/>
        </w:rPr>
      </w:pPr>
    </w:p>
    <w:p>
      <w:pPr>
        <w:ind w:left="1088" w:hanging="359"/>
        <w:spacing w:after="0" w:line="231" w:lineRule="auto"/>
        <w:tabs>
          <w:tab w:leader="none" w:pos="1088"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iShares </w:t>
      </w:r>
      <w:r>
        <w:rPr>
          <w:rFonts w:ascii="Times New Roman" w:cs="Times New Roman" w:eastAsia="Times New Roman" w:hAnsi="Times New Roman"/>
          <w:sz w:val="11"/>
          <w:szCs w:val="11"/>
          <w:color w:val="auto"/>
        </w:rPr>
        <w:t>Currency Hedged MSCI EM Minimum Volatility ETF</w:t>
      </w:r>
    </w:p>
    <w:p>
      <w:pPr>
        <w:ind w:left="1088" w:hanging="359"/>
        <w:spacing w:after="0"/>
        <w:tabs>
          <w:tab w:leader="none" w:pos="1088"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Currency Hedged MSCI ACWI Minimum Volatility ETF</w:t>
      </w:r>
    </w:p>
    <w:p>
      <w:pPr>
        <w:spacing w:after="0" w:line="71"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9"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The Hedged ETFs shall be exchange traded index funds listed on a national securities exchange located in the United States.</w:t>
      </w:r>
    </w:p>
    <w:p>
      <w:pPr>
        <w:spacing w:after="0" w:line="102" w:lineRule="exact"/>
        <w:rPr>
          <w:sz w:val="20"/>
          <w:szCs w:val="20"/>
          <w:color w:val="auto"/>
        </w:rPr>
      </w:pPr>
    </w:p>
    <w:p>
      <w:pPr>
        <w:ind w:left="788" w:hanging="428"/>
        <w:spacing w:after="0"/>
        <w:tabs>
          <w:tab w:leader="none" w:pos="788" w:val="left"/>
        </w:tabs>
        <w:numPr>
          <w:ilvl w:val="0"/>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payable with respect to the Hedged ETFs:</w:t>
      </w:r>
    </w:p>
    <w:p>
      <w:pPr>
        <w:spacing w:after="0" w:line="150" w:lineRule="exact"/>
        <w:rPr>
          <w:sz w:val="20"/>
          <w:szCs w:val="20"/>
          <w:color w:val="auto"/>
        </w:rPr>
      </w:pPr>
    </w:p>
    <w:p>
      <w:pPr>
        <w:ind w:left="1088" w:hanging="359"/>
        <w:spacing w:after="0"/>
        <w:tabs>
          <w:tab w:leader="none" w:pos="1088" w:val="left"/>
        </w:tabs>
        <w:numPr>
          <w:ilvl w:val="0"/>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Definitions:</w:t>
      </w:r>
    </w:p>
    <w:p>
      <w:pPr>
        <w:spacing w:after="0" w:line="150"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As used in this Amendment, the following terms shall have the meanings set forth below:</w:t>
      </w:r>
    </w:p>
    <w:p>
      <w:pPr>
        <w:spacing w:after="0" w:line="150"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“Un-Hedg</w:t>
      </w:r>
      <w:r>
        <w:rPr>
          <w:rFonts w:ascii="Times New Roman" w:cs="Times New Roman" w:eastAsia="Times New Roman" w:hAnsi="Times New Roman"/>
          <w:sz w:val="12"/>
          <w:szCs w:val="12"/>
          <w:u w:val="single" w:color="auto"/>
          <w:color w:val="auto"/>
        </w:rPr>
        <w:t>ed ETF</w:t>
      </w:r>
      <w:r>
        <w:rPr>
          <w:rFonts w:ascii="Times New Roman" w:cs="Times New Roman" w:eastAsia="Times New Roman" w:hAnsi="Times New Roman"/>
          <w:sz w:val="12"/>
          <w:szCs w:val="12"/>
          <w:color w:val="auto"/>
        </w:rPr>
        <w:t>” means, for each *************************************************************** set forth in the following table:</w:t>
      </w:r>
    </w:p>
    <w:p>
      <w:pPr>
        <w:spacing w:after="0" w:line="141" w:lineRule="exact"/>
        <w:rPr>
          <w:sz w:val="20"/>
          <w:szCs w:val="20"/>
          <w:color w:val="auto"/>
        </w:rPr>
      </w:pPr>
    </w:p>
    <w:p>
      <w:pPr>
        <w:ind w:left="4848"/>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4848"/>
        <w:spacing w:after="0"/>
        <w:rPr>
          <w:sz w:val="20"/>
          <w:szCs w:val="20"/>
          <w:color w:val="auto"/>
        </w:rPr>
      </w:pPr>
      <w:r>
        <w:rPr>
          <w:rFonts w:ascii="Times New Roman" w:cs="Times New Roman" w:eastAsia="Times New Roman" w:hAnsi="Times New Roman"/>
          <w:sz w:val="12"/>
          <w:szCs w:val="12"/>
          <w:color w:val="auto"/>
        </w:rPr>
        <w:t>***************************</w:t>
      </w:r>
    </w:p>
    <w:p>
      <w:pPr>
        <w:spacing w:after="0" w:line="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t>
      </w:r>
    </w:p>
    <w:p>
      <w:pPr>
        <w:spacing w:after="0" w:line="141" w:lineRule="exact"/>
        <w:rPr>
          <w:sz w:val="20"/>
          <w:szCs w:val="20"/>
          <w:color w:val="auto"/>
        </w:rPr>
      </w:pPr>
    </w:p>
    <w:p>
      <w:pPr>
        <w:ind w:left="368" w:right="4500"/>
        <w:spacing w:after="0" w:line="295" w:lineRule="auto"/>
        <w:rPr>
          <w:sz w:val="20"/>
          <w:szCs w:val="20"/>
          <w:color w:val="auto"/>
        </w:rPr>
      </w:pPr>
      <w:r>
        <w:rPr>
          <w:rFonts w:ascii="Times New Roman" w:cs="Times New Roman" w:eastAsia="Times New Roman" w:hAnsi="Times New Roman"/>
          <w:sz w:val="12"/>
          <w:szCs w:val="12"/>
          <w:color w:val="auto"/>
        </w:rPr>
        <w:t>“AUM” means, for any ********** or any ***********, the ********************************************************* ******************************************************************.</w:t>
      </w:r>
    </w:p>
    <w:p>
      <w:pPr>
        <w:spacing w:after="0" w:line="102" w:lineRule="exact"/>
        <w:rPr>
          <w:sz w:val="20"/>
          <w:szCs w:val="20"/>
          <w:color w:val="auto"/>
        </w:rPr>
      </w:pPr>
    </w:p>
    <w:p>
      <w:pPr>
        <w:ind w:left="368" w:right="4500"/>
        <w:spacing w:after="0" w:line="344" w:lineRule="auto"/>
        <w:rPr>
          <w:sz w:val="20"/>
          <w:szCs w:val="20"/>
          <w:color w:val="auto"/>
        </w:rPr>
      </w:pPr>
      <w:r>
        <w:rPr>
          <w:rFonts w:ascii="Times New Roman" w:cs="Times New Roman" w:eastAsia="Times New Roman" w:hAnsi="Times New Roman"/>
          <w:sz w:val="11"/>
          <w:szCs w:val="11"/>
          <w:color w:val="auto"/>
        </w:rPr>
        <w:t>“Reinvested AUM” means, for each **********, the **************************************************************** ***********************************************************************.</w:t>
      </w:r>
    </w:p>
    <w:p>
      <w:pPr>
        <w:spacing w:after="0" w:line="3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189470"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2"/>
          <w:szCs w:val="12"/>
          <w:color w:val="auto"/>
        </w:rPr>
        <w:t>A.N.:130339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AMD_00178568.0</w:t>
      </w:r>
    </w:p>
    <w:p>
      <w:pPr>
        <w:spacing w:after="0" w:line="76" w:lineRule="exact"/>
        <w:rPr>
          <w:sz w:val="20"/>
          <w:szCs w:val="20"/>
          <w:color w:val="auto"/>
        </w:rPr>
      </w:pPr>
    </w:p>
    <w:p>
      <w:pPr>
        <w:ind w:left="3" w:right="4520"/>
        <w:spacing w:after="0" w:line="344" w:lineRule="auto"/>
        <w:rPr>
          <w:sz w:val="20"/>
          <w:szCs w:val="20"/>
          <w:color w:val="auto"/>
        </w:rPr>
      </w:pPr>
      <w:r>
        <w:rPr>
          <w:rFonts w:ascii="Times New Roman" w:cs="Times New Roman" w:eastAsia="Times New Roman" w:hAnsi="Times New Roman"/>
          <w:sz w:val="11"/>
          <w:szCs w:val="11"/>
          <w:color w:val="auto"/>
        </w:rPr>
        <w:t>“Unreinvested AUM” means, for each **********, the ************************************************************** *****************************************************************************.</w:t>
      </w:r>
    </w:p>
    <w:p>
      <w:pPr>
        <w:spacing w:after="0" w:line="78" w:lineRule="exact"/>
        <w:rPr>
          <w:sz w:val="20"/>
          <w:szCs w:val="20"/>
          <w:color w:val="auto"/>
        </w:rPr>
      </w:pPr>
    </w:p>
    <w:p>
      <w:pPr>
        <w:ind w:left="3" w:right="5060"/>
        <w:spacing w:after="0" w:line="326" w:lineRule="auto"/>
        <w:rPr>
          <w:sz w:val="20"/>
          <w:szCs w:val="20"/>
          <w:color w:val="auto"/>
        </w:rPr>
      </w:pPr>
      <w:r>
        <w:rPr>
          <w:rFonts w:ascii="Times New Roman" w:cs="Times New Roman" w:eastAsia="Times New Roman" w:hAnsi="Times New Roman"/>
          <w:sz w:val="12"/>
          <w:szCs w:val="12"/>
          <w:color w:val="auto"/>
        </w:rPr>
        <w:t>For the avoidance of doubt, the total of the ************** and the *********** of any *********** uring the relevant *********** period must equal the *********** during such *********** period.</w:t>
      </w:r>
    </w:p>
    <w:p>
      <w:pPr>
        <w:spacing w:after="0" w:line="71" w:lineRule="exact"/>
        <w:rPr>
          <w:sz w:val="20"/>
          <w:szCs w:val="20"/>
          <w:color w:val="auto"/>
        </w:rPr>
      </w:pPr>
    </w:p>
    <w:p>
      <w:pPr>
        <w:ind w:left="723" w:hanging="359"/>
        <w:spacing w:after="0"/>
        <w:tabs>
          <w:tab w:leader="none" w:pos="723"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 xml:space="preserve">Calculation </w:t>
      </w:r>
      <w:r>
        <w:rPr>
          <w:rFonts w:ascii="Times New Roman" w:cs="Times New Roman" w:eastAsia="Times New Roman" w:hAnsi="Times New Roman"/>
          <w:sz w:val="13"/>
          <w:szCs w:val="13"/>
          <w:color w:val="auto"/>
        </w:rPr>
        <w:t>of Fees:</w:t>
      </w:r>
    </w:p>
    <w:p>
      <w:pPr>
        <w:spacing w:after="0" w:line="142" w:lineRule="exact"/>
        <w:rPr>
          <w:sz w:val="20"/>
          <w:szCs w:val="20"/>
          <w:color w:val="auto"/>
        </w:rPr>
      </w:pPr>
    </w:p>
    <w:p>
      <w:pPr>
        <w:ind w:left="3" w:right="40"/>
        <w:spacing w:after="0" w:line="259" w:lineRule="auto"/>
        <w:rPr>
          <w:sz w:val="20"/>
          <w:szCs w:val="20"/>
          <w:color w:val="auto"/>
        </w:rPr>
      </w:pPr>
      <w:r>
        <w:rPr>
          <w:rFonts w:ascii="Times New Roman" w:cs="Times New Roman" w:eastAsia="Times New Roman" w:hAnsi="Times New Roman"/>
          <w:sz w:val="12"/>
          <w:szCs w:val="12"/>
          <w:color w:val="auto"/>
        </w:rPr>
        <w:t>For each ***********, Licensee shall pay *********** fees to MSCI. Such *********** fees shall be determined with reference to the *********** fees payable under the ************. Specifically, the *********** fees for each *********** shall be determined by ***********************************************************************************************</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139" w:lineRule="exact"/>
        <w:rPr>
          <w:sz w:val="20"/>
          <w:szCs w:val="20"/>
          <w:color w:val="auto"/>
        </w:rPr>
      </w:pPr>
    </w:p>
    <w:p>
      <w:pPr>
        <w:ind w:left="3" w:right="40"/>
        <w:spacing w:after="0" w:line="279" w:lineRule="auto"/>
        <w:rPr>
          <w:sz w:val="20"/>
          <w:szCs w:val="20"/>
          <w:color w:val="auto"/>
        </w:rPr>
      </w:pPr>
      <w:r>
        <w:rPr>
          <w:rFonts w:ascii="Times New Roman" w:cs="Times New Roman" w:eastAsia="Times New Roman" w:hAnsi="Times New Roman"/>
          <w:sz w:val="12"/>
          <w:szCs w:val="12"/>
          <w:color w:val="auto"/>
        </w:rPr>
        <w:t>Except for the addition of the *********** of the *********** during the applicable *********** period, the calculation of fees payable in accordance with the ***********. All fees with respect to the *********** of each *********** shall be due and payable in accordance with the terms of the ***********.</w:t>
      </w:r>
    </w:p>
    <w:p>
      <w:pPr>
        <w:spacing w:after="0" w:line="102" w:lineRule="exact"/>
        <w:rPr>
          <w:sz w:val="20"/>
          <w:szCs w:val="20"/>
          <w:color w:val="auto"/>
        </w:rPr>
      </w:pPr>
    </w:p>
    <w:p>
      <w:pPr>
        <w:ind w:left="3" w:right="200"/>
        <w:spacing w:after="0" w:line="259" w:lineRule="auto"/>
        <w:rPr>
          <w:sz w:val="20"/>
          <w:szCs w:val="20"/>
          <w:color w:val="auto"/>
        </w:rPr>
      </w:pPr>
      <w:r>
        <w:rPr>
          <w:rFonts w:ascii="Times New Roman" w:cs="Times New Roman" w:eastAsia="Times New Roman" w:hAnsi="Times New Roman"/>
          <w:sz w:val="12"/>
          <w:szCs w:val="12"/>
          <w:color w:val="auto"/>
        </w:rPr>
        <w:t>For the avoidance of doubt, there shall be no *********** with respect to the *********** of any ***********. By way of explanation, the parties believe that, because the *********** requires Licensee to *********** fees on the *******************</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139" w:lineRule="exact"/>
        <w:rPr>
          <w:sz w:val="20"/>
          <w:szCs w:val="20"/>
          <w:color w:val="auto"/>
        </w:rPr>
      </w:pPr>
    </w:p>
    <w:p>
      <w:pPr>
        <w:ind w:left="3" w:right="4920"/>
        <w:spacing w:after="0" w:line="295" w:lineRule="auto"/>
        <w:rPr>
          <w:sz w:val="20"/>
          <w:szCs w:val="20"/>
          <w:color w:val="auto"/>
        </w:rPr>
      </w:pPr>
      <w:r>
        <w:rPr>
          <w:rFonts w:ascii="Times New Roman" w:cs="Times New Roman" w:eastAsia="Times New Roman" w:hAnsi="Times New Roman"/>
          <w:sz w:val="12"/>
          <w:szCs w:val="12"/>
          <w:color w:val="auto"/>
        </w:rPr>
        <w:t>The parties acknowledge and agree that the *********** of each *********** shall be used for purposes of determining the *******************************************.</w:t>
      </w:r>
    </w:p>
    <w:p>
      <w:pPr>
        <w:spacing w:after="0" w:line="93" w:lineRule="exact"/>
        <w:rPr>
          <w:sz w:val="20"/>
          <w:szCs w:val="20"/>
          <w:color w:val="auto"/>
        </w:rPr>
      </w:pPr>
    </w:p>
    <w:p>
      <w:pPr>
        <w:ind w:left="3" w:right="700"/>
        <w:spacing w:after="0" w:line="266" w:lineRule="auto"/>
        <w:rPr>
          <w:sz w:val="20"/>
          <w:szCs w:val="20"/>
          <w:color w:val="auto"/>
        </w:rPr>
      </w:pPr>
      <w:r>
        <w:rPr>
          <w:rFonts w:ascii="Times New Roman" w:cs="Times New Roman" w:eastAsia="Times New Roman" w:hAnsi="Times New Roman"/>
          <w:sz w:val="12"/>
          <w:szCs w:val="12"/>
          <w:color w:val="auto"/>
        </w:rPr>
        <w:t>If the *********** is terminated or expires without being replaced for any reason in any ***********, or if any *********** ceases to exist or to be subject to the terms of the *********** for any reason in any ***********, then, notwithstanding anything to the contrary in this Amendment, from the date of such occurrence, Licensee shall *********** to MSCI with respect to each *********</w:t>
      </w: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 If any *************************** or if any ************** has an ***********, the license fee for such *********</w:t>
      </w:r>
    </w:p>
    <w:p>
      <w:pPr>
        <w:spacing w:after="0" w:line="22" w:lineRule="exact"/>
        <w:rPr>
          <w:sz w:val="20"/>
          <w:szCs w:val="20"/>
          <w:color w:val="auto"/>
        </w:rPr>
      </w:pPr>
    </w:p>
    <w:p>
      <w:pPr>
        <w:ind w:left="143" w:hanging="143"/>
        <w:spacing w:after="0"/>
        <w:tabs>
          <w:tab w:leader="none" w:pos="143"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equal ********************************************************************************************. For purposes of clarity,</w:t>
      </w:r>
    </w:p>
    <w:p>
      <w:pPr>
        <w:spacing w:after="0" w:line="16" w:lineRule="exact"/>
        <w:rPr>
          <w:rFonts w:ascii="Times New Roman" w:cs="Times New Roman" w:eastAsia="Times New Roman" w:hAnsi="Times New Roman"/>
          <w:sz w:val="12"/>
          <w:szCs w:val="12"/>
          <w:color w:val="auto"/>
        </w:rPr>
      </w:pPr>
    </w:p>
    <w:p>
      <w:pPr>
        <w:ind w:left="3"/>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but the *********** continues to exist, the ***********, as set forth above, shall continue to be used in</w:t>
      </w:r>
    </w:p>
    <w:p>
      <w:pPr>
        <w:spacing w:after="0" w:line="6" w:lineRule="exact"/>
        <w:rPr>
          <w:rFonts w:ascii="Times New Roman" w:cs="Times New Roman" w:eastAsia="Times New Roman" w:hAnsi="Times New Roman"/>
          <w:sz w:val="12"/>
          <w:szCs w:val="12"/>
          <w:color w:val="auto"/>
        </w:rPr>
      </w:pPr>
    </w:p>
    <w:p>
      <w:pPr>
        <w:ind w:left="3"/>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3"/>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35" w:lineRule="exact"/>
        <w:rPr>
          <w:rFonts w:ascii="Times New Roman" w:cs="Times New Roman" w:eastAsia="Times New Roman" w:hAnsi="Times New Roman"/>
          <w:sz w:val="12"/>
          <w:szCs w:val="12"/>
          <w:color w:val="auto"/>
        </w:rPr>
      </w:pPr>
    </w:p>
    <w:p>
      <w:pPr>
        <w:ind w:left="723" w:hanging="359"/>
        <w:spacing w:after="0"/>
        <w:tabs>
          <w:tab w:leader="none" w:pos="723" w:val="left"/>
        </w:tabs>
        <w:numPr>
          <w:ilvl w:val="1"/>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Reporting</w:t>
      </w:r>
      <w:r>
        <w:rPr>
          <w:rFonts w:ascii="Times New Roman" w:cs="Times New Roman" w:eastAsia="Times New Roman" w:hAnsi="Times New Roman"/>
          <w:sz w:val="13"/>
          <w:szCs w:val="13"/>
          <w:color w:val="auto"/>
        </w:rPr>
        <w:t>:</w:t>
      </w:r>
    </w:p>
    <w:p>
      <w:pPr>
        <w:spacing w:after="0" w:line="169" w:lineRule="exact"/>
        <w:rPr>
          <w:sz w:val="20"/>
          <w:szCs w:val="20"/>
          <w:color w:val="auto"/>
        </w:rPr>
      </w:pPr>
    </w:p>
    <w:p>
      <w:pPr>
        <w:ind w:left="3" w:right="4460"/>
        <w:spacing w:after="0" w:line="271" w:lineRule="auto"/>
        <w:rPr>
          <w:sz w:val="20"/>
          <w:szCs w:val="20"/>
          <w:color w:val="auto"/>
        </w:rPr>
      </w:pPr>
      <w:r>
        <w:rPr>
          <w:rFonts w:ascii="Times New Roman" w:cs="Times New Roman" w:eastAsia="Times New Roman" w:hAnsi="Times New Roman"/>
          <w:sz w:val="12"/>
          <w:szCs w:val="12"/>
          <w:color w:val="auto"/>
        </w:rPr>
        <w:t>Within *********** days of the end of each ***********, Licensee shall report to MSCI ********************************** ************************************************************************************************************ ************************************************************************************************************</w:t>
      </w:r>
    </w:p>
    <w:p>
      <w:pPr>
        <w:spacing w:after="0" w:line="1" w:lineRule="exact"/>
        <w:rPr>
          <w:sz w:val="20"/>
          <w:szCs w:val="20"/>
          <w:color w:val="auto"/>
        </w:rPr>
      </w:pPr>
    </w:p>
    <w:p>
      <w:pPr>
        <w:ind w:left="3" w:right="120"/>
        <w:spacing w:after="0" w:line="259" w:lineRule="auto"/>
        <w:rPr>
          <w:sz w:val="20"/>
          <w:szCs w:val="20"/>
          <w:color w:val="auto"/>
        </w:rPr>
      </w:pPr>
      <w:r>
        <w:rPr>
          <w:rFonts w:ascii="Times New Roman" w:cs="Times New Roman" w:eastAsia="Times New Roman" w:hAnsi="Times New Roman"/>
          <w:sz w:val="12"/>
          <w:szCs w:val="12"/>
          <w:color w:val="auto"/>
        </w:rPr>
        <w:t>****************************************************************************. For the avoidance of doubt, if the inception date or the termination date of any *********** is any day other than the first day or last day (respectively) of a</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53"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233680</wp:posOffset>
            </wp:positionV>
            <wp:extent cx="7189470"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43"/>
          </w:cols>
          <w:pgMar w:left="657" w:top="426" w:right="29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3"/>
          <w:szCs w:val="13"/>
          <w:color w:val="auto"/>
        </w:rPr>
        <w:t>A.N.:130339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AMD_00178568.0</w:t>
      </w:r>
    </w:p>
    <w:p>
      <w:pPr>
        <w:spacing w:after="0" w:line="111" w:lineRule="exact"/>
        <w:rPr>
          <w:sz w:val="20"/>
          <w:szCs w:val="20"/>
          <w:color w:val="auto"/>
        </w:rPr>
      </w:pPr>
    </w:p>
    <w:p>
      <w:pPr>
        <w:ind w:left="780" w:hanging="428"/>
        <w:spacing w:after="0"/>
        <w:tabs>
          <w:tab w:leader="none" w:pos="780" w:val="left"/>
        </w:tabs>
        <w:numPr>
          <w:ilvl w:val="0"/>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87" w:lineRule="exact"/>
        <w:rPr>
          <w:rFonts w:ascii="Times New Roman" w:cs="Times New Roman" w:eastAsia="Times New Roman" w:hAnsi="Times New Roman"/>
          <w:sz w:val="12"/>
          <w:szCs w:val="12"/>
          <w:color w:val="auto"/>
        </w:rPr>
      </w:pPr>
    </w:p>
    <w:p>
      <w:pPr>
        <w:ind w:left="1080" w:right="120" w:hanging="359"/>
        <w:spacing w:after="0" w:line="279" w:lineRule="auto"/>
        <w:tabs>
          <w:tab w:leader="none" w:pos="1080"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or the Previous Amendment, this Amendment shall control. No right or license of any kind is granted to Licensee except as expressly provided in the Agreement, the Previous Amendment and this Amendment.</w:t>
      </w:r>
    </w:p>
    <w:p>
      <w:pPr>
        <w:spacing w:after="0" w:line="39" w:lineRule="exact"/>
        <w:rPr>
          <w:rFonts w:ascii="Times New Roman" w:cs="Times New Roman" w:eastAsia="Times New Roman" w:hAnsi="Times New Roman"/>
          <w:sz w:val="12"/>
          <w:szCs w:val="12"/>
          <w:color w:val="auto"/>
        </w:rPr>
      </w:pPr>
    </w:p>
    <w:p>
      <w:pPr>
        <w:ind w:left="1080" w:hanging="359"/>
        <w:spacing w:after="0"/>
        <w:tabs>
          <w:tab w:leader="none" w:pos="1080"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any Index set forth in Section 1 if, within one (1) year of the date of this Amendment, Licensee does not list a Hedged ETF that is based on such Index.</w:t>
      </w:r>
    </w:p>
    <w:p>
      <w:pPr>
        <w:spacing w:after="0" w:line="78" w:lineRule="exact"/>
        <w:rPr>
          <w:rFonts w:ascii="Times New Roman" w:cs="Times New Roman" w:eastAsia="Times New Roman" w:hAnsi="Times New Roman"/>
          <w:sz w:val="12"/>
          <w:szCs w:val="12"/>
          <w:color w:val="auto"/>
        </w:rPr>
      </w:pPr>
    </w:p>
    <w:p>
      <w:pPr>
        <w:ind w:left="1080" w:right="20" w:hanging="359"/>
        <w:spacing w:after="0" w:line="279" w:lineRule="auto"/>
        <w:tabs>
          <w:tab w:leader="none" w:pos="1080"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any Hedged ETF or changes the underlying Index for such Hedged ETF, Licensee’s right to use the relevant Index set forth in Section 1 with respect to such Hedged ETF shall automatically and immediately terminate.</w:t>
      </w:r>
    </w:p>
    <w:p>
      <w:pPr>
        <w:spacing w:after="0" w:line="39" w:lineRule="exact"/>
        <w:rPr>
          <w:rFonts w:ascii="Times New Roman" w:cs="Times New Roman" w:eastAsia="Times New Roman" w:hAnsi="Times New Roman"/>
          <w:sz w:val="12"/>
          <w:szCs w:val="12"/>
          <w:color w:val="auto"/>
        </w:rPr>
      </w:pPr>
    </w:p>
    <w:p>
      <w:pPr>
        <w:ind w:left="1080" w:hanging="359"/>
        <w:spacing w:after="0"/>
        <w:tabs>
          <w:tab w:leader="none" w:pos="1080"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440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88"/>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BlackRock Fund Advisors</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MSCI Inc.</w:t>
            </w:r>
          </w:p>
        </w:tc>
        <w:tc>
          <w:tcPr>
            <w:tcW w:w="3380" w:type="dxa"/>
            <w:vAlign w:val="bottom"/>
          </w:tcPr>
          <w:p>
            <w:pPr>
              <w:spacing w:after="0"/>
              <w:rPr>
                <w:sz w:val="24"/>
                <w:szCs w:val="24"/>
                <w:color w:val="auto"/>
              </w:rPr>
            </w:pPr>
          </w:p>
        </w:tc>
      </w:tr>
      <w:tr>
        <w:trPr>
          <w:trHeight w:val="288"/>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Manish Mehta</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By:</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277"/>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Manish Mehta</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Name:</w:t>
            </w:r>
          </w:p>
        </w:tc>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288"/>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(printed)</w:t>
            </w:r>
          </w:p>
        </w:tc>
        <w:tc>
          <w:tcPr>
            <w:tcW w:w="2740" w:type="dxa"/>
            <w:vAlign w:val="bottom"/>
          </w:tcPr>
          <w:p>
            <w:pPr>
              <w:spacing w:after="0"/>
              <w:rPr>
                <w:sz w:val="24"/>
                <w:szCs w:val="24"/>
                <w:color w:val="auto"/>
              </w:rPr>
            </w:pP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(printed)</w:t>
            </w:r>
          </w:p>
        </w:tc>
        <w:tc>
          <w:tcPr>
            <w:tcW w:w="3380" w:type="dxa"/>
            <w:vAlign w:val="bottom"/>
          </w:tcPr>
          <w:p>
            <w:pPr>
              <w:spacing w:after="0"/>
              <w:rPr>
                <w:sz w:val="24"/>
                <w:szCs w:val="24"/>
                <w:color w:val="auto"/>
              </w:rPr>
            </w:pPr>
          </w:p>
        </w:tc>
      </w:tr>
      <w:tr>
        <w:trPr>
          <w:trHeight w:val="288"/>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Title:</w:t>
            </w:r>
          </w:p>
        </w:tc>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288"/>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September 25, 2015</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Date</w:t>
            </w:r>
          </w:p>
        </w:tc>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Oct. 26, 2015</w:t>
            </w:r>
          </w:p>
        </w:tc>
      </w:tr>
      <w:tr>
        <w:trPr>
          <w:trHeight w:val="567"/>
        </w:trPr>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0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3/3</w:t>
            </w:r>
          </w:p>
        </w:tc>
        <w:tc>
          <w:tcPr>
            <w:tcW w:w="3380" w:type="dxa"/>
            <w:vAlign w:val="bottom"/>
          </w:tcPr>
          <w:p>
            <w:pPr>
              <w:spacing w:after="0"/>
              <w:rPr>
                <w:sz w:val="24"/>
                <w:szCs w:val="24"/>
                <w:color w:val="auto"/>
              </w:rPr>
            </w:pPr>
          </w:p>
        </w:tc>
      </w:tr>
    </w:tbl>
    <w:p>
      <w:pPr>
        <w:sectPr>
          <w:pgSz w:w="11900" w:h="16838" w:orient="portrait"/>
          <w:cols w:equalWidth="0" w:num="1">
            <w:col w:w="11300"/>
          </w:cols>
          <w:pgMar w:left="300" w:top="422" w:right="299" w:bottom="1440" w:gutter="0" w:footer="0" w:header="0"/>
        </w:sectPr>
      </w:pPr>
    </w:p>
    <w:bookmarkStart w:id="225" w:name="page226"/>
    <w:bookmarkEnd w:id="225"/>
    <w:p>
      <w:pPr>
        <w:ind w:left="10568"/>
        <w:spacing w:after="0"/>
        <w:rPr>
          <w:sz w:val="20"/>
          <w:szCs w:val="20"/>
          <w:color w:val="auto"/>
        </w:rPr>
      </w:pPr>
      <w:r>
        <w:rPr>
          <w:rFonts w:ascii="Times New Roman" w:cs="Times New Roman" w:eastAsia="Times New Roman" w:hAnsi="Times New Roman"/>
          <w:sz w:val="11"/>
          <w:szCs w:val="11"/>
          <w:b w:val="1"/>
          <w:bCs w:val="1"/>
          <w:color w:val="auto"/>
        </w:rPr>
        <w:t>Exhibit 10.118</w:t>
      </w:r>
    </w:p>
    <w:p>
      <w:pPr>
        <w:spacing w:after="0" w:line="162" w:lineRule="exact"/>
        <w:rPr>
          <w:sz w:val="20"/>
          <w:szCs w:val="20"/>
          <w:color w:val="auto"/>
        </w:rPr>
      </w:pPr>
    </w:p>
    <w:p>
      <w:pPr>
        <w:ind w:left="8" w:hanging="8"/>
        <w:spacing w:after="0" w:line="286" w:lineRule="auto"/>
        <w:tabs>
          <w:tab w:leader="none" w:pos="220" w:val="left"/>
        </w:tabs>
        <w:numPr>
          <w:ilvl w:val="0"/>
          <w:numId w:val="3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0" w:lineRule="exact"/>
        <w:rPr>
          <w:sz w:val="20"/>
          <w:szCs w:val="20"/>
          <w:color w:val="auto"/>
        </w:rPr>
      </w:pPr>
    </w:p>
    <w:p>
      <w:pPr>
        <w:ind w:left="10668"/>
        <w:spacing w:after="0"/>
        <w:rPr>
          <w:sz w:val="20"/>
          <w:szCs w:val="20"/>
          <w:color w:val="auto"/>
        </w:rPr>
      </w:pPr>
      <w:r>
        <w:rPr>
          <w:rFonts w:ascii="Times New Roman" w:cs="Times New Roman" w:eastAsia="Times New Roman" w:hAnsi="Times New Roman"/>
          <w:sz w:val="12"/>
          <w:szCs w:val="12"/>
          <w:color w:val="auto"/>
        </w:rPr>
        <w:t>A.N.:130339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AMD_00178567.0</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August 3, 2015</w:t>
      </w:r>
    </w:p>
    <w:p>
      <w:pPr>
        <w:spacing w:after="0" w:line="123" w:lineRule="exact"/>
        <w:rPr>
          <w:sz w:val="20"/>
          <w:szCs w:val="20"/>
          <w:color w:val="auto"/>
        </w:rPr>
      </w:pPr>
    </w:p>
    <w:p>
      <w:pPr>
        <w:ind w:left="8" w:right="100" w:firstLine="497"/>
        <w:spacing w:after="0" w:line="279"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(internal MSCI reference: IXF_00040) dated as of March 18, 2000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w:t>
      </w:r>
    </w:p>
    <w:p>
      <w:pPr>
        <w:spacing w:after="0" w:line="93" w:lineRule="exact"/>
        <w:rPr>
          <w:sz w:val="20"/>
          <w:szCs w:val="20"/>
          <w:color w:val="auto"/>
        </w:rPr>
      </w:pPr>
    </w:p>
    <w:p>
      <w:pPr>
        <w:ind w:left="8" w:right="60" w:firstLine="497"/>
        <w:spacing w:after="0" w:line="265" w:lineRule="auto"/>
        <w:rPr>
          <w:sz w:val="20"/>
          <w:szCs w:val="20"/>
          <w:color w:val="auto"/>
        </w:rPr>
      </w:pPr>
      <w:r>
        <w:rPr>
          <w:rFonts w:ascii="Times New Roman" w:cs="Times New Roman" w:eastAsia="Times New Roman" w:hAnsi="Times New Roman"/>
          <w:sz w:val="12"/>
          <w:szCs w:val="12"/>
          <w:color w:val="auto"/>
        </w:rPr>
        <w:t>The parties acknowledge that the Agreement was previously amended by, among other amendments, that certain Amendment (internal MSCI reference: AMD_00119881.0) dated as of January 23, 2014 (the “</w:t>
      </w:r>
      <w:r>
        <w:rPr>
          <w:rFonts w:ascii="Times New Roman" w:cs="Times New Roman" w:eastAsia="Times New Roman" w:hAnsi="Times New Roman"/>
          <w:sz w:val="12"/>
          <w:szCs w:val="12"/>
          <w:u w:val="single" w:color="auto"/>
          <w:color w:val="auto"/>
        </w:rPr>
        <w:t>Previous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This Amendment shall supplement and operate in conjunction with the Previous Amendment. Capitalized terms used but not defined in this Amendment shall have the meanings ascribed to them in the Agreement or the Previous Amendment, as the case may be.</w:t>
      </w:r>
    </w:p>
    <w:p>
      <w:pPr>
        <w:spacing w:after="0" w:line="92" w:lineRule="exact"/>
        <w:rPr>
          <w:sz w:val="20"/>
          <w:szCs w:val="20"/>
          <w:color w:val="auto"/>
        </w:rPr>
      </w:pPr>
    </w:p>
    <w:p>
      <w:pPr>
        <w:ind w:left="368" w:hanging="368"/>
        <w:spacing w:after="0"/>
        <w:tabs>
          <w:tab w:leader="none" w:pos="368"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123" w:lineRule="exact"/>
        <w:rPr>
          <w:rFonts w:ascii="Times New Roman" w:cs="Times New Roman" w:eastAsia="Times New Roman" w:hAnsi="Times New Roman"/>
          <w:sz w:val="12"/>
          <w:szCs w:val="12"/>
          <w:color w:val="auto"/>
        </w:rPr>
      </w:pPr>
    </w:p>
    <w:p>
      <w:pPr>
        <w:ind w:left="3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MSCI Europe Minimum Volatility (USD) 100% Hedged to USD Index</w:t>
      </w:r>
    </w:p>
    <w:p>
      <w:pPr>
        <w:spacing w:after="0" w:line="132"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23"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2"/>
          <w:szCs w:val="12"/>
          <w:color w:val="auto"/>
        </w:rPr>
        <w:t>Licensee may use the Indexes set forth in Section 1 above solely with respect to the following Funds (each, a “Hedg</w:t>
      </w:r>
      <w:r>
        <w:rPr>
          <w:rFonts w:ascii="Times New Roman" w:cs="Times New Roman" w:eastAsia="Times New Roman" w:hAnsi="Times New Roman"/>
          <w:sz w:val="12"/>
          <w:szCs w:val="12"/>
          <w:u w:val="single" w:color="auto"/>
          <w:color w:val="auto"/>
        </w:rPr>
        <w:t>ed ETF</w:t>
      </w:r>
      <w:r>
        <w:rPr>
          <w:rFonts w:ascii="Times New Roman" w:cs="Times New Roman" w:eastAsia="Times New Roman" w:hAnsi="Times New Roman"/>
          <w:sz w:val="12"/>
          <w:szCs w:val="12"/>
          <w:color w:val="auto"/>
        </w:rPr>
        <w:t>” and each Hedged ETF shall also be a “Fund” as such term is defined in the Agreement):</w:t>
      </w:r>
    </w:p>
    <w:p>
      <w:pPr>
        <w:spacing w:after="0" w:line="123" w:lineRule="exact"/>
        <w:rPr>
          <w:sz w:val="20"/>
          <w:szCs w:val="20"/>
          <w:color w:val="auto"/>
        </w:rPr>
      </w:pPr>
    </w:p>
    <w:p>
      <w:pPr>
        <w:ind w:left="368" w:right="7420" w:hanging="5"/>
        <w:spacing w:after="0" w:line="469" w:lineRule="auto"/>
        <w:rPr>
          <w:sz w:val="20"/>
          <w:szCs w:val="20"/>
          <w:color w:val="auto"/>
        </w:rPr>
      </w:pPr>
      <w:r>
        <w:rPr>
          <w:rFonts w:ascii="Times New Roman" w:cs="Times New Roman" w:eastAsia="Times New Roman" w:hAnsi="Times New Roman"/>
          <w:sz w:val="12"/>
          <w:szCs w:val="12"/>
          <w:color w:val="auto"/>
        </w:rPr>
        <w:t>•iShares Currency Hedged MSCI Europe Minimum Volatility ETF Or such other names as agreed by Licensee and MSCI in writing.</w:t>
      </w:r>
    </w:p>
    <w:p>
      <w:pPr>
        <w:ind w:left="368"/>
        <w:spacing w:after="0"/>
        <w:rPr>
          <w:sz w:val="20"/>
          <w:szCs w:val="20"/>
          <w:color w:val="auto"/>
        </w:rPr>
      </w:pPr>
      <w:r>
        <w:rPr>
          <w:rFonts w:ascii="Times New Roman" w:cs="Times New Roman" w:eastAsia="Times New Roman" w:hAnsi="Times New Roman"/>
          <w:sz w:val="12"/>
          <w:szCs w:val="12"/>
          <w:color w:val="auto"/>
        </w:rPr>
        <w:t>The Hedged ETFs shall be exchange traded index funds listed on a national securities exchange located in the United States.</w:t>
      </w:r>
    </w:p>
    <w:p>
      <w:pPr>
        <w:spacing w:after="0" w:line="123" w:lineRule="exact"/>
        <w:rPr>
          <w:sz w:val="20"/>
          <w:szCs w:val="20"/>
          <w:color w:val="auto"/>
        </w:rPr>
      </w:pPr>
    </w:p>
    <w:p>
      <w:pPr>
        <w:ind w:left="368" w:hanging="368"/>
        <w:spacing w:after="0"/>
        <w:tabs>
          <w:tab w:leader="none" w:pos="368" w:val="left"/>
        </w:tabs>
        <w:numPr>
          <w:ilvl w:val="0"/>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payable with respect to the Hedged ETFs:</w:t>
      </w:r>
    </w:p>
    <w:p>
      <w:pPr>
        <w:spacing w:after="0" w:line="123" w:lineRule="exact"/>
        <w:rPr>
          <w:sz w:val="20"/>
          <w:szCs w:val="20"/>
          <w:color w:val="auto"/>
        </w:rPr>
      </w:pPr>
    </w:p>
    <w:p>
      <w:pPr>
        <w:ind w:left="368" w:hanging="368"/>
        <w:spacing w:after="0"/>
        <w:tabs>
          <w:tab w:leader="none" w:pos="36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Definitions: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used in this Amendment, the following terms shall have the meanings set forth below.</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Un-Hedged ETF</w:t>
      </w:r>
      <w:r>
        <w:rPr>
          <w:rFonts w:ascii="Times New Roman" w:cs="Times New Roman" w:eastAsia="Times New Roman" w:hAnsi="Times New Roman"/>
          <w:sz w:val="12"/>
          <w:szCs w:val="12"/>
          <w:color w:val="auto"/>
        </w:rPr>
        <w:t>” means, for each *************************************************************** set forth in the following table:</w:t>
      </w:r>
    </w:p>
    <w:p>
      <w:pPr>
        <w:spacing w:after="0" w:line="132" w:lineRule="exact"/>
        <w:rPr>
          <w:sz w:val="20"/>
          <w:szCs w:val="20"/>
          <w:color w:val="auto"/>
        </w:rPr>
      </w:pPr>
    </w:p>
    <w:p>
      <w:pPr>
        <w:ind w:left="4748"/>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474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74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AUM</w:t>
      </w:r>
      <w:r>
        <w:rPr>
          <w:rFonts w:ascii="Times New Roman" w:cs="Times New Roman" w:eastAsia="Times New Roman" w:hAnsi="Times New Roman"/>
          <w:sz w:val="12"/>
          <w:szCs w:val="12"/>
          <w:color w:val="auto"/>
        </w:rPr>
        <w:t>” means, for any *********** or any ***********, the ************************************************</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Reinvested AUM</w:t>
      </w:r>
      <w:r>
        <w:rPr>
          <w:rFonts w:ascii="Times New Roman" w:cs="Times New Roman" w:eastAsia="Times New Roman" w:hAnsi="Times New Roman"/>
          <w:sz w:val="12"/>
          <w:szCs w:val="12"/>
          <w:color w:val="auto"/>
        </w:rPr>
        <w:t>” means, for each ***********, the ********************************************************</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Unreinvestcd AUM</w:t>
      </w:r>
      <w:r>
        <w:rPr>
          <w:rFonts w:ascii="Times New Roman" w:cs="Times New Roman" w:eastAsia="Times New Roman" w:hAnsi="Times New Roman"/>
          <w:sz w:val="12"/>
          <w:szCs w:val="12"/>
          <w:color w:val="auto"/>
        </w:rPr>
        <w:t>” means, for each ***********, the *******************************************************</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2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189470" cy="11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2"/>
          <w:szCs w:val="12"/>
          <w:color w:val="auto"/>
        </w:rPr>
        <w:t>A.N.:130339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AMD_00178567.0</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avoidance of doubt, the total of the *********** and the *********** of any *********** during the relevant ***********, must equal the *********************************************************.</w:t>
      </w:r>
    </w:p>
    <w:p>
      <w:pPr>
        <w:spacing w:after="0" w:line="132" w:lineRule="exact"/>
        <w:rPr>
          <w:sz w:val="20"/>
          <w:szCs w:val="20"/>
          <w:color w:val="auto"/>
        </w:rPr>
      </w:pPr>
    </w:p>
    <w:p>
      <w:pPr>
        <w:ind w:left="368" w:hanging="368"/>
        <w:spacing w:after="0"/>
        <w:tabs>
          <w:tab w:leader="none" w:pos="368"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Calculation of Fees.</w:t>
      </w:r>
    </w:p>
    <w:p>
      <w:pPr>
        <w:spacing w:after="0" w:line="123" w:lineRule="exact"/>
        <w:rPr>
          <w:sz w:val="20"/>
          <w:szCs w:val="20"/>
          <w:color w:val="auto"/>
        </w:rPr>
      </w:pPr>
    </w:p>
    <w:p>
      <w:pPr>
        <w:ind w:left="8" w:right="100"/>
        <w:spacing w:after="0" w:line="257" w:lineRule="auto"/>
        <w:rPr>
          <w:sz w:val="20"/>
          <w:szCs w:val="20"/>
          <w:color w:val="auto"/>
        </w:rPr>
      </w:pPr>
      <w:r>
        <w:rPr>
          <w:rFonts w:ascii="Times New Roman" w:cs="Times New Roman" w:eastAsia="Times New Roman" w:hAnsi="Times New Roman"/>
          <w:sz w:val="12"/>
          <w:szCs w:val="12"/>
          <w:color w:val="auto"/>
        </w:rPr>
        <w:t>For each ***********, Licensee shall pay *********** fees to MSCI. Such *********** fees shall be determined with reference to the *********** fees peyote under the ***********. Specifically, the *********** fees for each *********** shall be determined by ********************************************************************************************************* ********************************************************************************************************* ******************************************************************************************************** ***********************************************************************************************.</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Except for the addition of the *************************************************</w:t>
      </w:r>
    </w:p>
    <w:p>
      <w:pPr>
        <w:spacing w:after="0" w:line="17"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 during the applicable *********** period, the calculation of *********** in accordance with the *********** shall remain unchanged. All fees with respect to the *********** of each *********** shall be due and payable in accordance with the terms of the ***********.</w:t>
      </w:r>
    </w:p>
    <w:p>
      <w:pPr>
        <w:spacing w:after="0" w:line="95" w:lineRule="exact"/>
        <w:rPr>
          <w:sz w:val="20"/>
          <w:szCs w:val="20"/>
          <w:color w:val="auto"/>
        </w:rPr>
      </w:pPr>
    </w:p>
    <w:p>
      <w:pPr>
        <w:ind w:left="8" w:right="4960"/>
        <w:spacing w:after="0" w:line="284" w:lineRule="auto"/>
        <w:rPr>
          <w:sz w:val="20"/>
          <w:szCs w:val="20"/>
          <w:color w:val="auto"/>
        </w:rPr>
      </w:pPr>
      <w:r>
        <w:rPr>
          <w:rFonts w:ascii="Times New Roman" w:cs="Times New Roman" w:eastAsia="Times New Roman" w:hAnsi="Times New Roman"/>
          <w:sz w:val="11"/>
          <w:szCs w:val="11"/>
          <w:color w:val="auto"/>
        </w:rPr>
        <w:t>For the avoidance of doubt, there shall be no ************************************************** with respect to the *********** of any ***********. By way of explanation, the parties believe that, because the ***************************************************** fees on the ************************ ********************************************************************************************************* ********************************************************************************************************** **********************.</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parties acknowledge and agree that the *********** of each *********** shall be used for purposes of</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If the *********** is terminated or expires without being replaced for any reason in any *********** or if any ***********ceases to exist or to be subject to the terms of the ******************** *************************</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any reason in any</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then, notwithstanding anything to the contrary in this Amendment, from the date of such occurrence, Licensee shall</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fees to MSCI with respect to each *********** that are *******************************************</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8" w:right="5140"/>
        <w:spacing w:after="0" w:line="286" w:lineRule="auto"/>
        <w:rPr>
          <w:sz w:val="20"/>
          <w:szCs w:val="20"/>
          <w:color w:val="auto"/>
        </w:rPr>
      </w:pPr>
      <w:r>
        <w:rPr>
          <w:rFonts w:ascii="Times New Roman" w:cs="Times New Roman" w:eastAsia="Times New Roman" w:hAnsi="Times New Roman"/>
          <w:sz w:val="11"/>
          <w:szCs w:val="11"/>
          <w:color w:val="auto"/>
        </w:rPr>
        <w:t>If any ***************************************** or if any *********** has an ***********, the license fee for such *********** shall equal ********************************************************************* ***********************. For purposes of clarity, if ********************************************************** ******, but the *********** continues to exist, the *********** of such ***********, as set forth above, shall continue to *************************************************************.</w:t>
      </w:r>
    </w:p>
    <w:p>
      <w:pPr>
        <w:spacing w:after="0" w:line="92" w:lineRule="exact"/>
        <w:rPr>
          <w:sz w:val="20"/>
          <w:szCs w:val="20"/>
          <w:color w:val="auto"/>
        </w:rPr>
      </w:pPr>
    </w:p>
    <w:p>
      <w:pPr>
        <w:ind w:left="368" w:hanging="368"/>
        <w:spacing w:after="0"/>
        <w:tabs>
          <w:tab w:leader="none" w:pos="368" w:val="left"/>
        </w:tabs>
        <w:numPr>
          <w:ilvl w:val="0"/>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Reporting.</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Within *********** days of the end of each ***********, Licensee shall report to MSCI</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For the avoidance of doubt, if the inception date or the termination date of any Hedged ETF is any day other thin the first day or last day (respectively) of a</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368" w:hanging="368"/>
        <w:spacing w:after="0"/>
        <w:tabs>
          <w:tab w:leader="none" w:pos="368" w:val="left"/>
        </w:tabs>
        <w:numPr>
          <w:ilvl w:val="0"/>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78" w:lineRule="exact"/>
        <w:rPr>
          <w:rFonts w:ascii="Times New Roman" w:cs="Times New Roman" w:eastAsia="Times New Roman" w:hAnsi="Times New Roman"/>
          <w:sz w:val="12"/>
          <w:szCs w:val="12"/>
          <w:color w:val="auto"/>
        </w:rPr>
      </w:pPr>
    </w:p>
    <w:p>
      <w:pPr>
        <w:ind w:left="728" w:right="320" w:hanging="368"/>
        <w:spacing w:after="0" w:line="279" w:lineRule="auto"/>
        <w:tabs>
          <w:tab w:leader="none" w:pos="728" w:val="left"/>
        </w:tabs>
        <w:numPr>
          <w:ilvl w:val="1"/>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or the Previous Amendment, this Amendment shall control. No right or license of any kind is granted to Licensee except as expressly provided in the Agreement, the Previous Amendment and this Amendment.</w:t>
      </w:r>
    </w:p>
    <w:p>
      <w:pPr>
        <w:spacing w:after="0" w:line="39"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any Index set forth in Section 1 if, within one (1) year of the date of this Amendment, Licensee does not list a Hedged ETF that is based on such Index.</w:t>
      </w:r>
    </w:p>
    <w:p>
      <w:pPr>
        <w:spacing w:after="0" w:line="87" w:lineRule="exact"/>
        <w:rPr>
          <w:rFonts w:ascii="Times New Roman" w:cs="Times New Roman" w:eastAsia="Times New Roman" w:hAnsi="Times New Roman"/>
          <w:sz w:val="12"/>
          <w:szCs w:val="12"/>
          <w:color w:val="auto"/>
        </w:rPr>
      </w:pPr>
    </w:p>
    <w:p>
      <w:pPr>
        <w:ind w:left="728" w:right="440" w:hanging="368"/>
        <w:spacing w:after="0" w:line="279" w:lineRule="auto"/>
        <w:tabs>
          <w:tab w:leader="none" w:pos="728" w:val="left"/>
        </w:tabs>
        <w:numPr>
          <w:ilvl w:val="1"/>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deists any Hedged ETF or changes the underlying Index for such Hedged ETF, Licensee’s right to use the relevant Index set forth in Section 1 with respect to such Hedged ETF shall automatically and immediately terminate.</w:t>
      </w:r>
    </w:p>
    <w:p>
      <w:pPr>
        <w:spacing w:after="0" w:line="39"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3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189470"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2"/>
          <w:szCs w:val="12"/>
          <w:color w:val="auto"/>
        </w:rPr>
        <w:t>A.N.:130339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AMD_00178567.0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440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88"/>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MSCI Inc.</w:t>
            </w:r>
          </w:p>
        </w:tc>
        <w:tc>
          <w:tcPr>
            <w:tcW w:w="3380" w:type="dxa"/>
            <w:vAlign w:val="bottom"/>
          </w:tcPr>
          <w:p>
            <w:pPr>
              <w:spacing w:after="0"/>
              <w:rPr>
                <w:sz w:val="24"/>
                <w:szCs w:val="24"/>
                <w:color w:val="auto"/>
              </w:rPr>
            </w:pPr>
          </w:p>
        </w:tc>
      </w:tr>
      <w:tr>
        <w:trPr>
          <w:trHeight w:val="288"/>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Manish Mehta</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By:</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David Kinzelberg</w:t>
            </w:r>
          </w:p>
        </w:tc>
      </w:tr>
      <w:tr>
        <w:trPr>
          <w:trHeight w:val="277"/>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Manish Mehta</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Name:</w:t>
            </w:r>
          </w:p>
        </w:tc>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David Kinzelberg</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Title:</w:t>
            </w:r>
          </w:p>
        </w:tc>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288"/>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September 25, 2015</w:t>
            </w:r>
          </w:p>
        </w:tc>
        <w:tc>
          <w:tcPr>
            <w:tcW w:w="4400" w:type="dxa"/>
            <w:vAlign w:val="bottom"/>
          </w:tcPr>
          <w:p>
            <w:pPr>
              <w:ind w:left="3600"/>
              <w:spacing w:after="0"/>
              <w:rPr>
                <w:sz w:val="20"/>
                <w:szCs w:val="20"/>
                <w:color w:val="auto"/>
              </w:rPr>
            </w:pPr>
            <w:r>
              <w:rPr>
                <w:rFonts w:ascii="Times New Roman" w:cs="Times New Roman" w:eastAsia="Times New Roman" w:hAnsi="Times New Roman"/>
                <w:sz w:val="12"/>
                <w:szCs w:val="12"/>
                <w:color w:val="auto"/>
              </w:rPr>
              <w:t>Date</w:t>
            </w:r>
          </w:p>
        </w:tc>
        <w:tc>
          <w:tcPr>
            <w:tcW w:w="3380" w:type="dxa"/>
            <w:vAlign w:val="bottom"/>
          </w:tcPr>
          <w:p>
            <w:pPr>
              <w:spacing w:after="0"/>
              <w:rPr>
                <w:sz w:val="24"/>
                <w:szCs w:val="24"/>
                <w:color w:val="auto"/>
              </w:rPr>
            </w:pPr>
          </w:p>
        </w:tc>
      </w:tr>
      <w:tr>
        <w:trPr>
          <w:trHeight w:val="585"/>
        </w:trPr>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0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3/3</w:t>
            </w:r>
          </w:p>
        </w:tc>
        <w:tc>
          <w:tcPr>
            <w:tcW w:w="3380" w:type="dxa"/>
            <w:vAlign w:val="bottom"/>
          </w:tcPr>
          <w:p>
            <w:pPr>
              <w:spacing w:after="0"/>
              <w:rPr>
                <w:sz w:val="24"/>
                <w:szCs w:val="24"/>
                <w:color w:val="auto"/>
              </w:rPr>
            </w:pPr>
          </w:p>
        </w:tc>
      </w:tr>
    </w:tbl>
    <w:p>
      <w:pPr>
        <w:sectPr>
          <w:pgSz w:w="11900" w:h="16838" w:orient="portrait"/>
          <w:cols w:equalWidth="0" w:num="1">
            <w:col w:w="11300"/>
          </w:cols>
          <w:pgMar w:left="300" w:top="273" w:right="299" w:bottom="1440" w:gutter="0" w:footer="0" w:header="0"/>
        </w:sectPr>
      </w:pPr>
    </w:p>
    <w:bookmarkStart w:id="228" w:name="page229"/>
    <w:bookmarkEnd w:id="228"/>
    <w:p>
      <w:pPr>
        <w:ind w:left="10568"/>
        <w:spacing w:after="0"/>
        <w:rPr>
          <w:sz w:val="20"/>
          <w:szCs w:val="20"/>
          <w:color w:val="auto"/>
        </w:rPr>
      </w:pPr>
      <w:r>
        <w:rPr>
          <w:rFonts w:ascii="Times New Roman" w:cs="Times New Roman" w:eastAsia="Times New Roman" w:hAnsi="Times New Roman"/>
          <w:sz w:val="11"/>
          <w:szCs w:val="11"/>
          <w:b w:val="1"/>
          <w:bCs w:val="1"/>
          <w:color w:val="auto"/>
        </w:rPr>
        <w:t>Exhibit 10.119</w:t>
      </w:r>
    </w:p>
    <w:p>
      <w:pPr>
        <w:spacing w:after="0" w:line="162" w:lineRule="exact"/>
        <w:rPr>
          <w:sz w:val="20"/>
          <w:szCs w:val="20"/>
          <w:color w:val="auto"/>
        </w:rPr>
      </w:pPr>
    </w:p>
    <w:p>
      <w:pPr>
        <w:ind w:left="8" w:hanging="8"/>
        <w:spacing w:after="0" w:line="286" w:lineRule="auto"/>
        <w:tabs>
          <w:tab w:leader="none" w:pos="220" w:val="left"/>
        </w:tabs>
        <w:numPr>
          <w:ilvl w:val="0"/>
          <w:numId w:val="3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AMD_00178569.0</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August 3, 2015</w:t>
      </w:r>
    </w:p>
    <w:p>
      <w:pPr>
        <w:spacing w:after="0" w:line="123" w:lineRule="exact"/>
        <w:rPr>
          <w:sz w:val="20"/>
          <w:szCs w:val="20"/>
          <w:color w:val="auto"/>
        </w:rPr>
      </w:pPr>
    </w:p>
    <w:p>
      <w:pPr>
        <w:ind w:left="8" w:right="200"/>
        <w:spacing w:after="0" w:line="279"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(internal MSCI reference: IXF_00040) dated as of March 18, 2000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between MSCI Inc. (formerly known as Morgan Stanley Capital International Inc.) (“MSCI”)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w:t>
      </w:r>
    </w:p>
    <w:p>
      <w:pPr>
        <w:spacing w:after="0" w:line="93" w:lineRule="exact"/>
        <w:rPr>
          <w:sz w:val="20"/>
          <w:szCs w:val="20"/>
          <w:color w:val="auto"/>
        </w:rPr>
      </w:pPr>
    </w:p>
    <w:p>
      <w:pPr>
        <w:ind w:left="8" w:right="200"/>
        <w:spacing w:after="0" w:line="265" w:lineRule="auto"/>
        <w:rPr>
          <w:sz w:val="20"/>
          <w:szCs w:val="20"/>
          <w:color w:val="auto"/>
        </w:rPr>
      </w:pPr>
      <w:r>
        <w:rPr>
          <w:rFonts w:ascii="Times New Roman" w:cs="Times New Roman" w:eastAsia="Times New Roman" w:hAnsi="Times New Roman"/>
          <w:sz w:val="12"/>
          <w:szCs w:val="12"/>
          <w:color w:val="auto"/>
        </w:rPr>
        <w:t>The parties acknowledge that the Agreement was previously amended by, among other amendments, that certain Amendment (internal MSCI reference: AMD_00135107.0) dated as of August 15, 2014 (the “</w:t>
      </w:r>
      <w:r>
        <w:rPr>
          <w:rFonts w:ascii="Times New Roman" w:cs="Times New Roman" w:eastAsia="Times New Roman" w:hAnsi="Times New Roman"/>
          <w:sz w:val="12"/>
          <w:szCs w:val="12"/>
          <w:u w:val="single" w:color="auto"/>
          <w:color w:val="auto"/>
        </w:rPr>
        <w:t>Previous Amendment</w:t>
      </w:r>
      <w:r>
        <w:rPr>
          <w:rFonts w:ascii="Times New Roman" w:cs="Times New Roman" w:eastAsia="Times New Roman" w:hAnsi="Times New Roman"/>
          <w:sz w:val="12"/>
          <w:szCs w:val="12"/>
          <w:color w:val="auto"/>
        </w:rPr>
        <w:t>”). This Amendment shall supplement and operate in conjunction with the Previous Amendment. Capitalized terms used but not defined in this Amendment shall have the meanings ascribed to them in the Agreement or the Previous Amendment, as the case may be.</w:t>
      </w:r>
    </w:p>
    <w:p>
      <w:pPr>
        <w:spacing w:after="0" w:line="92" w:lineRule="exact"/>
        <w:rPr>
          <w:sz w:val="20"/>
          <w:szCs w:val="20"/>
          <w:color w:val="auto"/>
        </w:rPr>
      </w:pPr>
    </w:p>
    <w:p>
      <w:pPr>
        <w:ind w:left="368" w:hanging="368"/>
        <w:spacing w:after="0"/>
        <w:tabs>
          <w:tab w:leader="none" w:pos="368" w:val="left"/>
        </w:tabs>
        <w:numPr>
          <w:ilvl w:val="0"/>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78" w:lineRule="exact"/>
        <w:rPr>
          <w:rFonts w:ascii="Times New Roman" w:cs="Times New Roman" w:eastAsia="Times New Roman" w:hAnsi="Times New Roman"/>
          <w:sz w:val="12"/>
          <w:szCs w:val="12"/>
          <w:color w:val="auto"/>
        </w:rPr>
      </w:pPr>
    </w:p>
    <w:p>
      <w:pPr>
        <w:ind w:left="3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MSCI Europe Small Cap 100% Hedged to USD Index</w:t>
      </w:r>
    </w:p>
    <w:p>
      <w:pPr>
        <w:spacing w:after="0" w:line="132"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23" w:lineRule="exact"/>
        <w:rPr>
          <w:sz w:val="20"/>
          <w:szCs w:val="20"/>
          <w:color w:val="auto"/>
        </w:rPr>
      </w:pPr>
    </w:p>
    <w:p>
      <w:pPr>
        <w:ind w:left="8"/>
        <w:spacing w:after="0"/>
        <w:tabs>
          <w:tab w:leader="none" w:pos="348"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2"/>
          <w:szCs w:val="12"/>
          <w:color w:val="auto"/>
        </w:rPr>
        <w:t>Licensee may use the Indexes set forth in Section 1 above solely with respect to the following Funds (each, a “Hedg</w:t>
      </w:r>
      <w:r>
        <w:rPr>
          <w:rFonts w:ascii="Times New Roman" w:cs="Times New Roman" w:eastAsia="Times New Roman" w:hAnsi="Times New Roman"/>
          <w:sz w:val="12"/>
          <w:szCs w:val="12"/>
          <w:u w:val="single" w:color="auto"/>
          <w:color w:val="auto"/>
        </w:rPr>
        <w:t>ed ETF</w:t>
      </w:r>
      <w:r>
        <w:rPr>
          <w:rFonts w:ascii="Times New Roman" w:cs="Times New Roman" w:eastAsia="Times New Roman" w:hAnsi="Times New Roman"/>
          <w:sz w:val="12"/>
          <w:szCs w:val="12"/>
          <w:color w:val="auto"/>
        </w:rPr>
        <w:t>” and each Hedged ETF shall also be a “Fund” as such term is defined in the Agreement):</w:t>
      </w:r>
    </w:p>
    <w:p>
      <w:pPr>
        <w:spacing w:after="0" w:line="78" w:lineRule="exact"/>
        <w:rPr>
          <w:sz w:val="20"/>
          <w:szCs w:val="20"/>
          <w:color w:val="auto"/>
        </w:rPr>
      </w:pPr>
    </w:p>
    <w:p>
      <w:pPr>
        <w:ind w:left="368" w:right="7820" w:hanging="6"/>
        <w:spacing w:after="0" w:line="469" w:lineRule="auto"/>
        <w:rPr>
          <w:sz w:val="20"/>
          <w:szCs w:val="20"/>
          <w:color w:val="auto"/>
        </w:rPr>
      </w:pPr>
      <w:r>
        <w:rPr>
          <w:rFonts w:ascii="Times New Roman" w:cs="Times New Roman" w:eastAsia="Times New Roman" w:hAnsi="Times New Roman"/>
          <w:sz w:val="12"/>
          <w:szCs w:val="12"/>
          <w:color w:val="auto"/>
        </w:rPr>
        <w:t>•iShares Currency Hedged MSCI Europe Small-Cap ETF Or such other names as agreed by Licensee and MSCI in writing.</w:t>
      </w:r>
    </w:p>
    <w:p>
      <w:pPr>
        <w:ind w:left="368"/>
        <w:spacing w:after="0"/>
        <w:rPr>
          <w:sz w:val="20"/>
          <w:szCs w:val="20"/>
          <w:color w:val="auto"/>
        </w:rPr>
      </w:pPr>
      <w:r>
        <w:rPr>
          <w:rFonts w:ascii="Times New Roman" w:cs="Times New Roman" w:eastAsia="Times New Roman" w:hAnsi="Times New Roman"/>
          <w:sz w:val="12"/>
          <w:szCs w:val="12"/>
          <w:color w:val="auto"/>
        </w:rPr>
        <w:t>The Hedged ETFs shall be exchange traded index funds listed on a national securities exchange located in the United States.</w:t>
      </w:r>
    </w:p>
    <w:p>
      <w:pPr>
        <w:spacing w:after="0" w:line="123" w:lineRule="exact"/>
        <w:rPr>
          <w:sz w:val="20"/>
          <w:szCs w:val="20"/>
          <w:color w:val="auto"/>
        </w:rPr>
      </w:pPr>
    </w:p>
    <w:p>
      <w:pPr>
        <w:ind w:left="368" w:hanging="368"/>
        <w:spacing w:after="0"/>
        <w:tabs>
          <w:tab w:leader="none" w:pos="368"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payable with respect to the Hedged ETFs:</w:t>
      </w:r>
    </w:p>
    <w:p>
      <w:pPr>
        <w:spacing w:after="0" w:line="123" w:lineRule="exact"/>
        <w:rPr>
          <w:sz w:val="20"/>
          <w:szCs w:val="20"/>
          <w:color w:val="auto"/>
        </w:rPr>
      </w:pPr>
    </w:p>
    <w:p>
      <w:pPr>
        <w:ind w:left="368" w:hanging="368"/>
        <w:spacing w:after="0"/>
        <w:tabs>
          <w:tab w:leader="none" w:pos="368" w:val="left"/>
        </w:tabs>
        <w:numPr>
          <w:ilvl w:val="0"/>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used in this Amendment, the following terms shall have the meanings set forth below:</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Un-Hedged ETF</w:t>
      </w:r>
      <w:r>
        <w:rPr>
          <w:rFonts w:ascii="Times New Roman" w:cs="Times New Roman" w:eastAsia="Times New Roman" w:hAnsi="Times New Roman"/>
          <w:sz w:val="12"/>
          <w:szCs w:val="12"/>
          <w:color w:val="auto"/>
        </w:rPr>
        <w:t>” means, for each ***********, the *********************************************** set forth in the following table:</w:t>
      </w:r>
    </w:p>
    <w:p>
      <w:pPr>
        <w:spacing w:after="0" w:line="123" w:lineRule="exact"/>
        <w:rPr>
          <w:sz w:val="20"/>
          <w:szCs w:val="20"/>
          <w:color w:val="auto"/>
        </w:rPr>
      </w:pPr>
    </w:p>
    <w:p>
      <w:pPr>
        <w:ind w:left="4868"/>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4868"/>
        <w:spacing w:after="0"/>
        <w:rPr>
          <w:sz w:val="20"/>
          <w:szCs w:val="20"/>
          <w:color w:val="auto"/>
        </w:rPr>
      </w:pPr>
      <w:r>
        <w:rPr>
          <w:rFonts w:ascii="Times New Roman" w:cs="Times New Roman" w:eastAsia="Times New Roman" w:hAnsi="Times New Roman"/>
          <w:sz w:val="12"/>
          <w:szCs w:val="12"/>
          <w:color w:val="auto"/>
        </w:rPr>
        <w:t>**************************</w:t>
      </w:r>
    </w:p>
    <w:p>
      <w:pPr>
        <w:spacing w:after="0" w:line="132" w:lineRule="exact"/>
        <w:rPr>
          <w:sz w:val="20"/>
          <w:szCs w:val="20"/>
          <w:color w:val="auto"/>
        </w:rPr>
      </w:pPr>
    </w:p>
    <w:p>
      <w:pPr>
        <w:ind w:left="8" w:right="5280"/>
        <w:spacing w:after="0" w:line="291"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Expense Ratio</w:t>
      </w:r>
      <w:r>
        <w:rPr>
          <w:rFonts w:ascii="Times New Roman" w:cs="Times New Roman" w:eastAsia="Times New Roman" w:hAnsi="Times New Roman"/>
          <w:sz w:val="11"/>
          <w:szCs w:val="11"/>
          <w:color w:val="auto"/>
        </w:rPr>
        <w:t>” means the ***********</w:t>
      </w:r>
      <w:r>
        <w:rPr>
          <w:rFonts w:ascii="Times New Roman" w:cs="Times New Roman" w:eastAsia="Times New Roman" w:hAnsi="Times New Roman"/>
          <w:sz w:val="9"/>
          <w:szCs w:val="9"/>
          <w:color w:val="auto"/>
        </w:rPr>
        <w:t>.</w:t>
      </w:r>
      <w:r>
        <w:rPr>
          <w:rFonts w:ascii="Times New Roman" w:cs="Times New Roman" w:eastAsia="Times New Roman" w:hAnsi="Times New Roman"/>
          <w:sz w:val="11"/>
          <w:szCs w:val="11"/>
          <w:color w:val="auto"/>
        </w:rPr>
        <w:t xml:space="preserve"> obtained when dividing ************************************* *********************************** ***************************************************************** ************************************************************************************************ ****************************.</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AUM</w:t>
      </w:r>
      <w:r>
        <w:rPr>
          <w:rFonts w:ascii="Times New Roman" w:cs="Times New Roman" w:eastAsia="Times New Roman" w:hAnsi="Times New Roman"/>
          <w:sz w:val="12"/>
          <w:szCs w:val="12"/>
          <w:color w:val="auto"/>
        </w:rPr>
        <w:t>” means the ******************************************************* *********************************.</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Reinvested AUM</w:t>
      </w:r>
      <w:r>
        <w:rPr>
          <w:rFonts w:ascii="Times New Roman" w:cs="Times New Roman" w:eastAsia="Times New Roman" w:hAnsi="Times New Roman"/>
          <w:sz w:val="12"/>
          <w:szCs w:val="12"/>
          <w:color w:val="auto"/>
        </w:rPr>
        <w:t>” means, for each ***************************************</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189470"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AMD_00178569.0</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Unreinvested AUM</w:t>
      </w:r>
      <w:r>
        <w:rPr>
          <w:rFonts w:ascii="Times New Roman" w:cs="Times New Roman" w:eastAsia="Times New Roman" w:hAnsi="Times New Roman"/>
          <w:sz w:val="12"/>
          <w:szCs w:val="12"/>
          <w:color w:val="auto"/>
        </w:rPr>
        <w:t>” means, for each ***********************************************</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avoidance of doubt, the total of the *********** and the *********** of any *********** during any relevant period must equal the total *****************************************.</w:t>
      </w:r>
    </w:p>
    <w:p>
      <w:pPr>
        <w:spacing w:after="0" w:line="123" w:lineRule="exact"/>
        <w:rPr>
          <w:sz w:val="20"/>
          <w:szCs w:val="20"/>
          <w:color w:val="auto"/>
        </w:rPr>
      </w:pPr>
    </w:p>
    <w:p>
      <w:pPr>
        <w:ind w:left="368" w:hanging="368"/>
        <w:spacing w:after="0"/>
        <w:tabs>
          <w:tab w:leader="none" w:pos="368"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Calculation of Fees: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Each *********** during the term, and for each ***********, Licensee shall pay to MSCI the *********** set forth to the table below ******************* *********************************************************.</w:t>
      </w:r>
    </w:p>
    <w:p>
      <w:pPr>
        <w:spacing w:after="0" w:line="123"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avoidance of doubt, the *********** shall be calculated ***********. For example,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8" w:right="5460"/>
        <w:spacing w:after="0" w:line="279" w:lineRule="auto"/>
        <w:rPr>
          <w:sz w:val="20"/>
          <w:szCs w:val="20"/>
          <w:color w:val="auto"/>
        </w:rPr>
      </w:pPr>
      <w:r>
        <w:rPr>
          <w:rFonts w:ascii="Times New Roman" w:cs="Times New Roman" w:eastAsia="Times New Roman" w:hAnsi="Times New Roman"/>
          <w:sz w:val="12"/>
          <w:szCs w:val="12"/>
          <w:color w:val="auto"/>
        </w:rPr>
        <w:t>For the avoidance of doubt, there shall be no *********** fees due or payable under the ***********with respect to the ***********or the ***********.</w:t>
      </w:r>
    </w:p>
    <w:p>
      <w:pPr>
        <w:spacing w:after="0" w:line="84" w:lineRule="exact"/>
        <w:rPr>
          <w:sz w:val="20"/>
          <w:szCs w:val="20"/>
          <w:color w:val="auto"/>
        </w:rPr>
      </w:pPr>
    </w:p>
    <w:p>
      <w:pPr>
        <w:ind w:left="368" w:hanging="368"/>
        <w:spacing w:after="0"/>
        <w:tabs>
          <w:tab w:leader="none" w:pos="368" w:val="left"/>
        </w:tabs>
        <w:numPr>
          <w:ilvl w:val="0"/>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Reporting:</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Within *********** days of the end of each *********** Licensee shall report to MSCI (i) the AUM,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368" w:hanging="368"/>
        <w:spacing w:after="0"/>
        <w:tabs>
          <w:tab w:leader="none" w:pos="368" w:val="left"/>
        </w:tabs>
        <w:numPr>
          <w:ilvl w:val="0"/>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69" w:lineRule="exact"/>
        <w:rPr>
          <w:rFonts w:ascii="Times New Roman" w:cs="Times New Roman" w:eastAsia="Times New Roman" w:hAnsi="Times New Roman"/>
          <w:sz w:val="12"/>
          <w:szCs w:val="12"/>
          <w:color w:val="auto"/>
        </w:rPr>
      </w:pPr>
    </w:p>
    <w:p>
      <w:pPr>
        <w:ind w:left="728" w:right="320" w:hanging="368"/>
        <w:spacing w:after="0" w:line="279" w:lineRule="auto"/>
        <w:tabs>
          <w:tab w:leader="none" w:pos="728" w:val="left"/>
        </w:tabs>
        <w:numPr>
          <w:ilvl w:val="1"/>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or the Previous Amendment, this Amendment shall control. No right or license of any kind is granted to Licensee except as expressly provided in the Agreement, the Previous Amendment and this Amendment.</w:t>
      </w:r>
    </w:p>
    <w:p>
      <w:pPr>
        <w:spacing w:after="0" w:line="39"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any Index set forth in Section 1 if, within one (1) year of the date of this Amendment, Licensee does not list a Hedged ETF that is based on such Index.</w:t>
      </w:r>
    </w:p>
    <w:p>
      <w:pPr>
        <w:spacing w:after="0" w:line="87" w:lineRule="exact"/>
        <w:rPr>
          <w:rFonts w:ascii="Times New Roman" w:cs="Times New Roman" w:eastAsia="Times New Roman" w:hAnsi="Times New Roman"/>
          <w:sz w:val="12"/>
          <w:szCs w:val="12"/>
          <w:color w:val="auto"/>
        </w:rPr>
      </w:pPr>
    </w:p>
    <w:p>
      <w:pPr>
        <w:ind w:left="728" w:right="400" w:hanging="368"/>
        <w:spacing w:after="0" w:line="279" w:lineRule="auto"/>
        <w:tabs>
          <w:tab w:leader="none" w:pos="728" w:val="left"/>
        </w:tabs>
        <w:numPr>
          <w:ilvl w:val="1"/>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any Hedged ETF or changes the underlying Index for such Hedged ETF, Licensee’s right to use the relevant Index set forth in Section 1 with respect to such Hedged ETF shall automatically and immediately terminate.</w:t>
      </w:r>
    </w:p>
    <w:p>
      <w:pPr>
        <w:spacing w:after="0" w:line="39" w:lineRule="exact"/>
        <w:rPr>
          <w:rFonts w:ascii="Times New Roman" w:cs="Times New Roman" w:eastAsia="Times New Roman" w:hAnsi="Times New Roman"/>
          <w:sz w:val="12"/>
          <w:szCs w:val="12"/>
          <w:color w:val="auto"/>
        </w:rPr>
      </w:pPr>
    </w:p>
    <w:p>
      <w:pPr>
        <w:ind w:left="728" w:hanging="368"/>
        <w:spacing w:after="0"/>
        <w:tabs>
          <w:tab w:leader="none" w:pos="728" w:val="left"/>
        </w:tabs>
        <w:numPr>
          <w:ilvl w:val="1"/>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3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18947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426" w:right="29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AMD_00178569.0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720" w:type="dxa"/>
            <w:vAlign w:val="bottom"/>
          </w:tcPr>
          <w:p>
            <w:pPr>
              <w:spacing w:after="0"/>
              <w:rPr>
                <w:sz w:val="12"/>
                <w:szCs w:val="12"/>
                <w:color w:val="auto"/>
              </w:rPr>
            </w:pPr>
          </w:p>
        </w:tc>
        <w:tc>
          <w:tcPr>
            <w:tcW w:w="5020" w:type="dxa"/>
            <w:vAlign w:val="bottom"/>
          </w:tcPr>
          <w:p>
            <w:pPr>
              <w:spacing w:after="0"/>
              <w:rPr>
                <w:sz w:val="12"/>
                <w:szCs w:val="12"/>
                <w:color w:val="auto"/>
              </w:rPr>
            </w:pPr>
          </w:p>
        </w:tc>
      </w:tr>
      <w:tr>
        <w:trPr>
          <w:trHeight w:val="155"/>
        </w:trPr>
        <w:tc>
          <w:tcPr>
            <w:tcW w:w="5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MSCI INC.</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Manish Mehta</w:t>
            </w:r>
          </w:p>
        </w:tc>
        <w:tc>
          <w:tcPr>
            <w:tcW w:w="7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122"/>
        </w:trPr>
        <w:tc>
          <w:tcPr>
            <w:tcW w:w="5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Manish Mehta</w:t>
            </w:r>
          </w:p>
        </w:tc>
        <w:tc>
          <w:tcPr>
            <w:tcW w:w="720" w:type="dxa"/>
            <w:vAlign w:val="bottom"/>
          </w:tcPr>
          <w:p>
            <w:pPr>
              <w:ind w:left="1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Alex Gil</w:t>
            </w:r>
          </w:p>
        </w:tc>
      </w:tr>
      <w:tr>
        <w:trPr>
          <w:trHeight w:val="144"/>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7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155"/>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September 25, 2015</w:t>
            </w:r>
          </w:p>
        </w:tc>
        <w:tc>
          <w:tcPr>
            <w:tcW w:w="7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Date:</w:t>
            </w:r>
          </w:p>
        </w:tc>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Nov 12, 2015</w:t>
            </w:r>
          </w:p>
        </w:tc>
      </w:tr>
      <w:tr>
        <w:trPr>
          <w:trHeight w:val="666"/>
        </w:trPr>
        <w:tc>
          <w:tcPr>
            <w:tcW w:w="5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3/3</w:t>
            </w:r>
          </w:p>
        </w:tc>
        <w:tc>
          <w:tcPr>
            <w:tcW w:w="5020" w:type="dxa"/>
            <w:vAlign w:val="bottom"/>
          </w:tcPr>
          <w:p>
            <w:pPr>
              <w:spacing w:after="0"/>
              <w:rPr>
                <w:sz w:val="24"/>
                <w:szCs w:val="24"/>
                <w:color w:val="auto"/>
              </w:rPr>
            </w:pPr>
          </w:p>
        </w:tc>
      </w:tr>
    </w:tbl>
    <w:p>
      <w:pPr>
        <w:sectPr>
          <w:pgSz w:w="11900" w:h="16838" w:orient="portrait"/>
          <w:cols w:equalWidth="0" w:num="1">
            <w:col w:w="11300"/>
          </w:cols>
          <w:pgMar w:left="300" w:top="273" w:right="299" w:bottom="1440" w:gutter="0" w:footer="0" w:header="0"/>
        </w:sectPr>
      </w:pPr>
    </w:p>
    <w:bookmarkStart w:id="231" w:name="page232"/>
    <w:bookmarkEnd w:id="231"/>
    <w:p>
      <w:pPr>
        <w:ind w:left="10568"/>
        <w:spacing w:after="0"/>
        <w:rPr>
          <w:sz w:val="20"/>
          <w:szCs w:val="20"/>
          <w:color w:val="auto"/>
        </w:rPr>
      </w:pPr>
      <w:r>
        <w:rPr>
          <w:rFonts w:ascii="Times New Roman" w:cs="Times New Roman" w:eastAsia="Times New Roman" w:hAnsi="Times New Roman"/>
          <w:sz w:val="11"/>
          <w:szCs w:val="11"/>
          <w:b w:val="1"/>
          <w:bCs w:val="1"/>
          <w:color w:val="auto"/>
        </w:rPr>
        <w:t>Exhibit 10.120</w:t>
      </w:r>
    </w:p>
    <w:p>
      <w:pPr>
        <w:spacing w:after="0" w:line="135" w:lineRule="exact"/>
        <w:rPr>
          <w:sz w:val="20"/>
          <w:szCs w:val="20"/>
          <w:color w:val="auto"/>
        </w:rPr>
      </w:pPr>
    </w:p>
    <w:p>
      <w:pPr>
        <w:ind w:left="8" w:hanging="8"/>
        <w:spacing w:after="0" w:line="286" w:lineRule="auto"/>
        <w:tabs>
          <w:tab w:leader="none" w:pos="220" w:val="left"/>
        </w:tabs>
        <w:numPr>
          <w:ilvl w:val="0"/>
          <w:numId w:val="3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AMD_00178932.0</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BlackRock Fund Advisors Attention: Jenni Lee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400 Howard Street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San Francisco, California 94105</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August 3, 2015</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Jenni:</w:t>
      </w:r>
    </w:p>
    <w:p>
      <w:pPr>
        <w:spacing w:after="0" w:line="123" w:lineRule="exact"/>
        <w:rPr>
          <w:sz w:val="20"/>
          <w:szCs w:val="20"/>
          <w:color w:val="auto"/>
        </w:rPr>
      </w:pPr>
    </w:p>
    <w:p>
      <w:pPr>
        <w:ind w:left="8" w:right="180"/>
        <w:spacing w:after="0" w:line="265" w:lineRule="auto"/>
        <w:rPr>
          <w:sz w:val="20"/>
          <w:szCs w:val="20"/>
          <w:color w:val="auto"/>
        </w:rPr>
      </w:pPr>
      <w:r>
        <w:rPr>
          <w:rFonts w:ascii="Times New Roman" w:cs="Times New Roman" w:eastAsia="Times New Roman" w:hAnsi="Times New Roman"/>
          <w:sz w:val="12"/>
          <w:szCs w:val="12"/>
          <w:color w:val="auto"/>
        </w:rPr>
        <w:t>Reference is hereby made to the Amendment (MSCI reference: AMD_00135107.0) dated August 15, 2014 (the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(MSCI reference number IXF_00040) dated March 18, 2000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All capitalized terms used but not defined herein shall have the meanings ascribed to them in the Amendment or the Agreement, as the case may be.</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MSCI and Licensee hereby agree as follows:</w:t>
      </w:r>
    </w:p>
    <w:p>
      <w:pPr>
        <w:spacing w:after="0" w:line="123" w:lineRule="exact"/>
        <w:rPr>
          <w:sz w:val="20"/>
          <w:szCs w:val="20"/>
          <w:color w:val="auto"/>
        </w:rPr>
      </w:pPr>
    </w:p>
    <w:p>
      <w:pPr>
        <w:ind w:left="488" w:hanging="488"/>
        <w:spacing w:after="0"/>
        <w:tabs>
          <w:tab w:leader="none" w:pos="488"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commencing on August 3, 2015, the definition of “Expanded AUM” set forth in the Amendment shall be deleted and replaced with the following:</w:t>
      </w:r>
    </w:p>
    <w:p>
      <w:pPr>
        <w:spacing w:after="0" w:line="123"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Expanded AUM</w:t>
      </w:r>
      <w:r>
        <w:rPr>
          <w:rFonts w:ascii="Times New Roman" w:cs="Times New Roman" w:eastAsia="Times New Roman" w:hAnsi="Times New Roman"/>
          <w:sz w:val="12"/>
          <w:szCs w:val="12"/>
          <w:color w:val="auto"/>
        </w:rPr>
        <w:t>” means, for any applicable period, the amount (if any) by which</w:t>
      </w:r>
    </w:p>
    <w:p>
      <w:pPr>
        <w:spacing w:after="0" w:line="1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12" w:lineRule="exact"/>
        <w:rPr>
          <w:rFonts w:ascii="Times New Roman" w:cs="Times New Roman" w:eastAsia="Times New Roman" w:hAnsi="Times New Roman"/>
          <w:sz w:val="12"/>
          <w:szCs w:val="12"/>
          <w:color w:val="auto"/>
        </w:rPr>
      </w:pPr>
    </w:p>
    <w:p>
      <w:pPr>
        <w:ind w:left="488" w:hanging="488"/>
        <w:spacing w:after="0"/>
        <w:tabs>
          <w:tab w:leader="none" w:pos="488"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commencing on August 3, 2015, the following two definitions shall be added to Section 3 of the Amendment:</w:t>
      </w:r>
    </w:p>
    <w:p>
      <w:pPr>
        <w:spacing w:after="0" w:line="123"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Qualified AUM</w:t>
      </w:r>
      <w:r>
        <w:rPr>
          <w:rFonts w:ascii="Times New Roman" w:cs="Times New Roman" w:eastAsia="Times New Roman" w:hAnsi="Times New Roman"/>
          <w:sz w:val="12"/>
          <w:szCs w:val="12"/>
          <w:color w:val="auto"/>
        </w:rPr>
        <w:t>” means, for any applicable period, an amount equal to</w:t>
      </w:r>
    </w:p>
    <w:p>
      <w:pPr>
        <w:spacing w:after="0" w:line="1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Reinvested AUM</w:t>
      </w:r>
      <w:r>
        <w:rPr>
          <w:rFonts w:ascii="Times New Roman" w:cs="Times New Roman" w:eastAsia="Times New Roman" w:hAnsi="Times New Roman"/>
          <w:sz w:val="12"/>
          <w:szCs w:val="12"/>
          <w:color w:val="auto"/>
        </w:rPr>
        <w:t>” means, for any applicable period, that *********** which is directly or indirectly</w:t>
      </w:r>
    </w:p>
    <w:p>
      <w:pPr>
        <w:spacing w:after="0" w:line="1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12" w:lineRule="exact"/>
        <w:rPr>
          <w:rFonts w:ascii="Times New Roman" w:cs="Times New Roman" w:eastAsia="Times New Roman" w:hAnsi="Times New Roman"/>
          <w:sz w:val="12"/>
          <w:szCs w:val="12"/>
          <w:color w:val="auto"/>
        </w:rPr>
      </w:pPr>
    </w:p>
    <w:p>
      <w:pPr>
        <w:ind w:left="488" w:hanging="488"/>
        <w:spacing w:after="0"/>
        <w:tabs>
          <w:tab w:leader="none" w:pos="488"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commencing on August 3, 2015, the following paragraph shall be added to Section 3 of the Amendment:</w:t>
      </w:r>
    </w:p>
    <w:p>
      <w:pPr>
        <w:spacing w:after="0" w:line="123"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 days of the end of each *********** Licensee shall provide to MSCI a</w:t>
      </w:r>
    </w:p>
    <w:p>
      <w:pPr>
        <w:spacing w:after="0" w:line="1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This letter modifies and operates in conjunction with the Amendment. Together this letter, the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any terms of this letter conflict with any terms of the Amendment or the Agreement, the terms of this letter shall control. This letter shall be governed by, and construed in accordance with, the laws of the State of New York without regard to its conflict or choice of laws principles.</w:t>
      </w:r>
    </w:p>
    <w:p>
      <w:pPr>
        <w:spacing w:after="0" w:line="200" w:lineRule="exact"/>
        <w:rPr>
          <w:sz w:val="20"/>
          <w:szCs w:val="20"/>
          <w:color w:val="auto"/>
        </w:rPr>
      </w:pPr>
    </w:p>
    <w:p>
      <w:pPr>
        <w:spacing w:after="0" w:line="3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89470" cy="11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2"/>
          <w:szCs w:val="12"/>
          <w:color w:val="auto"/>
        </w:rPr>
        <w:t>A.N.: 130339 AMD_00178932.0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indicate your agreement with the foregoing by countersigning and returning a copy of this letter.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MSCI Inc.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151"/>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ACCEPTED AND AGREED: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BlackRock Fund Advisors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Manish Mehta</w:t>
            </w:r>
          </w:p>
        </w:tc>
      </w:tr>
      <w:tr>
        <w:trPr>
          <w:trHeight w:val="151"/>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Manish Mehta</w:t>
            </w:r>
          </w:p>
        </w:tc>
      </w:t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r>
    </w:tbl>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180"/>
          </w:cols>
          <w:pgMar w:left="300" w:top="453" w:right="4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2"/>
          <w:szCs w:val="12"/>
          <w:b w:val="1"/>
          <w:bCs w:val="1"/>
          <w:color w:val="auto"/>
        </w:rPr>
        <w:t>Exhibit 10.121</w:t>
      </w:r>
    </w:p>
    <w:p>
      <w:pPr>
        <w:spacing w:after="0" w:line="150" w:lineRule="exact"/>
        <w:rPr>
          <w:sz w:val="20"/>
          <w:szCs w:val="20"/>
          <w:color w:val="auto"/>
        </w:rPr>
      </w:pPr>
    </w:p>
    <w:p>
      <w:pPr>
        <w:ind w:left="8" w:hanging="8"/>
        <w:spacing w:after="0" w:line="286" w:lineRule="auto"/>
        <w:tabs>
          <w:tab w:leader="none" w:pos="220" w:val="left"/>
        </w:tabs>
        <w:numPr>
          <w:ilvl w:val="0"/>
          <w:numId w:val="3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07" w:lineRule="exact"/>
        <w:rPr>
          <w:sz w:val="20"/>
          <w:szCs w:val="20"/>
          <w:color w:val="auto"/>
        </w:rPr>
      </w:pPr>
    </w:p>
    <w:p>
      <w:pPr>
        <w:ind w:left="10548"/>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ind w:left="10288"/>
        <w:spacing w:after="0"/>
        <w:rPr>
          <w:sz w:val="20"/>
          <w:szCs w:val="20"/>
          <w:color w:val="auto"/>
        </w:rPr>
      </w:pPr>
      <w:r>
        <w:rPr>
          <w:rFonts w:ascii="Times New Roman" w:cs="Times New Roman" w:eastAsia="Times New Roman" w:hAnsi="Times New Roman"/>
          <w:sz w:val="12"/>
          <w:szCs w:val="12"/>
          <w:color w:val="auto"/>
        </w:rPr>
        <w:t>AMD_00184380.0</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BlackRock Fund Advisors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Attention: Jenni Lee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400 Howard Street</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San Francisco, California 94105</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October 9, 2015</w:t>
      </w:r>
    </w:p>
    <w:p>
      <w:pPr>
        <w:ind w:left="8"/>
        <w:spacing w:after="0"/>
        <w:rPr>
          <w:sz w:val="20"/>
          <w:szCs w:val="20"/>
          <w:color w:val="auto"/>
        </w:rPr>
      </w:pPr>
      <w:r>
        <w:rPr>
          <w:rFonts w:ascii="Times New Roman" w:cs="Times New Roman" w:eastAsia="Times New Roman" w:hAnsi="Times New Roman"/>
          <w:sz w:val="12"/>
          <w:szCs w:val="12"/>
          <w:color w:val="auto"/>
        </w:rPr>
        <w:t>Dear Jenni:</w:t>
      </w:r>
    </w:p>
    <w:p>
      <w:pPr>
        <w:spacing w:after="0" w:line="102" w:lineRule="exact"/>
        <w:rPr>
          <w:sz w:val="20"/>
          <w:szCs w:val="20"/>
          <w:color w:val="auto"/>
        </w:rPr>
      </w:pPr>
    </w:p>
    <w:p>
      <w:pPr>
        <w:ind w:left="8" w:right="160" w:firstLine="81"/>
        <w:spacing w:after="0" w:line="265" w:lineRule="auto"/>
        <w:rPr>
          <w:sz w:val="20"/>
          <w:szCs w:val="20"/>
          <w:color w:val="auto"/>
        </w:rPr>
      </w:pPr>
      <w:r>
        <w:rPr>
          <w:rFonts w:ascii="Times New Roman" w:cs="Times New Roman" w:eastAsia="Times New Roman" w:hAnsi="Times New Roman"/>
          <w:sz w:val="12"/>
          <w:szCs w:val="12"/>
          <w:color w:val="auto"/>
        </w:rPr>
        <w:t>Reference is hereby made to the Amendment (MSCI reference: AMD_00151505.0) dated April 20, 2015 (“Amendment”) to the Index License Agreement for Funds dated March 18, 2000 (“Agreement”) by and between MSCI Inc. (formerly known as Morgan Stanley Capital International Inc.) (“MSCI”) and BlackRock Fund Advisors, a California corporation (as successor to Barclays Global Investors, N.A.) (“Licensee”). All capitalized terms used but not defined herein shall have the meanings ascribed to them in the Amendment or the Agreement,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MSCI and Licensee hereby agree to modify the Amendment as follows:</w:t>
      </w:r>
    </w:p>
    <w:p>
      <w:pPr>
        <w:spacing w:after="0" w:line="123" w:lineRule="exact"/>
        <w:rPr>
          <w:sz w:val="20"/>
          <w:szCs w:val="20"/>
          <w:color w:val="auto"/>
        </w:rPr>
      </w:pPr>
    </w:p>
    <w:p>
      <w:pPr>
        <w:ind w:left="488" w:hanging="488"/>
        <w:spacing w:after="0"/>
        <w:tabs>
          <w:tab w:leader="none" w:pos="488"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Section 1 of the Amendment, the parties agree to add the following Indexes:</w:t>
      </w:r>
    </w:p>
    <w:p>
      <w:pPr>
        <w:spacing w:after="0" w:line="78"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Energy Diversified Multiple-Factor Capped Index</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Materials Diversified Multiple-Factor Capped Index</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Industrials Diversified Multiple-Factor Capped Index</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Consumer Discretionary Diversified Multiple-Factor Capped Index</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Consumer Staples Diversified Multiple-Factor Capped Index</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Health Care Diversified Multiple-Factor Capped Index</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Financials Diversified Multiple-Factor Capped Index</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Information Technology Diversified Multiple-Factor Capped Index</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Utilities Diversified Multiple-Factor Capped Index</w:t>
      </w:r>
    </w:p>
    <w:p>
      <w:pPr>
        <w:spacing w:after="0" w:line="8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Section 2 of the Amendment, the parties agree to add the following Multi-Factor ETFs:</w:t>
      </w:r>
    </w:p>
    <w:p>
      <w:pPr>
        <w:spacing w:after="0" w:line="78"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FactorPlus MSCI Energy ETF</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FactorPlus MSCI Materials ETF</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FactorPlus MSCI Industrials ETF</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FactorPlus MSCI Consumer Discretionary ETF</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FactorPlus MSCI Consumer Staples ETF</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FactorPlus MSCI Health Care ETF</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FactorPlus MSCI Financials ETF</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FactorPlus MSCI Information Technology ETF</w:t>
      </w:r>
    </w:p>
    <w:p>
      <w:pPr>
        <w:spacing w:after="0" w:line="87" w:lineRule="exact"/>
        <w:rPr>
          <w:rFonts w:ascii="Times New Roman" w:cs="Times New Roman" w:eastAsia="Times New Roman" w:hAnsi="Times New Roman"/>
          <w:sz w:val="12"/>
          <w:szCs w:val="12"/>
          <w:color w:val="auto"/>
        </w:rPr>
      </w:pPr>
    </w:p>
    <w:p>
      <w:pPr>
        <w:ind w:left="988" w:hanging="493"/>
        <w:spacing w:after="0"/>
        <w:tabs>
          <w:tab w:leader="none" w:pos="98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FactorPlus MSCI Utilities ETF</w:t>
      </w:r>
    </w:p>
    <w:p>
      <w:pPr>
        <w:spacing w:after="0" w:line="87" w:lineRule="exact"/>
        <w:rPr>
          <w:rFonts w:ascii="Times New Roman" w:cs="Times New Roman" w:eastAsia="Times New Roman" w:hAnsi="Times New Roman"/>
          <w:sz w:val="12"/>
          <w:szCs w:val="12"/>
          <w:color w:val="auto"/>
        </w:rPr>
      </w:pPr>
    </w:p>
    <w:p>
      <w:pPr>
        <w:ind w:left="488" w:hanging="488"/>
        <w:spacing w:after="0"/>
        <w:tabs>
          <w:tab w:leader="none" w:pos="488"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Section 2 of the Amendment, the parties agree to add the following sentence:</w:t>
      </w:r>
    </w:p>
    <w:p>
      <w:pPr>
        <w:spacing w:after="0" w:line="78"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 for any of the Multi-Factor ETFs refer to ***********, Licensee shall</w:t>
      </w:r>
    </w:p>
    <w:p>
      <w:pPr>
        <w:spacing w:after="0" w:line="1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For the avoidance of doubt, the parties acknowledge that the</w:t>
      </w:r>
    </w:p>
    <w:p>
      <w:pPr>
        <w:spacing w:after="0" w:line="6" w:lineRule="exact"/>
        <w:rPr>
          <w:rFonts w:ascii="Times New Roman" w:cs="Times New Roman" w:eastAsia="Times New Roman" w:hAnsi="Times New Roman"/>
          <w:sz w:val="12"/>
          <w:szCs w:val="12"/>
          <w:color w:val="auto"/>
        </w:rPr>
      </w:pPr>
    </w:p>
    <w:p>
      <w:pPr>
        <w:ind w:left="5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letter modifies and operates in conjunction with the Amendment. Together this letter, the Amendment and the Agreement constitute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89470" cy="114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AMD_00184380.0</w:t>
      </w:r>
    </w:p>
    <w:p>
      <w:pPr>
        <w:spacing w:after="0" w:line="220"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the complete and exclusive statement of the agreement between the parties with respect to the subject matter hereof and supersede in full all prior proposals and understandings, oral or written, relating to such subject matter. To the extent that any terms of this letter conflict with any terms of the Amendment or the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 the terms of this letter shall control. This letter shall be governed by, and construed in accordance with, the laws of the State of New York without regard to its conflict or choice of laws principles.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indicate your agreement with the foregoing by countersigning and returning a copy of this letter.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MSCI Inc.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151"/>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Executive Director</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ACCEPTED AND AGREED: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BlackRock Fund Advisors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Manish Mehta</w:t>
            </w:r>
          </w:p>
        </w:tc>
      </w:tr>
      <w:tr>
        <w:trPr>
          <w:trHeight w:val="151"/>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Manish Mehta</w:t>
            </w:r>
          </w:p>
        </w:tc>
      </w:t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89470" cy="11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AMD_00184380.0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289560</wp:posOffset>
            </wp:positionV>
            <wp:extent cx="3017520" cy="30346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4">
                      <a:extLst>
                        <a:ext uri="{28A0092B-C50C-407E-A947-70E740481C1C}"/>
                      </a:extLst>
                    </a:blip>
                    <a:srcRect/>
                    <a:stretch>
                      <a:fillRect/>
                    </a:stretch>
                  </pic:blipFill>
                  <pic:spPr bwMode="auto">
                    <a:xfrm>
                      <a:off x="0" y="0"/>
                      <a:ext cx="301752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154305</wp:posOffset>
            </wp:positionV>
            <wp:extent cx="7189470" cy="11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160"/>
          </w:cols>
          <w:pgMar w:left="1440" w:top="129" w:right="29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AMD_00184380.0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289560</wp:posOffset>
            </wp:positionV>
            <wp:extent cx="3000375" cy="41548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6">
                      <a:extLst>
                        <a:ext uri="{28A0092B-C50C-407E-A947-70E740481C1C}"/>
                      </a:extLst>
                    </a:blip>
                    <a:srcRect/>
                    <a:stretch>
                      <a:fillRect/>
                    </a:stretch>
                  </pic:blipFill>
                  <pic:spPr bwMode="auto">
                    <a:xfrm>
                      <a:off x="0" y="0"/>
                      <a:ext cx="3000375" cy="415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154305</wp:posOffset>
            </wp:positionV>
            <wp:extent cx="7189470" cy="11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160"/>
          </w:cols>
          <w:pgMar w:left="1440" w:top="129" w:right="2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AMD_00184380.0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289560</wp:posOffset>
            </wp:positionV>
            <wp:extent cx="2994660" cy="38404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8">
                      <a:extLst>
                        <a:ext uri="{28A0092B-C50C-407E-A947-70E740481C1C}"/>
                      </a:extLst>
                    </a:blip>
                    <a:srcRect/>
                    <a:stretch>
                      <a:fillRect/>
                    </a:stretch>
                  </pic:blipFill>
                  <pic:spPr bwMode="auto">
                    <a:xfrm>
                      <a:off x="0" y="0"/>
                      <a:ext cx="2994660"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154305</wp:posOffset>
            </wp:positionV>
            <wp:extent cx="7189470"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160"/>
          </w:cols>
          <w:pgMar w:left="1440" w:top="129" w:right="29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AMD_00184380.0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289560</wp:posOffset>
            </wp:positionV>
            <wp:extent cx="2983230" cy="39490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0">
                      <a:extLst>
                        <a:ext uri="{28A0092B-C50C-407E-A947-70E740481C1C}"/>
                      </a:extLst>
                    </a:blip>
                    <a:srcRect/>
                    <a:stretch>
                      <a:fillRect/>
                    </a:stretch>
                  </pic:blipFill>
                  <pic:spPr bwMode="auto">
                    <a:xfrm>
                      <a:off x="0" y="0"/>
                      <a:ext cx="2983230" cy="394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154305</wp:posOffset>
            </wp:positionV>
            <wp:extent cx="7189470" cy="11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160"/>
          </w:cols>
          <w:pgMar w:left="1440" w:top="129" w:right="2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AMD_00184380.0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289560</wp:posOffset>
            </wp:positionV>
            <wp:extent cx="2954655" cy="28803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2">
                      <a:extLst>
                        <a:ext uri="{28A0092B-C50C-407E-A947-70E740481C1C}"/>
                      </a:extLst>
                    </a:blip>
                    <a:srcRect/>
                    <a:stretch>
                      <a:fillRect/>
                    </a:stretch>
                  </pic:blipFill>
                  <pic:spPr bwMode="auto">
                    <a:xfrm>
                      <a:off x="0" y="0"/>
                      <a:ext cx="295465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60"/>
          </w:cols>
          <w:pgMar w:left="1440" w:top="129" w:right="299" w:bottom="1440" w:gutter="0" w:footer="0" w:header="0"/>
        </w:sectPr>
      </w:pPr>
    </w:p>
    <w:bookmarkStart w:id="240" w:name="page241"/>
    <w:bookmarkEnd w:id="240"/>
    <w:p>
      <w:pPr>
        <w:ind w:left="10568"/>
        <w:spacing w:after="0"/>
        <w:rPr>
          <w:sz w:val="20"/>
          <w:szCs w:val="20"/>
          <w:color w:val="auto"/>
        </w:rPr>
      </w:pPr>
      <w:r>
        <w:rPr>
          <w:rFonts w:ascii="Times New Roman" w:cs="Times New Roman" w:eastAsia="Times New Roman" w:hAnsi="Times New Roman"/>
          <w:sz w:val="11"/>
          <w:szCs w:val="11"/>
          <w:b w:val="1"/>
          <w:bCs w:val="1"/>
          <w:color w:val="auto"/>
        </w:rPr>
        <w:t>Exhibit 10.122</w:t>
      </w:r>
    </w:p>
    <w:p>
      <w:pPr>
        <w:spacing w:after="0" w:line="180" w:lineRule="exact"/>
        <w:rPr>
          <w:sz w:val="20"/>
          <w:szCs w:val="20"/>
          <w:color w:val="auto"/>
        </w:rPr>
      </w:pPr>
    </w:p>
    <w:p>
      <w:pPr>
        <w:ind w:left="8" w:right="600" w:hanging="8"/>
        <w:spacing w:after="0" w:line="281" w:lineRule="auto"/>
        <w:tabs>
          <w:tab w:leader="none" w:pos="239" w:val="left"/>
        </w:tabs>
        <w:numPr>
          <w:ilvl w:val="0"/>
          <w:numId w:val="3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AMD_00190103.0</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BlackRock Fund Advisors, a California corporation Attention: Jenni Lee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400 Howard Street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San Francisco, California 94105</w:t>
      </w:r>
    </w:p>
    <w:p>
      <w:pPr>
        <w:spacing w:after="0" w:line="157" w:lineRule="exact"/>
        <w:rPr>
          <w:sz w:val="20"/>
          <w:szCs w:val="20"/>
          <w:color w:val="auto"/>
        </w:rPr>
      </w:pPr>
    </w:p>
    <w:p>
      <w:pPr>
        <w:ind w:left="10368"/>
        <w:spacing w:after="0"/>
        <w:rPr>
          <w:sz w:val="20"/>
          <w:szCs w:val="20"/>
          <w:color w:val="auto"/>
        </w:rPr>
      </w:pPr>
      <w:r>
        <w:rPr>
          <w:rFonts w:ascii="Times New Roman" w:cs="Times New Roman" w:eastAsia="Times New Roman" w:hAnsi="Times New Roman"/>
          <w:sz w:val="11"/>
          <w:szCs w:val="11"/>
          <w:color w:val="auto"/>
        </w:rPr>
        <w:t>December 17, 2015</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Ms. Lee:</w:t>
      </w:r>
    </w:p>
    <w:p>
      <w:pPr>
        <w:spacing w:after="0" w:line="150" w:lineRule="exact"/>
        <w:rPr>
          <w:sz w:val="20"/>
          <w:szCs w:val="20"/>
          <w:color w:val="auto"/>
        </w:rPr>
      </w:pPr>
    </w:p>
    <w:p>
      <w:pPr>
        <w:ind w:left="8" w:right="220"/>
        <w:spacing w:after="0" w:line="265" w:lineRule="auto"/>
        <w:rPr>
          <w:sz w:val="20"/>
          <w:szCs w:val="20"/>
          <w:color w:val="auto"/>
        </w:rPr>
      </w:pPr>
      <w:r>
        <w:rPr>
          <w:rFonts w:ascii="Times New Roman" w:cs="Times New Roman" w:eastAsia="Times New Roman" w:hAnsi="Times New Roman"/>
          <w:sz w:val="12"/>
          <w:szCs w:val="12"/>
          <w:color w:val="auto"/>
        </w:rPr>
        <w:t>Reference is hereby made to the Amendment (MSCI reference: AMD_00105603.0) dated December 10, 2013 (as amended from time to time, the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(internal MSCI reference: IXF_00040) dated March 18, 2000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(formerly known as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All capitalized terms used but not defined herein shall have the meanings ascribed to them in the Amendment or the Agreement, as the case may be.</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MSCI and Licensee hereby agree to further modify the Amendment as follows:</w:t>
      </w:r>
    </w:p>
    <w:p>
      <w:pPr>
        <w:spacing w:after="0" w:line="150" w:lineRule="exact"/>
        <w:rPr>
          <w:sz w:val="20"/>
          <w:szCs w:val="20"/>
          <w:color w:val="auto"/>
        </w:rPr>
      </w:pPr>
    </w:p>
    <w:p>
      <w:pPr>
        <w:ind w:left="428" w:hanging="428"/>
        <w:spacing w:after="0"/>
        <w:tabs>
          <w:tab w:leader="none" w:pos="428"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Section 1 of the Amendment, the parties agree to add the following Indexes:</w:t>
      </w:r>
    </w:p>
    <w:p>
      <w:pPr>
        <w:spacing w:after="0" w:line="78" w:lineRule="exact"/>
        <w:rPr>
          <w:rFonts w:ascii="Times New Roman" w:cs="Times New Roman" w:eastAsia="Times New Roman" w:hAnsi="Times New Roman"/>
          <w:sz w:val="12"/>
          <w:szCs w:val="12"/>
          <w:color w:val="auto"/>
        </w:rPr>
      </w:pPr>
    </w:p>
    <w:p>
      <w:pPr>
        <w:ind w:left="748" w:hanging="325"/>
        <w:spacing w:after="0"/>
        <w:tabs>
          <w:tab w:leader="none" w:pos="748" w:val="left"/>
        </w:tabs>
        <w:numPr>
          <w:ilvl w:val="1"/>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EAFE Adaptive Hedge to USD Index</w:t>
      </w:r>
    </w:p>
    <w:p>
      <w:pPr>
        <w:spacing w:after="0" w:line="87" w:lineRule="exact"/>
        <w:rPr>
          <w:rFonts w:ascii="Times New Roman" w:cs="Times New Roman" w:eastAsia="Times New Roman" w:hAnsi="Times New Roman"/>
          <w:sz w:val="12"/>
          <w:szCs w:val="12"/>
          <w:color w:val="auto"/>
        </w:rPr>
      </w:pPr>
    </w:p>
    <w:p>
      <w:pPr>
        <w:ind w:left="748" w:hanging="325"/>
        <w:spacing w:after="0"/>
        <w:tabs>
          <w:tab w:leader="none" w:pos="748" w:val="left"/>
        </w:tabs>
        <w:numPr>
          <w:ilvl w:val="1"/>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EMU Adaptive Hedge to USD Index</w:t>
      </w:r>
    </w:p>
    <w:p>
      <w:pPr>
        <w:spacing w:after="0" w:line="87" w:lineRule="exact"/>
        <w:rPr>
          <w:rFonts w:ascii="Times New Roman" w:cs="Times New Roman" w:eastAsia="Times New Roman" w:hAnsi="Times New Roman"/>
          <w:sz w:val="12"/>
          <w:szCs w:val="12"/>
          <w:color w:val="auto"/>
        </w:rPr>
      </w:pPr>
    </w:p>
    <w:p>
      <w:pPr>
        <w:ind w:left="748" w:hanging="325"/>
        <w:spacing w:after="0"/>
        <w:tabs>
          <w:tab w:leader="none" w:pos="748" w:val="left"/>
        </w:tabs>
        <w:numPr>
          <w:ilvl w:val="1"/>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Japan Adaptive Hodge to USD Index</w:t>
      </w:r>
    </w:p>
    <w:p>
      <w:pPr>
        <w:spacing w:after="0" w:line="159" w:lineRule="exact"/>
        <w:rPr>
          <w:sz w:val="20"/>
          <w:szCs w:val="20"/>
          <w:color w:val="auto"/>
        </w:rPr>
      </w:pPr>
    </w:p>
    <w:p>
      <w:pPr>
        <w:ind w:left="428" w:hanging="428"/>
        <w:spacing w:after="0"/>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Section 2 of the Amendment, the parties agree to add the following Hedged ETFs:</w:t>
      </w:r>
    </w:p>
    <w:p>
      <w:pPr>
        <w:spacing w:after="0" w:line="78" w:lineRule="exact"/>
        <w:rPr>
          <w:rFonts w:ascii="Times New Roman" w:cs="Times New Roman" w:eastAsia="Times New Roman" w:hAnsi="Times New Roman"/>
          <w:sz w:val="12"/>
          <w:szCs w:val="12"/>
          <w:color w:val="auto"/>
        </w:rPr>
      </w:pPr>
    </w:p>
    <w:p>
      <w:pPr>
        <w:ind w:left="748" w:hanging="325"/>
        <w:spacing w:after="0"/>
        <w:tabs>
          <w:tab w:leader="none" w:pos="748" w:val="left"/>
        </w:tabs>
        <w:numPr>
          <w:ilvl w:val="1"/>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Adaptive Currency Hedged MSCI EAFE ETF</w:t>
      </w:r>
    </w:p>
    <w:p>
      <w:pPr>
        <w:spacing w:after="0" w:line="87" w:lineRule="exact"/>
        <w:rPr>
          <w:rFonts w:ascii="Times New Roman" w:cs="Times New Roman" w:eastAsia="Times New Roman" w:hAnsi="Times New Roman"/>
          <w:sz w:val="12"/>
          <w:szCs w:val="12"/>
          <w:color w:val="auto"/>
        </w:rPr>
      </w:pPr>
    </w:p>
    <w:p>
      <w:pPr>
        <w:ind w:left="748" w:hanging="325"/>
        <w:spacing w:after="0"/>
        <w:tabs>
          <w:tab w:leader="none" w:pos="748" w:val="left"/>
        </w:tabs>
        <w:numPr>
          <w:ilvl w:val="1"/>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Adaptive Currency Hedged MSCI Eurozone ETF</w:t>
      </w:r>
    </w:p>
    <w:p>
      <w:pPr>
        <w:spacing w:after="0" w:line="87" w:lineRule="exact"/>
        <w:rPr>
          <w:rFonts w:ascii="Times New Roman" w:cs="Times New Roman" w:eastAsia="Times New Roman" w:hAnsi="Times New Roman"/>
          <w:sz w:val="12"/>
          <w:szCs w:val="12"/>
          <w:color w:val="auto"/>
        </w:rPr>
      </w:pPr>
    </w:p>
    <w:p>
      <w:pPr>
        <w:ind w:left="748" w:hanging="325"/>
        <w:spacing w:after="0"/>
        <w:tabs>
          <w:tab w:leader="none" w:pos="748" w:val="left"/>
        </w:tabs>
        <w:numPr>
          <w:ilvl w:val="1"/>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Adaptive Currency Hedged MSCI Japan ETF</w:t>
      </w:r>
    </w:p>
    <w:p>
      <w:pPr>
        <w:spacing w:after="0" w:line="15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definition of “***********” in Section 3(a) of the Amendment, the parties agree to add the following *********** for the</w:t>
      </w:r>
    </w:p>
    <w:p>
      <w:pPr>
        <w:spacing w:after="0" w:line="16" w:lineRule="exact"/>
        <w:rPr>
          <w:rFonts w:ascii="Times New Roman" w:cs="Times New Roman" w:eastAsia="Times New Roman" w:hAnsi="Times New Roman"/>
          <w:sz w:val="12"/>
          <w:szCs w:val="12"/>
          <w:color w:val="auto"/>
        </w:rPr>
      </w:pPr>
    </w:p>
    <w:p>
      <w:pPr>
        <w:ind w:left="4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specified below:</w:t>
      </w:r>
    </w:p>
    <w:p>
      <w:pPr>
        <w:spacing w:after="0" w:line="157" w:lineRule="exact"/>
        <w:rPr>
          <w:sz w:val="20"/>
          <w:szCs w:val="20"/>
          <w:color w:val="auto"/>
        </w:rPr>
      </w:pPr>
    </w:p>
    <w:p>
      <w:pPr>
        <w:ind w:left="4748"/>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474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748"/>
        <w:spacing w:after="0"/>
        <w:rPr>
          <w:sz w:val="20"/>
          <w:szCs w:val="20"/>
          <w:color w:val="auto"/>
        </w:rPr>
      </w:pPr>
      <w:r>
        <w:rPr>
          <w:rFonts w:ascii="Times New Roman" w:cs="Times New Roman" w:eastAsia="Times New Roman" w:hAnsi="Times New Roman"/>
          <w:sz w:val="12"/>
          <w:szCs w:val="12"/>
          <w:color w:val="auto"/>
        </w:rPr>
        <w:t>******************************</w:t>
      </w:r>
    </w:p>
    <w:p>
      <w:pPr>
        <w:spacing w:after="0" w:line="157" w:lineRule="exact"/>
        <w:rPr>
          <w:sz w:val="20"/>
          <w:szCs w:val="20"/>
          <w:color w:val="auto"/>
        </w:rPr>
      </w:pPr>
    </w:p>
    <w:p>
      <w:pPr>
        <w:ind w:left="428" w:hanging="428"/>
        <w:spacing w:after="0"/>
        <w:tabs>
          <w:tab w:leader="none" w:pos="428"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agree to add a new Section 3(d) to the Amendment, as follows:</w:t>
      </w:r>
    </w:p>
    <w:p>
      <w:pPr>
        <w:spacing w:after="0" w:line="78" w:lineRule="exact"/>
        <w:rPr>
          <w:sz w:val="20"/>
          <w:szCs w:val="20"/>
          <w:color w:val="auto"/>
        </w:rPr>
      </w:pPr>
    </w:p>
    <w:p>
      <w:pPr>
        <w:ind w:left="948" w:hanging="521"/>
        <w:spacing w:after="0"/>
        <w:tabs>
          <w:tab w:leader="none" w:pos="948"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by more than one *********** into the same ***********:</w:t>
      </w:r>
    </w:p>
    <w:p>
      <w:pPr>
        <w:spacing w:after="0" w:line="17" w:lineRule="exact"/>
        <w:rPr>
          <w:sz w:val="20"/>
          <w:szCs w:val="20"/>
          <w:color w:val="auto"/>
        </w:rPr>
      </w:pPr>
    </w:p>
    <w:p>
      <w:pPr>
        <w:ind w:left="428" w:right="2780"/>
        <w:spacing w:after="0" w:line="250" w:lineRule="auto"/>
        <w:rPr>
          <w:sz w:val="20"/>
          <w:szCs w:val="20"/>
          <w:color w:val="auto"/>
        </w:rPr>
      </w:pPr>
      <w:r>
        <w:rPr>
          <w:rFonts w:ascii="Times New Roman" w:cs="Times New Roman" w:eastAsia="Times New Roman" w:hAnsi="Times New Roman"/>
          <w:sz w:val="12"/>
          <w:szCs w:val="12"/>
          <w:color w:val="auto"/>
        </w:rPr>
        <w:t>For the avoidance of doubt, if more than one ********************************************, then the *********** fees for *********** shall be calculated by ********************************************************************** ***************************************************************************.</w:t>
      </w:r>
    </w:p>
    <w:p>
      <w:pPr>
        <w:spacing w:after="0" w:line="1" w:lineRule="exact"/>
        <w:rPr>
          <w:sz w:val="20"/>
          <w:szCs w:val="20"/>
          <w:color w:val="auto"/>
        </w:rPr>
      </w:pPr>
    </w:p>
    <w:p>
      <w:pPr>
        <w:ind w:left="428" w:right="20"/>
        <w:spacing w:after="0" w:line="250" w:lineRule="auto"/>
        <w:rPr>
          <w:sz w:val="20"/>
          <w:szCs w:val="20"/>
          <w:color w:val="auto"/>
        </w:rPr>
      </w:pPr>
      <w:r>
        <w:rPr>
          <w:rFonts w:ascii="Times New Roman" w:cs="Times New Roman" w:eastAsia="Times New Roman" w:hAnsi="Times New Roman"/>
          <w:sz w:val="12"/>
          <w:szCs w:val="12"/>
          <w:color w:val="auto"/>
        </w:rPr>
        <w:t>Notwithstanding the foregoing, if the ****************************************************************** for any reason in any ***********, or if any *********** ceases to exist or to be subject to the terms of the</w:t>
      </w:r>
    </w:p>
    <w:p>
      <w:pPr>
        <w:spacing w:after="0" w:line="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for any reason in any ***********, then the fees for each</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AMD_00190103.0</w:t>
      </w:r>
    </w:p>
    <w:p>
      <w:pPr>
        <w:spacing w:after="0" w:line="200" w:lineRule="exact"/>
        <w:rPr>
          <w:sz w:val="20"/>
          <w:szCs w:val="20"/>
          <w:color w:val="auto"/>
        </w:rPr>
      </w:pPr>
    </w:p>
    <w:p>
      <w:pPr>
        <w:spacing w:after="0" w:line="2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89470" cy="114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41" w:name="page242"/>
    <w:bookmarkEnd w:id="241"/>
    <w:p>
      <w:pPr>
        <w:spacing w:after="0" w:line="265" w:lineRule="auto"/>
        <w:rPr>
          <w:sz w:val="20"/>
          <w:szCs w:val="20"/>
          <w:color w:val="auto"/>
        </w:rPr>
      </w:pPr>
      <w:r>
        <w:rPr>
          <w:rFonts w:ascii="Times New Roman" w:cs="Times New Roman" w:eastAsia="Times New Roman" w:hAnsi="Times New Roman"/>
          <w:sz w:val="12"/>
          <w:szCs w:val="12"/>
          <w:color w:val="auto"/>
        </w:rPr>
        <w:t>This letter modifies and operates in conjunction with the Amendment. Together this letter, the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any terms of this letter conflict with any terms of the Amendment or the Agreement, the terms of this letter shall control. This letter shall be governed by, and construed in accordance with, the laws of the State of New York without regard to its conflict or choice of laws principles.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indicate your agreement with the foregoing by countersigning and returning a copy of this letter to 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98"/>
              </w:rPr>
              <w:t>MSCI Inc.</w:t>
            </w:r>
          </w:p>
        </w:tc>
        <w:tc>
          <w:tcPr>
            <w:tcW w:w="5120" w:type="dxa"/>
            <w:vAlign w:val="bottom"/>
          </w:tcPr>
          <w:p>
            <w:pPr>
              <w:spacing w:after="0"/>
              <w:rPr>
                <w:sz w:val="13"/>
                <w:szCs w:val="13"/>
                <w:color w:val="auto"/>
              </w:rPr>
            </w:pPr>
          </w:p>
        </w:tc>
      </w:tr>
      <w:tr>
        <w:trPr>
          <w:trHeight w:val="22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Joke Jacinto</w:t>
            </w:r>
          </w:p>
        </w:tc>
      </w:tr>
      <w:tr>
        <w:trPr>
          <w:trHeight w:val="214"/>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Joke Jacinto</w:t>
            </w:r>
          </w:p>
        </w:tc>
      </w:tr>
      <w:tr>
        <w:trPr>
          <w:trHeight w:val="22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Vice President</w:t>
            </w:r>
          </w:p>
        </w:tc>
      </w:tr>
      <w:tr>
        <w:trPr>
          <w:trHeight w:val="306"/>
        </w:trPr>
        <w:tc>
          <w:tcPr>
            <w:tcW w:w="5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ACCEPTED AND AGREED:</w:t>
            </w:r>
          </w:p>
        </w:tc>
      </w:tr>
      <w:tr>
        <w:trPr>
          <w:trHeight w:val="225"/>
        </w:trPr>
        <w:tc>
          <w:tcPr>
            <w:tcW w:w="5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BlackRock Fund Advisors, a California corporation</w:t>
            </w:r>
          </w:p>
        </w:tc>
      </w:tr>
      <w:tr>
        <w:trPr>
          <w:trHeight w:val="22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C. Lohrey</w:t>
            </w:r>
          </w:p>
        </w:tc>
      </w:tr>
      <w:tr>
        <w:trPr>
          <w:trHeight w:val="214"/>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Paul C. Lohrey</w:t>
            </w:r>
          </w:p>
        </w:tc>
      </w:tr>
      <w:tr>
        <w:trPr>
          <w:trHeight w:val="22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280"/>
          </w:cols>
          <w:pgMar w:left="300" w:top="273" w:right="319" w:bottom="1440" w:gutter="0" w:footer="0" w:header="0"/>
        </w:sectPr>
      </w:pPr>
    </w:p>
    <w:bookmarkStart w:id="242" w:name="page243"/>
    <w:bookmarkEnd w:id="242"/>
    <w:p>
      <w:pPr>
        <w:ind w:left="10568"/>
        <w:spacing w:after="0"/>
        <w:rPr>
          <w:sz w:val="20"/>
          <w:szCs w:val="20"/>
          <w:color w:val="auto"/>
        </w:rPr>
      </w:pPr>
      <w:r>
        <w:rPr>
          <w:rFonts w:ascii="Times New Roman" w:cs="Times New Roman" w:eastAsia="Times New Roman" w:hAnsi="Times New Roman"/>
          <w:sz w:val="11"/>
          <w:szCs w:val="11"/>
          <w:b w:val="1"/>
          <w:bCs w:val="1"/>
          <w:color w:val="auto"/>
        </w:rPr>
        <w:t>Exhibit 10.127</w:t>
      </w:r>
    </w:p>
    <w:p>
      <w:pPr>
        <w:spacing w:after="0" w:line="180" w:lineRule="exact"/>
        <w:rPr>
          <w:sz w:val="20"/>
          <w:szCs w:val="20"/>
          <w:color w:val="auto"/>
        </w:rPr>
      </w:pPr>
    </w:p>
    <w:p>
      <w:pPr>
        <w:ind w:left="8" w:hanging="8"/>
        <w:spacing w:after="0" w:line="286" w:lineRule="auto"/>
        <w:tabs>
          <w:tab w:leader="none" w:pos="220" w:val="left"/>
        </w:tabs>
        <w:numPr>
          <w:ilvl w:val="0"/>
          <w:numId w:val="3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25" w:lineRule="exact"/>
        <w:rPr>
          <w:sz w:val="20"/>
          <w:szCs w:val="20"/>
          <w:color w:val="auto"/>
        </w:rPr>
      </w:pPr>
    </w:p>
    <w:p>
      <w:pPr>
        <w:ind w:left="10608"/>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AMD_00187225.0</w:t>
      </w:r>
    </w:p>
    <w:p>
      <w:pPr>
        <w:spacing w:after="0" w:line="1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January 28, 2016</w:t>
      </w:r>
    </w:p>
    <w:p>
      <w:pPr>
        <w:spacing w:after="0" w:line="12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(MSCI reference number IXF_00040) dated as of March 18, 2000 (as previously amended,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92" w:lineRule="exact"/>
        <w:rPr>
          <w:sz w:val="20"/>
          <w:szCs w:val="20"/>
          <w:color w:val="auto"/>
        </w:rPr>
      </w:pPr>
    </w:p>
    <w:p>
      <w:pPr>
        <w:ind w:left="588" w:hanging="588"/>
        <w:spacing w:after="0"/>
        <w:tabs>
          <w:tab w:leader="none" w:pos="588"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w:t>
      </w:r>
    </w:p>
    <w:p>
      <w:pPr>
        <w:spacing w:after="0" w:line="123" w:lineRule="exact"/>
        <w:rPr>
          <w:rFonts w:ascii="Times New Roman" w:cs="Times New Roman" w:eastAsia="Times New Roman" w:hAnsi="Times New Roman"/>
          <w:sz w:val="12"/>
          <w:szCs w:val="12"/>
          <w:color w:val="auto"/>
        </w:rPr>
      </w:pPr>
    </w:p>
    <w:p>
      <w:pPr>
        <w:ind w:left="2328" w:hanging="591"/>
        <w:spacing w:after="0"/>
        <w:tabs>
          <w:tab w:leader="none" w:pos="2328" w:val="left"/>
        </w:tabs>
        <w:numPr>
          <w:ilvl w:val="1"/>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ACWI Sustainable Impact Index</w:t>
      </w:r>
    </w:p>
    <w:p>
      <w:pPr>
        <w:spacing w:after="0" w:line="123" w:lineRule="exact"/>
        <w:rPr>
          <w:sz w:val="20"/>
          <w:szCs w:val="20"/>
          <w:color w:val="auto"/>
        </w:rPr>
      </w:pPr>
    </w:p>
    <w:p>
      <w:pPr>
        <w:ind w:left="1748"/>
        <w:spacing w:after="0"/>
        <w:rPr>
          <w:sz w:val="20"/>
          <w:szCs w:val="20"/>
          <w:color w:val="auto"/>
        </w:rPr>
      </w:pPr>
      <w:r>
        <w:rPr>
          <w:rFonts w:ascii="Times New Roman" w:cs="Times New Roman" w:eastAsia="Times New Roman" w:hAnsi="Times New Roman"/>
          <w:sz w:val="12"/>
          <w:szCs w:val="12"/>
          <w:color w:val="auto"/>
        </w:rPr>
        <w:t>Or such other indexes as agreed by Licensee and MSCI in writing.</w:t>
      </w:r>
    </w:p>
    <w:p>
      <w:pPr>
        <w:spacing w:after="0" w:line="132" w:lineRule="exact"/>
        <w:rPr>
          <w:sz w:val="20"/>
          <w:szCs w:val="20"/>
          <w:color w:val="auto"/>
        </w:rPr>
      </w:pPr>
    </w:p>
    <w:p>
      <w:pPr>
        <w:ind w:left="588" w:hanging="588"/>
        <w:spacing w:after="0"/>
        <w:tabs>
          <w:tab w:leader="none" w:pos="58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 set forth in Section l above solely with respect to the following Licensee fund (the “</w:t>
      </w:r>
      <w:r>
        <w:rPr>
          <w:rFonts w:ascii="Times New Roman" w:cs="Times New Roman" w:eastAsia="Times New Roman" w:hAnsi="Times New Roman"/>
          <w:sz w:val="12"/>
          <w:szCs w:val="12"/>
          <w:u w:val="single" w:color="auto"/>
          <w:color w:val="auto"/>
        </w:rPr>
        <w:t>Impact Investing ETF,</w:t>
      </w:r>
      <w:r>
        <w:rPr>
          <w:rFonts w:ascii="Times New Roman" w:cs="Times New Roman" w:eastAsia="Times New Roman" w:hAnsi="Times New Roman"/>
          <w:sz w:val="12"/>
          <w:szCs w:val="12"/>
          <w:color w:val="auto"/>
        </w:rPr>
        <w:t>” which shall also be a “</w:t>
      </w:r>
      <w:r>
        <w:rPr>
          <w:rFonts w:ascii="Times New Roman" w:cs="Times New Roman" w:eastAsia="Times New Roman" w:hAnsi="Times New Roman"/>
          <w:sz w:val="12"/>
          <w:szCs w:val="12"/>
          <w:u w:val="single" w:color="auto"/>
          <w:color w:val="auto"/>
        </w:rPr>
        <w:t>Fund</w:t>
      </w:r>
      <w:r>
        <w:rPr>
          <w:rFonts w:ascii="Times New Roman" w:cs="Times New Roman" w:eastAsia="Times New Roman" w:hAnsi="Times New Roman"/>
          <w:sz w:val="12"/>
          <w:szCs w:val="12"/>
          <w:color w:val="auto"/>
        </w:rPr>
        <w:t>” as such term is defined in the Agreement):</w:t>
      </w:r>
    </w:p>
    <w:p>
      <w:pPr>
        <w:spacing w:after="0" w:line="123" w:lineRule="exact"/>
        <w:rPr>
          <w:rFonts w:ascii="Times New Roman" w:cs="Times New Roman" w:eastAsia="Times New Roman" w:hAnsi="Times New Roman"/>
          <w:sz w:val="12"/>
          <w:szCs w:val="12"/>
          <w:color w:val="auto"/>
        </w:rPr>
      </w:pPr>
    </w:p>
    <w:p>
      <w:pPr>
        <w:ind w:left="2328" w:hanging="591"/>
        <w:spacing w:after="0"/>
        <w:tabs>
          <w:tab w:leader="none" w:pos="2328"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MSCI Global Impact ETF</w:t>
      </w:r>
    </w:p>
    <w:p>
      <w:pPr>
        <w:spacing w:after="0" w:line="123" w:lineRule="exact"/>
        <w:rPr>
          <w:sz w:val="20"/>
          <w:szCs w:val="20"/>
          <w:color w:val="auto"/>
        </w:rPr>
      </w:pPr>
    </w:p>
    <w:p>
      <w:pPr>
        <w:ind w:left="174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23"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The Impact Investing ETF shall be an exchange traded index fund listed on a national securities exchange located in the United States.</w:t>
      </w:r>
    </w:p>
    <w:p>
      <w:pPr>
        <w:spacing w:after="0" w:line="123" w:lineRule="exact"/>
        <w:rPr>
          <w:sz w:val="20"/>
          <w:szCs w:val="20"/>
          <w:color w:val="auto"/>
        </w:rPr>
      </w:pPr>
    </w:p>
    <w:p>
      <w:pPr>
        <w:jc w:val="both"/>
        <w:ind w:left="588" w:hanging="588"/>
        <w:spacing w:after="0" w:line="259" w:lineRule="auto"/>
        <w:tabs>
          <w:tab w:leader="none" w:pos="588"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a * * * * * * * * * license fee based on * * * * * * * * * * * * * * * * * * * * * * * * * * * * * * * * * * * * * * * * * * * * * * * * * * * * * * * * * * * * * * * * * * * * * *, which fee shall be calculated and payable on a * * * * * * * * * * * * * * *. The * * * * * * * * * license fee shall be calculated * * * * * * * ** * * * * * * * * * * * * * * * * * * * * * * * * * * * * * * * * * * * * * * * * * * * * * * * * * * * *</w:t>
      </w:r>
    </w:p>
    <w:p>
      <w:pPr>
        <w:spacing w:after="0" w:line="1" w:lineRule="exact"/>
        <w:rPr>
          <w:rFonts w:ascii="Times New Roman" w:cs="Times New Roman" w:eastAsia="Times New Roman" w:hAnsi="Times New Roman"/>
          <w:sz w:val="12"/>
          <w:szCs w:val="12"/>
          <w:color w:val="auto"/>
        </w:rPr>
      </w:pPr>
    </w:p>
    <w:p>
      <w:pPr>
        <w:ind w:left="588"/>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 * * * * * * * * * * * * * * * * * * * * * * * * * * * * * * * * * * * * * * * * * * * * * * * * * * * * * * * * * * * * * * * * * * * * * * * * * * * * * * * * * * * * * * * * * * * * * * * * * * * * * * * * * * * * *, as follows:</w:t>
      </w:r>
    </w:p>
    <w:p>
      <w:pPr>
        <w:spacing w:after="0" w:line="1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-83185</wp:posOffset>
            </wp:positionV>
            <wp:extent cx="6395085" cy="2000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4">
                      <a:extLst>
                        <a:ext uri="{28A0092B-C50C-407E-A947-70E740481C1C}"/>
                      </a:extLst>
                    </a:blip>
                    <a:srcRect/>
                    <a:stretch>
                      <a:fillRect/>
                    </a:stretch>
                  </pic:blipFill>
                  <pic:spPr bwMode="auto">
                    <a:xfrm>
                      <a:off x="0" y="0"/>
                      <a:ext cx="6395085" cy="200025"/>
                    </a:xfrm>
                    <a:prstGeom prst="rect">
                      <a:avLst/>
                    </a:prstGeom>
                    <a:noFill/>
                  </pic:spPr>
                </pic:pic>
              </a:graphicData>
            </a:graphic>
          </wp:anchor>
        </w:drawing>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t>
      </w:r>
    </w:p>
    <w:p>
      <w:pPr>
        <w:spacing w:after="0" w:line="337"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Expense Ratio</w:t>
      </w:r>
      <w:r>
        <w:rPr>
          <w:rFonts w:ascii="Times New Roman" w:cs="Times New Roman" w:eastAsia="Times New Roman" w:hAnsi="Times New Roman"/>
          <w:sz w:val="12"/>
          <w:szCs w:val="12"/>
          <w:color w:val="auto"/>
        </w:rPr>
        <w:t>” shall mean the * * * * * * * * * * * * * * * * * * * * * * * * * * * * * * * * * * * * * * * * * * when dividing * * * * * * * * * * * * * * * * * * * * * * * * * * * * * * * * * * * * * * * * * * * * * * * * * * * *</w:t>
      </w:r>
    </w:p>
    <w:p>
      <w:pPr>
        <w:spacing w:after="0" w:line="17"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Notwithstanding anything to the contrary contained herein, if the Fund * * * * * * * * * * * * * * * * * * * * * * * * * * * * * * or if the Fund’s * * * * * * * * * * * * * * * * * * * * * * * * * * * * * * * * * * or if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89470" cy="11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AMD_00187225.0</w:t>
      </w:r>
    </w:p>
    <w:p>
      <w:pPr>
        <w:spacing w:after="0" w:line="256"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has an * * * * * * * * * * * * * * * * * * * * *, the * * * * * * * * * licensee fee for the Fund shall * * * * * * * * * * * * * * * * * * * * * * * * * * * * * * * * * * * * * * * * * * * * * * * * * * * * * * * * * * * * * * * * * *</w:t>
      </w:r>
    </w:p>
    <w:p>
      <w:pPr>
        <w:spacing w:after="0" w:line="17" w:lineRule="exact"/>
        <w:rPr>
          <w:sz w:val="20"/>
          <w:szCs w:val="20"/>
          <w:color w:val="auto"/>
        </w:rPr>
      </w:pPr>
    </w:p>
    <w:p>
      <w:pPr>
        <w:ind w:left="588"/>
        <w:spacing w:after="0"/>
        <w:rPr>
          <w:sz w:val="20"/>
          <w:szCs w:val="20"/>
          <w:color w:val="auto"/>
        </w:rPr>
      </w:pPr>
      <w:r>
        <w:rPr>
          <w:rFonts w:ascii="Times New Roman" w:cs="Times New Roman" w:eastAsia="Times New Roman" w:hAnsi="Times New Roman"/>
          <w:sz w:val="12"/>
          <w:szCs w:val="12"/>
          <w:color w:val="auto"/>
        </w:rPr>
        <w:t>*********************.</w:t>
      </w:r>
    </w:p>
    <w:p>
      <w:pPr>
        <w:spacing w:after="0" w:line="157" w:lineRule="exact"/>
        <w:rPr>
          <w:sz w:val="20"/>
          <w:szCs w:val="20"/>
          <w:color w:val="auto"/>
        </w:rPr>
      </w:pPr>
    </w:p>
    <w:p>
      <w:pPr>
        <w:ind w:left="588" w:hanging="588"/>
        <w:spacing w:after="0"/>
        <w:tabs>
          <w:tab w:leader="none" w:pos="588"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32" w:lineRule="exact"/>
        <w:rPr>
          <w:sz w:val="20"/>
          <w:szCs w:val="20"/>
          <w:color w:val="auto"/>
        </w:rPr>
      </w:pPr>
    </w:p>
    <w:p>
      <w:pPr>
        <w:ind w:left="1168" w:hanging="583"/>
        <w:spacing w:after="0" w:line="279" w:lineRule="auto"/>
        <w:tabs>
          <w:tab w:leader="none" w:pos="1168"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this Amendment shall control. No right or license of any kind is granted to Licensee except as expressly provided in the Agreement and this Amendment.</w:t>
      </w:r>
    </w:p>
    <w:p>
      <w:pPr>
        <w:spacing w:after="0" w:line="84" w:lineRule="exact"/>
        <w:rPr>
          <w:rFonts w:ascii="Times New Roman" w:cs="Times New Roman" w:eastAsia="Times New Roman" w:hAnsi="Times New Roman"/>
          <w:sz w:val="12"/>
          <w:szCs w:val="12"/>
          <w:color w:val="auto"/>
        </w:rPr>
      </w:pPr>
    </w:p>
    <w:p>
      <w:pPr>
        <w:ind w:left="1168" w:right="20" w:hanging="583"/>
        <w:spacing w:after="0" w:line="279" w:lineRule="auto"/>
        <w:tabs>
          <w:tab w:leader="none" w:pos="1168"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Index set forth in Section I if, within one (1) year of the date of this Amendment, Licensee does not list the Impact Investing ETF that is based on such Index.</w:t>
      </w:r>
    </w:p>
    <w:p>
      <w:pPr>
        <w:spacing w:after="0" w:line="84" w:lineRule="exact"/>
        <w:rPr>
          <w:rFonts w:ascii="Times New Roman" w:cs="Times New Roman" w:eastAsia="Times New Roman" w:hAnsi="Times New Roman"/>
          <w:sz w:val="12"/>
          <w:szCs w:val="12"/>
          <w:color w:val="auto"/>
        </w:rPr>
      </w:pPr>
    </w:p>
    <w:p>
      <w:pPr>
        <w:ind w:left="1168" w:right="20" w:hanging="583"/>
        <w:spacing w:after="0" w:line="279" w:lineRule="auto"/>
        <w:tabs>
          <w:tab w:leader="none" w:pos="1168"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the Impact Investing ETF or changes the underlying index for the Impact Investing ETF, Licensee’s right to use the Index set forth in Section 1 with respect to the Impact Investing ETF shall automatically and immediately terminate.</w:t>
      </w:r>
    </w:p>
    <w:p>
      <w:pPr>
        <w:spacing w:after="0" w:line="84" w:lineRule="exact"/>
        <w:rPr>
          <w:rFonts w:ascii="Times New Roman" w:cs="Times New Roman" w:eastAsia="Times New Roman" w:hAnsi="Times New Roman"/>
          <w:sz w:val="12"/>
          <w:szCs w:val="12"/>
          <w:color w:val="auto"/>
        </w:rPr>
      </w:pPr>
    </w:p>
    <w:p>
      <w:pPr>
        <w:ind w:left="1168" w:hanging="583"/>
        <w:spacing w:after="0"/>
        <w:tabs>
          <w:tab w:leader="none" w:pos="1168"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23" w:lineRule="exact"/>
        <w:rPr>
          <w:rFonts w:ascii="Times New Roman" w:cs="Times New Roman" w:eastAsia="Times New Roman" w:hAnsi="Times New Roman"/>
          <w:sz w:val="12"/>
          <w:szCs w:val="12"/>
          <w:color w:val="auto"/>
        </w:rPr>
      </w:pPr>
    </w:p>
    <w:p>
      <w:pPr>
        <w:ind w:left="1168" w:hanging="583"/>
        <w:spacing w:after="0"/>
        <w:tabs>
          <w:tab w:leader="none" w:pos="1168"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shall not * * * * * * * * * * * * * * * * * * * * * * * * * * * * * * * * * * * * * * * * * * * * * * * * * any exchange traded fund listed in * * * * * * * * * * * * * * * * * that is based on * * * * * * * * * * *</w:t>
      </w:r>
    </w:p>
    <w:p>
      <w:pPr>
        <w:spacing w:after="0" w:line="16" w:lineRule="exact"/>
        <w:rPr>
          <w:rFonts w:ascii="Times New Roman" w:cs="Times New Roman" w:eastAsia="Times New Roman" w:hAnsi="Times New Roman"/>
          <w:sz w:val="12"/>
          <w:szCs w:val="12"/>
          <w:color w:val="auto"/>
        </w:rPr>
      </w:pPr>
    </w:p>
    <w:p>
      <w:pPr>
        <w:jc w:val="both"/>
        <w:ind w:left="116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 * * * * * * * * * * * * * * * * * * * * * * * * * * * * * * * * * ** * * * * * * * * * * * * * * * * * * * * * * * * * ** * on which Licensee * * * * * * * * * * * * * * * * * * * * * * * * * * * * * *. Notwithstanding the foregoing, at any time after * * * * * * * * * * * * * * * * * * * * * * * * * * * * * * * * * * * * * * * * * * * * * * * * * * * * * * * * * * * * * * * * * * * * * * * * * * * * * * * * * * * * * *</w:t>
      </w:r>
    </w:p>
    <w:p>
      <w:pPr>
        <w:ind w:left="11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11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 * * * * * * * * * * * * that is based on * * * * * * * * * * * * * * * * * * * * * * * * * * * * * * * *.</w:t>
      </w: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2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980" w:type="dxa"/>
            <w:vAlign w:val="bottom"/>
          </w:tcPr>
          <w:p>
            <w:pPr>
              <w:spacing w:after="0"/>
              <w:rPr>
                <w:sz w:val="13"/>
                <w:szCs w:val="13"/>
                <w:color w:val="auto"/>
              </w:rPr>
            </w:pPr>
          </w:p>
        </w:tc>
      </w:tr>
      <w:tr>
        <w:trPr>
          <w:trHeight w:val="306"/>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228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MSCI Inc.</w:t>
            </w:r>
          </w:p>
        </w:tc>
        <w:tc>
          <w:tcPr>
            <w:tcW w:w="4980" w:type="dxa"/>
            <w:vAlign w:val="bottom"/>
          </w:tcPr>
          <w:p>
            <w:pPr>
              <w:spacing w:after="0"/>
              <w:rPr>
                <w:sz w:val="24"/>
                <w:szCs w:val="24"/>
                <w:color w:val="auto"/>
              </w:rPr>
            </w:pPr>
          </w:p>
        </w:tc>
      </w:tr>
      <w:tr>
        <w:trPr>
          <w:trHeight w:val="342"/>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Manish Mehta</w:t>
            </w:r>
          </w:p>
        </w:tc>
        <w:tc>
          <w:tcPr>
            <w:tcW w:w="2280" w:type="dxa"/>
            <w:vAlign w:val="bottom"/>
            <w:tcBorders>
              <w:bottom w:val="single" w:sz="8" w:color="auto"/>
            </w:tcBorders>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313"/>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Manish Mehta</w:t>
            </w:r>
          </w:p>
        </w:tc>
        <w:tc>
          <w:tcPr>
            <w:tcW w:w="2280" w:type="dxa"/>
            <w:vAlign w:val="bottom"/>
            <w:tcBorders>
              <w:bottom w:val="single" w:sz="8" w:color="auto"/>
            </w:tcBorders>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Name</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313"/>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2280" w:type="dxa"/>
            <w:vAlign w:val="bottom"/>
            <w:tcBorders>
              <w:bottom w:val="single" w:sz="8" w:color="auto"/>
            </w:tcBorders>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Title</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313"/>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2/4/2016</w:t>
            </w:r>
          </w:p>
        </w:tc>
        <w:tc>
          <w:tcPr>
            <w:tcW w:w="2280" w:type="dxa"/>
            <w:vAlign w:val="bottom"/>
            <w:tcBorders>
              <w:bottom w:val="single" w:sz="8" w:color="auto"/>
            </w:tcBorders>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Date</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Mar 1, 2016</w:t>
            </w:r>
          </w:p>
        </w:tc>
      </w:tr>
      <w:tr>
        <w:trPr>
          <w:trHeight w:val="439"/>
        </w:trPr>
        <w:tc>
          <w:tcPr>
            <w:tcW w:w="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2</w:t>
            </w:r>
          </w:p>
        </w:tc>
        <w:tc>
          <w:tcPr>
            <w:tcW w:w="4980" w:type="dxa"/>
            <w:vAlign w:val="bottom"/>
          </w:tcPr>
          <w:p>
            <w:pPr>
              <w:spacing w:after="0"/>
              <w:rPr>
                <w:sz w:val="24"/>
                <w:szCs w:val="24"/>
                <w:color w:val="auto"/>
              </w:rPr>
            </w:pPr>
          </w:p>
        </w:tc>
      </w:tr>
      <w:tr>
        <w:trPr>
          <w:trHeight w:val="306"/>
        </w:trPr>
        <w:tc>
          <w:tcPr>
            <w:tcW w:w="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00" w:type="dxa"/>
            <w:vAlign w:val="bottom"/>
            <w:gridSpan w:val="3"/>
          </w:tcPr>
          <w:p>
            <w:pPr>
              <w:jc w:val="center"/>
              <w:ind w:right="3260"/>
              <w:spacing w:after="0"/>
              <w:rPr>
                <w:sz w:val="20"/>
                <w:szCs w:val="20"/>
                <w:color w:val="auto"/>
              </w:rPr>
            </w:pPr>
            <w:r>
              <w:rPr>
                <w:rFonts w:ascii="Times New Roman" w:cs="Times New Roman" w:eastAsia="Times New Roman" w:hAnsi="Times New Roman"/>
                <w:sz w:val="12"/>
                <w:szCs w:val="12"/>
                <w:color w:val="auto"/>
                <w:w w:val="99"/>
              </w:rPr>
              <w:t>Information Classification: GENERAL</w:t>
            </w:r>
          </w:p>
        </w:tc>
      </w:tr>
    </w:tbl>
    <w:p>
      <w:pPr>
        <w:sectPr>
          <w:pgSz w:w="11900" w:h="16838" w:orient="portrait"/>
          <w:cols w:equalWidth="0" w:num="1">
            <w:col w:w="11308"/>
          </w:cols>
          <w:pgMar w:left="292" w:top="129" w:right="299" w:bottom="1440" w:gutter="0" w:footer="0" w:header="0"/>
        </w:sectPr>
      </w:pPr>
    </w:p>
    <w:bookmarkStart w:id="244" w:name="page245"/>
    <w:bookmarkEnd w:id="244"/>
    <w:p>
      <w:pPr>
        <w:ind w:left="10568"/>
        <w:spacing w:after="0"/>
        <w:rPr>
          <w:sz w:val="20"/>
          <w:szCs w:val="20"/>
          <w:color w:val="auto"/>
        </w:rPr>
      </w:pPr>
      <w:r>
        <w:rPr>
          <w:rFonts w:ascii="Times New Roman" w:cs="Times New Roman" w:eastAsia="Times New Roman" w:hAnsi="Times New Roman"/>
          <w:sz w:val="12"/>
          <w:szCs w:val="12"/>
          <w:b w:val="1"/>
          <w:bCs w:val="1"/>
          <w:color w:val="auto"/>
        </w:rPr>
        <w:t>Exhibit 10.129</w:t>
      </w:r>
    </w:p>
    <w:p>
      <w:pPr>
        <w:spacing w:after="0" w:line="150" w:lineRule="exact"/>
        <w:rPr>
          <w:sz w:val="20"/>
          <w:szCs w:val="20"/>
          <w:color w:val="auto"/>
        </w:rPr>
      </w:pPr>
    </w:p>
    <w:p>
      <w:pPr>
        <w:ind w:left="8" w:right="20" w:hanging="8"/>
        <w:spacing w:after="0" w:line="286" w:lineRule="auto"/>
        <w:tabs>
          <w:tab w:leader="none" w:pos="220" w:val="left"/>
        </w:tabs>
        <w:numPr>
          <w:ilvl w:val="0"/>
          <w:numId w:val="3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0" w:lineRule="exact"/>
        <w:rPr>
          <w:sz w:val="20"/>
          <w:szCs w:val="20"/>
          <w:color w:val="auto"/>
        </w:rPr>
      </w:pPr>
    </w:p>
    <w:p>
      <w:pPr>
        <w:ind w:left="10608"/>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ind w:left="10388"/>
        <w:spacing w:after="0"/>
        <w:rPr>
          <w:sz w:val="20"/>
          <w:szCs w:val="20"/>
          <w:color w:val="auto"/>
        </w:rPr>
      </w:pPr>
      <w:r>
        <w:rPr>
          <w:rFonts w:ascii="Times New Roman" w:cs="Times New Roman" w:eastAsia="Times New Roman" w:hAnsi="Times New Roman"/>
          <w:sz w:val="12"/>
          <w:szCs w:val="12"/>
          <w:color w:val="auto"/>
        </w:rPr>
        <w:t>AMD_00200775.0</w:t>
      </w:r>
    </w:p>
    <w:p>
      <w:pPr>
        <w:spacing w:after="0" w:line="13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February 29, 2016</w:t>
      </w:r>
    </w:p>
    <w:p>
      <w:pPr>
        <w:spacing w:after="0" w:line="123"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(MSCI reference number IXF_00040) dated as of March 18, 2000 (as previously amended,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119" w:lineRule="exact"/>
        <w:rPr>
          <w:sz w:val="20"/>
          <w:szCs w:val="20"/>
          <w:color w:val="auto"/>
        </w:rPr>
      </w:pPr>
    </w:p>
    <w:p>
      <w:pPr>
        <w:ind w:left="408" w:hanging="408"/>
        <w:spacing w:after="0"/>
        <w:tabs>
          <w:tab w:leader="none" w:pos="40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16" w:lineRule="exact"/>
        <w:rPr>
          <w:rFonts w:ascii="Times New Roman" w:cs="Times New Roman" w:eastAsia="Times New Roman" w:hAnsi="Times New Roman"/>
          <w:sz w:val="12"/>
          <w:szCs w:val="12"/>
          <w:color w:val="auto"/>
        </w:rPr>
      </w:pPr>
    </w:p>
    <w:p>
      <w:pPr>
        <w:ind w:left="1668" w:hanging="417"/>
        <w:spacing w:after="0"/>
        <w:tabs>
          <w:tab w:leader="none" w:pos="1668" w:val="left"/>
        </w:tabs>
        <w:numPr>
          <w:ilvl w:val="1"/>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w:t>
      </w:r>
    </w:p>
    <w:p>
      <w:pPr>
        <w:spacing w:after="0" w:line="6" w:lineRule="exact"/>
        <w:rPr>
          <w:rFonts w:ascii="Times New Roman" w:cs="Times New Roman" w:eastAsia="Times New Roman" w:hAnsi="Times New Roman"/>
          <w:sz w:val="12"/>
          <w:szCs w:val="12"/>
          <w:color w:val="auto"/>
        </w:rPr>
      </w:pPr>
    </w:p>
    <w:p>
      <w:pPr>
        <w:ind w:left="1668" w:hanging="417"/>
        <w:spacing w:after="0"/>
        <w:tabs>
          <w:tab w:leader="none" w:pos="1668" w:val="left"/>
        </w:tabs>
        <w:numPr>
          <w:ilvl w:val="1"/>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w:t>
      </w:r>
    </w:p>
    <w:p>
      <w:pPr>
        <w:spacing w:after="0" w:line="157" w:lineRule="exact"/>
        <w:rPr>
          <w:sz w:val="20"/>
          <w:szCs w:val="20"/>
          <w:color w:val="auto"/>
        </w:rPr>
      </w:pPr>
    </w:p>
    <w:p>
      <w:pPr>
        <w:ind w:left="1248"/>
        <w:spacing w:after="0"/>
        <w:rPr>
          <w:sz w:val="20"/>
          <w:szCs w:val="20"/>
          <w:color w:val="auto"/>
        </w:rPr>
      </w:pPr>
      <w:r>
        <w:rPr>
          <w:rFonts w:ascii="Times New Roman" w:cs="Times New Roman" w:eastAsia="Times New Roman" w:hAnsi="Times New Roman"/>
          <w:sz w:val="12"/>
          <w:szCs w:val="12"/>
          <w:color w:val="auto"/>
        </w:rPr>
        <w:t>Or such other indexes as agreed by Licensee and MSCI in writing.</w:t>
      </w:r>
    </w:p>
    <w:p>
      <w:pPr>
        <w:spacing w:after="0" w:line="150" w:lineRule="exact"/>
        <w:rPr>
          <w:sz w:val="20"/>
          <w:szCs w:val="20"/>
          <w:color w:val="auto"/>
        </w:rPr>
      </w:pPr>
    </w:p>
    <w:p>
      <w:pPr>
        <w:ind w:left="408" w:right="20" w:hanging="408"/>
        <w:spacing w:after="0" w:line="259" w:lineRule="auto"/>
        <w:tabs>
          <w:tab w:leader="none" w:pos="40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Indexes set forth in Section 1 above solely with respect to the following Licensee funds (each, a “</w:t>
      </w:r>
      <w:r>
        <w:rPr>
          <w:rFonts w:ascii="Times New Roman" w:cs="Times New Roman" w:eastAsia="Times New Roman" w:hAnsi="Times New Roman"/>
          <w:sz w:val="12"/>
          <w:szCs w:val="12"/>
          <w:u w:val="single" w:color="auto"/>
          <w:color w:val="auto"/>
        </w:rPr>
        <w:t>ESG Select ETF</w:t>
      </w:r>
      <w:r>
        <w:rPr>
          <w:rFonts w:ascii="Times New Roman" w:cs="Times New Roman" w:eastAsia="Times New Roman" w:hAnsi="Times New Roman"/>
          <w:sz w:val="12"/>
          <w:szCs w:val="12"/>
          <w:color w:val="auto"/>
        </w:rPr>
        <w:t>” and each ESG Select ETF shall also be a “</w:t>
      </w:r>
      <w:r>
        <w:rPr>
          <w:rFonts w:ascii="Times New Roman" w:cs="Times New Roman" w:eastAsia="Times New Roman" w:hAnsi="Times New Roman"/>
          <w:sz w:val="12"/>
          <w:szCs w:val="12"/>
          <w:u w:val="single" w:color="auto"/>
          <w:color w:val="auto"/>
        </w:rPr>
        <w:t>Fund</w:t>
      </w:r>
      <w:r>
        <w:rPr>
          <w:rFonts w:ascii="Times New Roman" w:cs="Times New Roman" w:eastAsia="Times New Roman" w:hAnsi="Times New Roman"/>
          <w:sz w:val="12"/>
          <w:szCs w:val="12"/>
          <w:color w:val="auto"/>
        </w:rPr>
        <w:t>” as such term is defined in the Agreement):</w:t>
      </w:r>
    </w:p>
    <w:p>
      <w:pPr>
        <w:spacing w:after="0" w:line="1" w:lineRule="exact"/>
        <w:rPr>
          <w:rFonts w:ascii="Times New Roman" w:cs="Times New Roman" w:eastAsia="Times New Roman" w:hAnsi="Times New Roman"/>
          <w:sz w:val="12"/>
          <w:szCs w:val="12"/>
          <w:color w:val="auto"/>
        </w:rPr>
      </w:pPr>
    </w:p>
    <w:p>
      <w:pPr>
        <w:ind w:left="1668" w:hanging="417"/>
        <w:spacing w:after="0"/>
        <w:tabs>
          <w:tab w:leader="none" w:pos="1668" w:val="left"/>
        </w:tabs>
        <w:numPr>
          <w:ilvl w:val="1"/>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1668" w:hanging="417"/>
        <w:spacing w:after="0"/>
        <w:tabs>
          <w:tab w:leader="none" w:pos="1668" w:val="left"/>
        </w:tabs>
        <w:numPr>
          <w:ilvl w:val="1"/>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57" w:lineRule="exact"/>
        <w:rPr>
          <w:sz w:val="20"/>
          <w:szCs w:val="20"/>
          <w:color w:val="auto"/>
        </w:rPr>
      </w:pPr>
    </w:p>
    <w:p>
      <w:pPr>
        <w:ind w:left="124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ESG Select ETFs shall be exchange traded index funds listed on a national securities exchange located in the United States.</w:t>
      </w:r>
    </w:p>
    <w:p>
      <w:pPr>
        <w:spacing w:after="0" w:line="150" w:lineRule="exact"/>
        <w:rPr>
          <w:sz w:val="20"/>
          <w:szCs w:val="20"/>
          <w:color w:val="auto"/>
        </w:rPr>
      </w:pPr>
    </w:p>
    <w:p>
      <w:pPr>
        <w:ind w:left="408" w:hanging="408"/>
        <w:spacing w:after="0"/>
        <w:tabs>
          <w:tab w:leader="none" w:pos="408"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a * * * * * * * * * license fee per Fund based on * * * * * * * * * * * * * * * * * * * * * * * * * * * * * * * * * * * * * * * * * * * * * * * * * * * * * * * *, which fee shall be calculated and payable on a</w:t>
      </w:r>
    </w:p>
    <w:p>
      <w:pPr>
        <w:spacing w:after="0" w:line="16" w:lineRule="exact"/>
        <w:rPr>
          <w:rFonts w:ascii="Times New Roman" w:cs="Times New Roman" w:eastAsia="Times New Roman" w:hAnsi="Times New Roman"/>
          <w:sz w:val="12"/>
          <w:szCs w:val="12"/>
          <w:color w:val="auto"/>
        </w:rPr>
      </w:pPr>
    </w:p>
    <w:p>
      <w:pPr>
        <w:ind w:left="4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 * * * * * * * * * *. The * * * * * * * * * license fee shall be calculated * * * * * * * * * * * * * * * * * * * * * * * * * * * * * * * * * * * * * * * * * * * * * * * * * * * * * * * * * * * * * * * * * * * * * * * * * * * * * *</w:t>
      </w:r>
    </w:p>
    <w:p>
      <w:pPr>
        <w:spacing w:after="0" w:line="6" w:lineRule="exact"/>
        <w:rPr>
          <w:rFonts w:ascii="Times New Roman" w:cs="Times New Roman" w:eastAsia="Times New Roman" w:hAnsi="Times New Roman"/>
          <w:sz w:val="12"/>
          <w:szCs w:val="12"/>
          <w:color w:val="auto"/>
        </w:rPr>
      </w:pPr>
    </w:p>
    <w:p>
      <w:pPr>
        <w:ind w:left="408" w:right="2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 * * * * * * * * * * * * * * * * * * * * * * * * * * * * * * * * * * * * * * * * * * * * * * * * * * * * * * * * * * * * * * * * * * * * * * * * * * * * * * * * * * * * * * * * * * * * * * * * * * * * * * * * * * * * * *, as follows: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040" w:type="dxa"/>
            <w:vAlign w:val="bottom"/>
            <w:shd w:val="clear" w:color="auto" w:fill="BFBFB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260" w:type="dxa"/>
            <w:vAlign w:val="bottom"/>
            <w:shd w:val="clear" w:color="auto" w:fill="BFBFBF"/>
          </w:tcPr>
          <w:p>
            <w:pPr>
              <w:ind w:left="11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8260" w:type="dxa"/>
            <w:vAlign w:val="bottom"/>
          </w:tcPr>
          <w:p>
            <w:pPr>
              <w:ind w:left="1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040" w:type="dxa"/>
            <w:vAlign w:val="bottom"/>
            <w:vMerge w:val="continue"/>
          </w:tcPr>
          <w:p>
            <w:pPr>
              <w:spacing w:after="0"/>
              <w:rPr>
                <w:sz w:val="7"/>
                <w:szCs w:val="7"/>
                <w:color w:val="auto"/>
              </w:rPr>
            </w:pPr>
          </w:p>
        </w:tc>
        <w:tc>
          <w:tcPr>
            <w:tcW w:w="826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040" w:type="dxa"/>
            <w:vAlign w:val="bottom"/>
          </w:tcPr>
          <w:p>
            <w:pPr>
              <w:spacing w:after="0"/>
              <w:rPr>
                <w:sz w:val="5"/>
                <w:szCs w:val="5"/>
                <w:color w:val="auto"/>
              </w:rPr>
            </w:pPr>
          </w:p>
        </w:tc>
        <w:tc>
          <w:tcPr>
            <w:tcW w:w="8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0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826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040" w:type="dxa"/>
            <w:vAlign w:val="bottom"/>
            <w:vMerge w:val="continue"/>
          </w:tcPr>
          <w:p>
            <w:pPr>
              <w:spacing w:after="0"/>
              <w:rPr>
                <w:sz w:val="7"/>
                <w:szCs w:val="7"/>
                <w:color w:val="auto"/>
              </w:rPr>
            </w:pPr>
          </w:p>
        </w:tc>
        <w:tc>
          <w:tcPr>
            <w:tcW w:w="826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040" w:type="dxa"/>
            <w:vAlign w:val="bottom"/>
          </w:tcPr>
          <w:p>
            <w:pPr>
              <w:spacing w:after="0"/>
              <w:rPr>
                <w:sz w:val="5"/>
                <w:szCs w:val="5"/>
                <w:color w:val="auto"/>
              </w:rPr>
            </w:pPr>
          </w:p>
        </w:tc>
        <w:tc>
          <w:tcPr>
            <w:tcW w:w="8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0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826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040" w:type="dxa"/>
            <w:vAlign w:val="bottom"/>
            <w:vMerge w:val="continue"/>
          </w:tcPr>
          <w:p>
            <w:pPr>
              <w:spacing w:after="0"/>
              <w:rPr>
                <w:sz w:val="7"/>
                <w:szCs w:val="7"/>
                <w:color w:val="auto"/>
              </w:rPr>
            </w:pPr>
          </w:p>
        </w:tc>
        <w:tc>
          <w:tcPr>
            <w:tcW w:w="826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040" w:type="dxa"/>
            <w:vAlign w:val="bottom"/>
          </w:tcPr>
          <w:p>
            <w:pPr>
              <w:spacing w:after="0"/>
              <w:rPr>
                <w:sz w:val="5"/>
                <w:szCs w:val="5"/>
                <w:color w:val="auto"/>
              </w:rPr>
            </w:pPr>
          </w:p>
        </w:tc>
        <w:tc>
          <w:tcPr>
            <w:tcW w:w="8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0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826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040" w:type="dxa"/>
            <w:vAlign w:val="bottom"/>
            <w:vMerge w:val="continue"/>
          </w:tcPr>
          <w:p>
            <w:pPr>
              <w:spacing w:after="0"/>
              <w:rPr>
                <w:sz w:val="7"/>
                <w:szCs w:val="7"/>
                <w:color w:val="auto"/>
              </w:rPr>
            </w:pPr>
          </w:p>
        </w:tc>
        <w:tc>
          <w:tcPr>
            <w:tcW w:w="826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040" w:type="dxa"/>
            <w:vAlign w:val="bottom"/>
          </w:tcPr>
          <w:p>
            <w:pPr>
              <w:spacing w:after="0"/>
              <w:rPr>
                <w:sz w:val="5"/>
                <w:szCs w:val="5"/>
                <w:color w:val="auto"/>
              </w:rPr>
            </w:pPr>
          </w:p>
        </w:tc>
        <w:tc>
          <w:tcPr>
            <w:tcW w:w="8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0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826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040" w:type="dxa"/>
            <w:vAlign w:val="bottom"/>
            <w:vMerge w:val="continue"/>
          </w:tcPr>
          <w:p>
            <w:pPr>
              <w:spacing w:after="0"/>
              <w:rPr>
                <w:sz w:val="7"/>
                <w:szCs w:val="7"/>
                <w:color w:val="auto"/>
              </w:rPr>
            </w:pPr>
          </w:p>
        </w:tc>
        <w:tc>
          <w:tcPr>
            <w:tcW w:w="826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3040" w:type="dxa"/>
            <w:vAlign w:val="bottom"/>
          </w:tcPr>
          <w:p>
            <w:pPr>
              <w:spacing w:after="0"/>
              <w:rPr>
                <w:sz w:val="6"/>
                <w:szCs w:val="6"/>
                <w:color w:val="auto"/>
              </w:rPr>
            </w:pPr>
          </w:p>
        </w:tc>
        <w:tc>
          <w:tcPr>
            <w:tcW w:w="82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0"/>
        </w:trPr>
        <w:tc>
          <w:tcPr>
            <w:tcW w:w="304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269" w:right="27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AMD_00200775.0</w:t>
      </w:r>
    </w:p>
    <w:p>
      <w:pPr>
        <w:spacing w:after="0" w:line="25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the avoidance of doubt, the * * * * * * * * * license fees shall be calculated * * * * * * * * * * * * *. For example, * * * * * * * * * * * * * * * * * * * * * * * * * * * * * * * * * * * * * * * * * * * * * * * * * * * * * * * * *</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Expense Ratio</w:t>
      </w:r>
      <w:r>
        <w:rPr>
          <w:rFonts w:ascii="Times New Roman" w:cs="Times New Roman" w:eastAsia="Times New Roman" w:hAnsi="Times New Roman"/>
          <w:sz w:val="12"/>
          <w:szCs w:val="12"/>
          <w:color w:val="auto"/>
        </w:rPr>
        <w:t>” shall mean the * * * * * * * * * * * * * * * * * * * * * * * * * * * * * * * * * * * * * * * * * * when dividing * * * * * * * * * * * * * * * * * * * * * * * * * * * * * * * * * * * * * * * * * * * * * * * * * * * * *</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Notwithstanding anything to the contrary contained herein, if any Fund * * * * * * * * * * * * * * * * * * * * * * * * * * * * * * or if a Fund’s * * * * * * * * * * * * * * * * * * * * * * * * * * * * * * * * * * or if a Fund has an *</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 * * * * * * * * * * * * * * * * **, the * * * * * * * ** licensee fee for such Fund shall * * * * * * * * * * * * * * * * * * * * * * * * * * * * * * * * * * * * * * * * * * * * * * * * * * * * * * * * * * * * * * * * * * * * * * * * *</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139" w:lineRule="exact"/>
        <w:rPr>
          <w:sz w:val="20"/>
          <w:szCs w:val="20"/>
          <w:color w:val="auto"/>
        </w:rPr>
      </w:pPr>
    </w:p>
    <w:p>
      <w:pPr>
        <w:ind w:left="408" w:hanging="408"/>
        <w:spacing w:after="0"/>
        <w:tabs>
          <w:tab w:leader="none" w:pos="408" w:val="left"/>
        </w:tabs>
        <w:numPr>
          <w:ilvl w:val="0"/>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50" w:lineRule="exact"/>
        <w:rPr>
          <w:sz w:val="20"/>
          <w:szCs w:val="20"/>
          <w:color w:val="auto"/>
        </w:rPr>
      </w:pPr>
    </w:p>
    <w:p>
      <w:pPr>
        <w:ind w:left="828" w:hanging="414"/>
        <w:spacing w:after="0"/>
        <w:tabs>
          <w:tab w:leader="none" w:pos="828" w:val="left"/>
        </w:tabs>
        <w:numPr>
          <w:ilvl w:val="0"/>
          <w:numId w:val="3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this Amendment conflicts with the Agreement, this Amendment shall control. No right or license of any kind is granted to Licensee except as expressly provided in the Agreement and this Amendment.</w:t>
      </w:r>
    </w:p>
    <w:p>
      <w:pPr>
        <w:spacing w:after="0" w:line="161" w:lineRule="exact"/>
        <w:rPr>
          <w:rFonts w:ascii="Times New Roman" w:cs="Times New Roman" w:eastAsia="Times New Roman" w:hAnsi="Times New Roman"/>
          <w:sz w:val="11"/>
          <w:szCs w:val="11"/>
          <w:color w:val="auto"/>
        </w:rPr>
      </w:pPr>
    </w:p>
    <w:p>
      <w:pPr>
        <w:ind w:left="828" w:hanging="414"/>
        <w:spacing w:after="0"/>
        <w:tabs>
          <w:tab w:leader="none" w:pos="828"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Indexes set forth in Section 1 if, within one (1) year of the date of this Amendment, Licensee does not list an ESG Select ETF that is based on such Index.</w:t>
      </w:r>
    </w:p>
    <w:p>
      <w:pPr>
        <w:spacing w:after="0" w:line="150" w:lineRule="exact"/>
        <w:rPr>
          <w:rFonts w:ascii="Times New Roman" w:cs="Times New Roman" w:eastAsia="Times New Roman" w:hAnsi="Times New Roman"/>
          <w:sz w:val="12"/>
          <w:szCs w:val="12"/>
          <w:color w:val="auto"/>
        </w:rPr>
      </w:pPr>
    </w:p>
    <w:p>
      <w:pPr>
        <w:ind w:left="828" w:hanging="414"/>
        <w:spacing w:after="0" w:line="279" w:lineRule="auto"/>
        <w:tabs>
          <w:tab w:leader="none" w:pos="828"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a particular ESG Select ETF or changes the underlying Index for such ESG Select ETF, Licensee’s right to use the relevant Index set forth in Section 1 with respect to such ESG Select ETF shall automatically and immediately terminate.</w:t>
      </w:r>
    </w:p>
    <w:p>
      <w:pPr>
        <w:spacing w:after="0" w:line="111" w:lineRule="exact"/>
        <w:rPr>
          <w:rFonts w:ascii="Times New Roman" w:cs="Times New Roman" w:eastAsia="Times New Roman" w:hAnsi="Times New Roman"/>
          <w:sz w:val="12"/>
          <w:szCs w:val="12"/>
          <w:color w:val="auto"/>
        </w:rPr>
      </w:pPr>
    </w:p>
    <w:p>
      <w:pPr>
        <w:ind w:left="828" w:hanging="414"/>
        <w:spacing w:after="0"/>
        <w:tabs>
          <w:tab w:leader="none" w:pos="828"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5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108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288"/>
        </w:trPr>
        <w:tc>
          <w:tcPr>
            <w:tcW w:w="5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10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MSCI Inc.</w:t>
            </w:r>
          </w:p>
        </w:tc>
        <w:tc>
          <w:tcPr>
            <w:tcW w:w="4320" w:type="dxa"/>
            <w:vAlign w:val="bottom"/>
          </w:tcPr>
          <w:p>
            <w:pPr>
              <w:spacing w:after="0"/>
              <w:rPr>
                <w:sz w:val="24"/>
                <w:szCs w:val="24"/>
                <w:color w:val="auto"/>
              </w:rPr>
            </w:pPr>
          </w:p>
        </w:tc>
      </w:tr>
      <w:tr>
        <w:trPr>
          <w:trHeight w:val="288"/>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Diane Lunsey</w:t>
            </w:r>
          </w:p>
        </w:tc>
        <w:tc>
          <w:tcPr>
            <w:tcW w:w="1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Diane Lunsey</w:t>
            </w:r>
          </w:p>
        </w:tc>
        <w:tc>
          <w:tcPr>
            <w:tcW w:w="1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Name</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1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Title</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3-28-16</w:t>
            </w:r>
          </w:p>
        </w:tc>
        <w:tc>
          <w:tcPr>
            <w:tcW w:w="1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Date</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Apr 1, 2016</w:t>
            </w:r>
          </w:p>
        </w:tc>
      </w:tr>
    </w:tbl>
    <w:p>
      <w:pPr>
        <w:spacing w:after="0" w:line="2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Information Classification: GENERAL</w:t>
      </w: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129" w:right="299" w:bottom="1440" w:gutter="0" w:footer="0" w:header="0"/>
        </w:sectPr>
      </w:pPr>
    </w:p>
    <w:bookmarkStart w:id="246" w:name="page247"/>
    <w:bookmarkEnd w:id="246"/>
    <w:p>
      <w:pPr>
        <w:ind w:left="10488"/>
        <w:spacing w:after="0"/>
        <w:rPr>
          <w:sz w:val="20"/>
          <w:szCs w:val="20"/>
          <w:color w:val="auto"/>
        </w:rPr>
      </w:pPr>
      <w:r>
        <w:rPr>
          <w:rFonts w:ascii="Times New Roman" w:cs="Times New Roman" w:eastAsia="Times New Roman" w:hAnsi="Times New Roman"/>
          <w:sz w:val="13"/>
          <w:szCs w:val="13"/>
          <w:b w:val="1"/>
          <w:bCs w:val="1"/>
          <w:color w:val="auto"/>
        </w:rPr>
        <w:t>Exhibit 10.130</w:t>
      </w:r>
    </w:p>
    <w:p>
      <w:pPr>
        <w:spacing w:after="0" w:line="157" w:lineRule="exact"/>
        <w:rPr>
          <w:sz w:val="20"/>
          <w:szCs w:val="20"/>
          <w:color w:val="auto"/>
        </w:rPr>
      </w:pPr>
    </w:p>
    <w:p>
      <w:pPr>
        <w:ind w:left="8" w:hanging="8"/>
        <w:spacing w:after="0" w:line="284" w:lineRule="auto"/>
        <w:tabs>
          <w:tab w:leader="none" w:pos="279" w:val="left"/>
        </w:tabs>
        <w:numPr>
          <w:ilvl w:val="0"/>
          <w:numId w:val="3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242" w:lineRule="exact"/>
        <w:rPr>
          <w:sz w:val="20"/>
          <w:szCs w:val="20"/>
          <w:color w:val="auto"/>
        </w:rPr>
      </w:pPr>
    </w:p>
    <w:p>
      <w:pPr>
        <w:ind w:left="10548"/>
        <w:spacing w:after="0"/>
        <w:rPr>
          <w:sz w:val="20"/>
          <w:szCs w:val="20"/>
          <w:color w:val="auto"/>
        </w:rPr>
      </w:pPr>
      <w:r>
        <w:rPr>
          <w:rFonts w:ascii="Times New Roman" w:cs="Times New Roman" w:eastAsia="Times New Roman" w:hAnsi="Times New Roman"/>
          <w:sz w:val="13"/>
          <w:szCs w:val="13"/>
          <w:color w:val="auto"/>
        </w:rPr>
        <w:t>A.N.: 130339</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AMD_00203757.0</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AMENDMENT</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Date of Amendment: April 8, 2016</w:t>
      </w:r>
    </w:p>
    <w:p>
      <w:pPr>
        <w:spacing w:after="0" w:line="157" w:lineRule="exact"/>
        <w:rPr>
          <w:sz w:val="20"/>
          <w:szCs w:val="20"/>
          <w:color w:val="auto"/>
        </w:rPr>
      </w:pPr>
    </w:p>
    <w:p>
      <w:pPr>
        <w:ind w:left="8"/>
        <w:spacing w:after="0" w:line="281" w:lineRule="auto"/>
        <w:rPr>
          <w:sz w:val="20"/>
          <w:szCs w:val="20"/>
          <w:color w:val="auto"/>
        </w:rPr>
      </w:pPr>
      <w:r>
        <w:rPr>
          <w:rFonts w:ascii="Times New Roman" w:cs="Times New Roman" w:eastAsia="Times New Roman" w:hAnsi="Times New Roman"/>
          <w:sz w:val="13"/>
          <w:szCs w:val="13"/>
          <w:color w:val="auto"/>
        </w:rPr>
        <w:t>AMENDMENT to the Index License Agreement for Funds dated as of March 18, 2000 (as previously amended,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between MSCI Inc. (formerly known as Morgan Stanley Capital International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(as successor to Barclays Global Investors, N.A.)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the Agreement.</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WHEREAS, pursuant to the terms of the Amendment (MSCI reference #AMD_00421) between MSCI and Licensee dated October 4, 2011 (the “</w:t>
      </w:r>
      <w:r>
        <w:rPr>
          <w:rFonts w:ascii="Times New Roman" w:cs="Times New Roman" w:eastAsia="Times New Roman" w:hAnsi="Times New Roman"/>
          <w:sz w:val="13"/>
          <w:szCs w:val="13"/>
          <w:u w:val="single" w:color="auto"/>
          <w:color w:val="auto"/>
        </w:rPr>
        <w:t>Previous Amendment</w:t>
      </w:r>
      <w:r>
        <w:rPr>
          <w:rFonts w:ascii="Times New Roman" w:cs="Times New Roman" w:eastAsia="Times New Roman" w:hAnsi="Times New Roman"/>
          <w:sz w:val="13"/>
          <w:szCs w:val="13"/>
          <w:color w:val="auto"/>
        </w:rPr>
        <w:t>”), MSCI granted Licensee the right to use the</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MSCI indexes identified below as the basis for the Licensee Fund identified below in the United States:</w:t>
      </w:r>
    </w:p>
    <w:p>
      <w:pPr>
        <w:spacing w:after="0" w:line="143" w:lineRule="exact"/>
        <w:rPr>
          <w:sz w:val="20"/>
          <w:szCs w:val="20"/>
          <w:color w:val="auto"/>
        </w:rPr>
      </w:pPr>
    </w:p>
    <w:p>
      <w:pPr>
        <w:ind w:left="8" w:right="2600" w:firstLine="406"/>
        <w:spacing w:after="0" w:line="491" w:lineRule="auto"/>
        <w:tabs>
          <w:tab w:leader="none" w:pos="836" w:val="left"/>
        </w:tabs>
        <w:numPr>
          <w:ilvl w:val="0"/>
          <w:numId w:val="3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iShares MSCI Global Gold Miners ETF, which seeks to track the investment results of the MSCI ACWI Select Gold Miners Investable Market Index (The term “Fund” as used herein shall have the meaning ascribed to it in the Previous Amendment.)</w:t>
      </w:r>
    </w:p>
    <w:p>
      <w:pPr>
        <w:ind w:left="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WHEREAS, the parties wish to further amend the Agreement to allow for the cross-listing of the Licensee Fund identified above, as set forth below.</w:t>
      </w:r>
    </w:p>
    <w:p>
      <w:pPr>
        <w:spacing w:after="0" w:line="156" w:lineRule="exact"/>
        <w:rPr>
          <w:rFonts w:ascii="Times New Roman" w:cs="Times New Roman" w:eastAsia="Times New Roman" w:hAnsi="Times New Roman"/>
          <w:sz w:val="13"/>
          <w:szCs w:val="13"/>
          <w:color w:val="auto"/>
        </w:rPr>
      </w:pPr>
    </w:p>
    <w:p>
      <w:pPr>
        <w:ind w:left="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NOW, THEREFORE, for good and valuable consideration, the receipt and sufficiency of which is hereby acknowledged, the parties hereto agree as follows:</w:t>
      </w:r>
    </w:p>
    <w:p>
      <w:pPr>
        <w:spacing w:after="0" w:line="145" w:lineRule="exact"/>
        <w:rPr>
          <w:sz w:val="20"/>
          <w:szCs w:val="20"/>
          <w:color w:val="auto"/>
        </w:rPr>
      </w:pPr>
    </w:p>
    <w:p>
      <w:pPr>
        <w:jc w:val="both"/>
        <w:ind w:left="828" w:hanging="414"/>
        <w:spacing w:after="0" w:line="165" w:lineRule="exact"/>
        <w:tabs>
          <w:tab w:leader="none" w:pos="828" w:val="left"/>
        </w:tabs>
        <w:numPr>
          <w:ilvl w:val="0"/>
          <w:numId w:val="3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 B of the Agreement is hereby amended to allow the Licensee Fund identified above to be cross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listed and traded on the Mexican Stock Exchange (Bolsa Mexicana de Valores) (herein referred to as the “</w:t>
      </w:r>
      <w:r>
        <w:rPr>
          <w:rFonts w:ascii="Times New Roman" w:cs="Times New Roman" w:eastAsia="Times New Roman" w:hAnsi="Times New Roman"/>
          <w:sz w:val="13"/>
          <w:szCs w:val="13"/>
          <w:u w:val="single" w:color="auto"/>
          <w:color w:val="auto"/>
        </w:rPr>
        <w:t>Mexican Listed Fund</w:t>
      </w:r>
      <w:r>
        <w:rPr>
          <w:rFonts w:ascii="Times New Roman" w:cs="Times New Roman" w:eastAsia="Times New Roman" w:hAnsi="Times New Roman"/>
          <w:sz w:val="13"/>
          <w:szCs w:val="13"/>
          <w:color w:val="auto"/>
        </w:rPr>
        <w:t>”) while such Fund is listed on a United States exchange. The Mexican Listed Fund must be issued, sold and traded on a public basis in accordance with applicable Mexican securities law. All other terms and restrictions contained in Exhibit B of the Agreement shall apply to the Mexican Listed Fund. For the avoidance of doubt, the * * * * * * * * *</w:t>
      </w:r>
    </w:p>
    <w:p>
      <w:pPr>
        <w:ind w:left="82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 set forth in the Previous Amendment shall apply with respect to the * * * * * * * * * * * * * * * * * * *. For clarity, there shall be * * * * * * * * * * * * * * * * * * * * * * * * * * * * * * * * *</w:t>
      </w:r>
    </w:p>
    <w:p>
      <w:pPr>
        <w:spacing w:after="0" w:line="3" w:lineRule="exact"/>
        <w:rPr>
          <w:rFonts w:ascii="Times New Roman" w:cs="Times New Roman" w:eastAsia="Times New Roman" w:hAnsi="Times New Roman"/>
          <w:sz w:val="13"/>
          <w:szCs w:val="13"/>
          <w:color w:val="auto"/>
        </w:rPr>
      </w:pPr>
    </w:p>
    <w:p>
      <w:pPr>
        <w:ind w:left="82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3" w:lineRule="exact"/>
        <w:rPr>
          <w:rFonts w:ascii="Times New Roman" w:cs="Times New Roman" w:eastAsia="Times New Roman" w:hAnsi="Times New Roman"/>
          <w:sz w:val="13"/>
          <w:szCs w:val="13"/>
          <w:color w:val="auto"/>
        </w:rPr>
      </w:pPr>
    </w:p>
    <w:p>
      <w:pPr>
        <w:ind w:left="82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3" w:lineRule="exact"/>
        <w:rPr>
          <w:rFonts w:ascii="Times New Roman" w:cs="Times New Roman" w:eastAsia="Times New Roman" w:hAnsi="Times New Roman"/>
          <w:sz w:val="13"/>
          <w:szCs w:val="13"/>
          <w:color w:val="auto"/>
        </w:rPr>
      </w:pPr>
    </w:p>
    <w:p>
      <w:pPr>
        <w:ind w:left="82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42" w:lineRule="exact"/>
        <w:rPr>
          <w:rFonts w:ascii="Times New Roman" w:cs="Times New Roman" w:eastAsia="Times New Roman" w:hAnsi="Times New Roman"/>
          <w:sz w:val="13"/>
          <w:szCs w:val="13"/>
          <w:color w:val="auto"/>
        </w:rPr>
      </w:pPr>
    </w:p>
    <w:p>
      <w:pPr>
        <w:jc w:val="both"/>
        <w:ind w:left="828" w:hanging="414"/>
        <w:spacing w:after="0" w:line="263" w:lineRule="auto"/>
        <w:tabs>
          <w:tab w:leader="none" w:pos="828" w:val="left"/>
        </w:tabs>
        <w:numPr>
          <w:ilvl w:val="0"/>
          <w:numId w:val="3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89470"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6" w:right="299" w:bottom="1440" w:gutter="0" w:footer="0" w:header="0"/>
        </w:sectPr>
      </w:pPr>
    </w:p>
    <w:bookmarkStart w:id="247" w:name="page248"/>
    <w:bookmarkEnd w:id="247"/>
    <w:p>
      <w:pPr>
        <w:ind w:left="820"/>
        <w:spacing w:after="0"/>
        <w:rPr>
          <w:sz w:val="20"/>
          <w:szCs w:val="20"/>
          <w:color w:val="auto"/>
        </w:rPr>
      </w:pPr>
      <w:r>
        <w:rPr>
          <w:rFonts w:ascii="Times New Roman" w:cs="Times New Roman" w:eastAsia="Times New Roman" w:hAnsi="Times New Roman"/>
          <w:sz w:val="13"/>
          <w:szCs w:val="13"/>
          <w:color w:val="auto"/>
        </w:rPr>
        <w:t>the Agreement, the terms of this Amendment shall control. No right or license of any kind is granted to Licensee except as expressly provided in the Agreement and this Amendment.</w:t>
      </w:r>
    </w:p>
    <w:p>
      <w:pPr>
        <w:spacing w:after="0" w:line="18"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3"/>
          <w:szCs w:val="13"/>
          <w:color w:val="auto"/>
        </w:rPr>
        <w:t>A.N.: 130339</w:t>
      </w:r>
    </w:p>
    <w:p>
      <w:pPr>
        <w:spacing w:after="0" w:line="4"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3"/>
          <w:szCs w:val="13"/>
          <w:color w:val="auto"/>
        </w:rPr>
        <w:t>AMD_00203757.0</w:t>
      </w:r>
    </w:p>
    <w:p>
      <w:pPr>
        <w:spacing w:after="0" w:line="143" w:lineRule="exact"/>
        <w:rPr>
          <w:sz w:val="20"/>
          <w:szCs w:val="20"/>
          <w:color w:val="auto"/>
        </w:rPr>
      </w:pPr>
    </w:p>
    <w:p>
      <w:pPr>
        <w:ind w:left="820" w:hanging="414"/>
        <w:spacing w:after="0"/>
        <w:tabs>
          <w:tab w:leader="none" w:pos="820" w:val="left"/>
        </w:tabs>
        <w:numPr>
          <w:ilvl w:val="0"/>
          <w:numId w:val="3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LICENSEE: BlackRock Fund Advisors</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MSCI Inc.</w:t>
            </w:r>
          </w:p>
        </w:tc>
        <w:tc>
          <w:tcPr>
            <w:tcW w:w="4460" w:type="dxa"/>
            <w:vAlign w:val="bottom"/>
          </w:tcPr>
          <w:p>
            <w:pPr>
              <w:spacing w:after="0"/>
              <w:rPr>
                <w:sz w:val="13"/>
                <w:szCs w:val="13"/>
                <w:color w:val="auto"/>
              </w:rPr>
            </w:pPr>
          </w:p>
        </w:tc>
      </w:tr>
      <w:tr>
        <w:trPr>
          <w:trHeight w:val="168"/>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Manish Mehta</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Alex Gil</w:t>
            </w:r>
          </w:p>
        </w:tc>
      </w:tr>
      <w:tr>
        <w:trPr>
          <w:trHeight w:val="29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Manish Mehta</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Name</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Alex Gil</w:t>
            </w:r>
          </w:p>
        </w:tc>
      </w:tr>
      <w:tr>
        <w:trPr>
          <w:trHeight w:val="29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Title</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r>
    </w:tbl>
    <w:p>
      <w:pPr>
        <w:sectPr>
          <w:pgSz w:w="11900" w:h="16838" w:orient="portrait"/>
          <w:cols w:equalWidth="0" w:num="1">
            <w:col w:w="11300"/>
          </w:cols>
          <w:pgMar w:left="300" w:top="269" w:right="29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3"/>
          <w:szCs w:val="13"/>
          <w:b w:val="1"/>
          <w:bCs w:val="1"/>
          <w:color w:val="auto"/>
        </w:rPr>
        <w:t>Exhibit 10.131</w:t>
      </w:r>
    </w:p>
    <w:p>
      <w:pPr>
        <w:spacing w:after="0" w:line="148" w:lineRule="exact"/>
        <w:rPr>
          <w:sz w:val="20"/>
          <w:szCs w:val="20"/>
          <w:color w:val="auto"/>
        </w:rPr>
      </w:pPr>
    </w:p>
    <w:p>
      <w:pPr>
        <w:ind w:left="8" w:hanging="8"/>
        <w:spacing w:after="0" w:line="284" w:lineRule="auto"/>
        <w:tabs>
          <w:tab w:leader="none" w:pos="279" w:val="left"/>
        </w:tabs>
        <w:numPr>
          <w:ilvl w:val="0"/>
          <w:numId w:val="3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A.N.: 130339</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AMD_00197775.0</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BlackRock Fund Advisors</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Attention: Jenni Lee</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400 Howard Street</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San Francisco, California 94105</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April 12, 2016</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Dear Jenni:</w:t>
      </w:r>
    </w:p>
    <w:p>
      <w:pPr>
        <w:spacing w:after="0" w:line="116"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Reference is hereby made to the Amendment (MSCI reference: AMD_00061392.0) dated December 16, 2011 (the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to the Index License Agreement for Funds (MSCI reference: IXF_00040) dated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between MSCI Inc. (formerly known as Morgan Stanley Capital International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a California corporation (as successor to Barclays Global Investors, N.A.)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the Amendment or the Agreement, as the case may be.</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MSCI and Licensee hereby agree to modify the Amendment as follows:</w:t>
      </w:r>
    </w:p>
    <w:p>
      <w:pPr>
        <w:spacing w:after="0" w:line="121" w:lineRule="exact"/>
        <w:rPr>
          <w:sz w:val="20"/>
          <w:szCs w:val="20"/>
          <w:color w:val="auto"/>
        </w:rPr>
      </w:pPr>
    </w:p>
    <w:p>
      <w:pPr>
        <w:ind w:left="388" w:hanging="388"/>
        <w:spacing w:after="0"/>
        <w:tabs>
          <w:tab w:leader="none" w:pos="388" w:val="left"/>
        </w:tabs>
        <w:numPr>
          <w:ilvl w:val="0"/>
          <w:numId w:val="3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on the date of this letter, the following two (2) items shall be added to the “Index Information” portion of the table set forth in Section 1 of the Amendment:</w:t>
      </w:r>
    </w:p>
    <w:p>
      <w:pPr>
        <w:sectPr>
          <w:pgSz w:w="11900" w:h="16838" w:orient="portrait"/>
          <w:cols w:equalWidth="0" w:num="1">
            <w:col w:w="11308"/>
          </w:cols>
          <w:pgMar w:left="292" w:top="276" w:right="299" w:bottom="1440" w:gutter="0" w:footer="0" w:header="0"/>
        </w:sectPr>
      </w:pP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178040" cy="9029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9">
                      <a:extLst>
                        <a:ext uri="{28A0092B-C50C-407E-A947-70E740481C1C}"/>
                      </a:extLst>
                    </a:blip>
                    <a:srcRect/>
                    <a:stretch>
                      <a:fillRect/>
                    </a:stretch>
                  </pic:blipFill>
                  <pic:spPr bwMode="auto">
                    <a:xfrm>
                      <a:off x="0" y="0"/>
                      <a:ext cx="7178040" cy="902970"/>
                    </a:xfrm>
                    <a:prstGeom prst="rect">
                      <a:avLst/>
                    </a:prstGeom>
                    <a:noFill/>
                  </pic:spPr>
                </pic:pic>
              </a:graphicData>
            </a:graphic>
          </wp:anchor>
        </w:drawing>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w:t>
      </w:r>
    </w:p>
    <w:p>
      <w:pPr>
        <w:spacing w:after="0" w:line="601" w:lineRule="exact"/>
        <w:rPr>
          <w:sz w:val="20"/>
          <w:szCs w:val="20"/>
          <w:color w:val="auto"/>
        </w:rPr>
      </w:pPr>
    </w:p>
    <w:p>
      <w:pPr>
        <w:sectPr>
          <w:pgSz w:w="11900" w:h="16838" w:orient="portrait"/>
          <w:cols w:equalWidth="0" w:num="2">
            <w:col w:w="8848" w:space="720"/>
            <w:col w:w="1740"/>
          </w:cols>
          <w:pgMar w:left="292" w:top="276" w:right="299" w:bottom="1440" w:gutter="0" w:footer="0" w:header="0"/>
          <w:type w:val="continuous"/>
        </w:sectPr>
      </w:pPr>
    </w:p>
    <w:p>
      <w:pPr>
        <w:ind w:left="388" w:hanging="388"/>
        <w:spacing w:after="0" w:line="281" w:lineRule="auto"/>
        <w:tabs>
          <w:tab w:leader="none" w:pos="388" w:val="left"/>
        </w:tabs>
        <w:numPr>
          <w:ilvl w:val="0"/>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MSCI and Licensee hereby acknowledge and agree that (i) the Amendment erroneously states that it is to the Index License Agreement for Funds “dated as of May 18, 2000” and (ii) the correct date of the Index License Agreement for Funds referred to in the Amendment should be “as of March 18, 2000.”</w:t>
      </w:r>
    </w:p>
    <w:p>
      <w:pPr>
        <w:spacing w:after="0" w:line="100"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3"/>
          <w:szCs w:val="13"/>
          <w:color w:val="auto"/>
        </w:rPr>
        <w:t>This letter modifies and operates in conjunction with the Amendment. Together this letter, the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any terms of this letter conflict with any terms of the Amendment or the Agreement, the terms of this letter shall control. This letter shall be governed by, and construed in accordance with, the laws of the State of New York without regard to its conflict or choice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189470" cy="11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6" w:right="299" w:bottom="1440" w:gutter="0" w:footer="0" w:header="0"/>
          <w:type w:val="continuous"/>
        </w:sectPr>
      </w:pPr>
    </w:p>
    <w:bookmarkStart w:id="249" w:name="page250"/>
    <w:bookmarkEnd w:id="249"/>
    <w:p>
      <w:pPr>
        <w:jc w:val="right"/>
        <w:spacing w:after="0"/>
        <w:rPr>
          <w:sz w:val="20"/>
          <w:szCs w:val="20"/>
          <w:color w:val="auto"/>
        </w:rPr>
      </w:pPr>
      <w:r>
        <w:rPr>
          <w:rFonts w:ascii="Times New Roman" w:cs="Times New Roman" w:eastAsia="Times New Roman" w:hAnsi="Times New Roman"/>
          <w:sz w:val="13"/>
          <w:szCs w:val="13"/>
          <w:color w:val="auto"/>
        </w:rPr>
        <w:t>A.N.: 130339</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AMD_00197775.0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indicate your agreement with the foregoing by countersigning and returning a copy of this letter.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MSCI Inc.</w:t>
            </w:r>
          </w:p>
        </w:tc>
        <w:tc>
          <w:tcPr>
            <w:tcW w:w="4740" w:type="dxa"/>
            <w:vAlign w:val="bottom"/>
          </w:tcPr>
          <w:p>
            <w:pPr>
              <w:spacing w:after="0"/>
              <w:rPr>
                <w:sz w:val="14"/>
                <w:szCs w:val="14"/>
                <w:color w:val="auto"/>
              </w:rPr>
            </w:pPr>
          </w:p>
        </w:tc>
      </w:tr>
      <w:tr>
        <w:trPr>
          <w:trHeight w:val="293"/>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Alex Gil</w:t>
            </w:r>
          </w:p>
        </w:tc>
      </w:tr>
      <w:tr>
        <w:trPr>
          <w:trHeight w:val="127"/>
        </w:trPr>
        <w:tc>
          <w:tcPr>
            <w:tcW w:w="9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47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Alex Gil</w:t>
            </w:r>
          </w:p>
        </w:tc>
      </w:tr>
      <w:tr>
        <w:trPr>
          <w:trHeight w:val="17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Executive Director</w:t>
            </w: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ACCEPTED AND AGREED: Apr 23, 2016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BlackRock Fund Advisors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Manish Mehta</w:t>
            </w:r>
          </w:p>
        </w:tc>
      </w:tr>
      <w:tr>
        <w:trPr>
          <w:trHeight w:val="127"/>
        </w:trPr>
        <w:tc>
          <w:tcPr>
            <w:tcW w:w="9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47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Manish Mehta</w:t>
            </w:r>
          </w:p>
        </w:tc>
      </w:tr>
      <w:tr>
        <w:trPr>
          <w:trHeight w:val="17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Managing Director</w:t>
            </w:r>
          </w:p>
        </w:tc>
      </w:tr>
    </w:tbl>
    <w:p>
      <w:pPr>
        <w:sectPr>
          <w:pgSz w:w="11900" w:h="16838" w:orient="portrait"/>
          <w:cols w:equalWidth="0" w:num="1">
            <w:col w:w="11300"/>
          </w:cols>
          <w:pgMar w:left="300" w:top="431" w:right="299" w:bottom="1440" w:gutter="0" w:footer="0" w:header="0"/>
        </w:sectPr>
      </w:pPr>
    </w:p>
    <w:bookmarkStart w:id="250" w:name="page251"/>
    <w:bookmarkEnd w:id="250"/>
    <w:p>
      <w:pPr>
        <w:ind w:left="10568"/>
        <w:spacing w:after="0"/>
        <w:rPr>
          <w:sz w:val="20"/>
          <w:szCs w:val="20"/>
          <w:color w:val="auto"/>
        </w:rPr>
      </w:pPr>
      <w:r>
        <w:rPr>
          <w:rFonts w:ascii="Times New Roman" w:cs="Times New Roman" w:eastAsia="Times New Roman" w:hAnsi="Times New Roman"/>
          <w:sz w:val="12"/>
          <w:szCs w:val="12"/>
          <w:b w:val="1"/>
          <w:bCs w:val="1"/>
          <w:color w:val="auto"/>
        </w:rPr>
        <w:t>Exhibit 10.140</w:t>
      </w:r>
    </w:p>
    <w:p>
      <w:pPr>
        <w:spacing w:after="0" w:line="159" w:lineRule="exact"/>
        <w:rPr>
          <w:sz w:val="20"/>
          <w:szCs w:val="20"/>
          <w:color w:val="auto"/>
        </w:rPr>
      </w:pPr>
    </w:p>
    <w:p>
      <w:pPr>
        <w:ind w:left="8" w:right="80" w:hanging="8"/>
        <w:spacing w:after="0" w:line="286" w:lineRule="auto"/>
        <w:tabs>
          <w:tab w:leader="none" w:pos="218" w:val="left"/>
        </w:tabs>
        <w:numPr>
          <w:ilvl w:val="0"/>
          <w:numId w:val="3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0" w:lineRule="exact"/>
        <w:rPr>
          <w:sz w:val="20"/>
          <w:szCs w:val="20"/>
          <w:color w:val="auto"/>
        </w:rPr>
      </w:pPr>
    </w:p>
    <w:p>
      <w:pPr>
        <w:ind w:left="10608"/>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ind w:left="10388"/>
        <w:spacing w:after="0"/>
        <w:rPr>
          <w:sz w:val="20"/>
          <w:szCs w:val="20"/>
          <w:color w:val="auto"/>
        </w:rPr>
      </w:pPr>
      <w:r>
        <w:rPr>
          <w:rFonts w:ascii="Times New Roman" w:cs="Times New Roman" w:eastAsia="Times New Roman" w:hAnsi="Times New Roman"/>
          <w:sz w:val="12"/>
          <w:szCs w:val="12"/>
          <w:color w:val="auto"/>
        </w:rPr>
        <w:t>AMD_00205912.0</w:t>
      </w:r>
    </w:p>
    <w:p>
      <w:pPr>
        <w:spacing w:after="0" w:line="11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April 29, 2016</w:t>
      </w:r>
    </w:p>
    <w:p>
      <w:pPr>
        <w:spacing w:after="0" w:line="168" w:lineRule="exact"/>
        <w:rPr>
          <w:sz w:val="20"/>
          <w:szCs w:val="20"/>
          <w:color w:val="auto"/>
        </w:rPr>
      </w:pPr>
    </w:p>
    <w:p>
      <w:pPr>
        <w:ind w:left="8" w:right="40"/>
        <w:spacing w:after="0" w:line="265"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(MSCI reference number IXF_00040) dated as of March 18, 2000 (as previously amended,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128" w:lineRule="exact"/>
        <w:rPr>
          <w:sz w:val="20"/>
          <w:szCs w:val="20"/>
          <w:color w:val="auto"/>
        </w:rPr>
      </w:pPr>
    </w:p>
    <w:p>
      <w:pPr>
        <w:ind w:left="568" w:hanging="568"/>
        <w:spacing w:after="0"/>
        <w:tabs>
          <w:tab w:leader="none" w:pos="568" w:val="left"/>
        </w:tabs>
        <w:numPr>
          <w:ilvl w:val="0"/>
          <w:numId w:val="3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123" w:lineRule="exact"/>
        <w:rPr>
          <w:rFonts w:ascii="Times New Roman" w:cs="Times New Roman" w:eastAsia="Times New Roman" w:hAnsi="Times New Roman"/>
          <w:sz w:val="12"/>
          <w:szCs w:val="12"/>
          <w:color w:val="auto"/>
        </w:rPr>
      </w:pPr>
    </w:p>
    <w:p>
      <w:pPr>
        <w:ind w:left="1828" w:hanging="577"/>
        <w:spacing w:after="0"/>
        <w:tabs>
          <w:tab w:leader="none" w:pos="1828" w:val="left"/>
        </w:tabs>
        <w:numPr>
          <w:ilvl w:val="1"/>
          <w:numId w:val="3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USA Small Cap Minimum Volatility (USD) Index</w:t>
      </w:r>
    </w:p>
    <w:p>
      <w:pPr>
        <w:spacing w:after="0" w:line="168" w:lineRule="exact"/>
        <w:rPr>
          <w:sz w:val="20"/>
          <w:szCs w:val="20"/>
          <w:color w:val="auto"/>
        </w:rPr>
      </w:pPr>
    </w:p>
    <w:p>
      <w:pPr>
        <w:ind w:left="1248"/>
        <w:spacing w:after="0"/>
        <w:rPr>
          <w:sz w:val="20"/>
          <w:szCs w:val="20"/>
          <w:color w:val="auto"/>
        </w:rPr>
      </w:pPr>
      <w:r>
        <w:rPr>
          <w:rFonts w:ascii="Times New Roman" w:cs="Times New Roman" w:eastAsia="Times New Roman" w:hAnsi="Times New Roman"/>
          <w:sz w:val="12"/>
          <w:szCs w:val="12"/>
          <w:color w:val="auto"/>
        </w:rPr>
        <w:t>Or such other indexes as agreed by Licensee and MSCI in writing.</w:t>
      </w:r>
    </w:p>
    <w:p>
      <w:pPr>
        <w:spacing w:after="0" w:line="159" w:lineRule="exact"/>
        <w:rPr>
          <w:sz w:val="20"/>
          <w:szCs w:val="20"/>
          <w:color w:val="auto"/>
        </w:rPr>
      </w:pPr>
    </w:p>
    <w:p>
      <w:pPr>
        <w:ind w:left="568" w:right="80" w:hanging="568"/>
        <w:spacing w:after="0" w:line="279" w:lineRule="auto"/>
        <w:tabs>
          <w:tab w:leader="none" w:pos="568"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 set forth in Section 1 above solely with respect to the following Licensee fund (each, a “</w:t>
      </w:r>
      <w:r>
        <w:rPr>
          <w:rFonts w:ascii="Times New Roman" w:cs="Times New Roman" w:eastAsia="Times New Roman" w:hAnsi="Times New Roman"/>
          <w:sz w:val="12"/>
          <w:szCs w:val="12"/>
          <w:u w:val="single" w:color="auto"/>
          <w:color w:val="auto"/>
        </w:rPr>
        <w:t>USA Small Cap ETF</w:t>
      </w:r>
      <w:r>
        <w:rPr>
          <w:rFonts w:ascii="Times New Roman" w:cs="Times New Roman" w:eastAsia="Times New Roman" w:hAnsi="Times New Roman"/>
          <w:sz w:val="12"/>
          <w:szCs w:val="12"/>
          <w:color w:val="auto"/>
        </w:rPr>
        <w:t>” and each USA Small Cap ETF shall also be a “</w:t>
      </w:r>
      <w:r>
        <w:rPr>
          <w:rFonts w:ascii="Times New Roman" w:cs="Times New Roman" w:eastAsia="Times New Roman" w:hAnsi="Times New Roman"/>
          <w:sz w:val="12"/>
          <w:szCs w:val="12"/>
          <w:u w:val="single" w:color="auto"/>
          <w:color w:val="auto"/>
        </w:rPr>
        <w:t>Fund</w:t>
      </w:r>
      <w:r>
        <w:rPr>
          <w:rFonts w:ascii="Times New Roman" w:cs="Times New Roman" w:eastAsia="Times New Roman" w:hAnsi="Times New Roman"/>
          <w:sz w:val="12"/>
          <w:szCs w:val="12"/>
          <w:color w:val="auto"/>
        </w:rPr>
        <w:t>” as such term is defined in the Agreement):</w:t>
      </w:r>
    </w:p>
    <w:p>
      <w:pPr>
        <w:spacing w:after="0" w:line="84" w:lineRule="exact"/>
        <w:rPr>
          <w:rFonts w:ascii="Times New Roman" w:cs="Times New Roman" w:eastAsia="Times New Roman" w:hAnsi="Times New Roman"/>
          <w:sz w:val="12"/>
          <w:szCs w:val="12"/>
          <w:color w:val="auto"/>
        </w:rPr>
      </w:pPr>
    </w:p>
    <w:p>
      <w:pPr>
        <w:ind w:left="1828" w:hanging="577"/>
        <w:spacing w:after="0"/>
        <w:tabs>
          <w:tab w:leader="none" w:pos="1828" w:val="left"/>
        </w:tabs>
        <w:numPr>
          <w:ilvl w:val="1"/>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iShares Edge MSCI Min Vol USA Small-Cap ETF</w:t>
      </w:r>
    </w:p>
    <w:p>
      <w:pPr>
        <w:spacing w:after="0" w:line="168" w:lineRule="exact"/>
        <w:rPr>
          <w:sz w:val="20"/>
          <w:szCs w:val="20"/>
          <w:color w:val="auto"/>
        </w:rPr>
      </w:pPr>
    </w:p>
    <w:p>
      <w:pPr>
        <w:ind w:left="124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59"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The USA Small Cap ETFs shall be exchange traded index funds listed on a national securities exchange located in the United States.</w:t>
      </w:r>
    </w:p>
    <w:p>
      <w:pPr>
        <w:spacing w:after="0" w:line="159" w:lineRule="exact"/>
        <w:rPr>
          <w:sz w:val="20"/>
          <w:szCs w:val="20"/>
          <w:color w:val="auto"/>
        </w:rPr>
      </w:pPr>
    </w:p>
    <w:p>
      <w:pPr>
        <w:ind w:left="568" w:right="80" w:hanging="568"/>
        <w:spacing w:after="0" w:line="259" w:lineRule="auto"/>
        <w:tabs>
          <w:tab w:leader="none" w:pos="568"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a * * * * * * * * * license fee * * * * * * * * based on * * * * * * * * * * * * * * * * * * * * * * * * * * * * * * * * * * * * * * * * * * * * * * * * * * * * * * * *, which fee shall be calculated and payable on a * * * * * * * * * * * * * * *. The * * * * * * * * * license fee shall be calculated * * * * * * * * * * * * * * * * * * * * * * * * * * * * * * * * * * * * * * * * * * * * * * * * * * * * * * * * * * * * * * * * * * * * *</w:t>
      </w:r>
    </w:p>
    <w:p>
      <w:pPr>
        <w:spacing w:after="0" w:line="1" w:lineRule="exact"/>
        <w:rPr>
          <w:rFonts w:ascii="Times New Roman" w:cs="Times New Roman" w:eastAsia="Times New Roman" w:hAnsi="Times New Roman"/>
          <w:sz w:val="12"/>
          <w:szCs w:val="12"/>
          <w:color w:val="auto"/>
        </w:rPr>
      </w:pPr>
    </w:p>
    <w:p>
      <w:pPr>
        <w:ind w:left="5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5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 *, as follows:</w:t>
      </w:r>
    </w:p>
    <w:p>
      <w:pPr>
        <w:spacing w:after="0" w:line="13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80" w:type="dxa"/>
            <w:vAlign w:val="bottom"/>
            <w:tcBorders>
              <w:right w:val="single" w:sz="8" w:color="auto"/>
            </w:tcBorders>
          </w:tcPr>
          <w:p>
            <w:pPr>
              <w:spacing w:after="0"/>
              <w:rPr>
                <w:sz w:val="13"/>
                <w:szCs w:val="13"/>
                <w:color w:val="auto"/>
              </w:rPr>
            </w:pPr>
          </w:p>
        </w:tc>
        <w:tc>
          <w:tcPr>
            <w:tcW w:w="3940" w:type="dxa"/>
            <w:vAlign w:val="bottom"/>
            <w:tcBorders>
              <w:top w:val="single" w:sz="8" w:color="auto"/>
              <w:bottom w:val="single" w:sz="8" w:color="auto"/>
              <w:right w:val="single" w:sz="8" w:color="auto"/>
            </w:tcBorders>
            <w:shd w:val="clear" w:color="auto" w:fill="BFBFBF"/>
          </w:tcPr>
          <w:p>
            <w:pPr>
              <w:ind w:left="1240"/>
              <w:spacing w:after="0"/>
              <w:rPr>
                <w:sz w:val="20"/>
                <w:szCs w:val="20"/>
                <w:color w:val="auto"/>
              </w:rPr>
            </w:pPr>
            <w:r>
              <w:rPr>
                <w:rFonts w:ascii="Times New Roman" w:cs="Times New Roman" w:eastAsia="Times New Roman" w:hAnsi="Times New Roman"/>
                <w:sz w:val="12"/>
                <w:szCs w:val="12"/>
                <w:b w:val="1"/>
                <w:bCs w:val="1"/>
                <w:color w:val="auto"/>
              </w:rPr>
              <w:t>************************</w:t>
            </w:r>
          </w:p>
        </w:tc>
        <w:tc>
          <w:tcPr>
            <w:tcW w:w="6220" w:type="dxa"/>
            <w:vAlign w:val="bottom"/>
            <w:tcBorders>
              <w:top w:val="single" w:sz="8" w:color="auto"/>
              <w:bottom w:val="single" w:sz="8" w:color="auto"/>
              <w:right w:val="single" w:sz="8" w:color="auto"/>
            </w:tcBorders>
            <w:shd w:val="clear" w:color="auto" w:fill="BFBFBF"/>
          </w:tcPr>
          <w:p>
            <w:pPr>
              <w:ind w:left="246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2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continue"/>
          </w:tcPr>
          <w:p>
            <w:pPr>
              <w:spacing w:after="0"/>
              <w:rPr>
                <w:sz w:val="7"/>
                <w:szCs w:val="7"/>
                <w:color w:val="auto"/>
              </w:rPr>
            </w:pPr>
          </w:p>
        </w:tc>
        <w:tc>
          <w:tcPr>
            <w:tcW w:w="6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c>
          <w:tcPr>
            <w:tcW w:w="622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2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continue"/>
          </w:tcPr>
          <w:p>
            <w:pPr>
              <w:spacing w:after="0"/>
              <w:rPr>
                <w:sz w:val="7"/>
                <w:szCs w:val="7"/>
                <w:color w:val="auto"/>
              </w:rPr>
            </w:pPr>
          </w:p>
        </w:tc>
        <w:tc>
          <w:tcPr>
            <w:tcW w:w="6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c>
          <w:tcPr>
            <w:tcW w:w="622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2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continue"/>
          </w:tcPr>
          <w:p>
            <w:pPr>
              <w:spacing w:after="0"/>
              <w:rPr>
                <w:sz w:val="7"/>
                <w:szCs w:val="7"/>
                <w:color w:val="auto"/>
              </w:rPr>
            </w:pPr>
          </w:p>
        </w:tc>
        <w:tc>
          <w:tcPr>
            <w:tcW w:w="6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c>
          <w:tcPr>
            <w:tcW w:w="622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2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continue"/>
          </w:tcPr>
          <w:p>
            <w:pPr>
              <w:spacing w:after="0"/>
              <w:rPr>
                <w:sz w:val="7"/>
                <w:szCs w:val="7"/>
                <w:color w:val="auto"/>
              </w:rPr>
            </w:pPr>
          </w:p>
        </w:tc>
        <w:tc>
          <w:tcPr>
            <w:tcW w:w="6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c>
          <w:tcPr>
            <w:tcW w:w="622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2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continue"/>
          </w:tcPr>
          <w:p>
            <w:pPr>
              <w:spacing w:after="0"/>
              <w:rPr>
                <w:sz w:val="7"/>
                <w:szCs w:val="7"/>
                <w:color w:val="auto"/>
              </w:rPr>
            </w:pPr>
          </w:p>
        </w:tc>
        <w:tc>
          <w:tcPr>
            <w:tcW w:w="6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c>
          <w:tcPr>
            <w:tcW w:w="622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1"/>
        </w:trPr>
        <w:tc>
          <w:tcPr>
            <w:tcW w:w="5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269" w:right="27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ind w:left="10488"/>
        <w:spacing w:after="0"/>
        <w:rPr>
          <w:sz w:val="20"/>
          <w:szCs w:val="20"/>
          <w:color w:val="auto"/>
        </w:rPr>
      </w:pPr>
      <w:r>
        <w:rPr>
          <w:rFonts w:ascii="Times New Roman" w:cs="Times New Roman" w:eastAsia="Times New Roman" w:hAnsi="Times New Roman"/>
          <w:sz w:val="10"/>
          <w:szCs w:val="10"/>
          <w:color w:val="auto"/>
        </w:rPr>
        <w:t>AMD_00205912.0</w:t>
      </w:r>
    </w:p>
    <w:p>
      <w:pPr>
        <w:spacing w:after="0" w:line="153"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For the avoidance of doubt, the * * * * * * * * * license fees shall be calculated * * * * * * * * * * * * *. For example, * * * * * * * * * * * * * * * * * * * * * * * * * * * * * * * * * * * * * * * * * * * * * * * * * * * * * * * *</w:t>
      </w:r>
    </w:p>
    <w:p>
      <w:pPr>
        <w:spacing w:after="0" w:line="17"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w:t>
      </w:r>
    </w:p>
    <w:p>
      <w:pPr>
        <w:spacing w:after="0" w:line="130"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Expense Ratio</w:t>
      </w:r>
      <w:r>
        <w:rPr>
          <w:rFonts w:ascii="Times New Roman" w:cs="Times New Roman" w:eastAsia="Times New Roman" w:hAnsi="Times New Roman"/>
          <w:sz w:val="12"/>
          <w:szCs w:val="12"/>
          <w:color w:val="auto"/>
        </w:rPr>
        <w:t>” shall mean the * * * * * * * * * * * * * * * * * * * * * * * * * * * * * * * * * * * * * * * * * * when dividing * * * * * * * * * * * * * * * * * * * * * * * * * * * * * * * * * * * * * * * * * * * * * * * * * * * *</w:t>
      </w:r>
    </w:p>
    <w:p>
      <w:pPr>
        <w:spacing w:after="0" w:line="17"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568" w:right="60"/>
        <w:spacing w:after="0" w:line="283" w:lineRule="auto"/>
        <w:rPr>
          <w:sz w:val="20"/>
          <w:szCs w:val="20"/>
          <w:color w:val="auto"/>
        </w:rPr>
      </w:pPr>
      <w:r>
        <w:rPr>
          <w:rFonts w:ascii="Times New Roman" w:cs="Times New Roman" w:eastAsia="Times New Roman" w:hAnsi="Times New Roman"/>
          <w:sz w:val="11"/>
          <w:szCs w:val="11"/>
          <w:color w:val="auto"/>
        </w:rPr>
        <w:t>Notwithstanding anything to the contrary contained herein, if any Fund * * * * * * * * * * * * * * * * * * * * * * * * * * * * * * or if a Fund’s * * * * * * * * * * * * * * * * * * * * * * * * * * * * * * * * * * or if a Fund has an * * * * * * * * * * * * * * * * * * * * *, the * * * * * * * * * licensee fee for such Fund shall * * * * * * * * * * * * * * * * * * * * * * * * * * * * * * * * * * * * * * * * * * * * * * * * * * * * * * * * * * * * * * * * * * * *</w:t>
      </w:r>
    </w:p>
    <w:p>
      <w:pPr>
        <w:spacing w:after="0" w:line="1"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568" w:hanging="568"/>
        <w:spacing w:after="0"/>
        <w:tabs>
          <w:tab w:leader="none" w:pos="568"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59" w:lineRule="exact"/>
        <w:rPr>
          <w:sz w:val="20"/>
          <w:szCs w:val="20"/>
          <w:color w:val="auto"/>
        </w:rPr>
      </w:pPr>
    </w:p>
    <w:p>
      <w:pPr>
        <w:ind w:left="1128" w:right="280" w:hanging="561"/>
        <w:spacing w:after="0" w:line="279" w:lineRule="auto"/>
        <w:tabs>
          <w:tab w:leader="none" w:pos="1128"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this Amendment shall control. No right or license of any kind is granted to Licensee except as expressly provided in the Agreement and this Amendment.</w:t>
      </w:r>
    </w:p>
    <w:p>
      <w:pPr>
        <w:spacing w:after="0" w:line="120" w:lineRule="exact"/>
        <w:rPr>
          <w:rFonts w:ascii="Times New Roman" w:cs="Times New Roman" w:eastAsia="Times New Roman" w:hAnsi="Times New Roman"/>
          <w:sz w:val="12"/>
          <w:szCs w:val="12"/>
          <w:color w:val="auto"/>
        </w:rPr>
      </w:pPr>
    </w:p>
    <w:p>
      <w:pPr>
        <w:ind w:left="1128" w:hanging="561"/>
        <w:spacing w:after="0"/>
        <w:tabs>
          <w:tab w:leader="none" w:pos="1128"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Index set forth in Section 1 if, within one (1) year of the date of this Amendment, Licensee does not list a USA Small Cap ETF that is based on such Index.</w:t>
      </w:r>
    </w:p>
    <w:p>
      <w:pPr>
        <w:spacing w:after="0" w:line="159" w:lineRule="exact"/>
        <w:rPr>
          <w:rFonts w:ascii="Times New Roman" w:cs="Times New Roman" w:eastAsia="Times New Roman" w:hAnsi="Times New Roman"/>
          <w:sz w:val="12"/>
          <w:szCs w:val="12"/>
          <w:color w:val="auto"/>
        </w:rPr>
      </w:pPr>
    </w:p>
    <w:p>
      <w:pPr>
        <w:ind w:left="1128" w:right="20" w:hanging="561"/>
        <w:spacing w:after="0" w:line="279" w:lineRule="auto"/>
        <w:tabs>
          <w:tab w:leader="none" w:pos="1128"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a particular USA Small Cap ETF or changes the underlying Index for such USA Small Cap ETF, Licensee’s right to use the relevant Index set forth in Section 1 with respect to such USA Small Cap ETF shall automatically and immediately terminate.</w:t>
      </w:r>
    </w:p>
    <w:p>
      <w:pPr>
        <w:spacing w:after="0" w:line="120" w:lineRule="exact"/>
        <w:rPr>
          <w:rFonts w:ascii="Times New Roman" w:cs="Times New Roman" w:eastAsia="Times New Roman" w:hAnsi="Times New Roman"/>
          <w:sz w:val="12"/>
          <w:szCs w:val="12"/>
          <w:color w:val="auto"/>
        </w:rPr>
      </w:pPr>
    </w:p>
    <w:p>
      <w:pPr>
        <w:ind w:left="1128" w:hanging="561"/>
        <w:spacing w:after="0"/>
        <w:tabs>
          <w:tab w:leader="none" w:pos="1128"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900" w:type="dxa"/>
            <w:vAlign w:val="bottom"/>
          </w:tcPr>
          <w:p>
            <w:pPr>
              <w:spacing w:after="0"/>
              <w:rPr>
                <w:sz w:val="13"/>
                <w:szCs w:val="13"/>
                <w:color w:val="auto"/>
              </w:rPr>
            </w:pPr>
          </w:p>
        </w:tc>
        <w:tc>
          <w:tcPr>
            <w:tcW w:w="4860" w:type="dxa"/>
            <w:vAlign w:val="bottom"/>
          </w:tcPr>
          <w:p>
            <w:pPr>
              <w:spacing w:after="0"/>
              <w:rPr>
                <w:sz w:val="13"/>
                <w:szCs w:val="13"/>
                <w:color w:val="auto"/>
              </w:rPr>
            </w:pPr>
          </w:p>
        </w:tc>
      </w:tr>
      <w:tr>
        <w:trPr>
          <w:trHeight w:val="297"/>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MSCI Inc.</w:t>
            </w:r>
          </w:p>
        </w:tc>
        <w:tc>
          <w:tcPr>
            <w:tcW w:w="4860" w:type="dxa"/>
            <w:vAlign w:val="bottom"/>
          </w:tcPr>
          <w:p>
            <w:pPr>
              <w:spacing w:after="0"/>
              <w:rPr>
                <w:sz w:val="24"/>
                <w:szCs w:val="24"/>
                <w:color w:val="auto"/>
              </w:rPr>
            </w:pPr>
          </w:p>
        </w:tc>
      </w:tr>
      <w:tr>
        <w:trPr>
          <w:trHeight w:val="288"/>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Manish Mehta</w:t>
            </w:r>
          </w:p>
        </w:tc>
        <w:tc>
          <w:tcPr>
            <w:tcW w:w="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Manish Mehta</w:t>
            </w:r>
          </w:p>
        </w:tc>
        <w:tc>
          <w:tcPr>
            <w:tcW w:w="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6/20/2016</w:t>
            </w:r>
          </w:p>
        </w:tc>
        <w:tc>
          <w:tcPr>
            <w:tcW w:w="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Date</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Jun 30, 2016</w:t>
            </w:r>
          </w:p>
        </w:tc>
      </w:tr>
      <w:tr>
        <w:trPr>
          <w:trHeight w:val="430"/>
        </w:trPr>
        <w:tc>
          <w:tcPr>
            <w:tcW w:w="6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2</w:t>
            </w:r>
          </w:p>
        </w:tc>
        <w:tc>
          <w:tcPr>
            <w:tcW w:w="4860" w:type="dxa"/>
            <w:vAlign w:val="bottom"/>
          </w:tcPr>
          <w:p>
            <w:pPr>
              <w:spacing w:after="0"/>
              <w:rPr>
                <w:sz w:val="24"/>
                <w:szCs w:val="24"/>
                <w:color w:val="auto"/>
              </w:rPr>
            </w:pPr>
          </w:p>
        </w:tc>
      </w:tr>
    </w:tbl>
    <w:p>
      <w:pPr>
        <w:sectPr>
          <w:pgSz w:w="11900" w:h="16838" w:orient="portrait"/>
          <w:cols w:equalWidth="0" w:num="1">
            <w:col w:w="11308"/>
          </w:cols>
          <w:pgMar w:left="292" w:top="129" w:right="29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3"/>
          <w:szCs w:val="13"/>
          <w:b w:val="1"/>
          <w:bCs w:val="1"/>
          <w:color w:val="auto"/>
        </w:rPr>
        <w:t>Exhibit 10.142</w:t>
      </w:r>
    </w:p>
    <w:p>
      <w:pPr>
        <w:spacing w:after="0" w:line="158" w:lineRule="exact"/>
        <w:rPr>
          <w:sz w:val="20"/>
          <w:szCs w:val="20"/>
          <w:color w:val="auto"/>
        </w:rPr>
      </w:pPr>
    </w:p>
    <w:p>
      <w:pPr>
        <w:ind w:left="8" w:hanging="8"/>
        <w:spacing w:after="0" w:line="284" w:lineRule="auto"/>
        <w:tabs>
          <w:tab w:leader="none" w:pos="279" w:val="left"/>
        </w:tabs>
        <w:numPr>
          <w:ilvl w:val="0"/>
          <w:numId w:val="3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A.N.: 130339</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AMD_00206695.0</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AMENDMENT</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Date of Amendment: May 12, 2016</w:t>
      </w:r>
    </w:p>
    <w:p>
      <w:pPr>
        <w:spacing w:after="0" w:line="157"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AMENDMENT to the Index License Agreement for Funds (internal MSCI reference: IXF_00040) dated as of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between MSCI Inc. (formerly known as Morgan Stanley Capital International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(as successor to Barclays Global Investors, N.A.)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the Agreement.</w:t>
      </w:r>
    </w:p>
    <w:p>
      <w:pPr>
        <w:spacing w:after="0" w:line="121"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WHEREAS, MSCI and Licensee entered into the following schedules (collectively, the “</w:t>
      </w:r>
      <w:r>
        <w:rPr>
          <w:rFonts w:ascii="Times New Roman" w:cs="Times New Roman" w:eastAsia="Times New Roman" w:hAnsi="Times New Roman"/>
          <w:sz w:val="13"/>
          <w:szCs w:val="13"/>
          <w:u w:val="single" w:color="auto"/>
          <w:color w:val="auto"/>
        </w:rPr>
        <w:t>Previous Schedules</w:t>
      </w:r>
      <w:r>
        <w:rPr>
          <w:rFonts w:ascii="Times New Roman" w:cs="Times New Roman" w:eastAsia="Times New Roman" w:hAnsi="Times New Roman"/>
          <w:sz w:val="13"/>
          <w:szCs w:val="13"/>
          <w:color w:val="auto"/>
        </w:rPr>
        <w:t>”): (i) Schedule No. 11043 (internal MSCI reference #SCA_11043) dated September 1, 2010; (ii) Amendment (MSCI reference #AMD_00145581.0) dated September 22, 2014 and (iii) Amendment (MSCI reference #AMD_00187225.0) dated January 28, 2016;</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WHEREAS, pursuant to the terms of the Previous Schedules, MSCI granted Licensee the right to use certain MSCI indexes as the basis for the Funds identified below in the United States:</w:t>
      </w:r>
    </w:p>
    <w:p>
      <w:pPr>
        <w:sectPr>
          <w:pgSz w:w="11900" w:h="16838" w:orient="portrait"/>
          <w:cols w:equalWidth="0" w:num="1">
            <w:col w:w="11308"/>
          </w:cols>
          <w:pgMar w:left="292" w:top="122" w:right="299" w:bottom="1440" w:gutter="0" w:footer="0" w:header="0"/>
        </w:sectPr>
      </w:pPr>
    </w:p>
    <w:p>
      <w:pPr>
        <w:spacing w:after="0" w:line="15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p>
    <w:p>
      <w:pPr>
        <w:spacing w:after="0" w:line="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p>
    <w:p>
      <w:pPr>
        <w:spacing w:after="0" w:line="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 *** *** ****** ****</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 *** ***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 *** *** ****** **</w:t>
      </w:r>
    </w:p>
    <w:p>
      <w:pPr>
        <w:spacing w:after="0" w:line="8" w:lineRule="exact"/>
        <w:rPr>
          <w:sz w:val="20"/>
          <w:szCs w:val="20"/>
          <w:color w:val="auto"/>
        </w:rPr>
      </w:pPr>
    </w:p>
    <w:p>
      <w:pPr>
        <w:sectPr>
          <w:pgSz w:w="11900" w:h="16838" w:orient="portrait"/>
          <w:cols w:equalWidth="0" w:num="2">
            <w:col w:w="488" w:space="380"/>
            <w:col w:w="10440"/>
          </w:cols>
          <w:pgMar w:left="292" w:top="122" w:right="299" w:bottom="1440" w:gutter="0" w:footer="0" w:header="0"/>
          <w:type w:val="continuous"/>
        </w:sectPr>
      </w:pPr>
    </w:p>
    <w:p>
      <w:pPr>
        <w:ind w:left="868" w:hanging="436"/>
        <w:spacing w:after="0"/>
        <w:tabs>
          <w:tab w:leader="none" w:pos="868" w:val="left"/>
        </w:tabs>
        <w:numPr>
          <w:ilvl w:val="0"/>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 *** *</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term “Fund” as used herein shall have the meaning ascribed to it in the Previous Schedules.)</w:t>
      </w:r>
    </w:p>
    <w:p>
      <w:pPr>
        <w:spacing w:after="0" w:line="145" w:lineRule="exact"/>
        <w:rPr>
          <w:sz w:val="20"/>
          <w:szCs w:val="20"/>
          <w:color w:val="auto"/>
        </w:rPr>
      </w:pPr>
    </w:p>
    <w:p>
      <w:pPr>
        <w:ind w:left="8"/>
        <w:spacing w:after="0" w:line="150" w:lineRule="exact"/>
        <w:rPr>
          <w:sz w:val="20"/>
          <w:szCs w:val="20"/>
          <w:color w:val="auto"/>
        </w:rPr>
      </w:pPr>
      <w:r>
        <w:rPr>
          <w:rFonts w:ascii="Times New Roman" w:cs="Times New Roman" w:eastAsia="Times New Roman" w:hAnsi="Times New Roman"/>
          <w:sz w:val="13"/>
          <w:szCs w:val="13"/>
          <w:color w:val="auto"/>
        </w:rPr>
        <w:t>WHEREAS, the parties wish to further amend the Agreement to allow for the cross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listing of the Funds identified above, as set forth below.</w:t>
      </w:r>
    </w:p>
    <w:p>
      <w:pPr>
        <w:spacing w:after="0" w:line="1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for good and valuable consideration, the receipt and sufficiency of which is hereby acknowledged, the parties hereto agree as follows:</w:t>
      </w:r>
    </w:p>
    <w:p>
      <w:pPr>
        <w:spacing w:after="0" w:line="145" w:lineRule="exact"/>
        <w:rPr>
          <w:sz w:val="20"/>
          <w:szCs w:val="20"/>
          <w:color w:val="auto"/>
        </w:rPr>
      </w:pPr>
    </w:p>
    <w:p>
      <w:pPr>
        <w:jc w:val="both"/>
        <w:ind w:left="868" w:hanging="436"/>
        <w:spacing w:after="0" w:line="162" w:lineRule="exact"/>
        <w:tabs>
          <w:tab w:leader="none" w:pos="868" w:val="left"/>
        </w:tabs>
        <w:numPr>
          <w:ilvl w:val="0"/>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B of the Agreement is hereby amended to allow the Funds identified above to be cross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listed and traded on the Mexican Stock Exchange (Bolsa Mexicana de Valores) (herein referred to as the “</w:t>
      </w:r>
      <w:r>
        <w:rPr>
          <w:rFonts w:ascii="Times New Roman" w:cs="Times New Roman" w:eastAsia="Times New Roman" w:hAnsi="Times New Roman"/>
          <w:sz w:val="12"/>
          <w:szCs w:val="12"/>
          <w:u w:val="single" w:color="auto"/>
          <w:color w:val="auto"/>
        </w:rPr>
        <w:t>Mexican Listed Funds</w:t>
      </w:r>
      <w:r>
        <w:rPr>
          <w:rFonts w:ascii="Times New Roman" w:cs="Times New Roman" w:eastAsia="Times New Roman" w:hAnsi="Times New Roman"/>
          <w:sz w:val="12"/>
          <w:szCs w:val="12"/>
          <w:color w:val="auto"/>
        </w:rPr>
        <w:t>”) while such Funds are listed on a United States exchange. The Mexican Listed Funds must be issued, sold and traded on a public basis in accordance with applicable Mexican securities law. All other terms and restrictions contained in Exhibit B of the Agreement shall apply to the Mexican Listed Funds. For the avoidance of doubt, the * * * * * * * * * * * * set forth in the Previous Schedules shall apply with respect to the * * * * * * * * * * * * * * * * * * * *. For clarity, there shall be * * * * * * * * * * * * * * * * * * * * * * * * * * * * * * * * * * * * * * * * * * * * * * *</w:t>
      </w:r>
    </w:p>
    <w:p>
      <w:pPr>
        <w:ind w:left="8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w:t>
      </w:r>
    </w:p>
    <w:p>
      <w:pPr>
        <w:spacing w:after="0" w:line="3" w:lineRule="exact"/>
        <w:rPr>
          <w:rFonts w:ascii="Times New Roman" w:cs="Times New Roman" w:eastAsia="Times New Roman" w:hAnsi="Times New Roman"/>
          <w:sz w:val="12"/>
          <w:szCs w:val="12"/>
          <w:color w:val="auto"/>
        </w:rPr>
      </w:pPr>
    </w:p>
    <w:p>
      <w:pPr>
        <w:ind w:left="8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7189470" cy="114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2" w:right="299" w:bottom="1440" w:gutter="0" w:footer="0" w:header="0"/>
          <w:type w:val="continuous"/>
        </w:sectPr>
      </w:pPr>
    </w:p>
    <w:bookmarkStart w:id="253" w:name="page254"/>
    <w:bookmarkEnd w:id="253"/>
    <w:p>
      <w:pPr>
        <w:jc w:val="right"/>
        <w:spacing w:after="0"/>
        <w:rPr>
          <w:sz w:val="20"/>
          <w:szCs w:val="20"/>
          <w:color w:val="auto"/>
        </w:rPr>
      </w:pPr>
      <w:r>
        <w:rPr>
          <w:rFonts w:ascii="Times New Roman" w:cs="Times New Roman" w:eastAsia="Times New Roman" w:hAnsi="Times New Roman"/>
          <w:sz w:val="13"/>
          <w:szCs w:val="13"/>
          <w:color w:val="auto"/>
        </w:rPr>
        <w:t>A.N.: 130339</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AMD_00206695.0</w:t>
      </w:r>
    </w:p>
    <w:p>
      <w:pPr>
        <w:spacing w:after="0" w:line="143" w:lineRule="exact"/>
        <w:rPr>
          <w:sz w:val="20"/>
          <w:szCs w:val="20"/>
          <w:color w:val="auto"/>
        </w:rPr>
      </w:pPr>
    </w:p>
    <w:p>
      <w:pPr>
        <w:jc w:val="both"/>
        <w:ind w:left="860" w:hanging="436"/>
        <w:spacing w:after="0" w:line="259" w:lineRule="auto"/>
        <w:tabs>
          <w:tab w:leader="none" w:pos="860" w:val="left"/>
        </w:tabs>
        <w:numPr>
          <w:ilvl w:val="0"/>
          <w:numId w:val="3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281" w:lineRule="exact"/>
        <w:rPr>
          <w:rFonts w:ascii="Times New Roman" w:cs="Times New Roman" w:eastAsia="Times New Roman" w:hAnsi="Times New Roman"/>
          <w:sz w:val="13"/>
          <w:szCs w:val="13"/>
          <w:color w:val="auto"/>
        </w:rPr>
      </w:pPr>
    </w:p>
    <w:p>
      <w:pPr>
        <w:ind w:left="860" w:hanging="436"/>
        <w:spacing w:after="0"/>
        <w:tabs>
          <w:tab w:leader="none" w:pos="860" w:val="left"/>
        </w:tabs>
        <w:numPr>
          <w:ilvl w:val="0"/>
          <w:numId w:val="3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LICENSEE: BlackRock Fund Advisors</w:t>
            </w:r>
          </w:p>
        </w:tc>
        <w:tc>
          <w:tcPr>
            <w:tcW w:w="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MSCI Inc.</w:t>
            </w:r>
          </w:p>
        </w:tc>
        <w:tc>
          <w:tcPr>
            <w:tcW w:w="4540" w:type="dxa"/>
            <w:vAlign w:val="bottom"/>
          </w:tcPr>
          <w:p>
            <w:pPr>
              <w:spacing w:after="0"/>
              <w:rPr>
                <w:sz w:val="14"/>
                <w:szCs w:val="14"/>
                <w:color w:val="auto"/>
              </w:rPr>
            </w:pP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Manish Mehta</w:t>
            </w:r>
          </w:p>
        </w:tc>
        <w:tc>
          <w:tcPr>
            <w:tcW w:w="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r>
      <w:tr>
        <w:trPr>
          <w:trHeight w:val="29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Manish Mehta</w:t>
            </w:r>
          </w:p>
        </w:tc>
        <w:tc>
          <w:tcPr>
            <w:tcW w:w="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Name</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r>
      <w:tr>
        <w:trPr>
          <w:trHeight w:val="127"/>
        </w:trPr>
        <w:tc>
          <w:tcPr>
            <w:tcW w:w="700" w:type="dxa"/>
            <w:vAlign w:val="bottom"/>
          </w:tcPr>
          <w:p>
            <w:pPr>
              <w:spacing w:after="0"/>
              <w:rPr>
                <w:sz w:val="11"/>
                <w:szCs w:val="11"/>
                <w:color w:val="auto"/>
              </w:rPr>
            </w:pPr>
          </w:p>
        </w:tc>
        <w:tc>
          <w:tcPr>
            <w:tcW w:w="52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(printed)</w:t>
            </w:r>
          </w:p>
        </w:tc>
        <w:tc>
          <w:tcPr>
            <w:tcW w:w="860" w:type="dxa"/>
            <w:vAlign w:val="bottom"/>
          </w:tcPr>
          <w:p>
            <w:pPr>
              <w:spacing w:after="0"/>
              <w:rPr>
                <w:sz w:val="11"/>
                <w:szCs w:val="11"/>
                <w:color w:val="auto"/>
              </w:rPr>
            </w:pPr>
          </w:p>
        </w:tc>
        <w:tc>
          <w:tcPr>
            <w:tcW w:w="45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(printed)</w:t>
            </w:r>
          </w:p>
        </w:tc>
      </w:tr>
      <w:tr>
        <w:trPr>
          <w:trHeight w:val="168"/>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c>
          <w:tcPr>
            <w:tcW w:w="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Title</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Vice President</w:t>
            </w:r>
          </w:p>
        </w:tc>
      </w:tr>
    </w:tbl>
    <w:p>
      <w:pPr>
        <w:sectPr>
          <w:pgSz w:w="11900" w:h="16838" w:orient="portrait"/>
          <w:cols w:equalWidth="0" w:num="1">
            <w:col w:w="11300"/>
          </w:cols>
          <w:pgMar w:left="300" w:top="278" w:right="299" w:bottom="1440" w:gutter="0" w:footer="0" w:header="0"/>
        </w:sectPr>
      </w:pPr>
    </w:p>
    <w:bookmarkStart w:id="254" w:name="page255"/>
    <w:bookmarkEnd w:id="254"/>
    <w:p>
      <w:pPr>
        <w:ind w:left="10568"/>
        <w:spacing w:after="0"/>
        <w:rPr>
          <w:sz w:val="20"/>
          <w:szCs w:val="20"/>
          <w:color w:val="auto"/>
        </w:rPr>
      </w:pPr>
      <w:r>
        <w:rPr>
          <w:rFonts w:ascii="Times New Roman" w:cs="Times New Roman" w:eastAsia="Times New Roman" w:hAnsi="Times New Roman"/>
          <w:sz w:val="12"/>
          <w:szCs w:val="12"/>
          <w:b w:val="1"/>
          <w:bCs w:val="1"/>
          <w:color w:val="auto"/>
        </w:rPr>
        <w:t>Exhibit 10.143</w:t>
      </w:r>
    </w:p>
    <w:p>
      <w:pPr>
        <w:spacing w:after="0" w:line="159" w:lineRule="exact"/>
        <w:rPr>
          <w:sz w:val="20"/>
          <w:szCs w:val="20"/>
          <w:color w:val="auto"/>
        </w:rPr>
      </w:pPr>
    </w:p>
    <w:p>
      <w:pPr>
        <w:ind w:left="8" w:right="20" w:hanging="8"/>
        <w:spacing w:after="0" w:line="286" w:lineRule="auto"/>
        <w:tabs>
          <w:tab w:leader="none" w:pos="220" w:val="left"/>
        </w:tabs>
        <w:numPr>
          <w:ilvl w:val="0"/>
          <w:numId w:val="3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80" w:lineRule="exact"/>
        <w:rPr>
          <w:sz w:val="20"/>
          <w:szCs w:val="20"/>
          <w:color w:val="auto"/>
        </w:rPr>
      </w:pPr>
    </w:p>
    <w:p>
      <w:pPr>
        <w:ind w:left="10608"/>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ind w:left="10388"/>
        <w:spacing w:after="0"/>
        <w:rPr>
          <w:sz w:val="20"/>
          <w:szCs w:val="20"/>
          <w:color w:val="auto"/>
        </w:rPr>
      </w:pPr>
      <w:r>
        <w:rPr>
          <w:rFonts w:ascii="Times New Roman" w:cs="Times New Roman" w:eastAsia="Times New Roman" w:hAnsi="Times New Roman"/>
          <w:sz w:val="12"/>
          <w:szCs w:val="12"/>
          <w:color w:val="auto"/>
        </w:rPr>
        <w:t>AMD_00208225.0</w:t>
      </w:r>
    </w:p>
    <w:p>
      <w:pPr>
        <w:spacing w:after="0" w:line="14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June 15, 2016</w:t>
      </w:r>
    </w:p>
    <w:p>
      <w:pPr>
        <w:spacing w:after="0" w:line="123"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(MSCI reference number IXF_00040) dated as of March 18, 2000 (as previously amended,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128" w:lineRule="exact"/>
        <w:rPr>
          <w:sz w:val="20"/>
          <w:szCs w:val="20"/>
          <w:color w:val="auto"/>
        </w:rPr>
      </w:pPr>
    </w:p>
    <w:p>
      <w:pPr>
        <w:ind w:left="408" w:hanging="408"/>
        <w:spacing w:after="0"/>
        <w:tabs>
          <w:tab w:leader="none" w:pos="408" w:val="left"/>
        </w:tabs>
        <w:numPr>
          <w:ilvl w:val="0"/>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w:t>
      </w:r>
    </w:p>
    <w:p>
      <w:pPr>
        <w:spacing w:after="0" w:line="159" w:lineRule="exact"/>
        <w:rPr>
          <w:rFonts w:ascii="Times New Roman" w:cs="Times New Roman" w:eastAsia="Times New Roman" w:hAnsi="Times New Roman"/>
          <w:sz w:val="12"/>
          <w:szCs w:val="12"/>
          <w:color w:val="auto"/>
        </w:rPr>
      </w:pPr>
    </w:p>
    <w:p>
      <w:pPr>
        <w:ind w:left="4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MSCI USA ESG Focus Index</w:t>
      </w:r>
    </w:p>
    <w:p>
      <w:pPr>
        <w:spacing w:after="0" w:line="15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Or such other indexes as agreed by Licensee and MSCI in writing.</w:t>
      </w:r>
    </w:p>
    <w:p>
      <w:pPr>
        <w:spacing w:after="0" w:line="159" w:lineRule="exact"/>
        <w:rPr>
          <w:sz w:val="20"/>
          <w:szCs w:val="20"/>
          <w:color w:val="auto"/>
        </w:rPr>
      </w:pPr>
    </w:p>
    <w:p>
      <w:pPr>
        <w:ind w:left="408" w:right="20" w:hanging="408"/>
        <w:spacing w:after="0" w:line="279" w:lineRule="auto"/>
        <w:tabs>
          <w:tab w:leader="none" w:pos="408" w:val="left"/>
        </w:tabs>
        <w:numPr>
          <w:ilvl w:val="0"/>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 set forth in Section 1 above solely with respect to the following Licensee fund (each, an [“</w:t>
      </w:r>
      <w:r>
        <w:rPr>
          <w:rFonts w:ascii="Times New Roman" w:cs="Times New Roman" w:eastAsia="Times New Roman" w:hAnsi="Times New Roman"/>
          <w:sz w:val="12"/>
          <w:szCs w:val="12"/>
          <w:u w:val="single" w:color="auto"/>
          <w:color w:val="auto"/>
        </w:rPr>
        <w:t>iShares MSCI USA ESG Optimized ETF</w:t>
      </w:r>
      <w:r>
        <w:rPr>
          <w:rFonts w:ascii="Times New Roman" w:cs="Times New Roman" w:eastAsia="Times New Roman" w:hAnsi="Times New Roman"/>
          <w:sz w:val="12"/>
          <w:szCs w:val="12"/>
          <w:color w:val="auto"/>
        </w:rPr>
        <w:t>”] and each iShares MSCI USA ESG Optimized ETF shall also be a “</w:t>
      </w:r>
      <w:r>
        <w:rPr>
          <w:rFonts w:ascii="Times New Roman" w:cs="Times New Roman" w:eastAsia="Times New Roman" w:hAnsi="Times New Roman"/>
          <w:sz w:val="12"/>
          <w:szCs w:val="12"/>
          <w:u w:val="single" w:color="auto"/>
          <w:color w:val="auto"/>
        </w:rPr>
        <w:t>Fund</w:t>
      </w:r>
      <w:r>
        <w:rPr>
          <w:rFonts w:ascii="Times New Roman" w:cs="Times New Roman" w:eastAsia="Times New Roman" w:hAnsi="Times New Roman"/>
          <w:sz w:val="12"/>
          <w:szCs w:val="12"/>
          <w:color w:val="auto"/>
        </w:rPr>
        <w:t>” as such term is defined in the Agreement):</w:t>
      </w:r>
    </w:p>
    <w:p>
      <w:pPr>
        <w:spacing w:after="0" w:line="120" w:lineRule="exact"/>
        <w:rPr>
          <w:rFonts w:ascii="Times New Roman" w:cs="Times New Roman" w:eastAsia="Times New Roman" w:hAnsi="Times New Roman"/>
          <w:sz w:val="12"/>
          <w:szCs w:val="12"/>
          <w:color w:val="auto"/>
        </w:rPr>
      </w:pPr>
    </w:p>
    <w:p>
      <w:pPr>
        <w:ind w:left="4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iShares MSCI USA ESG Optimized ETF</w:t>
      </w:r>
    </w:p>
    <w:p>
      <w:pPr>
        <w:spacing w:after="0" w:line="15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5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iShares MSCI USA ESG Optimized ETF shall be exchange traded index funds listed on a national securities exchange located in the United States.</w:t>
      </w:r>
    </w:p>
    <w:p>
      <w:pPr>
        <w:spacing w:after="0" w:line="159" w:lineRule="exact"/>
        <w:rPr>
          <w:sz w:val="20"/>
          <w:szCs w:val="20"/>
          <w:color w:val="auto"/>
        </w:rPr>
      </w:pPr>
    </w:p>
    <w:p>
      <w:pPr>
        <w:jc w:val="both"/>
        <w:ind w:left="408" w:right="20" w:hanging="408"/>
        <w:spacing w:after="0" w:line="259" w:lineRule="auto"/>
        <w:tabs>
          <w:tab w:leader="none" w:pos="408" w:val="left"/>
        </w:tabs>
        <w:numPr>
          <w:ilvl w:val="0"/>
          <w:numId w:val="3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a * * * * * * * * * * license fee * * * * * * * * based on * * * * * * * * * * * * * * * * * * * * * * * * * * * * * * * * * * * * * * * * * * * * * * * * * * * * * * * * *, which fee shall be calculated and payable on a * * * * * * * * * * * * * * *. The * * * * * * * * * license fee shall be calculated * * * * * * * * * * * * * * * * * * * * * * * * * * * * * * * * * * * * * * * * * * * * * * * * * * * * * * * * * * * * * * * * * * * * * * *</w:t>
      </w:r>
    </w:p>
    <w:p>
      <w:pPr>
        <w:spacing w:after="0" w:line="1" w:lineRule="exact"/>
        <w:rPr>
          <w:rFonts w:ascii="Times New Roman" w:cs="Times New Roman" w:eastAsia="Times New Roman" w:hAnsi="Times New Roman"/>
          <w:sz w:val="12"/>
          <w:szCs w:val="12"/>
          <w:color w:val="auto"/>
        </w:rPr>
      </w:pPr>
    </w:p>
    <w:p>
      <w:pPr>
        <w:ind w:left="4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4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 * * * * * * * * * * * * * * * * * * * * * * * * * * * * * * * * * * * * * * * * * * *, as follows: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80" w:type="dxa"/>
            <w:vAlign w:val="bottom"/>
            <w:tcBorders>
              <w:right w:val="single" w:sz="8" w:color="auto"/>
            </w:tcBorders>
          </w:tcPr>
          <w:p>
            <w:pPr>
              <w:spacing w:after="0"/>
              <w:rPr>
                <w:sz w:val="13"/>
                <w:szCs w:val="13"/>
                <w:color w:val="auto"/>
              </w:rPr>
            </w:pPr>
          </w:p>
        </w:tc>
        <w:tc>
          <w:tcPr>
            <w:tcW w:w="4920" w:type="dxa"/>
            <w:vAlign w:val="bottom"/>
            <w:tcBorders>
              <w:top w:val="single" w:sz="8" w:color="auto"/>
              <w:bottom w:val="single" w:sz="8" w:color="auto"/>
              <w:right w:val="single" w:sz="8" w:color="auto"/>
            </w:tcBorders>
            <w:shd w:val="clear" w:color="auto" w:fill="BFBFBF"/>
          </w:tcPr>
          <w:p>
            <w:pPr>
              <w:jc w:val="right"/>
              <w:ind w:right="1700"/>
              <w:spacing w:after="0"/>
              <w:rPr>
                <w:sz w:val="20"/>
                <w:szCs w:val="20"/>
                <w:color w:val="auto"/>
              </w:rPr>
            </w:pPr>
            <w:r>
              <w:rPr>
                <w:rFonts w:ascii="Times New Roman" w:cs="Times New Roman" w:eastAsia="Times New Roman" w:hAnsi="Times New Roman"/>
                <w:sz w:val="12"/>
                <w:szCs w:val="12"/>
                <w:b w:val="1"/>
                <w:bCs w:val="1"/>
                <w:color w:val="auto"/>
              </w:rPr>
              <w:t>************************</w:t>
            </w:r>
          </w:p>
        </w:tc>
        <w:tc>
          <w:tcPr>
            <w:tcW w:w="5240" w:type="dxa"/>
            <w:vAlign w:val="bottom"/>
            <w:tcBorders>
              <w:top w:val="single" w:sz="8" w:color="auto"/>
              <w:bottom w:val="single" w:sz="8" w:color="auto"/>
              <w:right w:val="single" w:sz="8" w:color="auto"/>
            </w:tcBorders>
            <w:shd w:val="clear" w:color="auto" w:fill="BFBFBF"/>
          </w:tcPr>
          <w:p>
            <w:pPr>
              <w:jc w:val="right"/>
              <w:ind w:right="194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49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2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52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492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49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2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52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492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49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2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52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492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49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2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52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492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80" w:type="dxa"/>
            <w:vAlign w:val="bottom"/>
            <w:tcBorders>
              <w:right w:val="single" w:sz="8" w:color="auto"/>
            </w:tcBorders>
          </w:tcPr>
          <w:p>
            <w:pPr>
              <w:spacing w:after="0"/>
              <w:rPr>
                <w:sz w:val="10"/>
                <w:szCs w:val="10"/>
                <w:color w:val="auto"/>
              </w:rPr>
            </w:pPr>
          </w:p>
        </w:tc>
        <w:tc>
          <w:tcPr>
            <w:tcW w:w="49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2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52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492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1"/>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278" w:right="27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AMD_00208225.0</w:t>
      </w:r>
    </w:p>
    <w:p>
      <w:pPr>
        <w:spacing w:after="0" w:line="14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the avoidance of doubt, the * * * * * * * * * license fees shall be calculated * * * * * * * * * * * * *. For example, * * * * * * * * * * * * * * * * * * * * * * * * * * * * * * * * * * * * * * * * * * * * * * * * * * * * * * * * *</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Expense Ratio</w:t>
      </w:r>
      <w:r>
        <w:rPr>
          <w:rFonts w:ascii="Times New Roman" w:cs="Times New Roman" w:eastAsia="Times New Roman" w:hAnsi="Times New Roman"/>
          <w:sz w:val="11"/>
          <w:szCs w:val="11"/>
          <w:color w:val="auto"/>
        </w:rPr>
        <w:t>” shall mean the * * * * * * * * * * * * * * * * * * * * * * * * * * * * * * * * * * * * * * * * * * when dividing * * * * * * * * * * * * * * * * * * * * * * * * * * * * * * * * * * * * * * * * * * * * * * * * * * * * * *</w:t>
      </w:r>
    </w:p>
    <w:p>
      <w:pPr>
        <w:spacing w:after="0" w:line="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Notwithstanding anything to the contrary contained herein, if any Fund * * * * * * * * * * * * * * * * * * * * * * * * * * * * * * or if a Fund’s * * * * * * * * * * * * * * * * * * * * * * * * * * * * * * * * * * or if a Fund has an *</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 * * * * * * * * * * * * * * * * * *, the * * * * * * * * * licensee fee for such Fund shall * * * * * * * * * * * * * * * * * * * * * * * * * * * * * * * * * * * * * * * * * * * * * * * * * * * * * * * * * * * * * * * * * * * * * * * *</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408" w:hanging="408"/>
        <w:spacing w:after="0"/>
        <w:tabs>
          <w:tab w:leader="none" w:pos="408"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59" w:lineRule="exact"/>
        <w:rPr>
          <w:sz w:val="20"/>
          <w:szCs w:val="20"/>
          <w:color w:val="auto"/>
        </w:rPr>
      </w:pPr>
    </w:p>
    <w:p>
      <w:pPr>
        <w:ind w:left="828" w:hanging="414"/>
        <w:spacing w:after="0"/>
        <w:tabs>
          <w:tab w:leader="none" w:pos="828" w:val="left"/>
        </w:tabs>
        <w:numPr>
          <w:ilvl w:val="0"/>
          <w:numId w:val="3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this Amendment conflicts with the Agreement, this Amendment shall control. No right or license of any kind is granted to Licensee except as expressly provided in the Agreement and this Amendment.</w:t>
      </w:r>
    </w:p>
    <w:p>
      <w:pPr>
        <w:spacing w:after="0" w:line="170" w:lineRule="exact"/>
        <w:rPr>
          <w:rFonts w:ascii="Times New Roman" w:cs="Times New Roman" w:eastAsia="Times New Roman" w:hAnsi="Times New Roman"/>
          <w:sz w:val="11"/>
          <w:szCs w:val="11"/>
          <w:color w:val="auto"/>
        </w:rPr>
      </w:pPr>
    </w:p>
    <w:p>
      <w:pPr>
        <w:ind w:left="828" w:hanging="414"/>
        <w:spacing w:after="0" w:line="279" w:lineRule="auto"/>
        <w:tabs>
          <w:tab w:leader="none" w:pos="828"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Index set forth in Section 1 if, within one (1) year of the date of this Amendment, Licensee does not list an iShares MSCI USA ESG Optimized ETF that is based on such Index.</w:t>
      </w:r>
    </w:p>
    <w:p>
      <w:pPr>
        <w:spacing w:after="0" w:line="120" w:lineRule="exact"/>
        <w:rPr>
          <w:rFonts w:ascii="Times New Roman" w:cs="Times New Roman" w:eastAsia="Times New Roman" w:hAnsi="Times New Roman"/>
          <w:sz w:val="12"/>
          <w:szCs w:val="12"/>
          <w:color w:val="auto"/>
        </w:rPr>
      </w:pPr>
    </w:p>
    <w:p>
      <w:pPr>
        <w:ind w:left="828" w:hanging="414"/>
        <w:spacing w:after="0" w:line="279" w:lineRule="auto"/>
        <w:tabs>
          <w:tab w:leader="none" w:pos="828"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a particular iShares MSCI USA ESG Optimized ETF or changes the underlying Index for such iShares MSCI USA ESG Optimized ETF, Licensee’s right to use the relevant Index set forth in Section 1 with respect to such iShares MSCI USA ESG Optimized ETF shall automatically and immediately terminate.</w:t>
      </w:r>
    </w:p>
    <w:p>
      <w:pPr>
        <w:spacing w:after="0" w:line="120" w:lineRule="exact"/>
        <w:rPr>
          <w:rFonts w:ascii="Times New Roman" w:cs="Times New Roman" w:eastAsia="Times New Roman" w:hAnsi="Times New Roman"/>
          <w:sz w:val="12"/>
          <w:szCs w:val="12"/>
          <w:color w:val="auto"/>
        </w:rPr>
      </w:pPr>
    </w:p>
    <w:p>
      <w:pPr>
        <w:ind w:left="828" w:hanging="414"/>
        <w:spacing w:after="0"/>
        <w:tabs>
          <w:tab w:leader="none" w:pos="828"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2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80" w:type="dxa"/>
            <w:vAlign w:val="bottom"/>
          </w:tcPr>
          <w:p>
            <w:pPr>
              <w:spacing w:after="0"/>
              <w:rPr>
                <w:sz w:val="13"/>
                <w:szCs w:val="13"/>
                <w:color w:val="auto"/>
              </w:rPr>
            </w:pPr>
          </w:p>
        </w:tc>
      </w:tr>
      <w:tr>
        <w:trPr>
          <w:trHeight w:val="297"/>
        </w:trPr>
        <w:tc>
          <w:tcPr>
            <w:tcW w:w="3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222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MSCI Inc.</w:t>
            </w:r>
          </w:p>
        </w:tc>
        <w:tc>
          <w:tcPr>
            <w:tcW w:w="4480" w:type="dxa"/>
            <w:vAlign w:val="bottom"/>
          </w:tcPr>
          <w:p>
            <w:pPr>
              <w:spacing w:after="0"/>
              <w:rPr>
                <w:sz w:val="24"/>
                <w:szCs w:val="24"/>
                <w:color w:val="auto"/>
              </w:rPr>
            </w:pPr>
          </w:p>
        </w:tc>
      </w:tr>
      <w:tr>
        <w:trPr>
          <w:trHeight w:val="288"/>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Manish Mehta</w:t>
            </w:r>
          </w:p>
        </w:tc>
        <w:tc>
          <w:tcPr>
            <w:tcW w:w="2220" w:type="dxa"/>
            <w:vAlign w:val="bottom"/>
            <w:tcBorders>
              <w:bottom w:val="single" w:sz="8" w:color="auto"/>
            </w:tcBorders>
          </w:tcPr>
          <w:p>
            <w:pPr>
              <w:spacing w:after="0"/>
              <w:rPr>
                <w:sz w:val="24"/>
                <w:szCs w:val="24"/>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Manish Mehta</w:t>
            </w:r>
          </w:p>
        </w:tc>
        <w:tc>
          <w:tcPr>
            <w:tcW w:w="2220" w:type="dxa"/>
            <w:vAlign w:val="bottom"/>
            <w:tcBorders>
              <w:bottom w:val="single" w:sz="8" w:color="auto"/>
            </w:tcBorders>
          </w:tcPr>
          <w:p>
            <w:pPr>
              <w:spacing w:after="0"/>
              <w:rPr>
                <w:sz w:val="24"/>
                <w:szCs w:val="24"/>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Name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2220" w:type="dxa"/>
            <w:vAlign w:val="bottom"/>
            <w:tcBorders>
              <w:bottom w:val="single" w:sz="8" w:color="auto"/>
            </w:tcBorders>
          </w:tcPr>
          <w:p>
            <w:pPr>
              <w:spacing w:after="0"/>
              <w:rPr>
                <w:sz w:val="24"/>
                <w:szCs w:val="24"/>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Title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8/12/16</w:t>
            </w:r>
          </w:p>
        </w:tc>
        <w:tc>
          <w:tcPr>
            <w:tcW w:w="2220" w:type="dxa"/>
            <w:vAlign w:val="bottom"/>
            <w:tcBorders>
              <w:bottom w:val="single" w:sz="8" w:color="auto"/>
            </w:tcBorders>
          </w:tcPr>
          <w:p>
            <w:pPr>
              <w:spacing w:after="0"/>
              <w:rPr>
                <w:sz w:val="24"/>
                <w:szCs w:val="24"/>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Date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Sep 6, 2016</w:t>
            </w:r>
          </w:p>
        </w:tc>
      </w:tr>
      <w:tr>
        <w:trPr>
          <w:trHeight w:val="583"/>
        </w:trPr>
        <w:tc>
          <w:tcPr>
            <w:tcW w:w="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2</w:t>
            </w:r>
          </w:p>
        </w:tc>
        <w:tc>
          <w:tcPr>
            <w:tcW w:w="84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1308"/>
          </w:cols>
          <w:pgMar w:left="292" w:top="282" w:right="29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3"/>
          <w:szCs w:val="13"/>
          <w:b w:val="1"/>
          <w:bCs w:val="1"/>
          <w:color w:val="auto"/>
        </w:rPr>
        <w:t>Exhibit 10.144</w:t>
      </w:r>
    </w:p>
    <w:p>
      <w:pPr>
        <w:spacing w:after="0" w:line="149" w:lineRule="exact"/>
        <w:rPr>
          <w:sz w:val="20"/>
          <w:szCs w:val="20"/>
          <w:color w:val="auto"/>
        </w:rPr>
      </w:pPr>
    </w:p>
    <w:p>
      <w:pPr>
        <w:ind w:left="8" w:hanging="8"/>
        <w:spacing w:after="0" w:line="284" w:lineRule="auto"/>
        <w:tabs>
          <w:tab w:leader="none" w:pos="279" w:val="left"/>
        </w:tabs>
        <w:numPr>
          <w:ilvl w:val="0"/>
          <w:numId w:val="3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98" w:lineRule="exact"/>
        <w:rPr>
          <w:sz w:val="20"/>
          <w:szCs w:val="20"/>
          <w:color w:val="auto"/>
        </w:rPr>
      </w:pPr>
    </w:p>
    <w:p>
      <w:pPr>
        <w:ind w:left="10308"/>
        <w:spacing w:after="0"/>
        <w:rPr>
          <w:sz w:val="20"/>
          <w:szCs w:val="20"/>
          <w:color w:val="auto"/>
        </w:rPr>
      </w:pPr>
      <w:r>
        <w:rPr>
          <w:rFonts w:ascii="Times New Roman" w:cs="Times New Roman" w:eastAsia="Times New Roman" w:hAnsi="Times New Roman"/>
          <w:sz w:val="13"/>
          <w:szCs w:val="13"/>
          <w:color w:val="auto"/>
        </w:rPr>
        <w:t>AMD_00209563.0</w:t>
      </w:r>
    </w:p>
    <w:p>
      <w:pPr>
        <w:spacing w:after="0" w:line="148"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THIS AMENDMENT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dated as of July 21, 2016 (the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is made to the Amendment (internal MSCI reference number: AMD_00200775.0) dated as of February 29, 2016 (the “</w:t>
      </w:r>
      <w:r>
        <w:rPr>
          <w:rFonts w:ascii="Times New Roman" w:cs="Times New Roman" w:eastAsia="Times New Roman" w:hAnsi="Times New Roman"/>
          <w:sz w:val="13"/>
          <w:szCs w:val="13"/>
          <w:u w:val="single" w:color="auto"/>
          <w:color w:val="auto"/>
        </w:rPr>
        <w:t>Previous Amendment</w:t>
      </w:r>
      <w:r>
        <w:rPr>
          <w:rFonts w:ascii="Times New Roman" w:cs="Times New Roman" w:eastAsia="Times New Roman" w:hAnsi="Times New Roman"/>
          <w:sz w:val="13"/>
          <w:szCs w:val="13"/>
          <w:color w:val="auto"/>
        </w:rPr>
        <w:t>”) by and between MSCI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the Previous Amendment.</w:t>
      </w:r>
    </w:p>
    <w:p>
      <w:pPr>
        <w:spacing w:after="0" w:line="85"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WHEREAS, MSCI and Licensee entered into the Previous Amendment, which modifies the Index License Agreement for Funds (internal MSCI reference number: IXF_00040) dated as of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w:t>
      </w:r>
    </w:p>
    <w:p>
      <w:pPr>
        <w:spacing w:after="0" w:line="82"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WHEREAS, pursuant to the Previous Amendment, Licensee is authorized to use certain Indexes as the basis of certain Funds, which Indexes and Funds are identified as the “original Index” and the “original Fund name” in Attachment 1 hereto; and</w:t>
      </w:r>
    </w:p>
    <w:p>
      <w:pPr>
        <w:spacing w:after="0" w:line="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WHEREAS, MSCI and Licensee wish to change the “original Index” and the “original Fund name”.</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in consideration of the mutual covenants set forth herein, each of MSCI and Licensee hereby agree to amend the Previous Amendment as follows:</w:t>
      </w:r>
    </w:p>
    <w:p>
      <w:pPr>
        <w:spacing w:after="0" w:line="130" w:lineRule="exact"/>
        <w:rPr>
          <w:sz w:val="20"/>
          <w:szCs w:val="20"/>
          <w:color w:val="auto"/>
        </w:rPr>
      </w:pPr>
    </w:p>
    <w:p>
      <w:pPr>
        <w:ind w:left="588" w:hanging="588"/>
        <w:spacing w:after="0" w:line="281" w:lineRule="auto"/>
        <w:tabs>
          <w:tab w:leader="none" w:pos="588"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Amendment Effective Date, the Previous Amendment is hereby amended so that the “original Index” set forth in Attachment 1 hereto shall be deleted and replaced with the “revised Index” set forth in Attachment 1 hereto.</w:t>
      </w:r>
    </w:p>
    <w:p>
      <w:pPr>
        <w:spacing w:after="0" w:line="72" w:lineRule="exact"/>
        <w:rPr>
          <w:rFonts w:ascii="Times New Roman" w:cs="Times New Roman" w:eastAsia="Times New Roman" w:hAnsi="Times New Roman"/>
          <w:sz w:val="13"/>
          <w:szCs w:val="13"/>
          <w:color w:val="auto"/>
        </w:rPr>
      </w:pPr>
    </w:p>
    <w:p>
      <w:pPr>
        <w:ind w:left="588" w:hanging="588"/>
        <w:spacing w:after="0" w:line="281" w:lineRule="auto"/>
        <w:tabs>
          <w:tab w:leader="none" w:pos="588"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Amendment Effective Date, the Previous Amendment is hereby amended so that the “original Fund name” set forth in Attachment 1 hereto shall be deleted and replaced with the “revised Fund name” set forth in Attachment 1 hereto.</w:t>
      </w:r>
    </w:p>
    <w:p>
      <w:pPr>
        <w:spacing w:after="0" w:line="72" w:lineRule="exact"/>
        <w:rPr>
          <w:rFonts w:ascii="Times New Roman" w:cs="Times New Roman" w:eastAsia="Times New Roman" w:hAnsi="Times New Roman"/>
          <w:sz w:val="13"/>
          <w:szCs w:val="13"/>
          <w:color w:val="auto"/>
        </w:rPr>
      </w:pPr>
    </w:p>
    <w:p>
      <w:pPr>
        <w:jc w:val="both"/>
        <w:ind w:left="588" w:hanging="588"/>
        <w:spacing w:after="0" w:line="263" w:lineRule="auto"/>
        <w:tabs>
          <w:tab w:leader="none" w:pos="588"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amends and operates in conjunction with the Previous Amendment. This Amendment and the Previous Amendment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the Previous Amendment, the terms of this Amendment shall control.</w:t>
      </w:r>
    </w:p>
    <w:p>
      <w:pPr>
        <w:spacing w:after="0" w:line="84" w:lineRule="exact"/>
        <w:rPr>
          <w:rFonts w:ascii="Times New Roman" w:cs="Times New Roman" w:eastAsia="Times New Roman" w:hAnsi="Times New Roman"/>
          <w:sz w:val="13"/>
          <w:szCs w:val="13"/>
          <w:color w:val="auto"/>
        </w:rPr>
      </w:pPr>
    </w:p>
    <w:p>
      <w:pPr>
        <w:ind w:left="588" w:hanging="588"/>
        <w:spacing w:after="0"/>
        <w:tabs>
          <w:tab w:leader="none" w:pos="588"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20" w:lineRule="exact"/>
        <w:rPr>
          <w:rFonts w:ascii="Times New Roman" w:cs="Times New Roman" w:eastAsia="Times New Roman" w:hAnsi="Times New Roman"/>
          <w:sz w:val="13"/>
          <w:szCs w:val="13"/>
          <w:color w:val="auto"/>
        </w:rPr>
      </w:pPr>
    </w:p>
    <w:p>
      <w:pPr>
        <w:jc w:val="both"/>
        <w:ind w:left="588" w:hanging="588"/>
        <w:spacing w:after="0" w:line="263" w:lineRule="auto"/>
        <w:tabs>
          <w:tab w:leader="none" w:pos="588"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counterparts, which taken together, shall constitute one Amendment and each party hereto may execute this Amendment by signing such counterpart; provided 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189470" cy="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2" w:right="299" w:bottom="1440" w:gutter="0" w:footer="0" w:header="0"/>
        </w:sectPr>
      </w:pPr>
    </w:p>
    <w:bookmarkStart w:id="257" w:name="page258"/>
    <w:bookmarkEnd w:id="257"/>
    <w:p>
      <w:pPr>
        <w:ind w:left="10300"/>
        <w:spacing w:after="0"/>
        <w:rPr>
          <w:sz w:val="20"/>
          <w:szCs w:val="20"/>
          <w:color w:val="auto"/>
        </w:rPr>
      </w:pPr>
      <w:r>
        <w:rPr>
          <w:rFonts w:ascii="Times New Roman" w:cs="Times New Roman" w:eastAsia="Times New Roman" w:hAnsi="Times New Roman"/>
          <w:sz w:val="13"/>
          <w:szCs w:val="13"/>
          <w:color w:val="auto"/>
        </w:rPr>
        <w:t>AMD_00209563.0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as of the Amendment Effective Date set forth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MSCI Inc.</w:t>
            </w:r>
          </w:p>
        </w:tc>
        <w:tc>
          <w:tcPr>
            <w:tcW w:w="4540" w:type="dxa"/>
            <w:vAlign w:val="bottom"/>
          </w:tcPr>
          <w:p>
            <w:pPr>
              <w:spacing w:after="0"/>
              <w:rPr>
                <w:sz w:val="14"/>
                <w:szCs w:val="14"/>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BlackRock Fund Advisors</w:t>
            </w:r>
          </w:p>
        </w:tc>
        <w:tc>
          <w:tcPr>
            <w:tcW w:w="20" w:type="dxa"/>
            <w:vAlign w:val="bottom"/>
          </w:tcPr>
          <w:p>
            <w:pPr>
              <w:spacing w:after="0"/>
              <w:rPr>
                <w:sz w:val="14"/>
                <w:szCs w:val="14"/>
                <w:color w:val="auto"/>
              </w:rPr>
            </w:pPr>
          </w:p>
        </w:tc>
      </w:tr>
      <w:tr>
        <w:trPr>
          <w:trHeight w:val="302"/>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Alex Gil</w:t>
            </w:r>
          </w:p>
        </w:tc>
        <w:tc>
          <w:tcPr>
            <w:tcW w:w="10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Manish Mehta</w:t>
            </w:r>
          </w:p>
        </w:tc>
        <w:tc>
          <w:tcPr>
            <w:tcW w:w="20" w:type="dxa"/>
            <w:vAlign w:val="bottom"/>
          </w:tcPr>
          <w:p>
            <w:pPr>
              <w:spacing w:after="0"/>
              <w:rPr>
                <w:sz w:val="24"/>
                <w:szCs w:val="24"/>
                <w:color w:val="auto"/>
              </w:rPr>
            </w:pP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Alex Gil</w:t>
            </w:r>
          </w:p>
        </w:tc>
        <w:tc>
          <w:tcPr>
            <w:tcW w:w="10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Name</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Manish Mehta</w:t>
            </w:r>
          </w:p>
        </w:tc>
        <w:tc>
          <w:tcPr>
            <w:tcW w:w="20" w:type="dxa"/>
            <w:vAlign w:val="bottom"/>
          </w:tcPr>
          <w:p>
            <w:pPr>
              <w:spacing w:after="0"/>
              <w:rPr>
                <w:sz w:val="24"/>
                <w:szCs w:val="24"/>
                <w:color w:val="auto"/>
              </w:rPr>
            </w:pP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10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Title</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c>
          <w:tcPr>
            <w:tcW w:w="20" w:type="dxa"/>
            <w:vAlign w:val="bottom"/>
          </w:tcPr>
          <w:p>
            <w:pPr>
              <w:spacing w:after="0"/>
              <w:rPr>
                <w:sz w:val="24"/>
                <w:szCs w:val="24"/>
                <w:color w:val="auto"/>
              </w:rPr>
            </w:pPr>
          </w:p>
        </w:tc>
      </w:tr>
      <w:tr>
        <w:trPr>
          <w:trHeight w:val="587"/>
        </w:trPr>
        <w:tc>
          <w:tcPr>
            <w:tcW w:w="7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w:t>
            </w: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780" w:type="dxa"/>
            <w:vAlign w:val="bottom"/>
            <w:tcBorders>
              <w:bottom w:val="single" w:sz="8" w:color="9A9A9A"/>
            </w:tcBorders>
          </w:tcPr>
          <w:p>
            <w:pPr>
              <w:spacing w:after="0"/>
              <w:rPr>
                <w:sz w:val="5"/>
                <w:szCs w:val="5"/>
                <w:color w:val="auto"/>
              </w:rPr>
            </w:pPr>
          </w:p>
        </w:tc>
        <w:tc>
          <w:tcPr>
            <w:tcW w:w="45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49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6" w:right="27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3"/>
          <w:szCs w:val="13"/>
          <w:color w:val="auto"/>
        </w:rPr>
        <w:t>AMD_00209563.0</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7300" w:type="dxa"/>
            <w:vAlign w:val="bottom"/>
            <w:gridSpan w:val="2"/>
          </w:tcPr>
          <w:p>
            <w:pPr>
              <w:jc w:val="right"/>
              <w:ind w:right="5234"/>
              <w:spacing w:after="0"/>
              <w:rPr>
                <w:sz w:val="20"/>
                <w:szCs w:val="20"/>
                <w:color w:val="auto"/>
              </w:rPr>
            </w:pPr>
            <w:r>
              <w:rPr>
                <w:rFonts w:ascii="Times New Roman" w:cs="Times New Roman" w:eastAsia="Times New Roman" w:hAnsi="Times New Roman"/>
                <w:sz w:val="13"/>
                <w:szCs w:val="13"/>
                <w:color w:val="auto"/>
              </w:rPr>
              <w:t>Attachment 1</w:t>
            </w:r>
          </w:p>
        </w:tc>
      </w:tr>
      <w:tr>
        <w:trPr>
          <w:trHeight w:val="140"/>
        </w:trPr>
        <w:tc>
          <w:tcPr>
            <w:tcW w:w="40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5640" w:type="dxa"/>
            <w:vAlign w:val="bottom"/>
            <w:tcBorders>
              <w:bottom w:val="single" w:sz="8" w:color="auto"/>
            </w:tcBorders>
          </w:tcPr>
          <w:p>
            <w:pPr>
              <w:spacing w:after="0"/>
              <w:rPr>
                <w:sz w:val="12"/>
                <w:szCs w:val="12"/>
                <w:color w:val="auto"/>
              </w:rPr>
            </w:pPr>
          </w:p>
        </w:tc>
      </w:tr>
      <w:tr>
        <w:trPr>
          <w:trHeight w:val="142"/>
        </w:trPr>
        <w:tc>
          <w:tcPr>
            <w:tcW w:w="4000" w:type="dxa"/>
            <w:vAlign w:val="bottom"/>
            <w:tcBorders>
              <w:left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original Index</w:t>
            </w:r>
          </w:p>
        </w:tc>
        <w:tc>
          <w:tcPr>
            <w:tcW w:w="166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revised Index</w:t>
            </w:r>
          </w:p>
        </w:tc>
      </w:tr>
      <w:tr>
        <w:trPr>
          <w:trHeight w:val="142"/>
        </w:trPr>
        <w:tc>
          <w:tcPr>
            <w:tcW w:w="4000" w:type="dxa"/>
            <w:vAlign w:val="bottom"/>
            <w:tcBorders>
              <w:left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color w:val="auto"/>
              </w:rPr>
              <w:t>MSCI EAFE ESG Select Index</w:t>
            </w:r>
          </w:p>
        </w:tc>
        <w:tc>
          <w:tcPr>
            <w:tcW w:w="166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color w:val="auto"/>
              </w:rPr>
              <w:t>MSCI EAFE ESG Focus Index</w:t>
            </w:r>
          </w:p>
        </w:tc>
      </w:tr>
      <w:tr>
        <w:trPr>
          <w:trHeight w:val="142"/>
        </w:trPr>
        <w:tc>
          <w:tcPr>
            <w:tcW w:w="4000" w:type="dxa"/>
            <w:vAlign w:val="bottom"/>
            <w:tcBorders>
              <w:left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color w:val="auto"/>
              </w:rPr>
              <w:t>MSCI EM ESG Select Index</w:t>
            </w:r>
          </w:p>
        </w:tc>
        <w:tc>
          <w:tcPr>
            <w:tcW w:w="166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color w:val="auto"/>
              </w:rPr>
              <w:t>MSCI EM ESG Focus Index</w:t>
            </w:r>
          </w:p>
        </w:tc>
      </w:tr>
      <w:tr>
        <w:trPr>
          <w:trHeight w:val="133"/>
        </w:trPr>
        <w:tc>
          <w:tcPr>
            <w:tcW w:w="40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5640" w:type="dxa"/>
            <w:vAlign w:val="bottom"/>
            <w:tcBorders>
              <w:bottom w:val="single" w:sz="8" w:color="auto"/>
            </w:tcBorders>
          </w:tcPr>
          <w:p>
            <w:pPr>
              <w:spacing w:after="0"/>
              <w:rPr>
                <w:sz w:val="11"/>
                <w:szCs w:val="11"/>
                <w:color w:val="auto"/>
              </w:rPr>
            </w:pPr>
          </w:p>
        </w:tc>
      </w:tr>
      <w:tr>
        <w:trPr>
          <w:trHeight w:val="142"/>
        </w:trPr>
        <w:tc>
          <w:tcPr>
            <w:tcW w:w="4000" w:type="dxa"/>
            <w:vAlign w:val="bottom"/>
            <w:tcBorders>
              <w:left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original Fund name</w:t>
            </w:r>
          </w:p>
        </w:tc>
        <w:tc>
          <w:tcPr>
            <w:tcW w:w="166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revised Fund name</w:t>
            </w:r>
          </w:p>
        </w:tc>
      </w:tr>
      <w:tr>
        <w:trPr>
          <w:trHeight w:val="142"/>
        </w:trPr>
        <w:tc>
          <w:tcPr>
            <w:tcW w:w="4000" w:type="dxa"/>
            <w:vAlign w:val="bottom"/>
            <w:tcBorders>
              <w:left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iShares MSCI EAFE ESG Optimized ETF</w:t>
            </w:r>
          </w:p>
        </w:tc>
      </w:tr>
      <w:tr>
        <w:trPr>
          <w:trHeight w:val="142"/>
        </w:trPr>
        <w:tc>
          <w:tcPr>
            <w:tcW w:w="4000" w:type="dxa"/>
            <w:vAlign w:val="bottom"/>
            <w:tcBorders>
              <w:left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iShares MSCI EM ESG Optimized ETF</w:t>
            </w:r>
          </w:p>
        </w:tc>
      </w:tr>
      <w:tr>
        <w:trPr>
          <w:trHeight w:val="587"/>
        </w:trPr>
        <w:tc>
          <w:tcPr>
            <w:tcW w:w="4000" w:type="dxa"/>
            <w:vAlign w:val="bottom"/>
          </w:tcPr>
          <w:p>
            <w:pPr>
              <w:spacing w:after="0"/>
              <w:rPr>
                <w:sz w:val="24"/>
                <w:szCs w:val="24"/>
                <w:color w:val="auto"/>
              </w:rPr>
            </w:pPr>
          </w:p>
        </w:tc>
        <w:tc>
          <w:tcPr>
            <w:tcW w:w="7300" w:type="dxa"/>
            <w:vAlign w:val="bottom"/>
            <w:gridSpan w:val="2"/>
          </w:tcPr>
          <w:p>
            <w:pPr>
              <w:jc w:val="right"/>
              <w:ind w:right="5494"/>
              <w:spacing w:after="0"/>
              <w:rPr>
                <w:sz w:val="20"/>
                <w:szCs w:val="20"/>
                <w:color w:val="auto"/>
              </w:rPr>
            </w:pPr>
            <w:r>
              <w:rPr>
                <w:rFonts w:ascii="Times New Roman" w:cs="Times New Roman" w:eastAsia="Times New Roman" w:hAnsi="Times New Roman"/>
                <w:sz w:val="13"/>
                <w:szCs w:val="13"/>
                <w:color w:val="auto"/>
              </w:rPr>
              <w:t>3</w:t>
            </w:r>
          </w:p>
        </w:tc>
      </w:tr>
    </w:tbl>
    <w:p>
      <w:pPr>
        <w:sectPr>
          <w:pgSz w:w="11900" w:h="16838" w:orient="portrait"/>
          <w:cols w:equalWidth="0" w:num="1">
            <w:col w:w="11300"/>
          </w:cols>
          <w:pgMar w:left="300" w:top="126" w:right="299" w:bottom="1440" w:gutter="0" w:footer="0" w:header="0"/>
        </w:sectPr>
      </w:pPr>
    </w:p>
    <w:bookmarkStart w:id="259" w:name="page260"/>
    <w:bookmarkEnd w:id="259"/>
    <w:p>
      <w:pPr>
        <w:ind w:left="10568"/>
        <w:spacing w:after="0"/>
        <w:rPr>
          <w:sz w:val="20"/>
          <w:szCs w:val="20"/>
          <w:color w:val="auto"/>
        </w:rPr>
      </w:pPr>
      <w:r>
        <w:rPr>
          <w:rFonts w:ascii="Times New Roman" w:cs="Times New Roman" w:eastAsia="Times New Roman" w:hAnsi="Times New Roman"/>
          <w:sz w:val="12"/>
          <w:szCs w:val="12"/>
          <w:b w:val="1"/>
          <w:bCs w:val="1"/>
          <w:color w:val="auto"/>
        </w:rPr>
        <w:t>Exhibit 10.146</w:t>
      </w:r>
    </w:p>
    <w:p>
      <w:pPr>
        <w:spacing w:after="0" w:line="150" w:lineRule="exact"/>
        <w:rPr>
          <w:sz w:val="20"/>
          <w:szCs w:val="20"/>
          <w:color w:val="auto"/>
        </w:rPr>
      </w:pPr>
    </w:p>
    <w:p>
      <w:pPr>
        <w:ind w:left="8" w:right="20" w:hanging="8"/>
        <w:spacing w:after="0" w:line="286" w:lineRule="auto"/>
        <w:tabs>
          <w:tab w:leader="none" w:pos="220" w:val="left"/>
        </w:tabs>
        <w:numPr>
          <w:ilvl w:val="0"/>
          <w:numId w:val="3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07" w:lineRule="exact"/>
        <w:rPr>
          <w:sz w:val="20"/>
          <w:szCs w:val="20"/>
          <w:color w:val="auto"/>
        </w:rPr>
      </w:pPr>
    </w:p>
    <w:p>
      <w:pPr>
        <w:ind w:left="10608"/>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ind w:left="10388"/>
        <w:spacing w:after="0"/>
        <w:rPr>
          <w:sz w:val="20"/>
          <w:szCs w:val="20"/>
          <w:color w:val="auto"/>
        </w:rPr>
      </w:pPr>
      <w:r>
        <w:rPr>
          <w:rFonts w:ascii="Times New Roman" w:cs="Times New Roman" w:eastAsia="Times New Roman" w:hAnsi="Times New Roman"/>
          <w:sz w:val="12"/>
          <w:szCs w:val="12"/>
          <w:color w:val="auto"/>
        </w:rPr>
        <w:t>AMD_00208956.0</w:t>
      </w:r>
    </w:p>
    <w:p>
      <w:pPr>
        <w:spacing w:after="0" w:line="13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August 1, 2016</w:t>
      </w:r>
    </w:p>
    <w:p>
      <w:pPr>
        <w:spacing w:after="0" w:line="150"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(MSCI reference number IXF_00040) dated as of March 18, 2000 (as previously amended,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119" w:lineRule="exact"/>
        <w:rPr>
          <w:sz w:val="20"/>
          <w:szCs w:val="20"/>
          <w:color w:val="auto"/>
        </w:rPr>
      </w:pPr>
    </w:p>
    <w:p>
      <w:pPr>
        <w:ind w:left="568" w:hanging="568"/>
        <w:spacing w:after="0"/>
        <w:tabs>
          <w:tab w:leader="none" w:pos="568"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150" w:lineRule="exact"/>
        <w:rPr>
          <w:rFonts w:ascii="Times New Roman" w:cs="Times New Roman" w:eastAsia="Times New Roman" w:hAnsi="Times New Roman"/>
          <w:sz w:val="12"/>
          <w:szCs w:val="12"/>
          <w:color w:val="auto"/>
        </w:rPr>
      </w:pPr>
    </w:p>
    <w:p>
      <w:pPr>
        <w:ind w:left="1408" w:hanging="571"/>
        <w:spacing w:after="0"/>
        <w:tabs>
          <w:tab w:leader="none" w:pos="140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such other indexes as agreed by Licensee and MSCI in writing.</w:t>
      </w:r>
    </w:p>
    <w:p>
      <w:pPr>
        <w:spacing w:after="0" w:line="150" w:lineRule="exact"/>
        <w:rPr>
          <w:rFonts w:ascii="Times New Roman" w:cs="Times New Roman" w:eastAsia="Times New Roman" w:hAnsi="Times New Roman"/>
          <w:sz w:val="12"/>
          <w:szCs w:val="12"/>
          <w:color w:val="auto"/>
        </w:rPr>
      </w:pPr>
    </w:p>
    <w:p>
      <w:pPr>
        <w:ind w:left="568" w:right="20" w:hanging="568"/>
        <w:spacing w:after="0" w:line="279" w:lineRule="auto"/>
        <w:tabs>
          <w:tab w:leader="none" w:pos="568"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 set forth in Section 1 above solely with respect to the following Licensee fund (each, a “ * * * * * * * * * * * * * * * * * * * * * * * *” and each * * * * * * * * * * * * * * * * * * * * * * * ** shall also be a “</w:t>
      </w:r>
      <w:r>
        <w:rPr>
          <w:rFonts w:ascii="Times New Roman" w:cs="Times New Roman" w:eastAsia="Times New Roman" w:hAnsi="Times New Roman"/>
          <w:sz w:val="12"/>
          <w:szCs w:val="12"/>
          <w:u w:val="single" w:color="auto"/>
          <w:color w:val="auto"/>
        </w:rPr>
        <w:t>Fund</w:t>
      </w:r>
      <w:r>
        <w:rPr>
          <w:rFonts w:ascii="Times New Roman" w:cs="Times New Roman" w:eastAsia="Times New Roman" w:hAnsi="Times New Roman"/>
          <w:sz w:val="12"/>
          <w:szCs w:val="12"/>
          <w:color w:val="auto"/>
        </w:rPr>
        <w:t>” as such term is defined in the Agreement):</w:t>
      </w:r>
    </w:p>
    <w:p>
      <w:pPr>
        <w:spacing w:after="0" w:line="111" w:lineRule="exact"/>
        <w:rPr>
          <w:rFonts w:ascii="Times New Roman" w:cs="Times New Roman" w:eastAsia="Times New Roman" w:hAnsi="Times New Roman"/>
          <w:sz w:val="12"/>
          <w:szCs w:val="12"/>
          <w:color w:val="auto"/>
        </w:rPr>
      </w:pPr>
    </w:p>
    <w:p>
      <w:pPr>
        <w:ind w:left="1408" w:hanging="571"/>
        <w:spacing w:after="0"/>
        <w:tabs>
          <w:tab w:leader="none" w:pos="140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2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50"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The * * * * * * * * * * * * * * * * * * * * * * * * * shall be exchange traded index funds listed on a national securities exchange located in the United States.</w:t>
      </w:r>
    </w:p>
    <w:p>
      <w:pPr>
        <w:spacing w:after="0" w:line="150" w:lineRule="exact"/>
        <w:rPr>
          <w:sz w:val="20"/>
          <w:szCs w:val="20"/>
          <w:color w:val="auto"/>
        </w:rPr>
      </w:pPr>
    </w:p>
    <w:p>
      <w:pPr>
        <w:jc w:val="both"/>
        <w:ind w:left="568" w:right="20" w:hanging="568"/>
        <w:spacing w:after="0" w:line="259" w:lineRule="auto"/>
        <w:tabs>
          <w:tab w:leader="none" w:pos="568"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a * * * * * * * ** license fee * * * * * * * * based on * * * * * * * * * * * * * * * * * * * * * * * * * * * * * * * * * * * * * * * * * * * * * * * * * * * * * * * **, which fee shall be calculated and payable on a * * * * * * * * * * * * * **. The * * * * * * * ** license fee shall be calculated * * * * * * * * * * * * * * * * * * * * * * * * * * * * * * * * * * * * * * * * * * * * * * * * * * * * * * * * * * * * * * * * * * * * * *</w:t>
      </w:r>
    </w:p>
    <w:p>
      <w:pPr>
        <w:spacing w:after="0" w:line="1" w:lineRule="exact"/>
        <w:rPr>
          <w:rFonts w:ascii="Times New Roman" w:cs="Times New Roman" w:eastAsia="Times New Roman" w:hAnsi="Times New Roman"/>
          <w:sz w:val="12"/>
          <w:szCs w:val="12"/>
          <w:color w:val="auto"/>
        </w:rPr>
      </w:pPr>
    </w:p>
    <w:p>
      <w:pPr>
        <w:ind w:left="5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5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as follows:</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120" w:type="dxa"/>
            <w:vAlign w:val="bottom"/>
          </w:tcPr>
          <w:p>
            <w:pPr>
              <w:spacing w:after="0"/>
              <w:rPr>
                <w:sz w:val="12"/>
                <w:szCs w:val="12"/>
                <w:color w:val="auto"/>
              </w:rPr>
            </w:pPr>
          </w:p>
        </w:tc>
        <w:tc>
          <w:tcPr>
            <w:tcW w:w="2840" w:type="dxa"/>
            <w:vAlign w:val="bottom"/>
            <w:shd w:val="clear" w:color="auto" w:fill="BFBFBF"/>
          </w:tcPr>
          <w:p>
            <w:pPr>
              <w:ind w:left="980"/>
              <w:spacing w:after="0"/>
              <w:rPr>
                <w:sz w:val="20"/>
                <w:szCs w:val="20"/>
                <w:color w:val="auto"/>
              </w:rPr>
            </w:pPr>
            <w:r>
              <w:rPr>
                <w:rFonts w:ascii="Times New Roman" w:cs="Times New Roman" w:eastAsia="Times New Roman" w:hAnsi="Times New Roman"/>
                <w:sz w:val="12"/>
                <w:szCs w:val="12"/>
                <w:b w:val="1"/>
                <w:bCs w:val="1"/>
                <w:color w:val="auto"/>
              </w:rPr>
              <w:t>AUM of the relevant Fund</w:t>
            </w:r>
          </w:p>
        </w:tc>
        <w:tc>
          <w:tcPr>
            <w:tcW w:w="6200" w:type="dxa"/>
            <w:vAlign w:val="bottom"/>
            <w:shd w:val="clear" w:color="auto" w:fill="BFBFBF"/>
          </w:tcPr>
          <w:p>
            <w:pPr>
              <w:ind w:left="2780"/>
              <w:spacing w:after="0"/>
              <w:rPr>
                <w:sz w:val="20"/>
                <w:szCs w:val="20"/>
                <w:color w:val="auto"/>
              </w:rPr>
            </w:pPr>
            <w:r>
              <w:rPr>
                <w:rFonts w:ascii="Times New Roman" w:cs="Times New Roman" w:eastAsia="Times New Roman" w:hAnsi="Times New Roman"/>
                <w:sz w:val="12"/>
                <w:szCs w:val="12"/>
                <w:b w:val="1"/>
                <w:bCs w:val="1"/>
                <w:color w:val="auto"/>
              </w:rPr>
              <w:t>Quarterly License Fee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6200" w:type="dxa"/>
            <w:vAlign w:val="bottom"/>
          </w:tcPr>
          <w:p>
            <w:pPr>
              <w:ind w:left="4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620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62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62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620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62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1"/>
        </w:trPr>
        <w:tc>
          <w:tcPr>
            <w:tcW w:w="11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8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269" w:right="27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AMD_00208956.0</w:t>
      </w:r>
    </w:p>
    <w:p>
      <w:pPr>
        <w:spacing w:after="0" w:line="148" w:lineRule="exact"/>
        <w:rPr>
          <w:sz w:val="20"/>
          <w:szCs w:val="20"/>
          <w:color w:val="auto"/>
        </w:rPr>
      </w:pPr>
    </w:p>
    <w:p>
      <w:pPr>
        <w:ind w:left="568"/>
        <w:spacing w:after="0" w:line="279" w:lineRule="auto"/>
        <w:rPr>
          <w:sz w:val="20"/>
          <w:szCs w:val="20"/>
          <w:color w:val="auto"/>
        </w:rPr>
      </w:pPr>
      <w:r>
        <w:rPr>
          <w:rFonts w:ascii="Times New Roman" w:cs="Times New Roman" w:eastAsia="Times New Roman" w:hAnsi="Times New Roman"/>
          <w:sz w:val="12"/>
          <w:szCs w:val="12"/>
          <w:color w:val="auto"/>
        </w:rPr>
        <w:t>For the avoidance of doubt, the * * * * * * * ** license fees shall be calculated * * * * * * * * * * * **. For example, * * * * * * * * * * * * * * * * * * * * * * * * * * * * * * * * * * * * * * * * * * * * * * * * * * * * * * * * * * * ***.</w:t>
      </w:r>
    </w:p>
    <w:p>
      <w:pPr>
        <w:spacing w:after="0" w:line="120"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Expense Ratio</w:t>
      </w:r>
      <w:r>
        <w:rPr>
          <w:rFonts w:ascii="Times New Roman" w:cs="Times New Roman" w:eastAsia="Times New Roman" w:hAnsi="Times New Roman"/>
          <w:sz w:val="12"/>
          <w:szCs w:val="12"/>
          <w:color w:val="auto"/>
        </w:rPr>
        <w:t>” shall mean the * * * * * * * * * * * * * * * * * * * * * * * * * * * * * * * * * * * * * * * * * * when dividing * * * * * * * * * * * * * * * * * * * * * * * * * * * * * * * * * * * * * * * * * * * * * * * * * * * *.</w:t>
      </w:r>
    </w:p>
    <w:p>
      <w:pPr>
        <w:spacing w:after="0" w:line="159" w:lineRule="exact"/>
        <w:rPr>
          <w:sz w:val="20"/>
          <w:szCs w:val="20"/>
          <w:color w:val="auto"/>
        </w:rPr>
      </w:pPr>
    </w:p>
    <w:p>
      <w:pPr>
        <w:ind w:left="568"/>
        <w:spacing w:after="0" w:line="279" w:lineRule="auto"/>
        <w:rPr>
          <w:sz w:val="20"/>
          <w:szCs w:val="20"/>
          <w:color w:val="auto"/>
        </w:rPr>
      </w:pPr>
      <w:r>
        <w:rPr>
          <w:rFonts w:ascii="Times New Roman" w:cs="Times New Roman" w:eastAsia="Times New Roman" w:hAnsi="Times New Roman"/>
          <w:sz w:val="12"/>
          <w:szCs w:val="12"/>
          <w:color w:val="auto"/>
        </w:rPr>
        <w:t>Notwithstanding anything to the contrary contained herein, if any Fund * * * * * * * * * * * * * * * * * * * * * * * * * * * * * * or if a Fund’s * * * * * * * * * * * * * * * * * * * * * * * * * * * * * * * * * * or if a Fund has an * * * * * * * * * * * * * * * * * * * **, the * * * * * * * * * * licensee fee for such Fund shall * * * * * * * * * * * * *.</w:t>
      </w:r>
    </w:p>
    <w:p>
      <w:pPr>
        <w:spacing w:after="0" w:line="147" w:lineRule="exact"/>
        <w:rPr>
          <w:sz w:val="20"/>
          <w:szCs w:val="20"/>
          <w:color w:val="auto"/>
        </w:rPr>
      </w:pPr>
    </w:p>
    <w:p>
      <w:pPr>
        <w:ind w:left="568" w:hanging="568"/>
        <w:spacing w:after="0"/>
        <w:tabs>
          <w:tab w:leader="none" w:pos="568" w:val="left"/>
        </w:tabs>
        <w:numPr>
          <w:ilvl w:val="0"/>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50" w:lineRule="exact"/>
        <w:rPr>
          <w:rFonts w:ascii="Times New Roman" w:cs="Times New Roman" w:eastAsia="Times New Roman" w:hAnsi="Times New Roman"/>
          <w:sz w:val="12"/>
          <w:szCs w:val="12"/>
          <w:color w:val="auto"/>
        </w:rPr>
      </w:pPr>
    </w:p>
    <w:p>
      <w:pPr>
        <w:ind w:left="1128" w:right="20" w:hanging="561"/>
        <w:spacing w:after="0" w:line="279" w:lineRule="auto"/>
        <w:tabs>
          <w:tab w:leader="none" w:pos="1128"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this Amendment conflicts with the Agreement, this Amendment shall control. No right or license of any kind is granted to Licensee except as expressly provided in the Agreement and this Amendment.</w:t>
      </w:r>
    </w:p>
    <w:p>
      <w:pPr>
        <w:spacing w:after="0" w:line="111" w:lineRule="exact"/>
        <w:rPr>
          <w:rFonts w:ascii="Times New Roman" w:cs="Times New Roman" w:eastAsia="Times New Roman" w:hAnsi="Times New Roman"/>
          <w:sz w:val="12"/>
          <w:szCs w:val="12"/>
          <w:color w:val="auto"/>
        </w:rPr>
      </w:pPr>
    </w:p>
    <w:p>
      <w:pPr>
        <w:ind w:left="1128" w:hanging="561"/>
        <w:spacing w:after="0" w:line="279" w:lineRule="auto"/>
        <w:tabs>
          <w:tab w:leader="none" w:pos="1128"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Index set forth in Section 1 if, within one (1) year of the date of this Amendment, Licensee does not list an * * * * * * * * * * * * * * * * * * * * * * * * that is based on such Index.</w:t>
      </w:r>
    </w:p>
    <w:p>
      <w:pPr>
        <w:spacing w:after="0" w:line="111" w:lineRule="exact"/>
        <w:rPr>
          <w:rFonts w:ascii="Times New Roman" w:cs="Times New Roman" w:eastAsia="Times New Roman" w:hAnsi="Times New Roman"/>
          <w:sz w:val="12"/>
          <w:szCs w:val="12"/>
          <w:color w:val="auto"/>
        </w:rPr>
      </w:pPr>
    </w:p>
    <w:p>
      <w:pPr>
        <w:ind w:left="1128" w:hanging="561"/>
        <w:spacing w:after="0" w:line="279" w:lineRule="auto"/>
        <w:tabs>
          <w:tab w:leader="none" w:pos="1128"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a particular * * * * * * * * * * * * * * * * * * * * * * * * or changes the underlying Index for such * * * * * * * * * * * * * * * * * * * * * * * *, Licensee’s right to use the relevant Index set forth in Section 1 with respect to such * * * * * * * * * * * * * * * * * * * * * * * * shall automatically and immediately terminate.</w:t>
      </w:r>
    </w:p>
    <w:p>
      <w:pPr>
        <w:spacing w:after="0" w:line="111" w:lineRule="exact"/>
        <w:rPr>
          <w:rFonts w:ascii="Times New Roman" w:cs="Times New Roman" w:eastAsia="Times New Roman" w:hAnsi="Times New Roman"/>
          <w:sz w:val="12"/>
          <w:szCs w:val="12"/>
          <w:color w:val="auto"/>
        </w:rPr>
      </w:pPr>
    </w:p>
    <w:p>
      <w:pPr>
        <w:ind w:left="1128" w:hanging="561"/>
        <w:spacing w:after="0"/>
        <w:tabs>
          <w:tab w:leader="none" w:pos="1128"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102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306"/>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10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MSCI Inc.</w:t>
            </w:r>
          </w:p>
        </w:tc>
        <w:tc>
          <w:tcPr>
            <w:tcW w:w="4740" w:type="dxa"/>
            <w:vAlign w:val="bottom"/>
          </w:tcPr>
          <w:p>
            <w:pPr>
              <w:spacing w:after="0"/>
              <w:rPr>
                <w:sz w:val="24"/>
                <w:szCs w:val="24"/>
                <w:color w:val="auto"/>
              </w:rPr>
            </w:pPr>
          </w:p>
        </w:tc>
      </w:tr>
      <w:tr>
        <w:trPr>
          <w:trHeight w:val="28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Manish Mehta</w:t>
            </w:r>
          </w:p>
        </w:tc>
        <w:tc>
          <w:tcPr>
            <w:tcW w:w="10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Manish Mehta</w:t>
            </w:r>
          </w:p>
        </w:tc>
        <w:tc>
          <w:tcPr>
            <w:tcW w:w="10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Name</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10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Title</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8/12/16</w:t>
            </w:r>
          </w:p>
        </w:tc>
        <w:tc>
          <w:tcPr>
            <w:tcW w:w="10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Date</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Sep 6, 2016</w:t>
            </w:r>
          </w:p>
        </w:tc>
      </w:tr>
    </w:tbl>
    <w:p>
      <w:pPr>
        <w:spacing w:after="0" w:line="200" w:lineRule="exact"/>
        <w:rPr>
          <w:sz w:val="20"/>
          <w:szCs w:val="20"/>
          <w:color w:val="auto"/>
        </w:rPr>
      </w:pP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8"/>
          </w:cols>
          <w:pgMar w:left="292" w:top="129" w:right="299" w:bottom="1440" w:gutter="0" w:footer="0" w:header="0"/>
        </w:sectPr>
      </w:pPr>
    </w:p>
    <w:bookmarkStart w:id="261" w:name="page262"/>
    <w:bookmarkEnd w:id="261"/>
    <w:p>
      <w:pPr>
        <w:ind w:left="10568"/>
        <w:spacing w:after="0"/>
        <w:rPr>
          <w:sz w:val="20"/>
          <w:szCs w:val="20"/>
          <w:color w:val="auto"/>
        </w:rPr>
      </w:pPr>
      <w:r>
        <w:rPr>
          <w:rFonts w:ascii="Times New Roman" w:cs="Times New Roman" w:eastAsia="Times New Roman" w:hAnsi="Times New Roman"/>
          <w:sz w:val="11"/>
          <w:szCs w:val="11"/>
          <w:b w:val="1"/>
          <w:bCs w:val="1"/>
          <w:color w:val="auto"/>
        </w:rPr>
        <w:t>Exhibit 10.148</w:t>
      </w:r>
    </w:p>
    <w:p>
      <w:pPr>
        <w:spacing w:after="0" w:line="162" w:lineRule="exact"/>
        <w:rPr>
          <w:sz w:val="20"/>
          <w:szCs w:val="20"/>
          <w:color w:val="auto"/>
        </w:rPr>
      </w:pPr>
    </w:p>
    <w:p>
      <w:pPr>
        <w:ind w:left="8" w:hanging="8"/>
        <w:spacing w:after="0" w:line="286" w:lineRule="auto"/>
        <w:tabs>
          <w:tab w:leader="none" w:pos="220" w:val="left"/>
        </w:tabs>
        <w:numPr>
          <w:ilvl w:val="0"/>
          <w:numId w:val="3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07" w:lineRule="exact"/>
        <w:rPr>
          <w:sz w:val="20"/>
          <w:szCs w:val="20"/>
          <w:color w:val="auto"/>
        </w:rPr>
      </w:pPr>
    </w:p>
    <w:p>
      <w:pPr>
        <w:ind w:left="10608"/>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AMD_00213770.0</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October 12, 2016</w:t>
      </w:r>
    </w:p>
    <w:p>
      <w:pPr>
        <w:spacing w:after="0" w:line="150" w:lineRule="exact"/>
        <w:rPr>
          <w:sz w:val="20"/>
          <w:szCs w:val="20"/>
          <w:color w:val="auto"/>
        </w:rPr>
      </w:pPr>
    </w:p>
    <w:p>
      <w:pPr>
        <w:ind w:left="8" w:right="20"/>
        <w:spacing w:after="0" w:line="327" w:lineRule="auto"/>
        <w:rPr>
          <w:sz w:val="20"/>
          <w:szCs w:val="20"/>
          <w:color w:val="auto"/>
        </w:rPr>
      </w:pPr>
      <w:r>
        <w:rPr>
          <w:rFonts w:ascii="Times New Roman" w:cs="Times New Roman" w:eastAsia="Times New Roman" w:hAnsi="Times New Roman"/>
          <w:sz w:val="11"/>
          <w:szCs w:val="11"/>
          <w:color w:val="auto"/>
        </w:rPr>
        <w:t>AMENDMENT to the Index License Agreement for Funds (internal MSCI reference IXF_00040) dated as of March 18, 2000 (the “</w:t>
      </w:r>
      <w:r>
        <w:rPr>
          <w:rFonts w:ascii="Times New Roman" w:cs="Times New Roman" w:eastAsia="Times New Roman" w:hAnsi="Times New Roman"/>
          <w:sz w:val="11"/>
          <w:szCs w:val="11"/>
          <w:u w:val="single" w:color="auto"/>
          <w:color w:val="auto"/>
        </w:rPr>
        <w:t>Agreement</w:t>
      </w:r>
      <w:r>
        <w:rPr>
          <w:rFonts w:ascii="Times New Roman" w:cs="Times New Roman" w:eastAsia="Times New Roman" w:hAnsi="Times New Roman"/>
          <w:sz w:val="11"/>
          <w:szCs w:val="11"/>
          <w:color w:val="auto"/>
        </w:rPr>
        <w:t>”) by and between MSCI Inc. (formerly known as Morgan Stanley Capital International Inc.) (“</w:t>
      </w:r>
      <w:r>
        <w:rPr>
          <w:rFonts w:ascii="Times New Roman" w:cs="Times New Roman" w:eastAsia="Times New Roman" w:hAnsi="Times New Roman"/>
          <w:sz w:val="11"/>
          <w:szCs w:val="11"/>
          <w:u w:val="single" w:color="auto"/>
          <w:color w:val="auto"/>
        </w:rPr>
        <w:t>MSCI</w:t>
      </w:r>
      <w:r>
        <w:rPr>
          <w:rFonts w:ascii="Times New Roman" w:cs="Times New Roman" w:eastAsia="Times New Roman" w:hAnsi="Times New Roman"/>
          <w:sz w:val="11"/>
          <w:szCs w:val="11"/>
          <w:color w:val="auto"/>
        </w:rPr>
        <w:t>”) and BlackRock Fund Advisors (as successor to Barclays Global Investors, N.A.) (“</w:t>
      </w:r>
      <w:r>
        <w:rPr>
          <w:rFonts w:ascii="Times New Roman" w:cs="Times New Roman" w:eastAsia="Times New Roman" w:hAnsi="Times New Roman"/>
          <w:sz w:val="11"/>
          <w:szCs w:val="11"/>
          <w:u w:val="single" w:color="auto"/>
          <w:color w:val="auto"/>
        </w:rPr>
        <w:t>Licensee</w:t>
      </w:r>
      <w:r>
        <w:rPr>
          <w:rFonts w:ascii="Times New Roman" w:cs="Times New Roman" w:eastAsia="Times New Roman" w:hAnsi="Times New Roman"/>
          <w:sz w:val="11"/>
          <w:szCs w:val="11"/>
          <w:color w:val="auto"/>
        </w:rPr>
        <w:t>”), as previously amended. Capitalized terms used but not defined herein shall have the meanings ascribed to them in the Agreement.</w:t>
      </w:r>
    </w:p>
    <w:p>
      <w:pPr>
        <w:spacing w:after="0" w:line="8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WHEREAS, pursuant to the terms of the Amendment ****************************************** between MSCI and Licensee dated ***************** (the “</w:t>
      </w:r>
      <w:r>
        <w:rPr>
          <w:rFonts w:ascii="Times New Roman" w:cs="Times New Roman" w:eastAsia="Times New Roman" w:hAnsi="Times New Roman"/>
          <w:sz w:val="12"/>
          <w:szCs w:val="12"/>
          <w:u w:val="single" w:color="auto"/>
          <w:color w:val="auto"/>
        </w:rPr>
        <w:t>Previous Amendment</w:t>
      </w:r>
      <w:r>
        <w:rPr>
          <w:rFonts w:ascii="Times New Roman" w:cs="Times New Roman" w:eastAsia="Times New Roman" w:hAnsi="Times New Roman"/>
          <w:sz w:val="12"/>
          <w:szCs w:val="12"/>
          <w:color w:val="auto"/>
        </w:rPr>
        <w:t>”) and the ******************************************************* between MSCI and Licensee dated **************, MSCI granted Licensee the right to use the MSCI index identified below as the basis for the Licensee Fund identified below in the United States:</w:t>
      </w:r>
    </w:p>
    <w:p>
      <w:pPr>
        <w:spacing w:after="0" w:line="119" w:lineRule="exact"/>
        <w:rPr>
          <w:sz w:val="20"/>
          <w:szCs w:val="20"/>
          <w:color w:val="auto"/>
        </w:rPr>
      </w:pPr>
    </w:p>
    <w:p>
      <w:pPr>
        <w:ind w:left="8" w:right="2500" w:firstLine="424"/>
        <w:spacing w:after="0" w:line="508" w:lineRule="auto"/>
        <w:tabs>
          <w:tab w:leader="none" w:pos="872" w:val="left"/>
        </w:tabs>
        <w:numPr>
          <w:ilvl w:val="0"/>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which seeks to track the investment results of the ********************************************. (The term “Fund” as used herein shall have the meaning ascribed to it in the Previous Amendment.)</w:t>
      </w:r>
    </w:p>
    <w:p>
      <w:pPr>
        <w:ind w:left="8" w:right="3980"/>
        <w:spacing w:after="0" w:line="5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WHEREAS, the parties wish to further amend the Agreement to allow for the cross-listing of the Licensee Funds identified above, as set forth below. NOW, THEREFORE, for good and valuable consideration, the receipt and sufficiency of which is hereby acknowledged, the parties hereto agree as follows:</w:t>
      </w:r>
    </w:p>
    <w:p>
      <w:pPr>
        <w:jc w:val="both"/>
        <w:ind w:left="868" w:hanging="436"/>
        <w:spacing w:after="0" w:line="256" w:lineRule="auto"/>
        <w:tabs>
          <w:tab w:leader="none" w:pos="86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B of the Agreement is hereby amended to allow the Licensee Fund identified above to be listed and traded on the Mexican Stock Exchange (Bolsa Mexicana de Valores) (herein referred to as the “</w:t>
      </w:r>
      <w:r>
        <w:rPr>
          <w:rFonts w:ascii="Times New Roman" w:cs="Times New Roman" w:eastAsia="Times New Roman" w:hAnsi="Times New Roman"/>
          <w:sz w:val="12"/>
          <w:szCs w:val="12"/>
          <w:u w:val="single" w:color="auto"/>
          <w:color w:val="auto"/>
        </w:rPr>
        <w:t>Mexican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Listed Fund</w:t>
      </w:r>
      <w:r>
        <w:rPr>
          <w:rFonts w:ascii="Times New Roman" w:cs="Times New Roman" w:eastAsia="Times New Roman" w:hAnsi="Times New Roman"/>
          <w:sz w:val="12"/>
          <w:szCs w:val="12"/>
          <w:color w:val="auto"/>
        </w:rPr>
        <w:t>”) after such Fund is listed on a United States exchange. The Mexican Listed Fund must be issued, sold and traded on a public basis in accordance with applicable Mexican securities law. All other terms and restrictions contained in Exhibit B of the Agreement shall apply to the Mexican Listed Fund. For the avoidance of doubt, the ************ set forth in the Previous Amendment shall apply with respect to the</w:t>
      </w:r>
    </w:p>
    <w:p>
      <w:pPr>
        <w:spacing w:after="0" w:line="1" w:lineRule="exact"/>
        <w:rPr>
          <w:rFonts w:ascii="Times New Roman" w:cs="Times New Roman" w:eastAsia="Times New Roman" w:hAnsi="Times New Roman"/>
          <w:sz w:val="12"/>
          <w:szCs w:val="12"/>
          <w:color w:val="auto"/>
        </w:rPr>
      </w:pPr>
    </w:p>
    <w:p>
      <w:pPr>
        <w:ind w:left="8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For clarity, there shall be * * * * * * * * * * * * * * * * * * * * * * * * * * * * * * * * * * * * * * * * * * * * * * * * * * * * * * * * * * * * * * * * * * * * * * * * * * * * * * * * * * * * * * * *</w:t>
      </w:r>
    </w:p>
    <w:p>
      <w:pPr>
        <w:spacing w:after="0" w:line="6" w:lineRule="exact"/>
        <w:rPr>
          <w:rFonts w:ascii="Times New Roman" w:cs="Times New Roman" w:eastAsia="Times New Roman" w:hAnsi="Times New Roman"/>
          <w:sz w:val="12"/>
          <w:szCs w:val="12"/>
          <w:color w:val="auto"/>
        </w:rPr>
      </w:pPr>
    </w:p>
    <w:p>
      <w:pPr>
        <w:ind w:left="8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8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39"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118"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AMD_00213770.0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11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MSCI Inc.</w:t>
            </w:r>
          </w:p>
        </w:tc>
        <w:tc>
          <w:tcPr>
            <w:tcW w:w="4280" w:type="dxa"/>
            <w:vAlign w:val="bottom"/>
          </w:tcPr>
          <w:p>
            <w:pPr>
              <w:spacing w:after="0"/>
              <w:rPr>
                <w:sz w:val="12"/>
                <w:szCs w:val="12"/>
                <w:color w:val="auto"/>
              </w:rPr>
            </w:pPr>
          </w:p>
        </w:tc>
      </w:tr>
      <w:tr>
        <w:trPr>
          <w:trHeight w:val="155"/>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Diane Lunsey</w:t>
            </w:r>
          </w:p>
        </w:tc>
        <w:tc>
          <w:tcPr>
            <w:tcW w:w="11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By</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Diane Lunsey</w:t>
            </w:r>
          </w:p>
        </w:tc>
        <w:tc>
          <w:tcPr>
            <w:tcW w:w="11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Name</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122"/>
        </w:trPr>
        <w:tc>
          <w:tcPr>
            <w:tcW w:w="860" w:type="dxa"/>
            <w:vAlign w:val="bottom"/>
          </w:tcPr>
          <w:p>
            <w:pPr>
              <w:spacing w:after="0"/>
              <w:rPr>
                <w:sz w:val="10"/>
                <w:szCs w:val="10"/>
                <w:color w:val="auto"/>
              </w:rPr>
            </w:pPr>
          </w:p>
        </w:tc>
        <w:tc>
          <w:tcPr>
            <w:tcW w:w="50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(printed)</w:t>
            </w:r>
          </w:p>
        </w:tc>
        <w:tc>
          <w:tcPr>
            <w:tcW w:w="1160" w:type="dxa"/>
            <w:vAlign w:val="bottom"/>
          </w:tcPr>
          <w:p>
            <w:pPr>
              <w:spacing w:after="0"/>
              <w:rPr>
                <w:sz w:val="10"/>
                <w:szCs w:val="10"/>
                <w:color w:val="auto"/>
              </w:rPr>
            </w:pPr>
          </w:p>
        </w:tc>
        <w:tc>
          <w:tcPr>
            <w:tcW w:w="42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(printed)</w:t>
            </w:r>
          </w:p>
        </w:tc>
      </w:tr>
      <w:tr>
        <w:trPr>
          <w:trHeight w:val="155"/>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Managing Director</w:t>
            </w:r>
          </w:p>
        </w:tc>
        <w:tc>
          <w:tcPr>
            <w:tcW w:w="11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Title</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Executive Director</w:t>
            </w:r>
          </w:p>
        </w:tc>
      </w:tr>
    </w:tbl>
    <w:p>
      <w:pPr>
        <w:sectPr>
          <w:pgSz w:w="11900" w:h="16838" w:orient="portrait"/>
          <w:cols w:equalWidth="0" w:num="1">
            <w:col w:w="11300"/>
          </w:cols>
          <w:pgMar w:left="300" w:top="129" w:right="299" w:bottom="1440" w:gutter="0" w:footer="0" w:header="0"/>
        </w:sectPr>
      </w:pPr>
    </w:p>
    <w:bookmarkStart w:id="263" w:name="page264"/>
    <w:bookmarkEnd w:id="263"/>
    <w:p>
      <w:pPr>
        <w:ind w:left="10568"/>
        <w:spacing w:after="0"/>
        <w:rPr>
          <w:sz w:val="20"/>
          <w:szCs w:val="20"/>
          <w:color w:val="auto"/>
        </w:rPr>
      </w:pPr>
      <w:r>
        <w:rPr>
          <w:rFonts w:ascii="Times New Roman" w:cs="Times New Roman" w:eastAsia="Times New Roman" w:hAnsi="Times New Roman"/>
          <w:sz w:val="12"/>
          <w:szCs w:val="12"/>
          <w:b w:val="1"/>
          <w:bCs w:val="1"/>
          <w:color w:val="auto"/>
        </w:rPr>
        <w:t>Exhibit 10.150</w:t>
      </w:r>
    </w:p>
    <w:p>
      <w:pPr>
        <w:spacing w:after="0" w:line="150" w:lineRule="exact"/>
        <w:rPr>
          <w:sz w:val="20"/>
          <w:szCs w:val="20"/>
          <w:color w:val="auto"/>
        </w:rPr>
      </w:pPr>
    </w:p>
    <w:p>
      <w:pPr>
        <w:ind w:left="8" w:right="80" w:hanging="8"/>
        <w:spacing w:after="0" w:line="263" w:lineRule="auto"/>
        <w:tabs>
          <w:tab w:leader="none" w:pos="218" w:val="left"/>
        </w:tabs>
        <w:numPr>
          <w:ilvl w:val="0"/>
          <w:numId w:val="3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ind w:left="10608"/>
        <w:spacing w:after="0"/>
        <w:rPr>
          <w:sz w:val="20"/>
          <w:szCs w:val="20"/>
          <w:color w:val="auto"/>
        </w:rPr>
      </w:pPr>
      <w:r>
        <w:rPr>
          <w:rFonts w:ascii="Times New Roman" w:cs="Times New Roman" w:eastAsia="Times New Roman" w:hAnsi="Times New Roman"/>
          <w:sz w:val="12"/>
          <w:szCs w:val="12"/>
          <w:color w:val="auto"/>
        </w:rPr>
        <w:t>A.N.: 130339</w:t>
      </w:r>
    </w:p>
    <w:p>
      <w:pPr>
        <w:spacing w:after="0" w:line="6" w:lineRule="exact"/>
        <w:rPr>
          <w:sz w:val="20"/>
          <w:szCs w:val="20"/>
          <w:color w:val="auto"/>
        </w:rPr>
      </w:pPr>
    </w:p>
    <w:p>
      <w:pPr>
        <w:ind w:left="10388"/>
        <w:spacing w:after="0"/>
        <w:rPr>
          <w:sz w:val="20"/>
          <w:szCs w:val="20"/>
          <w:color w:val="auto"/>
        </w:rPr>
      </w:pPr>
      <w:r>
        <w:rPr>
          <w:rFonts w:ascii="Times New Roman" w:cs="Times New Roman" w:eastAsia="Times New Roman" w:hAnsi="Times New Roman"/>
          <w:sz w:val="12"/>
          <w:szCs w:val="12"/>
          <w:color w:val="auto"/>
        </w:rPr>
        <w:t>AMD_00216801.0</w:t>
      </w:r>
    </w:p>
    <w:p>
      <w:pPr>
        <w:spacing w:after="0" w:line="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AMENDMENT</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of Amendment: December 5, 2016</w:t>
      </w:r>
    </w:p>
    <w:p>
      <w:pPr>
        <w:spacing w:after="0" w:line="132" w:lineRule="exact"/>
        <w:rPr>
          <w:sz w:val="20"/>
          <w:szCs w:val="20"/>
          <w:color w:val="auto"/>
        </w:rPr>
      </w:pPr>
    </w:p>
    <w:p>
      <w:pPr>
        <w:ind w:left="8" w:right="40"/>
        <w:spacing w:after="0" w:line="265" w:lineRule="auto"/>
        <w:rPr>
          <w:sz w:val="20"/>
          <w:szCs w:val="20"/>
          <w:color w:val="auto"/>
        </w:rPr>
      </w:pPr>
      <w:r>
        <w:rPr>
          <w:rFonts w:ascii="Times New Roman" w:cs="Times New Roman" w:eastAsia="Times New Roman" w:hAnsi="Times New Roman"/>
          <w:sz w:val="12"/>
          <w:szCs w:val="12"/>
          <w:color w:val="auto"/>
        </w:rPr>
        <w:t>AMENDMENT (this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to the Index License Agreement for Funds (MSCI reference number IXF_00040) dated as of March 18, 2000 (as previously amended,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by and between MSCI Inc. (formerly known as Morgan Stanley Capital International Inc.) (“</w:t>
      </w:r>
      <w:r>
        <w:rPr>
          <w:rFonts w:ascii="Times New Roman" w:cs="Times New Roman" w:eastAsia="Times New Roman" w:hAnsi="Times New Roman"/>
          <w:sz w:val="12"/>
          <w:szCs w:val="12"/>
          <w:u w:val="single" w:color="auto"/>
          <w:color w:val="auto"/>
        </w:rPr>
        <w:t>MSCI</w:t>
      </w:r>
      <w:r>
        <w:rPr>
          <w:rFonts w:ascii="Times New Roman" w:cs="Times New Roman" w:eastAsia="Times New Roman" w:hAnsi="Times New Roman"/>
          <w:sz w:val="12"/>
          <w:szCs w:val="12"/>
          <w:color w:val="auto"/>
        </w:rPr>
        <w:t>”) and BlackRock Fund Advisors, a California corporation (as successor to Barclays Global Investors, N.A.)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Capitalized terms used but not defined herein shall have the meanings ascribed to them in the Agreement.</w:t>
      </w:r>
    </w:p>
    <w:p>
      <w:pPr>
        <w:spacing w:after="0" w:line="92" w:lineRule="exact"/>
        <w:rPr>
          <w:sz w:val="20"/>
          <w:szCs w:val="20"/>
          <w:color w:val="auto"/>
        </w:rPr>
      </w:pPr>
    </w:p>
    <w:p>
      <w:pPr>
        <w:ind w:left="408" w:hanging="408"/>
        <w:spacing w:after="0"/>
        <w:tabs>
          <w:tab w:leader="none" w:pos="408" w:val="left"/>
        </w:tabs>
        <w:numPr>
          <w:ilvl w:val="0"/>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A of the Agreement is hereby amended to add the following Indexes:</w:t>
      </w:r>
    </w:p>
    <w:p>
      <w:pPr>
        <w:spacing w:after="0" w:line="123" w:lineRule="exact"/>
        <w:rPr>
          <w:rFonts w:ascii="Times New Roman" w:cs="Times New Roman" w:eastAsia="Times New Roman" w:hAnsi="Times New Roman"/>
          <w:sz w:val="12"/>
          <w:szCs w:val="12"/>
          <w:color w:val="auto"/>
        </w:rPr>
      </w:pPr>
    </w:p>
    <w:p>
      <w:pPr>
        <w:ind w:left="1668" w:hanging="417"/>
        <w:spacing w:after="0"/>
        <w:tabs>
          <w:tab w:leader="none" w:pos="1668" w:val="left"/>
        </w:tabs>
        <w:numPr>
          <w:ilvl w:val="1"/>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1248"/>
        <w:spacing w:after="0"/>
        <w:rPr>
          <w:sz w:val="20"/>
          <w:szCs w:val="20"/>
          <w:color w:val="auto"/>
        </w:rPr>
      </w:pPr>
      <w:r>
        <w:rPr>
          <w:rFonts w:ascii="Times New Roman" w:cs="Times New Roman" w:eastAsia="Times New Roman" w:hAnsi="Times New Roman"/>
          <w:sz w:val="12"/>
          <w:szCs w:val="12"/>
          <w:color w:val="auto"/>
        </w:rPr>
        <w:t>Or such other indexes as agreed by Licensee and MSCI in writing.</w:t>
      </w:r>
    </w:p>
    <w:p>
      <w:pPr>
        <w:spacing w:after="0" w:line="123" w:lineRule="exact"/>
        <w:rPr>
          <w:sz w:val="20"/>
          <w:szCs w:val="20"/>
          <w:color w:val="auto"/>
        </w:rPr>
      </w:pPr>
    </w:p>
    <w:p>
      <w:pPr>
        <w:ind w:left="408" w:hanging="408"/>
        <w:spacing w:after="0"/>
        <w:tabs>
          <w:tab w:leader="none" w:pos="408" w:val="left"/>
        </w:tabs>
        <w:numPr>
          <w:ilvl w:val="0"/>
          <w:numId w:val="3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may use the Index set forth in Section 1 above solely with respect to the following Licensee fund (each, a “</w:t>
      </w:r>
      <w:r>
        <w:rPr>
          <w:rFonts w:ascii="Times New Roman" w:cs="Times New Roman" w:eastAsia="Times New Roman" w:hAnsi="Times New Roman"/>
          <w:sz w:val="12"/>
          <w:szCs w:val="12"/>
          <w:u w:val="single" w:color="auto"/>
          <w:color w:val="auto"/>
        </w:rPr>
        <w:t>World ex USA IMI ETF</w:t>
      </w:r>
      <w:r>
        <w:rPr>
          <w:rFonts w:ascii="Times New Roman" w:cs="Times New Roman" w:eastAsia="Times New Roman" w:hAnsi="Times New Roman"/>
          <w:sz w:val="12"/>
          <w:szCs w:val="12"/>
          <w:color w:val="auto"/>
        </w:rPr>
        <w:t>” which shall also be a “</w:t>
      </w:r>
      <w:r>
        <w:rPr>
          <w:rFonts w:ascii="Times New Roman" w:cs="Times New Roman" w:eastAsia="Times New Roman" w:hAnsi="Times New Roman"/>
          <w:sz w:val="12"/>
          <w:szCs w:val="12"/>
          <w:u w:val="single" w:color="auto"/>
          <w:color w:val="auto"/>
        </w:rPr>
        <w:t>Fund</w:t>
      </w:r>
      <w:r>
        <w:rPr>
          <w:rFonts w:ascii="Times New Roman" w:cs="Times New Roman" w:eastAsia="Times New Roman" w:hAnsi="Times New Roman"/>
          <w:sz w:val="12"/>
          <w:szCs w:val="12"/>
          <w:color w:val="auto"/>
        </w:rPr>
        <w:t>” as such term is defined in the Agreement):</w:t>
      </w:r>
    </w:p>
    <w:p>
      <w:pPr>
        <w:spacing w:after="0" w:line="123" w:lineRule="exact"/>
        <w:rPr>
          <w:rFonts w:ascii="Times New Roman" w:cs="Times New Roman" w:eastAsia="Times New Roman" w:hAnsi="Times New Roman"/>
          <w:sz w:val="12"/>
          <w:szCs w:val="12"/>
          <w:color w:val="auto"/>
        </w:rPr>
      </w:pPr>
    </w:p>
    <w:p>
      <w:pPr>
        <w:ind w:left="1668" w:hanging="417"/>
        <w:spacing w:after="0"/>
        <w:tabs>
          <w:tab w:leader="none" w:pos="1668" w:val="left"/>
        </w:tabs>
        <w:numPr>
          <w:ilvl w:val="1"/>
          <w:numId w:val="3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1248"/>
        <w:spacing w:after="0"/>
        <w:rPr>
          <w:sz w:val="20"/>
          <w:szCs w:val="20"/>
          <w:color w:val="auto"/>
        </w:rPr>
      </w:pPr>
      <w:r>
        <w:rPr>
          <w:rFonts w:ascii="Times New Roman" w:cs="Times New Roman" w:eastAsia="Times New Roman" w:hAnsi="Times New Roman"/>
          <w:sz w:val="12"/>
          <w:szCs w:val="12"/>
          <w:color w:val="auto"/>
        </w:rPr>
        <w:t>Or such other names as agreed by Licensee and MSCI in writing.</w:t>
      </w:r>
    </w:p>
    <w:p>
      <w:pPr>
        <w:spacing w:after="0" w:line="13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World ex USA IMI ETFs shall be exchange traded index funds listed on a national securities exchange located in the United States.</w:t>
      </w:r>
    </w:p>
    <w:p>
      <w:pPr>
        <w:spacing w:after="0" w:line="123" w:lineRule="exact"/>
        <w:rPr>
          <w:sz w:val="20"/>
          <w:szCs w:val="20"/>
          <w:color w:val="auto"/>
        </w:rPr>
      </w:pPr>
    </w:p>
    <w:p>
      <w:pPr>
        <w:ind w:left="408" w:right="40" w:hanging="408"/>
        <w:spacing w:after="0" w:line="259" w:lineRule="auto"/>
        <w:tabs>
          <w:tab w:leader="none" w:pos="408" w:val="left"/>
        </w:tabs>
        <w:numPr>
          <w:ilvl w:val="0"/>
          <w:numId w:val="3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Licensee shall pay MSCI a * * * * * * * * * * license fee * * * * * * * * based on * * * * * * * * * * * * * * * * * * * * * * * * * * * * * * * * * * * * * * * * * * * * * * * * * * * * * * * * *, which fee shall be calculated and payable on a * * * * * * * * * * * * * * *. The * * * * * * * * * license fee shall be calculated * * * * * * * * * * * * * * * * * * * * * * * * * * * * * * * * * * * * * * * * * * * * * * * * * * * * * * * * * * * * * * * * * * * * * * *</w:t>
      </w:r>
    </w:p>
    <w:p>
      <w:pPr>
        <w:spacing w:after="0" w:line="1" w:lineRule="exact"/>
        <w:rPr>
          <w:rFonts w:ascii="Times New Roman" w:cs="Times New Roman" w:eastAsia="Times New Roman" w:hAnsi="Times New Roman"/>
          <w:sz w:val="12"/>
          <w:szCs w:val="12"/>
          <w:color w:val="auto"/>
        </w:rPr>
      </w:pPr>
    </w:p>
    <w:p>
      <w:pPr>
        <w:ind w:left="4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4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 * , as follows: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60" w:type="dxa"/>
            <w:vAlign w:val="bottom"/>
            <w:tcBorders>
              <w:right w:val="single" w:sz="8" w:color="auto"/>
            </w:tcBorders>
          </w:tcPr>
          <w:p>
            <w:pPr>
              <w:spacing w:after="0"/>
              <w:rPr>
                <w:sz w:val="12"/>
                <w:szCs w:val="12"/>
                <w:color w:val="auto"/>
              </w:rPr>
            </w:pPr>
          </w:p>
        </w:tc>
        <w:tc>
          <w:tcPr>
            <w:tcW w:w="1260" w:type="dxa"/>
            <w:vAlign w:val="bottom"/>
            <w:tcBorders>
              <w:top w:val="single" w:sz="8" w:color="auto"/>
            </w:tcBorders>
            <w:shd w:val="clear" w:color="auto" w:fill="BFBFBF"/>
          </w:tcPr>
          <w:p>
            <w:pPr>
              <w:spacing w:after="0"/>
              <w:rPr>
                <w:sz w:val="12"/>
                <w:szCs w:val="12"/>
                <w:color w:val="auto"/>
              </w:rPr>
            </w:pPr>
          </w:p>
        </w:tc>
        <w:tc>
          <w:tcPr>
            <w:tcW w:w="2600" w:type="dxa"/>
            <w:vAlign w:val="bottom"/>
            <w:tcBorders>
              <w:top w:val="single" w:sz="8" w:color="auto"/>
              <w:right w:val="single" w:sz="8" w:color="auto"/>
            </w:tcBorders>
            <w:shd w:val="clear" w:color="auto" w:fill="BFBFBF"/>
          </w:tcPr>
          <w:p>
            <w:pPr>
              <w:jc w:val="right"/>
              <w:ind w:right="1580"/>
              <w:spacing w:after="0"/>
              <w:rPr>
                <w:sz w:val="20"/>
                <w:szCs w:val="20"/>
                <w:color w:val="auto"/>
              </w:rPr>
            </w:pPr>
            <w:r>
              <w:rPr>
                <w:rFonts w:ascii="Times New Roman" w:cs="Times New Roman" w:eastAsia="Times New Roman" w:hAnsi="Times New Roman"/>
                <w:sz w:val="12"/>
                <w:szCs w:val="12"/>
                <w:b w:val="1"/>
                <w:bCs w:val="1"/>
                <w:color w:val="auto"/>
              </w:rPr>
              <w:t>**********</w:t>
            </w:r>
          </w:p>
        </w:tc>
        <w:tc>
          <w:tcPr>
            <w:tcW w:w="6540" w:type="dxa"/>
            <w:vAlign w:val="bottom"/>
            <w:tcBorders>
              <w:top w:val="single" w:sz="8" w:color="auto"/>
              <w:right w:val="single" w:sz="8" w:color="auto"/>
            </w:tcBorders>
            <w:vMerge w:val="restart"/>
            <w:shd w:val="clear" w:color="auto" w:fill="BFBFBF"/>
          </w:tcPr>
          <w:p>
            <w:pPr>
              <w:jc w:val="right"/>
              <w:ind w:right="260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60" w:type="dxa"/>
            <w:vAlign w:val="bottom"/>
            <w:tcBorders>
              <w:right w:val="single" w:sz="8" w:color="auto"/>
            </w:tcBorders>
          </w:tcPr>
          <w:p>
            <w:pPr>
              <w:spacing w:after="0"/>
              <w:rPr>
                <w:sz w:val="7"/>
                <w:szCs w:val="7"/>
                <w:color w:val="auto"/>
              </w:rPr>
            </w:pPr>
          </w:p>
        </w:tc>
        <w:tc>
          <w:tcPr>
            <w:tcW w:w="1260" w:type="dxa"/>
            <w:vAlign w:val="bottom"/>
            <w:shd w:val="clear" w:color="auto" w:fill="BFBFBF"/>
          </w:tcPr>
          <w:p>
            <w:pPr>
              <w:spacing w:after="0"/>
              <w:rPr>
                <w:sz w:val="7"/>
                <w:szCs w:val="7"/>
                <w:color w:val="auto"/>
              </w:rPr>
            </w:pPr>
          </w:p>
        </w:tc>
        <w:tc>
          <w:tcPr>
            <w:tcW w:w="2600" w:type="dxa"/>
            <w:vAlign w:val="bottom"/>
            <w:tcBorders>
              <w:right w:val="single" w:sz="8" w:color="auto"/>
            </w:tcBorders>
            <w:vMerge w:val="restart"/>
            <w:shd w:val="clear" w:color="auto" w:fill="BFBFBF"/>
          </w:tcPr>
          <w:p>
            <w:pPr>
              <w:jc w:val="right"/>
              <w:ind w:right="1460"/>
              <w:spacing w:after="0"/>
              <w:rPr>
                <w:sz w:val="20"/>
                <w:szCs w:val="20"/>
                <w:color w:val="auto"/>
              </w:rPr>
            </w:pPr>
            <w:r>
              <w:rPr>
                <w:rFonts w:ascii="Times New Roman" w:cs="Times New Roman" w:eastAsia="Times New Roman" w:hAnsi="Times New Roman"/>
                <w:sz w:val="12"/>
                <w:szCs w:val="12"/>
                <w:b w:val="1"/>
                <w:bCs w:val="1"/>
                <w:color w:val="auto"/>
              </w:rPr>
              <w:t>**************</w:t>
            </w:r>
          </w:p>
        </w:tc>
        <w:tc>
          <w:tcPr>
            <w:tcW w:w="6540" w:type="dxa"/>
            <w:vAlign w:val="bottom"/>
            <w:tcBorders>
              <w:right w:val="single" w:sz="8" w:color="auto"/>
            </w:tcBorders>
            <w:vMerge w:val="continue"/>
            <w:shd w:val="clear" w:color="auto" w:fill="BFBFBF"/>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60" w:type="dxa"/>
            <w:vAlign w:val="bottom"/>
            <w:tcBorders>
              <w:right w:val="single" w:sz="8" w:color="auto"/>
            </w:tcBorders>
          </w:tcPr>
          <w:p>
            <w:pPr>
              <w:spacing w:after="0"/>
              <w:rPr>
                <w:sz w:val="6"/>
                <w:szCs w:val="6"/>
                <w:color w:val="auto"/>
              </w:rPr>
            </w:pPr>
          </w:p>
        </w:tc>
        <w:tc>
          <w:tcPr>
            <w:tcW w:w="1260" w:type="dxa"/>
            <w:vAlign w:val="bottom"/>
            <w:tcBorders>
              <w:bottom w:val="single" w:sz="8" w:color="auto"/>
            </w:tcBorders>
            <w:shd w:val="clear" w:color="auto" w:fill="BFBFBF"/>
          </w:tcPr>
          <w:p>
            <w:pPr>
              <w:spacing w:after="0"/>
              <w:rPr>
                <w:sz w:val="6"/>
                <w:szCs w:val="6"/>
                <w:color w:val="auto"/>
              </w:rPr>
            </w:pPr>
          </w:p>
        </w:tc>
        <w:tc>
          <w:tcPr>
            <w:tcW w:w="2600" w:type="dxa"/>
            <w:vAlign w:val="bottom"/>
            <w:tcBorders>
              <w:bottom w:val="single" w:sz="8" w:color="auto"/>
              <w:right w:val="single" w:sz="8" w:color="auto"/>
            </w:tcBorders>
            <w:vMerge w:val="continue"/>
            <w:shd w:val="clear" w:color="auto" w:fill="BFBFBF"/>
          </w:tcPr>
          <w:p>
            <w:pPr>
              <w:spacing w:after="0"/>
              <w:rPr>
                <w:sz w:val="6"/>
                <w:szCs w:val="6"/>
                <w:color w:val="auto"/>
              </w:rPr>
            </w:pPr>
          </w:p>
        </w:tc>
        <w:tc>
          <w:tcPr>
            <w:tcW w:w="6540" w:type="dxa"/>
            <w:vAlign w:val="bottom"/>
            <w:tcBorders>
              <w:bottom w:val="single" w:sz="8" w:color="auto"/>
              <w:right w:val="single" w:sz="8" w:color="auto"/>
            </w:tcBorders>
            <w:shd w:val="clear" w:color="auto" w:fill="BFBFBF"/>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460" w:type="dxa"/>
            <w:vAlign w:val="bottom"/>
            <w:tcBorders>
              <w:right w:val="single" w:sz="8" w:color="auto"/>
            </w:tcBorders>
          </w:tcPr>
          <w:p>
            <w:pPr>
              <w:spacing w:after="0"/>
              <w:rPr>
                <w:sz w:val="11"/>
                <w:szCs w:val="11"/>
                <w:color w:val="auto"/>
              </w:rPr>
            </w:pPr>
          </w:p>
        </w:tc>
        <w:tc>
          <w:tcPr>
            <w:tcW w:w="1260" w:type="dxa"/>
            <w:vAlign w:val="bottom"/>
            <w:tcBorders>
              <w:bottom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0" w:type="dxa"/>
            <w:vAlign w:val="bottom"/>
            <w:tcBorders>
              <w:bottom w:val="single" w:sz="8" w:color="auto"/>
              <w:right w:val="single" w:sz="8" w:color="auto"/>
            </w:tcBorders>
          </w:tcPr>
          <w:p>
            <w:pPr>
              <w:spacing w:after="0"/>
              <w:rPr>
                <w:sz w:val="11"/>
                <w:szCs w:val="11"/>
                <w:color w:val="auto"/>
              </w:rPr>
            </w:pPr>
          </w:p>
        </w:tc>
        <w:tc>
          <w:tcPr>
            <w:tcW w:w="6540" w:type="dxa"/>
            <w:vAlign w:val="bottom"/>
            <w:tcBorders>
              <w:bottom w:val="single" w:sz="8" w:color="auto"/>
              <w:right w:val="single" w:sz="8" w:color="auto"/>
            </w:tcBorders>
          </w:tcPr>
          <w:p>
            <w:pPr>
              <w:jc w:val="right"/>
              <w:ind w:right="1180"/>
              <w:spacing w:after="0" w:line="133" w:lineRule="exact"/>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60" w:type="dxa"/>
            <w:vAlign w:val="bottom"/>
            <w:tcBorders>
              <w:right w:val="single" w:sz="8" w:color="auto"/>
            </w:tcBorders>
          </w:tcPr>
          <w:p>
            <w:pPr>
              <w:spacing w:after="0"/>
              <w:rPr>
                <w:sz w:val="10"/>
                <w:szCs w:val="10"/>
                <w:color w:val="auto"/>
              </w:rPr>
            </w:pPr>
          </w:p>
        </w:tc>
        <w:tc>
          <w:tcPr>
            <w:tcW w:w="12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2600" w:type="dxa"/>
            <w:vAlign w:val="bottom"/>
            <w:tcBorders>
              <w:right w:val="single" w:sz="8" w:color="auto"/>
            </w:tcBorders>
          </w:tcPr>
          <w:p>
            <w:pPr>
              <w:spacing w:after="0"/>
              <w:rPr>
                <w:sz w:val="10"/>
                <w:szCs w:val="10"/>
                <w:color w:val="auto"/>
              </w:rPr>
            </w:pPr>
          </w:p>
        </w:tc>
        <w:tc>
          <w:tcPr>
            <w:tcW w:w="6540" w:type="dxa"/>
            <w:vAlign w:val="bottom"/>
            <w:tcBorders>
              <w:right w:val="single" w:sz="8" w:color="auto"/>
            </w:tcBorders>
            <w:vMerge w:val="restart"/>
          </w:tcPr>
          <w:p>
            <w:pPr>
              <w:jc w:val="right"/>
              <w:ind w:right="118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60" w:type="dxa"/>
            <w:vAlign w:val="bottom"/>
            <w:tcBorders>
              <w:right w:val="single" w:sz="8" w:color="auto"/>
            </w:tcBorders>
          </w:tcPr>
          <w:p>
            <w:pPr>
              <w:spacing w:after="0"/>
              <w:rPr>
                <w:sz w:val="7"/>
                <w:szCs w:val="7"/>
                <w:color w:val="auto"/>
              </w:rPr>
            </w:pP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600" w:type="dxa"/>
            <w:vAlign w:val="bottom"/>
            <w:tcBorders>
              <w:right w:val="single" w:sz="8" w:color="auto"/>
            </w:tcBorders>
          </w:tcPr>
          <w:p>
            <w:pPr>
              <w:spacing w:after="0"/>
              <w:rPr>
                <w:sz w:val="7"/>
                <w:szCs w:val="7"/>
                <w:color w:val="auto"/>
              </w:rPr>
            </w:pPr>
          </w:p>
        </w:tc>
        <w:tc>
          <w:tcPr>
            <w:tcW w:w="6540" w:type="dxa"/>
            <w:vAlign w:val="bottom"/>
            <w:tcBorders>
              <w:right w:val="single" w:sz="8" w:color="auto"/>
            </w:tcBorders>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60" w:type="dxa"/>
            <w:vAlign w:val="bottom"/>
            <w:tcBorders>
              <w:right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6540" w:type="dxa"/>
            <w:vAlign w:val="bottom"/>
            <w:tcBorders>
              <w:bottom w:val="single" w:sz="8" w:color="auto"/>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460" w:type="dxa"/>
            <w:vAlign w:val="bottom"/>
            <w:tcBorders>
              <w:right w:val="single" w:sz="8" w:color="auto"/>
            </w:tcBorders>
          </w:tcPr>
          <w:p>
            <w:pPr>
              <w:spacing w:after="0"/>
              <w:rPr>
                <w:sz w:val="10"/>
                <w:szCs w:val="10"/>
                <w:color w:val="auto"/>
              </w:rPr>
            </w:pPr>
          </w:p>
        </w:tc>
        <w:tc>
          <w:tcPr>
            <w:tcW w:w="12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2600" w:type="dxa"/>
            <w:vAlign w:val="bottom"/>
            <w:tcBorders>
              <w:right w:val="single" w:sz="8" w:color="auto"/>
            </w:tcBorders>
          </w:tcPr>
          <w:p>
            <w:pPr>
              <w:spacing w:after="0"/>
              <w:rPr>
                <w:sz w:val="10"/>
                <w:szCs w:val="10"/>
                <w:color w:val="auto"/>
              </w:rPr>
            </w:pPr>
          </w:p>
        </w:tc>
        <w:tc>
          <w:tcPr>
            <w:tcW w:w="6540" w:type="dxa"/>
            <w:vAlign w:val="bottom"/>
            <w:tcBorders>
              <w:right w:val="single" w:sz="8" w:color="auto"/>
            </w:tcBorders>
            <w:vMerge w:val="restart"/>
          </w:tcPr>
          <w:p>
            <w:pPr>
              <w:jc w:val="right"/>
              <w:ind w:right="118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60" w:type="dxa"/>
            <w:vAlign w:val="bottom"/>
            <w:tcBorders>
              <w:right w:val="single" w:sz="8" w:color="auto"/>
            </w:tcBorders>
          </w:tcPr>
          <w:p>
            <w:pPr>
              <w:spacing w:after="0"/>
              <w:rPr>
                <w:sz w:val="7"/>
                <w:szCs w:val="7"/>
                <w:color w:val="auto"/>
              </w:rPr>
            </w:pP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600" w:type="dxa"/>
            <w:vAlign w:val="bottom"/>
            <w:tcBorders>
              <w:right w:val="single" w:sz="8" w:color="auto"/>
            </w:tcBorders>
          </w:tcPr>
          <w:p>
            <w:pPr>
              <w:spacing w:after="0"/>
              <w:rPr>
                <w:sz w:val="7"/>
                <w:szCs w:val="7"/>
                <w:color w:val="auto"/>
              </w:rPr>
            </w:pPr>
          </w:p>
        </w:tc>
        <w:tc>
          <w:tcPr>
            <w:tcW w:w="6540" w:type="dxa"/>
            <w:vAlign w:val="bottom"/>
            <w:tcBorders>
              <w:right w:val="single" w:sz="8" w:color="auto"/>
            </w:tcBorders>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60" w:type="dxa"/>
            <w:vAlign w:val="bottom"/>
            <w:tcBorders>
              <w:right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6540" w:type="dxa"/>
            <w:vAlign w:val="bottom"/>
            <w:tcBorders>
              <w:bottom w:val="single" w:sz="8" w:color="auto"/>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460" w:type="dxa"/>
            <w:vAlign w:val="bottom"/>
            <w:tcBorders>
              <w:right w:val="single" w:sz="8" w:color="auto"/>
            </w:tcBorders>
          </w:tcPr>
          <w:p>
            <w:pPr>
              <w:spacing w:after="0"/>
              <w:rPr>
                <w:sz w:val="10"/>
                <w:szCs w:val="10"/>
                <w:color w:val="auto"/>
              </w:rPr>
            </w:pPr>
          </w:p>
        </w:tc>
        <w:tc>
          <w:tcPr>
            <w:tcW w:w="12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2600" w:type="dxa"/>
            <w:vAlign w:val="bottom"/>
            <w:tcBorders>
              <w:right w:val="single" w:sz="8" w:color="auto"/>
            </w:tcBorders>
          </w:tcPr>
          <w:p>
            <w:pPr>
              <w:spacing w:after="0"/>
              <w:rPr>
                <w:sz w:val="10"/>
                <w:szCs w:val="10"/>
                <w:color w:val="auto"/>
              </w:rPr>
            </w:pPr>
          </w:p>
        </w:tc>
        <w:tc>
          <w:tcPr>
            <w:tcW w:w="6540" w:type="dxa"/>
            <w:vAlign w:val="bottom"/>
            <w:tcBorders>
              <w:right w:val="single" w:sz="8" w:color="auto"/>
            </w:tcBorders>
            <w:vMerge w:val="restart"/>
          </w:tcPr>
          <w:p>
            <w:pPr>
              <w:jc w:val="right"/>
              <w:ind w:right="118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60" w:type="dxa"/>
            <w:vAlign w:val="bottom"/>
            <w:tcBorders>
              <w:right w:val="single" w:sz="8" w:color="auto"/>
            </w:tcBorders>
          </w:tcPr>
          <w:p>
            <w:pPr>
              <w:spacing w:after="0"/>
              <w:rPr>
                <w:sz w:val="7"/>
                <w:szCs w:val="7"/>
                <w:color w:val="auto"/>
              </w:rPr>
            </w:pP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600" w:type="dxa"/>
            <w:vAlign w:val="bottom"/>
            <w:tcBorders>
              <w:right w:val="single" w:sz="8" w:color="auto"/>
            </w:tcBorders>
          </w:tcPr>
          <w:p>
            <w:pPr>
              <w:spacing w:after="0"/>
              <w:rPr>
                <w:sz w:val="7"/>
                <w:szCs w:val="7"/>
                <w:color w:val="auto"/>
              </w:rPr>
            </w:pPr>
          </w:p>
        </w:tc>
        <w:tc>
          <w:tcPr>
            <w:tcW w:w="6540" w:type="dxa"/>
            <w:vAlign w:val="bottom"/>
            <w:tcBorders>
              <w:right w:val="single" w:sz="8" w:color="auto"/>
            </w:tcBorders>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60" w:type="dxa"/>
            <w:vAlign w:val="bottom"/>
            <w:tcBorders>
              <w:right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6540" w:type="dxa"/>
            <w:vAlign w:val="bottom"/>
            <w:tcBorders>
              <w:bottom w:val="single" w:sz="8" w:color="auto"/>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460" w:type="dxa"/>
            <w:vAlign w:val="bottom"/>
            <w:tcBorders>
              <w:right w:val="single" w:sz="8" w:color="auto"/>
            </w:tcBorders>
          </w:tcPr>
          <w:p>
            <w:pPr>
              <w:spacing w:after="0"/>
              <w:rPr>
                <w:sz w:val="11"/>
                <w:szCs w:val="11"/>
                <w:color w:val="auto"/>
              </w:rPr>
            </w:pPr>
          </w:p>
        </w:tc>
        <w:tc>
          <w:tcPr>
            <w:tcW w:w="1260" w:type="dxa"/>
            <w:vAlign w:val="bottom"/>
            <w:tcBorders>
              <w:bottom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0" w:type="dxa"/>
            <w:vAlign w:val="bottom"/>
            <w:tcBorders>
              <w:bottom w:val="single" w:sz="8" w:color="auto"/>
              <w:right w:val="single" w:sz="8" w:color="auto"/>
            </w:tcBorders>
          </w:tcPr>
          <w:p>
            <w:pPr>
              <w:spacing w:after="0"/>
              <w:rPr>
                <w:sz w:val="11"/>
                <w:szCs w:val="11"/>
                <w:color w:val="auto"/>
              </w:rPr>
            </w:pPr>
          </w:p>
        </w:tc>
        <w:tc>
          <w:tcPr>
            <w:tcW w:w="6540" w:type="dxa"/>
            <w:vAlign w:val="bottom"/>
            <w:tcBorders>
              <w:bottom w:val="single" w:sz="8" w:color="auto"/>
              <w:right w:val="single" w:sz="8" w:color="auto"/>
            </w:tcBorders>
          </w:tcPr>
          <w:p>
            <w:pPr>
              <w:jc w:val="right"/>
              <w:ind w:right="1180"/>
              <w:spacing w:after="0" w:line="133" w:lineRule="exact"/>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1"/>
        </w:trPr>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278" w:right="27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2"/>
          <w:szCs w:val="12"/>
          <w:color w:val="auto"/>
        </w:rPr>
        <w:t>A.N.: 130339</w:t>
      </w:r>
    </w:p>
    <w:p>
      <w:pPr>
        <w:spacing w:after="0" w:line="17" w:lineRule="exact"/>
        <w:rPr>
          <w:sz w:val="20"/>
          <w:szCs w:val="20"/>
          <w:color w:val="auto"/>
        </w:rPr>
      </w:pPr>
    </w:p>
    <w:p>
      <w:pPr>
        <w:ind w:left="10488"/>
        <w:spacing w:after="0"/>
        <w:rPr>
          <w:sz w:val="20"/>
          <w:szCs w:val="20"/>
          <w:color w:val="auto"/>
        </w:rPr>
      </w:pPr>
      <w:r>
        <w:rPr>
          <w:rFonts w:ascii="Times New Roman" w:cs="Times New Roman" w:eastAsia="Times New Roman" w:hAnsi="Times New Roman"/>
          <w:sz w:val="10"/>
          <w:szCs w:val="10"/>
          <w:color w:val="auto"/>
        </w:rPr>
        <w:t>AMD_00216801.0</w:t>
      </w:r>
    </w:p>
    <w:p>
      <w:pPr>
        <w:spacing w:after="0" w:line="16" w:lineRule="exact"/>
        <w:rPr>
          <w:sz w:val="20"/>
          <w:szCs w:val="20"/>
          <w:color w:val="auto"/>
        </w:rPr>
      </w:pPr>
    </w:p>
    <w:p>
      <w:pPr>
        <w:ind w:left="428" w:right="40"/>
        <w:spacing w:after="0" w:line="254" w:lineRule="auto"/>
        <w:rPr>
          <w:sz w:val="20"/>
          <w:szCs w:val="20"/>
          <w:color w:val="auto"/>
        </w:rPr>
      </w:pPr>
      <w:r>
        <w:rPr>
          <w:rFonts w:ascii="Times New Roman" w:cs="Times New Roman" w:eastAsia="Times New Roman" w:hAnsi="Times New Roman"/>
          <w:sz w:val="12"/>
          <w:szCs w:val="12"/>
          <w:color w:val="auto"/>
        </w:rPr>
        <w:t>For the avoidance of doubt, the * * * * * * * * * license fees shall be calculated * * * * * * * * * * * * *. For example,* * * * * * * * * * * * * * * * * * * * * * * * * * * * * * * * * * * * * * * * * * * * * * * * * * * * * * * * * ************************************************************************************************************************* ************************************************************************************************************************* ************************************************************************************************************************* ************************************************************************************************.</w:t>
      </w:r>
    </w:p>
    <w:p>
      <w:pPr>
        <w:spacing w:after="0" w:line="10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Expense Ratio</w:t>
      </w:r>
      <w:r>
        <w:rPr>
          <w:rFonts w:ascii="Times New Roman" w:cs="Times New Roman" w:eastAsia="Times New Roman" w:hAnsi="Times New Roman"/>
          <w:sz w:val="11"/>
          <w:szCs w:val="11"/>
          <w:color w:val="auto"/>
        </w:rPr>
        <w:t>” shall mean the * * * * * * * * * * * * * * * * * * * * * * * * * * * * * * * * * * * * * * * * * * when dividing * * * * * * * * * * * * * * * * * * * * * * * * * * * * * * * * * * * * * * * * * * * * * * * * * * * * * *</w:t>
      </w:r>
    </w:p>
    <w:p>
      <w:pPr>
        <w:spacing w:after="0" w:line="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1"/>
          <w:szCs w:val="11"/>
          <w:color w:val="auto"/>
        </w:rPr>
        <w:t>Notwithstanding anything to the contrary contained herein, if any Fund * * * * * * * * * * * * * * * * * * * * * * * * * * * * * * or if a Fund’s * * * * * * * * * * * * * * * * * * * * * * * * * * * * * * * * * * or if a Fund has an * * * * * * * * * * * * * * * * * * * * *, the * * * * * * * * * licensee fee for such Fund shall * * * * * * * * * * * * * * * * * * * * * * * * * * * * * * * * * * * * * * * * * * * * * * * * * * * * * * * * * * * * * * * * * * * * * * * *</w:t>
      </w:r>
    </w:p>
    <w:p>
      <w:pPr>
        <w:spacing w:after="0" w:line="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p>
    <w:p>
      <w:pPr>
        <w:spacing w:after="0" w:line="112" w:lineRule="exact"/>
        <w:rPr>
          <w:sz w:val="20"/>
          <w:szCs w:val="20"/>
          <w:color w:val="auto"/>
        </w:rPr>
      </w:pPr>
    </w:p>
    <w:p>
      <w:pPr>
        <w:ind w:left="408" w:hanging="408"/>
        <w:spacing w:after="0"/>
        <w:tabs>
          <w:tab w:leader="none" w:pos="408" w:val="left"/>
        </w:tabs>
        <w:numPr>
          <w:ilvl w:val="0"/>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Conditions:</w:t>
      </w:r>
    </w:p>
    <w:p>
      <w:pPr>
        <w:spacing w:after="0" w:line="123" w:lineRule="exact"/>
        <w:rPr>
          <w:sz w:val="20"/>
          <w:szCs w:val="20"/>
          <w:color w:val="auto"/>
        </w:rPr>
      </w:pPr>
    </w:p>
    <w:p>
      <w:pPr>
        <w:ind w:left="828" w:hanging="414"/>
        <w:spacing w:after="0"/>
        <w:tabs>
          <w:tab w:leader="none" w:pos="828" w:val="left"/>
        </w:tabs>
        <w:numPr>
          <w:ilvl w:val="0"/>
          <w:numId w:val="3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this Amendment conflicts with the Agreement, this Amendment shall control. No right or license of any kind is granted to Licensee except as expressly provided in the Agreement and this Amendment.</w:t>
      </w:r>
    </w:p>
    <w:p>
      <w:pPr>
        <w:spacing w:after="0" w:line="134" w:lineRule="exact"/>
        <w:rPr>
          <w:rFonts w:ascii="Times New Roman" w:cs="Times New Roman" w:eastAsia="Times New Roman" w:hAnsi="Times New Roman"/>
          <w:sz w:val="11"/>
          <w:szCs w:val="11"/>
          <w:color w:val="auto"/>
        </w:rPr>
      </w:pPr>
    </w:p>
    <w:p>
      <w:pPr>
        <w:ind w:left="828" w:hanging="414"/>
        <w:spacing w:after="0"/>
        <w:tabs>
          <w:tab w:leader="none" w:pos="828" w:val="left"/>
        </w:tabs>
        <w:numPr>
          <w:ilvl w:val="0"/>
          <w:numId w:val="3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may terminate this Amendment with respect to Index set forth in Section 1 if, within one (1) year of the date of this Amendment, Licensee does not list a World ex USA IMI ETF that is based on such Index.</w:t>
      </w:r>
    </w:p>
    <w:p>
      <w:pPr>
        <w:spacing w:after="0" w:line="123" w:lineRule="exact"/>
        <w:rPr>
          <w:rFonts w:ascii="Times New Roman" w:cs="Times New Roman" w:eastAsia="Times New Roman" w:hAnsi="Times New Roman"/>
          <w:sz w:val="12"/>
          <w:szCs w:val="12"/>
          <w:color w:val="auto"/>
        </w:rPr>
      </w:pPr>
    </w:p>
    <w:p>
      <w:pPr>
        <w:ind w:left="828" w:right="120" w:hanging="414"/>
        <w:spacing w:after="0" w:line="279" w:lineRule="auto"/>
        <w:tabs>
          <w:tab w:leader="none" w:pos="828" w:val="left"/>
        </w:tabs>
        <w:numPr>
          <w:ilvl w:val="0"/>
          <w:numId w:val="3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Licensee delists a particular World ex USA IMI ETF or changes the underlying Index for such World ex USA IMI ETF, Licensee’s right to use the relevant Index set forth in Section 1 with respect to such World ex USA IMI ETF shall automatically and immediately terminate.</w:t>
      </w:r>
    </w:p>
    <w:p>
      <w:pPr>
        <w:spacing w:after="0" w:line="84" w:lineRule="exact"/>
        <w:rPr>
          <w:rFonts w:ascii="Times New Roman" w:cs="Times New Roman" w:eastAsia="Times New Roman" w:hAnsi="Times New Roman"/>
          <w:sz w:val="12"/>
          <w:szCs w:val="12"/>
          <w:color w:val="auto"/>
        </w:rPr>
      </w:pPr>
    </w:p>
    <w:p>
      <w:pPr>
        <w:ind w:left="828" w:hanging="414"/>
        <w:spacing w:after="0"/>
        <w:tabs>
          <w:tab w:leader="none" w:pos="828" w:val="left"/>
        </w:tabs>
        <w:numPr>
          <w:ilvl w:val="0"/>
          <w:numId w:val="3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Amendment shall be governed by, and construed in accordance with, the laws of the State of New York without regard to its conflict or choice of laws principles.</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5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ACKNOWLEDGED AND AGREED</w:t>
            </w:r>
          </w:p>
        </w:tc>
        <w:tc>
          <w:tcPr>
            <w:tcW w:w="660" w:type="dxa"/>
            <w:vAlign w:val="bottom"/>
          </w:tcPr>
          <w:p>
            <w:pPr>
              <w:spacing w:after="0"/>
              <w:rPr>
                <w:sz w:val="13"/>
                <w:szCs w:val="13"/>
                <w:color w:val="auto"/>
              </w:rPr>
            </w:pPr>
          </w:p>
        </w:tc>
        <w:tc>
          <w:tcPr>
            <w:tcW w:w="5060" w:type="dxa"/>
            <w:vAlign w:val="bottom"/>
          </w:tcPr>
          <w:p>
            <w:pPr>
              <w:spacing w:after="0"/>
              <w:rPr>
                <w:sz w:val="13"/>
                <w:szCs w:val="13"/>
                <w:color w:val="auto"/>
              </w:rPr>
            </w:pPr>
          </w:p>
        </w:tc>
      </w:tr>
      <w:tr>
        <w:trPr>
          <w:trHeight w:val="297"/>
        </w:trPr>
        <w:tc>
          <w:tcPr>
            <w:tcW w:w="5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LICENSEE: BlackRock Fund Advisors</w:t>
            </w:r>
          </w:p>
        </w:tc>
        <w:tc>
          <w:tcPr>
            <w:tcW w:w="660" w:type="dxa"/>
            <w:vAlign w:val="bottom"/>
          </w:tcPr>
          <w:p>
            <w:pPr>
              <w:spacing w:after="0"/>
              <w:rPr>
                <w:sz w:val="24"/>
                <w:szCs w:val="24"/>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MSCI Inc.</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Diane Lunsey</w:t>
            </w:r>
          </w:p>
        </w:tc>
        <w:tc>
          <w:tcPr>
            <w:tcW w:w="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Alex Gil</w:t>
            </w:r>
          </w:p>
        </w:tc>
      </w:tr>
      <w:tr>
        <w:trPr>
          <w:trHeight w:val="277"/>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Diane Lunsey</w:t>
            </w:r>
          </w:p>
        </w:tc>
        <w:tc>
          <w:tcPr>
            <w:tcW w:w="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Name</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Alex Gil</w:t>
            </w:r>
          </w:p>
        </w:tc>
      </w:tr>
      <w:tr>
        <w:trPr>
          <w:trHeight w:val="277"/>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Managing Director</w:t>
            </w:r>
          </w:p>
        </w:tc>
        <w:tc>
          <w:tcPr>
            <w:tcW w:w="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Title</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Executive Director</w:t>
            </w:r>
          </w:p>
        </w:tc>
      </w:tr>
      <w:tr>
        <w:trPr>
          <w:trHeight w:val="277"/>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12-12-16</w:t>
            </w:r>
          </w:p>
        </w:tc>
        <w:tc>
          <w:tcPr>
            <w:tcW w:w="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Date</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Dec 13, 2016</w:t>
            </w:r>
          </w:p>
        </w:tc>
      </w:tr>
      <w:tr>
        <w:trPr>
          <w:trHeight w:val="583"/>
        </w:trPr>
        <w:tc>
          <w:tcPr>
            <w:tcW w:w="5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2</w:t>
            </w:r>
          </w:p>
        </w:tc>
        <w:tc>
          <w:tcPr>
            <w:tcW w:w="5060" w:type="dxa"/>
            <w:vAlign w:val="bottom"/>
          </w:tcPr>
          <w:p>
            <w:pPr>
              <w:spacing w:after="0"/>
              <w:rPr>
                <w:sz w:val="24"/>
                <w:szCs w:val="24"/>
                <w:color w:val="auto"/>
              </w:rPr>
            </w:pPr>
          </w:p>
        </w:tc>
      </w:tr>
    </w:tbl>
    <w:p>
      <w:pPr>
        <w:sectPr>
          <w:pgSz w:w="11900" w:h="16838" w:orient="portrait"/>
          <w:cols w:equalWidth="0" w:num="1">
            <w:col w:w="11308"/>
          </w:cols>
          <w:pgMar w:left="292" w:top="129" w:right="299" w:bottom="1440" w:gutter="0" w:footer="0" w:header="0"/>
        </w:sectPr>
      </w:pPr>
    </w:p>
    <w:bookmarkStart w:id="265" w:name="page266"/>
    <w:bookmarkEnd w:id="265"/>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Exhibit 10.222</w:t>
      </w:r>
    </w:p>
    <w:p>
      <w:pPr>
        <w:spacing w:after="0" w:line="1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color w:val="auto"/>
        </w:rPr>
        <w:t>AMD_00269258.0</w:t>
      </w:r>
    </w:p>
    <w:p>
      <w:pPr>
        <w:spacing w:after="0" w:line="134" w:lineRule="exact"/>
        <w:rPr>
          <w:sz w:val="20"/>
          <w:szCs w:val="20"/>
          <w:color w:val="auto"/>
        </w:rPr>
      </w:pPr>
    </w:p>
    <w:p>
      <w:pPr>
        <w:jc w:val="both"/>
        <w:ind w:left="8" w:right="20"/>
        <w:spacing w:after="0" w:line="254" w:lineRule="auto"/>
        <w:rPr>
          <w:sz w:val="20"/>
          <w:szCs w:val="20"/>
          <w:color w:val="auto"/>
        </w:rPr>
      </w:pPr>
      <w:r>
        <w:rPr>
          <w:rFonts w:ascii="Times New Roman" w:cs="Times New Roman" w:eastAsia="Times New Roman" w:hAnsi="Times New Roman"/>
          <w:sz w:val="13"/>
          <w:szCs w:val="13"/>
          <w:color w:val="auto"/>
        </w:rPr>
        <w:t>THIS AMENDMENT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dated as of February 3, 2020 (the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is made to the Schedules (as defined below) by and between MSCI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each applicable Schedule, as the case may be.</w:t>
      </w:r>
    </w:p>
    <w:p>
      <w:pPr>
        <w:spacing w:after="0" w:line="89" w:lineRule="exact"/>
        <w:rPr>
          <w:sz w:val="20"/>
          <w:szCs w:val="20"/>
          <w:color w:val="auto"/>
        </w:rPr>
      </w:pPr>
    </w:p>
    <w:p>
      <w:pPr>
        <w:jc w:val="both"/>
        <w:ind w:left="8" w:right="40"/>
        <w:spacing w:after="0" w:line="254" w:lineRule="auto"/>
        <w:rPr>
          <w:sz w:val="20"/>
          <w:szCs w:val="20"/>
          <w:color w:val="auto"/>
        </w:rPr>
      </w:pPr>
      <w:r>
        <w:rPr>
          <w:rFonts w:ascii="Times New Roman" w:cs="Times New Roman" w:eastAsia="Times New Roman" w:hAnsi="Times New Roman"/>
          <w:sz w:val="13"/>
          <w:szCs w:val="13"/>
          <w:color w:val="auto"/>
        </w:rPr>
        <w:t>WHEREAS, MSCI and Licensee entered into (i) the Index License Agreement for Funds (internal MSCI reference number: IXF_00040) dated as of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and (ii) the Schedules or Amendments identified in Attachment 1 hereto (each, a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u w:val="single" w:color="auto"/>
          <w:color w:val="auto"/>
        </w:rPr>
        <w:t>Schedules</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in consideration of the mutual covenants set forth herein, each of MSCI and Licensee hereby agree to amend the Schedules as follows:</w:t>
      </w:r>
    </w:p>
    <w:p>
      <w:pPr>
        <w:spacing w:after="0" w:line="112" w:lineRule="exact"/>
        <w:rPr>
          <w:sz w:val="20"/>
          <w:szCs w:val="20"/>
          <w:color w:val="auto"/>
        </w:rPr>
      </w:pPr>
    </w:p>
    <w:p>
      <w:pPr>
        <w:ind w:left="428" w:right="40" w:hanging="428"/>
        <w:spacing w:after="0" w:line="254" w:lineRule="auto"/>
        <w:tabs>
          <w:tab w:leader="none" w:pos="428" w:val="left"/>
        </w:tabs>
        <w:numPr>
          <w:ilvl w:val="0"/>
          <w:numId w:val="3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Amendment Effective Date, each of the Schedules is hereby amended so that the “original Fund Name” set forth in Attachment 1 hereto shall be deleted and replaced with the “revised Fund Name” set forth in Attachment 1 hereto.</w:t>
      </w:r>
    </w:p>
    <w:p>
      <w:pPr>
        <w:spacing w:after="0" w:line="88" w:lineRule="exact"/>
        <w:rPr>
          <w:rFonts w:ascii="Times New Roman" w:cs="Times New Roman" w:eastAsia="Times New Roman" w:hAnsi="Times New Roman"/>
          <w:sz w:val="13"/>
          <w:szCs w:val="13"/>
          <w:color w:val="auto"/>
        </w:rPr>
      </w:pPr>
    </w:p>
    <w:p>
      <w:pPr>
        <w:jc w:val="both"/>
        <w:ind w:left="428" w:right="20" w:hanging="428"/>
        <w:spacing w:after="0" w:line="243" w:lineRule="auto"/>
        <w:tabs>
          <w:tab w:leader="none" w:pos="428" w:val="left"/>
        </w:tabs>
        <w:numPr>
          <w:ilvl w:val="0"/>
          <w:numId w:val="3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amends and operates in conjunction with each applicable Schedule. This Amendment, each applicable Schedule and the Agreement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any applicable Schedule or the Agreement, the terms of this Amendment shall control.</w:t>
      </w:r>
    </w:p>
    <w:p>
      <w:pPr>
        <w:spacing w:after="0" w:line="9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3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11" w:lineRule="exact"/>
        <w:rPr>
          <w:rFonts w:ascii="Times New Roman" w:cs="Times New Roman" w:eastAsia="Times New Roman" w:hAnsi="Times New Roman"/>
          <w:sz w:val="13"/>
          <w:szCs w:val="13"/>
          <w:color w:val="auto"/>
        </w:rPr>
      </w:pPr>
    </w:p>
    <w:p>
      <w:pPr>
        <w:jc w:val="both"/>
        <w:ind w:left="428" w:right="20" w:hanging="428"/>
        <w:spacing w:after="0" w:line="243" w:lineRule="auto"/>
        <w:tabs>
          <w:tab w:leader="none" w:pos="428" w:val="left"/>
        </w:tabs>
        <w:numPr>
          <w:ilvl w:val="0"/>
          <w:numId w:val="3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counterparts, which taken together, shall constitute one Amendment and each party hereto may execute this Amendment by signing such counterpart; provided 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as of the Amendment Effective Date set forth above.</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MSCI Inc.</w:t>
            </w:r>
          </w:p>
        </w:tc>
        <w:tc>
          <w:tcPr>
            <w:tcW w:w="4940" w:type="dxa"/>
            <w:vAlign w:val="bottom"/>
          </w:tcPr>
          <w:p>
            <w:pPr>
              <w:spacing w:after="0"/>
              <w:rPr>
                <w:sz w:val="14"/>
                <w:szCs w:val="14"/>
                <w:color w:val="auto"/>
              </w:rPr>
            </w:pP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BlackRock Fund Advisors</w:t>
            </w:r>
          </w:p>
        </w:tc>
        <w:tc>
          <w:tcPr>
            <w:tcW w:w="20" w:type="dxa"/>
            <w:vAlign w:val="bottom"/>
          </w:tcPr>
          <w:p>
            <w:pPr>
              <w:spacing w:after="0"/>
              <w:rPr>
                <w:sz w:val="14"/>
                <w:szCs w:val="14"/>
                <w:color w:val="auto"/>
              </w:rPr>
            </w:pPr>
          </w:p>
        </w:tc>
      </w:tr>
      <w:tr>
        <w:trPr>
          <w:trHeight w:val="28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Ruth Weiss</w:t>
            </w:r>
          </w:p>
        </w:tc>
        <w:tc>
          <w:tcPr>
            <w:tcW w:w="20" w:type="dxa"/>
            <w:vAlign w:val="bottom"/>
          </w:tcPr>
          <w:p>
            <w:pPr>
              <w:spacing w:after="0"/>
              <w:rPr>
                <w:sz w:val="24"/>
                <w:szCs w:val="24"/>
                <w:color w:val="auto"/>
              </w:rPr>
            </w:pPr>
          </w:p>
        </w:tc>
      </w:tr>
      <w:tr>
        <w:trPr>
          <w:trHeight w:val="27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c>
          <w:tcPr>
            <w:tcW w:w="20" w:type="dxa"/>
            <w:vAlign w:val="bottom"/>
          </w:tcPr>
          <w:p>
            <w:pPr>
              <w:spacing w:after="0"/>
              <w:rPr>
                <w:sz w:val="24"/>
                <w:szCs w:val="24"/>
                <w:color w:val="auto"/>
              </w:rPr>
            </w:pPr>
          </w:p>
        </w:tc>
      </w:tr>
      <w:tr>
        <w:trPr>
          <w:trHeight w:val="27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c>
          <w:tcPr>
            <w:tcW w:w="20" w:type="dxa"/>
            <w:vAlign w:val="bottom"/>
          </w:tcPr>
          <w:p>
            <w:pPr>
              <w:spacing w:after="0"/>
              <w:rPr>
                <w:sz w:val="24"/>
                <w:szCs w:val="24"/>
                <w:color w:val="auto"/>
              </w:rPr>
            </w:pPr>
          </w:p>
        </w:tc>
      </w:tr>
      <w:tr>
        <w:trPr>
          <w:trHeight w:val="574"/>
        </w:trPr>
        <w:tc>
          <w:tcPr>
            <w:tcW w:w="6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620" w:type="dxa"/>
            <w:vAlign w:val="bottom"/>
            <w:tcBorders>
              <w:bottom w:val="single" w:sz="8" w:color="9A9A9A"/>
            </w:tcBorders>
          </w:tcPr>
          <w:p>
            <w:pPr>
              <w:spacing w:after="0"/>
              <w:rPr>
                <w:sz w:val="6"/>
                <w:szCs w:val="6"/>
                <w:color w:val="auto"/>
              </w:rPr>
            </w:pPr>
          </w:p>
        </w:tc>
        <w:tc>
          <w:tcPr>
            <w:tcW w:w="49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49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120" w:right="27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3"/>
          <w:szCs w:val="13"/>
          <w:color w:val="auto"/>
        </w:rPr>
        <w:t>Attachment 1</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80" w:type="dxa"/>
            <w:vAlign w:val="bottom"/>
            <w:tcBorders>
              <w:top w:val="single" w:sz="8" w:color="auto"/>
              <w:left w:val="single" w:sz="8" w:color="auto"/>
              <w:bottom w:val="single" w:sz="8" w:color="auto"/>
              <w:right w:val="single" w:sz="8" w:color="auto"/>
            </w:tcBorders>
            <w:shd w:val="clear" w:color="auto" w:fill="D6D5DD"/>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Ticker</w:t>
            </w:r>
          </w:p>
        </w:tc>
        <w:tc>
          <w:tcPr>
            <w:tcW w:w="3080" w:type="dxa"/>
            <w:vAlign w:val="bottom"/>
            <w:tcBorders>
              <w:top w:val="single" w:sz="8" w:color="auto"/>
              <w:bottom w:val="single" w:sz="8" w:color="auto"/>
              <w:right w:val="single" w:sz="8" w:color="D6D5DD"/>
            </w:tcBorders>
            <w:shd w:val="clear" w:color="auto" w:fill="D6D5DD"/>
          </w:tcPr>
          <w:p>
            <w:pPr>
              <w:ind w:left="2160"/>
              <w:spacing w:after="0"/>
              <w:rPr>
                <w:sz w:val="20"/>
                <w:szCs w:val="20"/>
                <w:color w:val="auto"/>
              </w:rPr>
            </w:pPr>
            <w:r>
              <w:rPr>
                <w:rFonts w:ascii="Times New Roman" w:cs="Times New Roman" w:eastAsia="Times New Roman" w:hAnsi="Times New Roman"/>
                <w:sz w:val="12"/>
                <w:szCs w:val="12"/>
                <w:b w:val="1"/>
                <w:bCs w:val="1"/>
                <w:color w:val="auto"/>
              </w:rPr>
              <w:t>Schedule</w:t>
            </w:r>
          </w:p>
        </w:tc>
        <w:tc>
          <w:tcPr>
            <w:tcW w:w="1720" w:type="dxa"/>
            <w:vAlign w:val="bottom"/>
            <w:tcBorders>
              <w:top w:val="single" w:sz="8" w:color="auto"/>
              <w:bottom w:val="single" w:sz="8" w:color="auto"/>
              <w:right w:val="single" w:sz="8" w:color="auto"/>
            </w:tcBorders>
            <w:shd w:val="clear" w:color="auto" w:fill="D6D5DD"/>
          </w:tcPr>
          <w:p>
            <w:pPr>
              <w:spacing w:after="0"/>
              <w:rPr>
                <w:sz w:val="17"/>
                <w:szCs w:val="17"/>
                <w:color w:val="auto"/>
              </w:rPr>
            </w:pPr>
          </w:p>
        </w:tc>
        <w:tc>
          <w:tcPr>
            <w:tcW w:w="2520" w:type="dxa"/>
            <w:vAlign w:val="bottom"/>
            <w:tcBorders>
              <w:top w:val="single" w:sz="8" w:color="auto"/>
              <w:bottom w:val="single" w:sz="8" w:color="auto"/>
              <w:right w:val="single" w:sz="8" w:color="auto"/>
            </w:tcBorders>
            <w:shd w:val="clear" w:color="auto" w:fill="D6D5DD"/>
          </w:tcPr>
          <w:p>
            <w:pPr>
              <w:ind w:left="720"/>
              <w:spacing w:after="0"/>
              <w:rPr>
                <w:sz w:val="20"/>
                <w:szCs w:val="20"/>
                <w:color w:val="auto"/>
              </w:rPr>
            </w:pPr>
            <w:r>
              <w:rPr>
                <w:rFonts w:ascii="Times New Roman" w:cs="Times New Roman" w:eastAsia="Times New Roman" w:hAnsi="Times New Roman"/>
                <w:sz w:val="12"/>
                <w:szCs w:val="12"/>
                <w:b w:val="1"/>
                <w:bCs w:val="1"/>
                <w:color w:val="auto"/>
              </w:rPr>
              <w:t>Original Fund Name</w:t>
            </w:r>
          </w:p>
        </w:tc>
        <w:tc>
          <w:tcPr>
            <w:tcW w:w="2600" w:type="dxa"/>
            <w:vAlign w:val="bottom"/>
            <w:tcBorders>
              <w:top w:val="single" w:sz="8" w:color="auto"/>
              <w:bottom w:val="single" w:sz="8" w:color="auto"/>
              <w:right w:val="single" w:sz="8" w:color="auto"/>
            </w:tcBorders>
            <w:shd w:val="clear" w:color="auto" w:fill="D6D5DD"/>
          </w:tcPr>
          <w:p>
            <w:pPr>
              <w:ind w:left="760"/>
              <w:spacing w:after="0"/>
              <w:rPr>
                <w:sz w:val="20"/>
                <w:szCs w:val="20"/>
                <w:color w:val="auto"/>
              </w:rPr>
            </w:pPr>
            <w:r>
              <w:rPr>
                <w:rFonts w:ascii="Times New Roman" w:cs="Times New Roman" w:eastAsia="Times New Roman" w:hAnsi="Times New Roman"/>
                <w:sz w:val="12"/>
                <w:szCs w:val="12"/>
                <w:b w:val="1"/>
                <w:bCs w:val="1"/>
                <w:color w:val="auto"/>
              </w:rPr>
              <w:t>Revised Fund Name</w:t>
            </w:r>
          </w:p>
        </w:tc>
        <w:tc>
          <w:tcPr>
            <w:tcW w:w="0" w:type="dxa"/>
            <w:vAlign w:val="bottom"/>
          </w:tcPr>
          <w:p>
            <w:pPr>
              <w:spacing w:after="0"/>
              <w:rPr>
                <w:sz w:val="1"/>
                <w:szCs w:val="1"/>
                <w:color w:val="auto"/>
              </w:rPr>
            </w:pPr>
          </w:p>
        </w:tc>
      </w:tr>
      <w:tr>
        <w:trPr>
          <w:trHeight w:val="81"/>
        </w:trPr>
        <w:tc>
          <w:tcPr>
            <w:tcW w:w="1380" w:type="dxa"/>
            <w:vAlign w:val="bottom"/>
            <w:tcBorders>
              <w:top w:val="single" w:sz="8" w:color="auto"/>
              <w:left w:val="single" w:sz="8" w:color="auto"/>
              <w:bottom w:val="single" w:sz="8" w:color="auto"/>
              <w:right w:val="single" w:sz="8" w:color="auto"/>
            </w:tcBorders>
            <w:shd w:val="clear" w:color="auto" w:fill="D6D5DD"/>
          </w:tcPr>
          <w:p>
            <w:pPr>
              <w:spacing w:after="0"/>
              <w:rPr>
                <w:sz w:val="7"/>
                <w:szCs w:val="7"/>
                <w:color w:val="auto"/>
              </w:rPr>
            </w:pPr>
          </w:p>
        </w:tc>
        <w:tc>
          <w:tcPr>
            <w:tcW w:w="3080" w:type="dxa"/>
            <w:vAlign w:val="bottom"/>
            <w:tcBorders>
              <w:top w:val="single" w:sz="8" w:color="D6D5DD"/>
              <w:bottom w:val="single" w:sz="8" w:color="auto"/>
              <w:right w:val="single" w:sz="8" w:color="auto"/>
            </w:tcBorders>
            <w:shd w:val="clear" w:color="auto" w:fill="D6D5DD"/>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internal MSCI reference #</w:t>
            </w:r>
          </w:p>
        </w:tc>
        <w:tc>
          <w:tcPr>
            <w:tcW w:w="1720" w:type="dxa"/>
            <w:vAlign w:val="bottom"/>
            <w:tcBorders>
              <w:top w:val="single" w:sz="8" w:color="D6D5DD"/>
              <w:bottom w:val="single" w:sz="8" w:color="auto"/>
              <w:right w:val="single" w:sz="8" w:color="auto"/>
            </w:tcBorders>
            <w:shd w:val="clear" w:color="auto" w:fill="D6D5DD"/>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Date of Schedule</w:t>
            </w:r>
          </w:p>
        </w:tc>
        <w:tc>
          <w:tcPr>
            <w:tcW w:w="2520" w:type="dxa"/>
            <w:vAlign w:val="bottom"/>
            <w:tcBorders>
              <w:top w:val="single" w:sz="8" w:color="auto"/>
              <w:bottom w:val="single" w:sz="8" w:color="auto"/>
              <w:right w:val="single" w:sz="8" w:color="auto"/>
            </w:tcBorders>
            <w:shd w:val="clear" w:color="auto" w:fill="D6D5DD"/>
          </w:tcPr>
          <w:p>
            <w:pPr>
              <w:spacing w:after="0"/>
              <w:rPr>
                <w:sz w:val="7"/>
                <w:szCs w:val="7"/>
                <w:color w:val="auto"/>
              </w:rPr>
            </w:pPr>
          </w:p>
        </w:tc>
        <w:tc>
          <w:tcPr>
            <w:tcW w:w="2600" w:type="dxa"/>
            <w:vAlign w:val="bottom"/>
            <w:tcBorders>
              <w:top w:val="single" w:sz="8" w:color="auto"/>
              <w:bottom w:val="single" w:sz="8" w:color="auto"/>
              <w:right w:val="single" w:sz="8" w:color="auto"/>
            </w:tcBorders>
            <w:shd w:val="clear" w:color="auto" w:fill="D6D5DD"/>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MTUM</w:t>
            </w:r>
          </w:p>
        </w:tc>
        <w:tc>
          <w:tcPr>
            <w:tcW w:w="30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iShares Edge MSCI USA</w:t>
            </w:r>
          </w:p>
        </w:tc>
        <w:tc>
          <w:tcPr>
            <w:tcW w:w="2600" w:type="dxa"/>
            <w:vAlign w:val="bottom"/>
            <w:tcBorders>
              <w:right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iShares MSCI USA</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AMD_00090437.0)</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Momentum Factor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Momentum Factor ETF</w:t>
            </w: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QUAL</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 USA</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USA Quality</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AMD_00090437.0)</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Quality Factor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Factor ETF</w:t>
            </w: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VLUE</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 USA</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USA Value</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AMD_00090437.0)</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Value Factor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Factor ETF</w:t>
            </w: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4"/>
              </w:rPr>
              <w:t>SIZE</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AMD_00226209.0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rPr>
              <w:t>10</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Sep</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18</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 USA</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USA Size</w:t>
            </w:r>
          </w:p>
        </w:tc>
        <w:tc>
          <w:tcPr>
            <w:tcW w:w="0" w:type="dxa"/>
            <w:vAlign w:val="bottom"/>
          </w:tcPr>
          <w:p>
            <w:pPr>
              <w:spacing w:after="0"/>
              <w:rPr>
                <w:sz w:val="1"/>
                <w:szCs w:val="1"/>
                <w:color w:val="auto"/>
              </w:rPr>
            </w:pPr>
          </w:p>
        </w:tc>
      </w:tr>
      <w:tr>
        <w:trPr>
          <w:trHeight w:val="144"/>
        </w:trPr>
        <w:tc>
          <w:tcPr>
            <w:tcW w:w="13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AMD_00191087.0,</w:t>
            </w:r>
          </w:p>
        </w:tc>
        <w:tc>
          <w:tcPr>
            <w:tcW w:w="1720" w:type="dxa"/>
            <w:vAlign w:val="bottom"/>
            <w:tcBorders>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Size Factor ETF</w:t>
            </w:r>
          </w:p>
        </w:tc>
        <w:tc>
          <w:tcPr>
            <w:tcW w:w="2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Factor ETF</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7C7B7F"/>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AMD_00090437.0)</w:t>
            </w:r>
          </w:p>
        </w:tc>
        <w:tc>
          <w:tcPr>
            <w:tcW w:w="172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1380" w:type="dxa"/>
            <w:vAlign w:val="bottom"/>
            <w:tcBorders>
              <w:left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rPr>
              <w:t>IMTM</w:t>
            </w:r>
          </w:p>
        </w:tc>
        <w:tc>
          <w:tcPr>
            <w:tcW w:w="308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Edge MSCI Intl</w:t>
            </w:r>
          </w:p>
        </w:tc>
        <w:tc>
          <w:tcPr>
            <w:tcW w:w="260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MSCI Intl</w:t>
            </w:r>
          </w:p>
        </w:tc>
        <w:tc>
          <w:tcPr>
            <w:tcW w:w="0" w:type="dxa"/>
            <w:vAlign w:val="bottom"/>
          </w:tcPr>
          <w:p>
            <w:pPr>
              <w:spacing w:after="0"/>
              <w:rPr>
                <w:sz w:val="1"/>
                <w:szCs w:val="1"/>
                <w:color w:val="auto"/>
              </w:rPr>
            </w:pPr>
          </w:p>
        </w:tc>
      </w:tr>
      <w:tr>
        <w:trPr>
          <w:trHeight w:val="171"/>
        </w:trPr>
        <w:tc>
          <w:tcPr>
            <w:tcW w:w="1380" w:type="dxa"/>
            <w:vAlign w:val="bottom"/>
            <w:tcBorders>
              <w:left w:val="single" w:sz="8" w:color="auto"/>
              <w:bottom w:val="single" w:sz="8" w:color="7C7B7F"/>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AMD_00136364.0)</w:t>
            </w:r>
          </w:p>
        </w:tc>
        <w:tc>
          <w:tcPr>
            <w:tcW w:w="172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Momentum Factor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Momentum Factor ETF</w:t>
            </w:r>
          </w:p>
        </w:tc>
        <w:tc>
          <w:tcPr>
            <w:tcW w:w="0" w:type="dxa"/>
            <w:vAlign w:val="bottom"/>
          </w:tcPr>
          <w:p>
            <w:pPr>
              <w:spacing w:after="0"/>
              <w:rPr>
                <w:sz w:val="1"/>
                <w:szCs w:val="1"/>
                <w:color w:val="auto"/>
              </w:rPr>
            </w:pPr>
          </w:p>
        </w:tc>
      </w:tr>
      <w:tr>
        <w:trPr>
          <w:trHeight w:val="97"/>
        </w:trPr>
        <w:tc>
          <w:tcPr>
            <w:tcW w:w="1380" w:type="dxa"/>
            <w:vAlign w:val="bottom"/>
            <w:tcBorders>
              <w:left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4"/>
              </w:rPr>
              <w:t>ISZE</w:t>
            </w:r>
          </w:p>
        </w:tc>
        <w:tc>
          <w:tcPr>
            <w:tcW w:w="308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AMD_00249050.0</w:t>
            </w:r>
          </w:p>
        </w:tc>
        <w:tc>
          <w:tcPr>
            <w:tcW w:w="172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rPr>
              <w:t>10</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Sep</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18</w:t>
            </w:r>
          </w:p>
        </w:tc>
        <w:tc>
          <w:tcPr>
            <w:tcW w:w="252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Edge MSCI Intl</w:t>
            </w:r>
          </w:p>
        </w:tc>
        <w:tc>
          <w:tcPr>
            <w:tcW w:w="260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MSCI Intl Size</w:t>
            </w:r>
          </w:p>
        </w:tc>
        <w:tc>
          <w:tcPr>
            <w:tcW w:w="0" w:type="dxa"/>
            <w:vAlign w:val="bottom"/>
          </w:tcPr>
          <w:p>
            <w:pPr>
              <w:spacing w:after="0"/>
              <w:rPr>
                <w:sz w:val="1"/>
                <w:szCs w:val="1"/>
                <w:color w:val="auto"/>
              </w:rPr>
            </w:pPr>
          </w:p>
        </w:tc>
      </w:tr>
      <w:tr>
        <w:trPr>
          <w:trHeight w:val="144"/>
        </w:trPr>
        <w:tc>
          <w:tcPr>
            <w:tcW w:w="13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AMD_00226208.0,</w:t>
            </w:r>
          </w:p>
        </w:tc>
        <w:tc>
          <w:tcPr>
            <w:tcW w:w="1720" w:type="dxa"/>
            <w:vAlign w:val="bottom"/>
            <w:tcBorders>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Size Factor ETF</w:t>
            </w:r>
          </w:p>
        </w:tc>
        <w:tc>
          <w:tcPr>
            <w:tcW w:w="2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Factor ETF</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AMD_00191087.0,</w:t>
            </w:r>
          </w:p>
        </w:tc>
        <w:tc>
          <w:tcPr>
            <w:tcW w:w="1720" w:type="dxa"/>
            <w:vAlign w:val="bottom"/>
            <w:tcBorders>
              <w:right w:val="single" w:sz="8" w:color="auto"/>
            </w:tcBorders>
          </w:tcPr>
          <w:p>
            <w:pPr>
              <w:spacing w:after="0"/>
              <w:rPr>
                <w:sz w:val="11"/>
                <w:szCs w:val="11"/>
                <w:color w:val="auto"/>
              </w:rPr>
            </w:pPr>
          </w:p>
        </w:tc>
        <w:tc>
          <w:tcPr>
            <w:tcW w:w="252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7C7B7F"/>
              <w:right w:val="single" w:sz="8" w:color="auto"/>
            </w:tcBorders>
          </w:tcPr>
          <w:p>
            <w:pPr>
              <w:spacing w:after="0"/>
              <w:rPr>
                <w:sz w:val="12"/>
                <w:szCs w:val="12"/>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AMD_00163614.0)</w:t>
            </w:r>
          </w:p>
        </w:tc>
        <w:tc>
          <w:tcPr>
            <w:tcW w:w="172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IVLU</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 Intl Value Factor ETF</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Intl Value</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AMD_00163614.0)</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Factor ETF</w:t>
            </w: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IQLT</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 Intl</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Intl Quality</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AMD_00136364.0)</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Quality Factor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Factor ETF</w:t>
            </w: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EUMV</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 Min</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Europe Min</w:t>
            </w:r>
          </w:p>
        </w:tc>
        <w:tc>
          <w:tcPr>
            <w:tcW w:w="0" w:type="dxa"/>
            <w:vAlign w:val="bottom"/>
          </w:tcPr>
          <w:p>
            <w:pPr>
              <w:spacing w:after="0"/>
              <w:rPr>
                <w:sz w:val="1"/>
                <w:szCs w:val="1"/>
                <w:color w:val="auto"/>
              </w:rPr>
            </w:pPr>
          </w:p>
        </w:tc>
      </w:tr>
      <w:tr>
        <w:trPr>
          <w:trHeight w:val="171"/>
        </w:trPr>
        <w:tc>
          <w:tcPr>
            <w:tcW w:w="1380" w:type="dxa"/>
            <w:vAlign w:val="bottom"/>
            <w:tcBorders>
              <w:left w:val="single" w:sz="8" w:color="auto"/>
              <w:bottom w:val="single" w:sz="8" w:color="7C7B7F"/>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AMD_00119881.0)</w:t>
            </w:r>
          </w:p>
        </w:tc>
        <w:tc>
          <w:tcPr>
            <w:tcW w:w="172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Vol Europe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Vol Factor ETF</w:t>
            </w:r>
          </w:p>
        </w:tc>
        <w:tc>
          <w:tcPr>
            <w:tcW w:w="0" w:type="dxa"/>
            <w:vAlign w:val="bottom"/>
          </w:tcPr>
          <w:p>
            <w:pPr>
              <w:spacing w:after="0"/>
              <w:rPr>
                <w:sz w:val="1"/>
                <w:szCs w:val="1"/>
                <w:color w:val="auto"/>
              </w:rPr>
            </w:pPr>
          </w:p>
        </w:tc>
      </w:tr>
      <w:tr>
        <w:trPr>
          <w:trHeight w:val="97"/>
        </w:trPr>
        <w:tc>
          <w:tcPr>
            <w:tcW w:w="1380" w:type="dxa"/>
            <w:vAlign w:val="bottom"/>
            <w:tcBorders>
              <w:left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0"/>
              </w:rPr>
              <w:t>EFAV</w:t>
            </w:r>
          </w:p>
        </w:tc>
        <w:tc>
          <w:tcPr>
            <w:tcW w:w="308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Edge MSCI Min</w:t>
            </w:r>
          </w:p>
        </w:tc>
        <w:tc>
          <w:tcPr>
            <w:tcW w:w="260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MSCI EAFE Min</w:t>
            </w:r>
          </w:p>
        </w:tc>
        <w:tc>
          <w:tcPr>
            <w:tcW w:w="0" w:type="dxa"/>
            <w:vAlign w:val="bottom"/>
          </w:tcPr>
          <w:p>
            <w:pPr>
              <w:spacing w:after="0"/>
              <w:rPr>
                <w:sz w:val="1"/>
                <w:szCs w:val="1"/>
                <w:color w:val="auto"/>
              </w:rPr>
            </w:pPr>
          </w:p>
        </w:tc>
      </w:tr>
      <w:tr>
        <w:trPr>
          <w:trHeight w:val="171"/>
        </w:trPr>
        <w:tc>
          <w:tcPr>
            <w:tcW w:w="1380" w:type="dxa"/>
            <w:vAlign w:val="bottom"/>
            <w:tcBorders>
              <w:left w:val="single" w:sz="8" w:color="auto"/>
              <w:bottom w:val="single" w:sz="8" w:color="7C7B7F"/>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(previous AMD_00403)</w:t>
            </w:r>
          </w:p>
        </w:tc>
        <w:tc>
          <w:tcPr>
            <w:tcW w:w="172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Vol EAFE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Vol Factor ETF</w:t>
            </w:r>
          </w:p>
        </w:tc>
        <w:tc>
          <w:tcPr>
            <w:tcW w:w="0" w:type="dxa"/>
            <w:vAlign w:val="bottom"/>
          </w:tcPr>
          <w:p>
            <w:pPr>
              <w:spacing w:after="0"/>
              <w:rPr>
                <w:sz w:val="1"/>
                <w:szCs w:val="1"/>
                <w:color w:val="auto"/>
              </w:rPr>
            </w:pPr>
          </w:p>
        </w:tc>
      </w:tr>
      <w:tr>
        <w:trPr>
          <w:trHeight w:val="97"/>
        </w:trPr>
        <w:tc>
          <w:tcPr>
            <w:tcW w:w="1380" w:type="dxa"/>
            <w:vAlign w:val="bottom"/>
            <w:tcBorders>
              <w:left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rPr>
              <w:t>USMV</w:t>
            </w:r>
          </w:p>
        </w:tc>
        <w:tc>
          <w:tcPr>
            <w:tcW w:w="308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Edge MSCI Min</w:t>
            </w:r>
          </w:p>
        </w:tc>
        <w:tc>
          <w:tcPr>
            <w:tcW w:w="260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MSCI USA Min Vol.</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(previous AMD_00403)</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Vol USA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Factor ETF</w:t>
            </w:r>
          </w:p>
        </w:tc>
        <w:tc>
          <w:tcPr>
            <w:tcW w:w="0" w:type="dxa"/>
            <w:vAlign w:val="bottom"/>
          </w:tcPr>
          <w:p>
            <w:pPr>
              <w:spacing w:after="0"/>
              <w:rPr>
                <w:sz w:val="1"/>
                <w:szCs w:val="1"/>
                <w:color w:val="auto"/>
              </w:rPr>
            </w:pPr>
          </w:p>
        </w:tc>
      </w:tr>
      <w:tr>
        <w:trPr>
          <w:trHeight w:val="101"/>
        </w:trPr>
        <w:tc>
          <w:tcPr>
            <w:tcW w:w="1380" w:type="dxa"/>
            <w:vAlign w:val="bottom"/>
            <w:tcBorders>
              <w:left w:val="single" w:sz="8" w:color="auto"/>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SMMV</w:t>
            </w:r>
          </w:p>
        </w:tc>
        <w:tc>
          <w:tcPr>
            <w:tcW w:w="308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8"/>
              </w:rPr>
              <w:t>AMD_00205912.0</w:t>
            </w:r>
          </w:p>
        </w:tc>
        <w:tc>
          <w:tcPr>
            <w:tcW w:w="172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29</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Apr</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16</w:t>
            </w:r>
          </w:p>
        </w:tc>
        <w:tc>
          <w:tcPr>
            <w:tcW w:w="2520" w:type="dxa"/>
            <w:vAlign w:val="bottom"/>
            <w:tcBorders>
              <w:right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iShares Edge MSCI Min</w:t>
            </w:r>
          </w:p>
        </w:tc>
        <w:tc>
          <w:tcPr>
            <w:tcW w:w="2600" w:type="dxa"/>
            <w:vAlign w:val="bottom"/>
            <w:tcBorders>
              <w:right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iShares MSCI USA</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right w:val="single" w:sz="8" w:color="auto"/>
            </w:tcBorders>
          </w:tcPr>
          <w:p>
            <w:pPr>
              <w:spacing w:after="0"/>
              <w:rPr>
                <w:sz w:val="13"/>
                <w:szCs w:val="13"/>
                <w:color w:val="auto"/>
              </w:rPr>
            </w:pPr>
          </w:p>
        </w:tc>
        <w:tc>
          <w:tcPr>
            <w:tcW w:w="308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1"/>
                <w:szCs w:val="11"/>
                <w:color w:val="auto"/>
              </w:rPr>
              <w:t>Vol USA Small</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Cap ETF</w:t>
            </w:r>
          </w:p>
        </w:tc>
        <w:tc>
          <w:tcPr>
            <w:tcW w:w="260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1"/>
                <w:szCs w:val="11"/>
                <w:color w:val="auto"/>
              </w:rPr>
              <w:t>Small</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Cap Min Vol Factor</w:t>
            </w: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7C7B7F"/>
              <w:right w:val="single" w:sz="8" w:color="auto"/>
            </w:tcBorders>
          </w:tcPr>
          <w:p>
            <w:pPr>
              <w:spacing w:after="0"/>
              <w:rPr>
                <w:sz w:val="12"/>
                <w:szCs w:val="12"/>
                <w:color w:val="auto"/>
              </w:rPr>
            </w:pPr>
          </w:p>
        </w:tc>
        <w:tc>
          <w:tcPr>
            <w:tcW w:w="308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ETF</w:t>
            </w: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JPMV</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 Min</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Japan Min Vol</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AMD_00119881.0)</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Vol Japan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Factor ETF</w:t>
            </w: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rPr>
              <w:t>ACWV</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 Min</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Global Min</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(previous AMD_00403)</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Vol Global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Vol Factor ETF</w:t>
            </w: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EEMV</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 Min</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Emerging</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(previous AMD_00403)</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Vol Emerging Markets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Markets Min Vol Factor ETF</w:t>
            </w:r>
          </w:p>
        </w:tc>
        <w:tc>
          <w:tcPr>
            <w:tcW w:w="0" w:type="dxa"/>
            <w:vAlign w:val="bottom"/>
          </w:tcPr>
          <w:p>
            <w:pPr>
              <w:spacing w:after="0"/>
              <w:rPr>
                <w:sz w:val="1"/>
                <w:szCs w:val="1"/>
                <w:color w:val="auto"/>
              </w:rPr>
            </w:pPr>
          </w:p>
        </w:tc>
      </w:tr>
      <w:tr>
        <w:trPr>
          <w:trHeight w:val="101"/>
        </w:trPr>
        <w:tc>
          <w:tcPr>
            <w:tcW w:w="1380" w:type="dxa"/>
            <w:vAlign w:val="bottom"/>
            <w:tcBorders>
              <w:left w:val="single" w:sz="8" w:color="auto"/>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7"/>
              </w:rPr>
              <w:t>SMLF</w:t>
            </w:r>
          </w:p>
        </w:tc>
        <w:tc>
          <w:tcPr>
            <w:tcW w:w="308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iShares Edge MSCI</w:t>
            </w:r>
          </w:p>
        </w:tc>
        <w:tc>
          <w:tcPr>
            <w:tcW w:w="2600" w:type="dxa"/>
            <w:vAlign w:val="bottom"/>
            <w:tcBorders>
              <w:right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iShares MSCI USA</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right w:val="single" w:sz="8" w:color="auto"/>
            </w:tcBorders>
          </w:tcPr>
          <w:p>
            <w:pPr>
              <w:spacing w:after="0"/>
              <w:rPr>
                <w:sz w:val="13"/>
                <w:szCs w:val="13"/>
                <w:color w:val="auto"/>
              </w:rPr>
            </w:pP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(previous AMD_00156266.0)</w:t>
            </w:r>
          </w:p>
        </w:tc>
        <w:tc>
          <w:tcPr>
            <w:tcW w:w="1720" w:type="dxa"/>
            <w:vAlign w:val="bottom"/>
            <w:tcBorders>
              <w:right w:val="single" w:sz="8" w:color="auto"/>
            </w:tcBorders>
          </w:tcPr>
          <w:p>
            <w:pPr>
              <w:spacing w:after="0"/>
              <w:rPr>
                <w:sz w:val="13"/>
                <w:szCs w:val="13"/>
                <w:color w:val="auto"/>
              </w:rPr>
            </w:pPr>
          </w:p>
        </w:tc>
        <w:tc>
          <w:tcPr>
            <w:tcW w:w="2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1"/>
                <w:szCs w:val="11"/>
                <w:color w:val="auto"/>
              </w:rPr>
              <w:t>Multifactor USA Small</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Cap</w:t>
            </w:r>
          </w:p>
        </w:tc>
        <w:tc>
          <w:tcPr>
            <w:tcW w:w="260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1"/>
                <w:szCs w:val="11"/>
                <w:color w:val="auto"/>
              </w:rPr>
              <w:t>Small</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Cap Multifactor ETF</w:t>
            </w:r>
          </w:p>
        </w:tc>
        <w:tc>
          <w:tcPr>
            <w:tcW w:w="0" w:type="dxa"/>
            <w:vAlign w:val="bottom"/>
          </w:tcPr>
          <w:p>
            <w:pPr>
              <w:spacing w:after="0"/>
              <w:rPr>
                <w:sz w:val="1"/>
                <w:szCs w:val="1"/>
                <w:color w:val="auto"/>
              </w:rPr>
            </w:pPr>
          </w:p>
        </w:tc>
      </w:tr>
      <w:tr>
        <w:trPr>
          <w:trHeight w:val="77"/>
        </w:trPr>
        <w:tc>
          <w:tcPr>
            <w:tcW w:w="1380" w:type="dxa"/>
            <w:vAlign w:val="bottom"/>
            <w:tcBorders>
              <w:left w:val="single" w:sz="8" w:color="auto"/>
              <w:right w:val="single" w:sz="8" w:color="auto"/>
            </w:tcBorders>
          </w:tcPr>
          <w:p>
            <w:pPr>
              <w:spacing w:after="0"/>
              <w:rPr>
                <w:sz w:val="6"/>
                <w:szCs w:val="6"/>
                <w:color w:val="auto"/>
              </w:rPr>
            </w:pPr>
          </w:p>
        </w:tc>
        <w:tc>
          <w:tcPr>
            <w:tcW w:w="308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2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1"/>
                <w:szCs w:val="11"/>
                <w:color w:val="auto"/>
              </w:rPr>
              <w:t>ETF</w:t>
            </w:r>
          </w:p>
        </w:tc>
        <w:tc>
          <w:tcPr>
            <w:tcW w:w="2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380" w:type="dxa"/>
            <w:vAlign w:val="bottom"/>
            <w:tcBorders>
              <w:left w:val="single" w:sz="8" w:color="auto"/>
              <w:bottom w:val="single" w:sz="8" w:color="7C7B7F"/>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vMerge w:val="continue"/>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380" w:type="dxa"/>
            <w:vAlign w:val="bottom"/>
            <w:tcBorders>
              <w:left w:val="single" w:sz="8" w:color="auto"/>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4"/>
              </w:rPr>
              <w:t>MIDF</w:t>
            </w:r>
          </w:p>
        </w:tc>
        <w:tc>
          <w:tcPr>
            <w:tcW w:w="308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8"/>
              </w:rPr>
              <w:t>AMD_00254829.0</w:t>
            </w:r>
          </w:p>
        </w:tc>
        <w:tc>
          <w:tcPr>
            <w:tcW w:w="172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6"/>
              </w:rPr>
              <w:t>31</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Jan</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19</w:t>
            </w:r>
          </w:p>
        </w:tc>
        <w:tc>
          <w:tcPr>
            <w:tcW w:w="2520" w:type="dxa"/>
            <w:vAlign w:val="bottom"/>
            <w:tcBorders>
              <w:right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iShares Edge MSCI</w:t>
            </w:r>
          </w:p>
        </w:tc>
        <w:tc>
          <w:tcPr>
            <w:tcW w:w="2600" w:type="dxa"/>
            <w:vAlign w:val="bottom"/>
            <w:tcBorders>
              <w:right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iShares MSCI USA Mid</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Cap</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right w:val="single" w:sz="8" w:color="auto"/>
            </w:tcBorders>
          </w:tcPr>
          <w:p>
            <w:pPr>
              <w:spacing w:after="0"/>
              <w:rPr>
                <w:sz w:val="13"/>
                <w:szCs w:val="13"/>
                <w:color w:val="auto"/>
              </w:rPr>
            </w:pPr>
          </w:p>
        </w:tc>
        <w:tc>
          <w:tcPr>
            <w:tcW w:w="308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1"/>
                <w:szCs w:val="11"/>
                <w:color w:val="auto"/>
              </w:rPr>
              <w:t>Multifactor USA Mid</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Cap</w:t>
            </w:r>
          </w:p>
        </w:tc>
        <w:tc>
          <w:tcPr>
            <w:tcW w:w="2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Multifactor ETF</w:t>
            </w: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7C7B7F"/>
              <w:right w:val="single" w:sz="8" w:color="auto"/>
            </w:tcBorders>
          </w:tcPr>
          <w:p>
            <w:pPr>
              <w:spacing w:after="0"/>
              <w:rPr>
                <w:sz w:val="12"/>
                <w:szCs w:val="12"/>
                <w:color w:val="auto"/>
              </w:rPr>
            </w:pPr>
          </w:p>
        </w:tc>
        <w:tc>
          <w:tcPr>
            <w:tcW w:w="308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ETF</w:t>
            </w:r>
          </w:p>
        </w:tc>
        <w:tc>
          <w:tcPr>
            <w:tcW w:w="26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LRGF</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USA</w:t>
            </w:r>
          </w:p>
        </w:tc>
        <w:tc>
          <w:tcPr>
            <w:tcW w:w="0" w:type="dxa"/>
            <w:vAlign w:val="bottom"/>
          </w:tcPr>
          <w:p>
            <w:pPr>
              <w:spacing w:after="0"/>
              <w:rPr>
                <w:sz w:val="1"/>
                <w:szCs w:val="1"/>
                <w:color w:val="auto"/>
              </w:rPr>
            </w:pPr>
          </w:p>
        </w:tc>
      </w:tr>
      <w:tr>
        <w:trPr>
          <w:trHeight w:val="171"/>
        </w:trPr>
        <w:tc>
          <w:tcPr>
            <w:tcW w:w="1380" w:type="dxa"/>
            <w:vAlign w:val="bottom"/>
            <w:tcBorders>
              <w:left w:val="single" w:sz="8" w:color="auto"/>
              <w:bottom w:val="single" w:sz="8" w:color="7C7B7F"/>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AMD_00156266.0)</w:t>
            </w:r>
          </w:p>
        </w:tc>
        <w:tc>
          <w:tcPr>
            <w:tcW w:w="172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Multifactor USA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Multifactor ETF</w:t>
            </w:r>
          </w:p>
        </w:tc>
        <w:tc>
          <w:tcPr>
            <w:tcW w:w="0" w:type="dxa"/>
            <w:vAlign w:val="bottom"/>
          </w:tcPr>
          <w:p>
            <w:pPr>
              <w:spacing w:after="0"/>
              <w:rPr>
                <w:sz w:val="1"/>
                <w:szCs w:val="1"/>
                <w:color w:val="auto"/>
              </w:rPr>
            </w:pPr>
          </w:p>
        </w:tc>
      </w:tr>
      <w:tr>
        <w:trPr>
          <w:trHeight w:val="97"/>
        </w:trPr>
        <w:tc>
          <w:tcPr>
            <w:tcW w:w="1380" w:type="dxa"/>
            <w:vAlign w:val="bottom"/>
            <w:tcBorders>
              <w:left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rPr>
              <w:t>ACWF</w:t>
            </w:r>
          </w:p>
        </w:tc>
        <w:tc>
          <w:tcPr>
            <w:tcW w:w="308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Edge MSCI</w:t>
            </w:r>
          </w:p>
        </w:tc>
        <w:tc>
          <w:tcPr>
            <w:tcW w:w="260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MSCI Global</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bottom w:val="single" w:sz="8" w:color="7C7B7F"/>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AMD_00151505.0)</w:t>
            </w:r>
          </w:p>
        </w:tc>
        <w:tc>
          <w:tcPr>
            <w:tcW w:w="17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Multifactor Global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Multifactor ETF</w:t>
            </w:r>
          </w:p>
        </w:tc>
        <w:tc>
          <w:tcPr>
            <w:tcW w:w="0" w:type="dxa"/>
            <w:vAlign w:val="bottom"/>
          </w:tcPr>
          <w:p>
            <w:pPr>
              <w:spacing w:after="0"/>
              <w:rPr>
                <w:sz w:val="1"/>
                <w:szCs w:val="1"/>
                <w:color w:val="auto"/>
              </w:rPr>
            </w:pPr>
          </w:p>
        </w:tc>
      </w:tr>
      <w:tr>
        <w:trPr>
          <w:trHeight w:val="101"/>
        </w:trPr>
        <w:tc>
          <w:tcPr>
            <w:tcW w:w="1380" w:type="dxa"/>
            <w:vAlign w:val="bottom"/>
            <w:tcBorders>
              <w:left w:val="single" w:sz="8" w:color="auto"/>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4"/>
              </w:rPr>
              <w:t>ISCF</w:t>
            </w:r>
          </w:p>
        </w:tc>
        <w:tc>
          <w:tcPr>
            <w:tcW w:w="308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iShares Edge MSCI</w:t>
            </w:r>
          </w:p>
        </w:tc>
        <w:tc>
          <w:tcPr>
            <w:tcW w:w="2600" w:type="dxa"/>
            <w:vAlign w:val="bottom"/>
            <w:tcBorders>
              <w:right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iShares MSCI Intl Small</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Cap</w:t>
            </w: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right w:val="single" w:sz="8" w:color="auto"/>
            </w:tcBorders>
          </w:tcPr>
          <w:p>
            <w:pPr>
              <w:spacing w:after="0"/>
              <w:rPr>
                <w:sz w:val="13"/>
                <w:szCs w:val="13"/>
                <w:color w:val="auto"/>
              </w:rPr>
            </w:pP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(previous AMD_00151505.0)</w:t>
            </w:r>
          </w:p>
        </w:tc>
        <w:tc>
          <w:tcPr>
            <w:tcW w:w="1720" w:type="dxa"/>
            <w:vAlign w:val="bottom"/>
            <w:tcBorders>
              <w:right w:val="single" w:sz="8" w:color="auto"/>
            </w:tcBorders>
          </w:tcPr>
          <w:p>
            <w:pPr>
              <w:spacing w:after="0"/>
              <w:rPr>
                <w:sz w:val="13"/>
                <w:szCs w:val="13"/>
                <w:color w:val="auto"/>
              </w:rPr>
            </w:pPr>
          </w:p>
        </w:tc>
        <w:tc>
          <w:tcPr>
            <w:tcW w:w="2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1"/>
                <w:szCs w:val="11"/>
                <w:color w:val="auto"/>
              </w:rPr>
              <w:t>Multifactor Intl Small</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Cap</w:t>
            </w:r>
          </w:p>
        </w:tc>
        <w:tc>
          <w:tcPr>
            <w:tcW w:w="2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Multifactor ETF</w:t>
            </w:r>
          </w:p>
        </w:tc>
        <w:tc>
          <w:tcPr>
            <w:tcW w:w="0" w:type="dxa"/>
            <w:vAlign w:val="bottom"/>
          </w:tcPr>
          <w:p>
            <w:pPr>
              <w:spacing w:after="0"/>
              <w:rPr>
                <w:sz w:val="1"/>
                <w:szCs w:val="1"/>
                <w:color w:val="auto"/>
              </w:rPr>
            </w:pPr>
          </w:p>
        </w:tc>
      </w:tr>
      <w:tr>
        <w:trPr>
          <w:trHeight w:val="77"/>
        </w:trPr>
        <w:tc>
          <w:tcPr>
            <w:tcW w:w="1380" w:type="dxa"/>
            <w:vAlign w:val="bottom"/>
            <w:tcBorders>
              <w:left w:val="single" w:sz="8" w:color="auto"/>
              <w:right w:val="single" w:sz="8" w:color="auto"/>
            </w:tcBorders>
          </w:tcPr>
          <w:p>
            <w:pPr>
              <w:spacing w:after="0"/>
              <w:rPr>
                <w:sz w:val="6"/>
                <w:szCs w:val="6"/>
                <w:color w:val="auto"/>
              </w:rPr>
            </w:pPr>
          </w:p>
        </w:tc>
        <w:tc>
          <w:tcPr>
            <w:tcW w:w="308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2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1"/>
                <w:szCs w:val="11"/>
                <w:color w:val="auto"/>
              </w:rPr>
              <w:t>ETF</w:t>
            </w:r>
          </w:p>
        </w:tc>
        <w:tc>
          <w:tcPr>
            <w:tcW w:w="2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380" w:type="dxa"/>
            <w:vAlign w:val="bottom"/>
            <w:tcBorders>
              <w:left w:val="single" w:sz="8" w:color="auto"/>
              <w:bottom w:val="single" w:sz="8" w:color="7C7B7F"/>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vMerge w:val="continue"/>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INTF</w:t>
            </w:r>
          </w:p>
        </w:tc>
        <w:tc>
          <w:tcPr>
            <w:tcW w:w="30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Edge MSCI</w:t>
            </w:r>
          </w:p>
        </w:tc>
        <w:tc>
          <w:tcPr>
            <w:tcW w:w="260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iShares MSCI Intl</w:t>
            </w:r>
          </w:p>
        </w:tc>
        <w:tc>
          <w:tcPr>
            <w:tcW w:w="0" w:type="dxa"/>
            <w:vAlign w:val="bottom"/>
          </w:tcPr>
          <w:p>
            <w:pPr>
              <w:spacing w:after="0"/>
              <w:rPr>
                <w:sz w:val="1"/>
                <w:szCs w:val="1"/>
                <w:color w:val="auto"/>
              </w:rPr>
            </w:pPr>
          </w:p>
        </w:tc>
      </w:tr>
      <w:tr>
        <w:trPr>
          <w:trHeight w:val="171"/>
        </w:trPr>
        <w:tc>
          <w:tcPr>
            <w:tcW w:w="1380" w:type="dxa"/>
            <w:vAlign w:val="bottom"/>
            <w:tcBorders>
              <w:left w:val="single" w:sz="8" w:color="auto"/>
              <w:bottom w:val="single" w:sz="8" w:color="7C7B7F"/>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AMD_00151505.0)</w:t>
            </w:r>
          </w:p>
        </w:tc>
        <w:tc>
          <w:tcPr>
            <w:tcW w:w="172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Multifactor Intl ETF</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Multifactor ETF</w:t>
            </w:r>
          </w:p>
        </w:tc>
        <w:tc>
          <w:tcPr>
            <w:tcW w:w="0" w:type="dxa"/>
            <w:vAlign w:val="bottom"/>
          </w:tcPr>
          <w:p>
            <w:pPr>
              <w:spacing w:after="0"/>
              <w:rPr>
                <w:sz w:val="1"/>
                <w:szCs w:val="1"/>
                <w:color w:val="auto"/>
              </w:rPr>
            </w:pPr>
          </w:p>
        </w:tc>
      </w:tr>
      <w:tr>
        <w:trPr>
          <w:trHeight w:val="97"/>
        </w:trPr>
        <w:tc>
          <w:tcPr>
            <w:tcW w:w="1380" w:type="dxa"/>
            <w:vAlign w:val="bottom"/>
            <w:tcBorders>
              <w:left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EMGF</w:t>
            </w:r>
          </w:p>
        </w:tc>
        <w:tc>
          <w:tcPr>
            <w:tcW w:w="308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AMD_00191087.0</w:t>
            </w:r>
          </w:p>
        </w:tc>
        <w:tc>
          <w:tcPr>
            <w:tcW w:w="172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6"/>
              </w:rPr>
              <w:t>4</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May</w:t>
            </w:r>
            <w:r>
              <w:rPr>
                <w:rFonts w:ascii="MS PGothic" w:cs="MS PGothic" w:eastAsia="MS PGothic" w:hAnsi="MS PGothic"/>
                <w:sz w:val="11"/>
                <w:szCs w:val="11"/>
                <w:color w:val="auto"/>
                <w:w w:val="96"/>
              </w:rPr>
              <w:t>‑</w:t>
            </w:r>
            <w:r>
              <w:rPr>
                <w:rFonts w:ascii="Times New Roman" w:cs="Times New Roman" w:eastAsia="Times New Roman" w:hAnsi="Times New Roman"/>
                <w:sz w:val="11"/>
                <w:szCs w:val="11"/>
                <w:color w:val="auto"/>
                <w:w w:val="96"/>
              </w:rPr>
              <w:t>16</w:t>
            </w:r>
          </w:p>
        </w:tc>
        <w:tc>
          <w:tcPr>
            <w:tcW w:w="252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Edge MSCI</w:t>
            </w:r>
          </w:p>
        </w:tc>
        <w:tc>
          <w:tcPr>
            <w:tcW w:w="2600" w:type="dxa"/>
            <w:vAlign w:val="bottom"/>
            <w:tcBorders>
              <w:right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iShares MSCI Emerging</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(previous AMD_00151505.0)</w:t>
            </w:r>
          </w:p>
        </w:tc>
        <w:tc>
          <w:tcPr>
            <w:tcW w:w="1720" w:type="dxa"/>
            <w:vAlign w:val="bottom"/>
            <w:tcBorders>
              <w:right w:val="single" w:sz="8" w:color="auto"/>
            </w:tcBorders>
          </w:tcPr>
          <w:p>
            <w:pPr>
              <w:spacing w:after="0"/>
              <w:rPr>
                <w:sz w:val="11"/>
                <w:szCs w:val="11"/>
                <w:color w:val="auto"/>
              </w:rPr>
            </w:pPr>
          </w:p>
        </w:tc>
        <w:tc>
          <w:tcPr>
            <w:tcW w:w="2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Multifactor Emerging</w:t>
            </w:r>
          </w:p>
        </w:tc>
        <w:tc>
          <w:tcPr>
            <w:tcW w:w="2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Markets Multifactor ETF</w:t>
            </w: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308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Markets ETF</w:t>
            </w:r>
          </w:p>
        </w:tc>
        <w:tc>
          <w:tcPr>
            <w:tcW w:w="26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80"/>
          </w:cols>
          <w:pgMar w:left="300" w:top="278" w:right="319" w:bottom="1440" w:gutter="0" w:footer="0" w:header="0"/>
        </w:sectPr>
      </w:pPr>
    </w:p>
    <w:bookmarkStart w:id="267" w:name="page268"/>
    <w:bookmarkEnd w:id="267"/>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Exhibit 10.223</w:t>
      </w:r>
    </w:p>
    <w:p>
      <w:pPr>
        <w:spacing w:after="0" w:line="1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color w:val="auto"/>
        </w:rPr>
        <w:t>AMD_00269211.0</w:t>
      </w:r>
    </w:p>
    <w:p>
      <w:pPr>
        <w:spacing w:after="0" w:line="125" w:lineRule="exact"/>
        <w:rPr>
          <w:sz w:val="20"/>
          <w:szCs w:val="20"/>
          <w:color w:val="auto"/>
        </w:rPr>
      </w:pPr>
    </w:p>
    <w:p>
      <w:pPr>
        <w:jc w:val="both"/>
        <w:ind w:left="8" w:right="40"/>
        <w:spacing w:after="0" w:line="254" w:lineRule="auto"/>
        <w:rPr>
          <w:sz w:val="20"/>
          <w:szCs w:val="20"/>
          <w:color w:val="auto"/>
        </w:rPr>
      </w:pPr>
      <w:r>
        <w:rPr>
          <w:rFonts w:ascii="Times New Roman" w:cs="Times New Roman" w:eastAsia="Times New Roman" w:hAnsi="Times New Roman"/>
          <w:sz w:val="13"/>
          <w:szCs w:val="13"/>
          <w:color w:val="auto"/>
        </w:rPr>
        <w:t>THIS AMENDMENT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dated as of February 3, 2020 (the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is made to the Schedules (as defined below) by and between MSCI ESG Research LLC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each applicable Schedule, as the case may be.</w:t>
      </w:r>
    </w:p>
    <w:p>
      <w:pPr>
        <w:spacing w:after="0" w:line="89" w:lineRule="exact"/>
        <w:rPr>
          <w:sz w:val="20"/>
          <w:szCs w:val="20"/>
          <w:color w:val="auto"/>
        </w:rPr>
      </w:pPr>
    </w:p>
    <w:p>
      <w:pPr>
        <w:jc w:val="both"/>
        <w:ind w:left="8" w:right="40"/>
        <w:spacing w:after="0" w:line="254" w:lineRule="auto"/>
        <w:rPr>
          <w:sz w:val="20"/>
          <w:szCs w:val="20"/>
          <w:color w:val="auto"/>
        </w:rPr>
      </w:pPr>
      <w:r>
        <w:rPr>
          <w:rFonts w:ascii="Times New Roman" w:cs="Times New Roman" w:eastAsia="Times New Roman" w:hAnsi="Times New Roman"/>
          <w:sz w:val="13"/>
          <w:szCs w:val="13"/>
          <w:color w:val="auto"/>
        </w:rPr>
        <w:t>WHEREAS, MSCI and Licensee entered into (i) the Index License Agreement for Funds (internal MSCI reference number: IXF_00040) dated as of March 18, 2000 (the “Agreement”) and (ii) the Amendments identified in Attachment 1 hereto (each, a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u w:val="single" w:color="auto"/>
          <w:color w:val="auto"/>
        </w:rPr>
        <w:t>Schedules</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in consideration of the mutual covenants set forth herein, each of MSCI and Licensee hereby agree to amend the Schedules as follows:</w:t>
      </w:r>
    </w:p>
    <w:p>
      <w:pPr>
        <w:spacing w:after="0" w:line="112" w:lineRule="exact"/>
        <w:rPr>
          <w:sz w:val="20"/>
          <w:szCs w:val="20"/>
          <w:color w:val="auto"/>
        </w:rPr>
      </w:pPr>
    </w:p>
    <w:p>
      <w:pPr>
        <w:ind w:left="428" w:right="40" w:hanging="428"/>
        <w:spacing w:after="0" w:line="254" w:lineRule="auto"/>
        <w:tabs>
          <w:tab w:leader="none" w:pos="428" w:val="left"/>
        </w:tabs>
        <w:numPr>
          <w:ilvl w:val="0"/>
          <w:numId w:val="3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Amendment Effective Date, each of the Schedules is hereby amended so that the “original Fund Name” set forth in Attachment 1 hereto shall be deleted and replaced with the “revised Fund Name” set forth in Attachment 1 hereto.</w:t>
      </w:r>
    </w:p>
    <w:p>
      <w:pPr>
        <w:spacing w:after="0" w:line="88" w:lineRule="exact"/>
        <w:rPr>
          <w:rFonts w:ascii="Times New Roman" w:cs="Times New Roman" w:eastAsia="Times New Roman" w:hAnsi="Times New Roman"/>
          <w:sz w:val="13"/>
          <w:szCs w:val="13"/>
          <w:color w:val="auto"/>
        </w:rPr>
      </w:pPr>
    </w:p>
    <w:p>
      <w:pPr>
        <w:jc w:val="both"/>
        <w:ind w:left="428" w:right="20" w:hanging="428"/>
        <w:spacing w:after="0" w:line="243" w:lineRule="auto"/>
        <w:tabs>
          <w:tab w:leader="none" w:pos="428" w:val="left"/>
        </w:tabs>
        <w:numPr>
          <w:ilvl w:val="0"/>
          <w:numId w:val="3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amends and operates in conjunction with each applicable Schedule. This Amendment, each applicable Schedule and the Agreement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any applicable Schedule or the Agreement, the terms of this Amendment shall control.</w:t>
      </w:r>
    </w:p>
    <w:p>
      <w:pPr>
        <w:spacing w:after="0" w:line="9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3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11" w:lineRule="exact"/>
        <w:rPr>
          <w:rFonts w:ascii="Times New Roman" w:cs="Times New Roman" w:eastAsia="Times New Roman" w:hAnsi="Times New Roman"/>
          <w:sz w:val="13"/>
          <w:szCs w:val="13"/>
          <w:color w:val="auto"/>
        </w:rPr>
      </w:pPr>
    </w:p>
    <w:p>
      <w:pPr>
        <w:jc w:val="both"/>
        <w:ind w:left="428" w:right="20" w:hanging="428"/>
        <w:spacing w:after="0" w:line="243" w:lineRule="auto"/>
        <w:tabs>
          <w:tab w:leader="none" w:pos="428" w:val="left"/>
        </w:tabs>
        <w:numPr>
          <w:ilvl w:val="0"/>
          <w:numId w:val="3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counterparts, which taken together, shall constitute one Amendment and each party hereto may execute this Amendment by signing such counterpart; provided 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as of the Amendment Effective Date set forth above.</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MSCI ESG Research LLC</w:t>
            </w:r>
          </w:p>
        </w:tc>
        <w:tc>
          <w:tcPr>
            <w:tcW w:w="610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BlackRock Fund Advisors</w:t>
            </w:r>
          </w:p>
        </w:tc>
        <w:tc>
          <w:tcPr>
            <w:tcW w:w="20" w:type="dxa"/>
            <w:vAlign w:val="bottom"/>
          </w:tcPr>
          <w:p>
            <w:pPr>
              <w:spacing w:after="0"/>
              <w:rPr>
                <w:sz w:val="14"/>
                <w:szCs w:val="14"/>
                <w:color w:val="auto"/>
              </w:rPr>
            </w:pPr>
          </w:p>
        </w:tc>
      </w:tr>
      <w:tr>
        <w:trPr>
          <w:trHeight w:val="286"/>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15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Ruth Weiss</w:t>
            </w:r>
          </w:p>
        </w:tc>
        <w:tc>
          <w:tcPr>
            <w:tcW w:w="20" w:type="dxa"/>
            <w:vAlign w:val="bottom"/>
          </w:tcPr>
          <w:p>
            <w:pPr>
              <w:spacing w:after="0"/>
              <w:rPr>
                <w:sz w:val="24"/>
                <w:szCs w:val="24"/>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15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Name</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c>
          <w:tcPr>
            <w:tcW w:w="20" w:type="dxa"/>
            <w:vAlign w:val="bottom"/>
          </w:tcPr>
          <w:p>
            <w:pPr>
              <w:spacing w:after="0"/>
              <w:rPr>
                <w:sz w:val="24"/>
                <w:szCs w:val="24"/>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15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Title</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c>
          <w:tcPr>
            <w:tcW w:w="20" w:type="dxa"/>
            <w:vAlign w:val="bottom"/>
          </w:tcPr>
          <w:p>
            <w:pPr>
              <w:spacing w:after="0"/>
              <w:rPr>
                <w:sz w:val="24"/>
                <w:szCs w:val="24"/>
                <w:color w:val="auto"/>
              </w:rPr>
            </w:pPr>
          </w:p>
        </w:tc>
      </w:tr>
      <w:tr>
        <w:trPr>
          <w:trHeight w:val="567"/>
        </w:trPr>
        <w:tc>
          <w:tcPr>
            <w:tcW w:w="6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w:t>
            </w: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680" w:type="dxa"/>
            <w:vAlign w:val="bottom"/>
            <w:tcBorders>
              <w:bottom w:val="single" w:sz="8" w:color="9A9A9A"/>
            </w:tcBorders>
          </w:tcPr>
          <w:p>
            <w:pPr>
              <w:spacing w:after="0"/>
              <w:rPr>
                <w:sz w:val="18"/>
                <w:szCs w:val="18"/>
                <w:color w:val="auto"/>
              </w:rPr>
            </w:pPr>
          </w:p>
        </w:tc>
        <w:tc>
          <w:tcPr>
            <w:tcW w:w="45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45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263" w:right="279" w:bottom="1440" w:gutter="0" w:footer="0" w:header="0"/>
        </w:sectPr>
      </w:pPr>
    </w:p>
    <w:bookmarkStart w:id="268" w:name="page269"/>
    <w:bookmarkEnd w:id="268"/>
    <w:p>
      <w:pPr>
        <w:jc w:val="center"/>
        <w:ind w:right="20"/>
        <w:spacing w:after="0"/>
        <w:rPr>
          <w:sz w:val="20"/>
          <w:szCs w:val="20"/>
          <w:color w:val="auto"/>
        </w:rPr>
      </w:pPr>
      <w:r>
        <w:rPr>
          <w:rFonts w:ascii="Times New Roman" w:cs="Times New Roman" w:eastAsia="Times New Roman" w:hAnsi="Times New Roman"/>
          <w:sz w:val="13"/>
          <w:szCs w:val="13"/>
          <w:color w:val="auto"/>
        </w:rPr>
        <w:t>Attachment 1</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000" w:type="dxa"/>
            <w:vAlign w:val="bottom"/>
            <w:tcBorders>
              <w:top w:val="single" w:sz="8" w:color="auto"/>
              <w:left w:val="single" w:sz="8" w:color="auto"/>
              <w:bottom w:val="single" w:sz="8" w:color="auto"/>
              <w:right w:val="single" w:sz="8" w:color="auto"/>
            </w:tcBorders>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Ticker</w:t>
            </w:r>
          </w:p>
        </w:tc>
        <w:tc>
          <w:tcPr>
            <w:tcW w:w="1780" w:type="dxa"/>
            <w:vAlign w:val="bottom"/>
            <w:tcBorders>
              <w:top w:val="single" w:sz="8" w:color="auto"/>
              <w:bottom w:val="single" w:sz="8" w:color="auto"/>
            </w:tcBorders>
          </w:tcPr>
          <w:p>
            <w:pPr>
              <w:spacing w:after="0"/>
              <w:rPr>
                <w:sz w:val="13"/>
                <w:szCs w:val="13"/>
                <w:color w:val="auto"/>
              </w:rPr>
            </w:pPr>
          </w:p>
        </w:tc>
        <w:tc>
          <w:tcPr>
            <w:tcW w:w="2580" w:type="dxa"/>
            <w:vAlign w:val="bottom"/>
            <w:tcBorders>
              <w:top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Schedule</w:t>
            </w:r>
          </w:p>
        </w:tc>
        <w:tc>
          <w:tcPr>
            <w:tcW w:w="3140" w:type="dxa"/>
            <w:vAlign w:val="bottom"/>
            <w:tcBorders>
              <w:top w:val="single" w:sz="8" w:color="auto"/>
              <w:bottom w:val="single" w:sz="8" w:color="auto"/>
              <w:right w:val="single" w:sz="8" w:color="auto"/>
            </w:tcBorders>
            <w:vMerge w:val="restart"/>
          </w:tcPr>
          <w:p>
            <w:pPr>
              <w:jc w:val="right"/>
              <w:ind w:right="917"/>
              <w:spacing w:after="0"/>
              <w:rPr>
                <w:sz w:val="20"/>
                <w:szCs w:val="20"/>
                <w:color w:val="auto"/>
              </w:rPr>
            </w:pPr>
            <w:r>
              <w:rPr>
                <w:rFonts w:ascii="Times New Roman" w:cs="Times New Roman" w:eastAsia="Times New Roman" w:hAnsi="Times New Roman"/>
                <w:sz w:val="13"/>
                <w:szCs w:val="13"/>
                <w:b w:val="1"/>
                <w:bCs w:val="1"/>
                <w:color w:val="auto"/>
              </w:rPr>
              <w:t>Original Fund Name</w:t>
            </w:r>
          </w:p>
        </w:tc>
        <w:tc>
          <w:tcPr>
            <w:tcW w:w="2800" w:type="dxa"/>
            <w:vAlign w:val="bottom"/>
            <w:tcBorders>
              <w:top w:val="single" w:sz="8" w:color="auto"/>
              <w:bottom w:val="single" w:sz="8" w:color="auto"/>
              <w:right w:val="single" w:sz="8" w:color="auto"/>
            </w:tcBorders>
            <w:vMerge w:val="restart"/>
          </w:tcPr>
          <w:p>
            <w:pPr>
              <w:ind w:left="880"/>
              <w:spacing w:after="0"/>
              <w:rPr>
                <w:sz w:val="20"/>
                <w:szCs w:val="20"/>
                <w:color w:val="auto"/>
              </w:rPr>
            </w:pPr>
            <w:r>
              <w:rPr>
                <w:rFonts w:ascii="Times New Roman" w:cs="Times New Roman" w:eastAsia="Times New Roman" w:hAnsi="Times New Roman"/>
                <w:sz w:val="13"/>
                <w:szCs w:val="13"/>
                <w:b w:val="1"/>
                <w:bCs w:val="1"/>
                <w:color w:val="auto"/>
              </w:rPr>
              <w:t>Revised Fund Name</w:t>
            </w:r>
          </w:p>
        </w:tc>
        <w:tc>
          <w:tcPr>
            <w:tcW w:w="0" w:type="dxa"/>
            <w:vAlign w:val="bottom"/>
          </w:tcPr>
          <w:p>
            <w:pPr>
              <w:spacing w:after="0"/>
              <w:rPr>
                <w:sz w:val="1"/>
                <w:szCs w:val="1"/>
                <w:color w:val="auto"/>
              </w:rPr>
            </w:pPr>
          </w:p>
        </w:tc>
      </w:tr>
      <w:tr>
        <w:trPr>
          <w:trHeight w:val="113"/>
        </w:trPr>
        <w:tc>
          <w:tcPr>
            <w:tcW w:w="1000" w:type="dxa"/>
            <w:vAlign w:val="bottom"/>
            <w:tcBorders>
              <w:left w:val="single" w:sz="8" w:color="auto"/>
              <w:right w:val="single" w:sz="8" w:color="auto"/>
            </w:tcBorders>
            <w:vMerge w:val="continue"/>
          </w:tcPr>
          <w:p>
            <w:pPr>
              <w:spacing w:after="0"/>
              <w:rPr>
                <w:sz w:val="9"/>
                <w:szCs w:val="9"/>
                <w:color w:val="auto"/>
              </w:rPr>
            </w:pPr>
          </w:p>
        </w:tc>
        <w:tc>
          <w:tcPr>
            <w:tcW w:w="1780" w:type="dxa"/>
            <w:vAlign w:val="bottom"/>
          </w:tcPr>
          <w:p>
            <w:pPr>
              <w:jc w:val="center"/>
              <w:ind w:left="517"/>
              <w:spacing w:after="0" w:line="113" w:lineRule="exact"/>
              <w:rPr>
                <w:sz w:val="20"/>
                <w:szCs w:val="20"/>
                <w:color w:val="auto"/>
              </w:rPr>
            </w:pPr>
            <w:r>
              <w:rPr>
                <w:rFonts w:ascii="Times New Roman" w:cs="Times New Roman" w:eastAsia="Times New Roman" w:hAnsi="Times New Roman"/>
                <w:sz w:val="13"/>
                <w:szCs w:val="13"/>
                <w:b w:val="1"/>
                <w:bCs w:val="1"/>
                <w:color w:val="auto"/>
                <w:w w:val="96"/>
              </w:rPr>
              <w:t>Internal MSCI</w:t>
            </w:r>
          </w:p>
        </w:tc>
        <w:tc>
          <w:tcPr>
            <w:tcW w:w="62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314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6"/>
              </w:rPr>
              <w:t>ref. #</w:t>
            </w:r>
          </w:p>
        </w:tc>
        <w:tc>
          <w:tcPr>
            <w:tcW w:w="62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Schedule</w:t>
            </w:r>
          </w:p>
        </w:tc>
        <w:tc>
          <w:tcPr>
            <w:tcW w:w="314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Borders>
              <w:left w:val="single" w:sz="8" w:color="auto"/>
              <w:bottom w:val="single" w:sz="8" w:color="auto"/>
              <w:right w:val="single" w:sz="8" w:color="auto"/>
            </w:tcBorders>
          </w:tcPr>
          <w:p>
            <w:pPr>
              <w:ind w:left="340"/>
              <w:spacing w:after="0" w:line="133" w:lineRule="exact"/>
              <w:rPr>
                <w:sz w:val="20"/>
                <w:szCs w:val="20"/>
                <w:color w:val="auto"/>
              </w:rPr>
            </w:pPr>
            <w:r>
              <w:rPr>
                <w:rFonts w:ascii="Times New Roman" w:cs="Times New Roman" w:eastAsia="Times New Roman" w:hAnsi="Times New Roman"/>
                <w:sz w:val="13"/>
                <w:szCs w:val="13"/>
                <w:color w:val="auto"/>
              </w:rPr>
              <w:t>SUSC</w:t>
            </w:r>
          </w:p>
        </w:tc>
        <w:tc>
          <w:tcPr>
            <w:tcW w:w="1780" w:type="dxa"/>
            <w:vAlign w:val="bottom"/>
            <w:tcBorders>
              <w:bottom w:val="single" w:sz="8" w:color="auto"/>
            </w:tcBorders>
          </w:tcPr>
          <w:p>
            <w:pPr>
              <w:jc w:val="center"/>
              <w:ind w:left="517"/>
              <w:spacing w:after="0" w:line="133" w:lineRule="exact"/>
              <w:rPr>
                <w:sz w:val="20"/>
                <w:szCs w:val="20"/>
                <w:color w:val="auto"/>
              </w:rPr>
            </w:pPr>
            <w:r>
              <w:rPr>
                <w:rFonts w:ascii="Times New Roman" w:cs="Times New Roman" w:eastAsia="Times New Roman" w:hAnsi="Times New Roman"/>
                <w:sz w:val="13"/>
                <w:szCs w:val="13"/>
                <w:color w:val="auto"/>
                <w:w w:val="97"/>
              </w:rPr>
              <w:t>AMD_00219333.0</w:t>
            </w:r>
          </w:p>
        </w:tc>
        <w:tc>
          <w:tcPr>
            <w:tcW w:w="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3"/>
                <w:szCs w:val="13"/>
                <w:color w:val="auto"/>
                <w:w w:val="97"/>
              </w:rPr>
              <w:t>April 6, 2017</w:t>
            </w:r>
          </w:p>
        </w:tc>
        <w:tc>
          <w:tcPr>
            <w:tcW w:w="314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3"/>
                <w:szCs w:val="13"/>
                <w:color w:val="auto"/>
              </w:rPr>
              <w:t>iShares ESG USD Corporate Bond ETF</w:t>
            </w:r>
          </w:p>
        </w:tc>
        <w:tc>
          <w:tcPr>
            <w:tcW w:w="280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3"/>
                <w:szCs w:val="13"/>
                <w:color w:val="auto"/>
              </w:rPr>
              <w:t>iShares ESG Aware USD Corporate Bond ETF</w:t>
            </w:r>
          </w:p>
        </w:tc>
        <w:tc>
          <w:tcPr>
            <w:tcW w:w="0" w:type="dxa"/>
            <w:vAlign w:val="bottom"/>
          </w:tcPr>
          <w:p>
            <w:pPr>
              <w:spacing w:after="0"/>
              <w:rPr>
                <w:sz w:val="1"/>
                <w:szCs w:val="1"/>
                <w:color w:val="auto"/>
              </w:rPr>
            </w:pPr>
          </w:p>
        </w:tc>
      </w:tr>
      <w:tr>
        <w:trPr>
          <w:trHeight w:val="115"/>
        </w:trPr>
        <w:tc>
          <w:tcPr>
            <w:tcW w:w="1000" w:type="dxa"/>
            <w:vAlign w:val="bottom"/>
            <w:tcBorders>
              <w:left w:val="single" w:sz="8" w:color="auto"/>
              <w:right w:val="single" w:sz="8" w:color="auto"/>
            </w:tcBorders>
          </w:tcPr>
          <w:p>
            <w:pPr>
              <w:ind w:left="340"/>
              <w:spacing w:after="0" w:line="115" w:lineRule="exact"/>
              <w:rPr>
                <w:sz w:val="20"/>
                <w:szCs w:val="20"/>
                <w:color w:val="auto"/>
              </w:rPr>
            </w:pPr>
            <w:r>
              <w:rPr>
                <w:rFonts w:ascii="Times New Roman" w:cs="Times New Roman" w:eastAsia="Times New Roman" w:hAnsi="Times New Roman"/>
                <w:sz w:val="13"/>
                <w:szCs w:val="13"/>
                <w:color w:val="auto"/>
              </w:rPr>
              <w:t>SUSB</w:t>
            </w:r>
          </w:p>
        </w:tc>
        <w:tc>
          <w:tcPr>
            <w:tcW w:w="1780" w:type="dxa"/>
            <w:vAlign w:val="bottom"/>
          </w:tcPr>
          <w:p>
            <w:pPr>
              <w:jc w:val="center"/>
              <w:ind w:left="517"/>
              <w:spacing w:after="0" w:line="115" w:lineRule="exact"/>
              <w:rPr>
                <w:sz w:val="20"/>
                <w:szCs w:val="20"/>
                <w:color w:val="auto"/>
              </w:rPr>
            </w:pPr>
            <w:r>
              <w:rPr>
                <w:rFonts w:ascii="Times New Roman" w:cs="Times New Roman" w:eastAsia="Times New Roman" w:hAnsi="Times New Roman"/>
                <w:sz w:val="13"/>
                <w:szCs w:val="13"/>
                <w:color w:val="auto"/>
                <w:w w:val="97"/>
              </w:rPr>
              <w:t>AMD_00219333.0</w:t>
            </w:r>
          </w:p>
        </w:tc>
        <w:tc>
          <w:tcPr>
            <w:tcW w:w="62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w w:val="97"/>
              </w:rPr>
              <w:t>April 6, 2017</w:t>
            </w:r>
          </w:p>
        </w:tc>
        <w:tc>
          <w:tcPr>
            <w:tcW w:w="3140" w:type="dxa"/>
            <w:vAlign w:val="bottom"/>
            <w:tcBorders>
              <w:right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iShares ESG 1-5 Year USD Corporate Bond ETF</w:t>
            </w:r>
          </w:p>
        </w:tc>
        <w:tc>
          <w:tcPr>
            <w:tcW w:w="280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color w:val="auto"/>
                <w:w w:val="99"/>
              </w:rPr>
              <w:t>iShares ESG Aware 1-5 Year USD Corporate Bond</w:t>
            </w: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314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ETF</w:t>
            </w:r>
          </w:p>
        </w:tc>
        <w:tc>
          <w:tcPr>
            <w:tcW w:w="0" w:type="dxa"/>
            <w:vAlign w:val="bottom"/>
          </w:tcPr>
          <w:p>
            <w:pPr>
              <w:spacing w:after="0"/>
              <w:rPr>
                <w:sz w:val="1"/>
                <w:szCs w:val="1"/>
                <w:color w:val="auto"/>
              </w:rPr>
            </w:pPr>
          </w:p>
        </w:tc>
      </w:tr>
      <w:tr>
        <w:trPr>
          <w:trHeight w:val="157"/>
        </w:trPr>
        <w:tc>
          <w:tcPr>
            <w:tcW w:w="100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EAGG</w:t>
            </w:r>
          </w:p>
        </w:tc>
        <w:tc>
          <w:tcPr>
            <w:tcW w:w="178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3"/>
                <w:szCs w:val="13"/>
                <w:color w:val="auto"/>
                <w:w w:val="97"/>
              </w:rPr>
              <w:t>AMD_00241690.0</w:t>
            </w:r>
          </w:p>
        </w:tc>
        <w:tc>
          <w:tcPr>
            <w:tcW w:w="620" w:type="dxa"/>
            <w:vAlign w:val="bottom"/>
            <w:tcBorders>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March 1, 2018</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iShares ESG U.S. Aggregate Bond ETF</w:t>
            </w:r>
          </w:p>
        </w:tc>
        <w:tc>
          <w:tcPr>
            <w:tcW w:w="2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iShares ESG Aware U.S. Aggregate Bond ETF</w:t>
            </w:r>
          </w:p>
        </w:tc>
        <w:tc>
          <w:tcPr>
            <w:tcW w:w="0" w:type="dxa"/>
            <w:vAlign w:val="bottom"/>
          </w:tcPr>
          <w:p>
            <w:pPr>
              <w:spacing w:after="0"/>
              <w:rPr>
                <w:sz w:val="1"/>
                <w:szCs w:val="1"/>
                <w:color w:val="auto"/>
              </w:rPr>
            </w:pPr>
          </w:p>
        </w:tc>
      </w:tr>
      <w:tr>
        <w:trPr>
          <w:trHeight w:val="570"/>
        </w:trPr>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140" w:type="dxa"/>
            <w:vAlign w:val="bottom"/>
          </w:tcPr>
          <w:p>
            <w:pPr>
              <w:jc w:val="right"/>
              <w:ind w:right="2757"/>
              <w:spacing w:after="0"/>
              <w:rPr>
                <w:sz w:val="20"/>
                <w:szCs w:val="20"/>
                <w:color w:val="auto"/>
              </w:rPr>
            </w:pPr>
            <w:r>
              <w:rPr>
                <w:rFonts w:ascii="Times New Roman" w:cs="Times New Roman" w:eastAsia="Times New Roman" w:hAnsi="Times New Roman"/>
                <w:sz w:val="13"/>
                <w:szCs w:val="13"/>
                <w:color w:val="auto"/>
              </w:rPr>
              <w:t>2</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65" w:right="299" w:bottom="1440" w:gutter="0" w:footer="0" w:header="0"/>
        </w:sectPr>
      </w:pPr>
    </w:p>
    <w:bookmarkStart w:id="269" w:name="page270"/>
    <w:bookmarkEnd w:id="269"/>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Exhibit 10.224</w:t>
      </w:r>
    </w:p>
    <w:p>
      <w:pPr>
        <w:spacing w:after="0" w:line="1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color w:val="auto"/>
        </w:rPr>
        <w:t>AMD_00269210.0</w:t>
      </w:r>
    </w:p>
    <w:p>
      <w:pPr>
        <w:spacing w:after="0" w:line="251" w:lineRule="exact"/>
        <w:rPr>
          <w:sz w:val="20"/>
          <w:szCs w:val="20"/>
          <w:color w:val="auto"/>
        </w:rPr>
      </w:pPr>
    </w:p>
    <w:p>
      <w:pPr>
        <w:jc w:val="both"/>
        <w:ind w:left="8" w:right="20"/>
        <w:spacing w:after="0" w:line="254" w:lineRule="auto"/>
        <w:rPr>
          <w:sz w:val="20"/>
          <w:szCs w:val="20"/>
          <w:color w:val="auto"/>
        </w:rPr>
      </w:pPr>
      <w:r>
        <w:rPr>
          <w:rFonts w:ascii="Times New Roman" w:cs="Times New Roman" w:eastAsia="Times New Roman" w:hAnsi="Times New Roman"/>
          <w:sz w:val="13"/>
          <w:szCs w:val="13"/>
          <w:color w:val="auto"/>
        </w:rPr>
        <w:t>THIS AMENDMENT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dated as of March 9, 2020 (the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is made to the Schedules (as defined below) by and between MSCI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each applicable Schedule, as the case may be.</w:t>
      </w:r>
    </w:p>
    <w:p>
      <w:pPr>
        <w:spacing w:after="0" w:line="98" w:lineRule="exact"/>
        <w:rPr>
          <w:sz w:val="20"/>
          <w:szCs w:val="20"/>
          <w:color w:val="auto"/>
        </w:rPr>
      </w:pPr>
    </w:p>
    <w:p>
      <w:pPr>
        <w:jc w:val="both"/>
        <w:ind w:left="8" w:right="40"/>
        <w:spacing w:after="0" w:line="254" w:lineRule="auto"/>
        <w:rPr>
          <w:sz w:val="20"/>
          <w:szCs w:val="20"/>
          <w:color w:val="auto"/>
        </w:rPr>
      </w:pPr>
      <w:r>
        <w:rPr>
          <w:rFonts w:ascii="Times New Roman" w:cs="Times New Roman" w:eastAsia="Times New Roman" w:hAnsi="Times New Roman"/>
          <w:sz w:val="13"/>
          <w:szCs w:val="13"/>
          <w:color w:val="auto"/>
        </w:rPr>
        <w:t>WHEREAS, MSCI and Licensee entered into (i) the Index License Agreement for Funds (internal MSCI reference number: IXF_00040) dated as of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and (ii) the Amendments identified in Attachment 1 hereto (each, a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u w:val="single" w:color="auto"/>
          <w:color w:val="auto"/>
        </w:rPr>
        <w:t>Schedules</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in consideration of the mutual covenants set forth herein, each of MSCI and Licensee hereby agree to amend the Schedules as follows:</w:t>
      </w:r>
    </w:p>
    <w:p>
      <w:pPr>
        <w:spacing w:after="0" w:line="112" w:lineRule="exact"/>
        <w:rPr>
          <w:sz w:val="20"/>
          <w:szCs w:val="20"/>
          <w:color w:val="auto"/>
        </w:rPr>
      </w:pPr>
    </w:p>
    <w:p>
      <w:pPr>
        <w:ind w:left="428" w:right="40" w:hanging="428"/>
        <w:spacing w:after="0" w:line="254" w:lineRule="auto"/>
        <w:tabs>
          <w:tab w:leader="none" w:pos="428" w:val="left"/>
        </w:tabs>
        <w:numPr>
          <w:ilvl w:val="0"/>
          <w:numId w:val="3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Amendment Effective Date, each of the Schedules is hereby amended so that the “original Fund Name” set forth in Attachment 1 hereto shall be deleted and replaced with the “revised Fund Name” set forth in Attachment 1 hereto.</w:t>
      </w:r>
    </w:p>
    <w:p>
      <w:pPr>
        <w:spacing w:after="0" w:line="88" w:lineRule="exact"/>
        <w:rPr>
          <w:rFonts w:ascii="Times New Roman" w:cs="Times New Roman" w:eastAsia="Times New Roman" w:hAnsi="Times New Roman"/>
          <w:sz w:val="13"/>
          <w:szCs w:val="13"/>
          <w:color w:val="auto"/>
        </w:rPr>
      </w:pPr>
    </w:p>
    <w:p>
      <w:pPr>
        <w:jc w:val="both"/>
        <w:ind w:left="428" w:right="20" w:hanging="428"/>
        <w:spacing w:after="0" w:line="243" w:lineRule="auto"/>
        <w:tabs>
          <w:tab w:leader="none" w:pos="428" w:val="left"/>
        </w:tabs>
        <w:numPr>
          <w:ilvl w:val="0"/>
          <w:numId w:val="3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amends and operates in conjunction with each applicable Schedule. This Amendment, each applicable Schedule and the Agreement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any applicable Schedule or the Agreement, the terms of this Amendment shall control.</w:t>
      </w:r>
    </w:p>
    <w:p>
      <w:pPr>
        <w:spacing w:after="0" w:line="9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3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11" w:lineRule="exact"/>
        <w:rPr>
          <w:rFonts w:ascii="Times New Roman" w:cs="Times New Roman" w:eastAsia="Times New Roman" w:hAnsi="Times New Roman"/>
          <w:sz w:val="13"/>
          <w:szCs w:val="13"/>
          <w:color w:val="auto"/>
        </w:rPr>
      </w:pPr>
    </w:p>
    <w:p>
      <w:pPr>
        <w:jc w:val="both"/>
        <w:ind w:left="428" w:right="20" w:hanging="428"/>
        <w:spacing w:after="0" w:line="243" w:lineRule="auto"/>
        <w:tabs>
          <w:tab w:leader="none" w:pos="428" w:val="left"/>
        </w:tabs>
        <w:numPr>
          <w:ilvl w:val="0"/>
          <w:numId w:val="3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counterparts, which taken together, shall constitute one Amendment and each party hereto may execute this Amendment by signing such counterpart; provided 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as of the Amendment Effective Date set forth above.</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MSCI Inc.</w:t>
            </w:r>
          </w:p>
        </w:tc>
        <w:tc>
          <w:tcPr>
            <w:tcW w:w="4940" w:type="dxa"/>
            <w:vAlign w:val="bottom"/>
          </w:tcPr>
          <w:p>
            <w:pPr>
              <w:spacing w:after="0"/>
              <w:rPr>
                <w:sz w:val="14"/>
                <w:szCs w:val="14"/>
                <w:color w:val="auto"/>
              </w:rPr>
            </w:pP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BlackRock Fund Advisors</w:t>
            </w:r>
          </w:p>
        </w:tc>
        <w:tc>
          <w:tcPr>
            <w:tcW w:w="20" w:type="dxa"/>
            <w:vAlign w:val="bottom"/>
          </w:tcPr>
          <w:p>
            <w:pPr>
              <w:spacing w:after="0"/>
              <w:rPr>
                <w:sz w:val="14"/>
                <w:szCs w:val="14"/>
                <w:color w:val="auto"/>
              </w:rPr>
            </w:pPr>
          </w:p>
        </w:tc>
      </w:tr>
      <w:tr>
        <w:trPr>
          <w:trHeight w:val="28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Ruth Weiss</w:t>
            </w:r>
          </w:p>
        </w:tc>
        <w:tc>
          <w:tcPr>
            <w:tcW w:w="20" w:type="dxa"/>
            <w:vAlign w:val="bottom"/>
          </w:tcPr>
          <w:p>
            <w:pPr>
              <w:spacing w:after="0"/>
              <w:rPr>
                <w:sz w:val="24"/>
                <w:szCs w:val="24"/>
                <w:color w:val="auto"/>
              </w:rPr>
            </w:pPr>
          </w:p>
        </w:tc>
      </w:tr>
      <w:tr>
        <w:trPr>
          <w:trHeight w:val="27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c>
          <w:tcPr>
            <w:tcW w:w="20" w:type="dxa"/>
            <w:vAlign w:val="bottom"/>
          </w:tcPr>
          <w:p>
            <w:pPr>
              <w:spacing w:after="0"/>
              <w:rPr>
                <w:sz w:val="24"/>
                <w:szCs w:val="24"/>
                <w:color w:val="auto"/>
              </w:rPr>
            </w:pPr>
          </w:p>
        </w:tc>
      </w:tr>
      <w:tr>
        <w:trPr>
          <w:trHeight w:val="27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c>
          <w:tcPr>
            <w:tcW w:w="20" w:type="dxa"/>
            <w:vAlign w:val="bottom"/>
          </w:tcPr>
          <w:p>
            <w:pPr>
              <w:spacing w:after="0"/>
              <w:rPr>
                <w:sz w:val="24"/>
                <w:szCs w:val="24"/>
                <w:color w:val="auto"/>
              </w:rPr>
            </w:pPr>
          </w:p>
        </w:tc>
      </w:tr>
      <w:tr>
        <w:trPr>
          <w:trHeight w:val="277"/>
        </w:trPr>
        <w:tc>
          <w:tcPr>
            <w:tcW w:w="6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March 24, 2020</w:t>
            </w:r>
          </w:p>
        </w:tc>
        <w:tc>
          <w:tcPr>
            <w:tcW w:w="20" w:type="dxa"/>
            <w:vAlign w:val="bottom"/>
          </w:tcPr>
          <w:p>
            <w:pPr>
              <w:spacing w:after="0"/>
              <w:rPr>
                <w:sz w:val="24"/>
                <w:szCs w:val="24"/>
                <w:color w:val="auto"/>
              </w:rPr>
            </w:pPr>
          </w:p>
        </w:tc>
      </w:tr>
      <w:tr>
        <w:trPr>
          <w:trHeight w:val="576"/>
        </w:trPr>
        <w:tc>
          <w:tcPr>
            <w:tcW w:w="6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20" w:type="dxa"/>
            <w:vAlign w:val="bottom"/>
            <w:tcBorders>
              <w:bottom w:val="single" w:sz="8" w:color="9A9A9A"/>
            </w:tcBorders>
          </w:tcPr>
          <w:p>
            <w:pPr>
              <w:spacing w:after="0"/>
              <w:rPr>
                <w:sz w:val="19"/>
                <w:szCs w:val="19"/>
                <w:color w:val="auto"/>
              </w:rPr>
            </w:pPr>
          </w:p>
        </w:tc>
        <w:tc>
          <w:tcPr>
            <w:tcW w:w="49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49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120" w:right="279" w:bottom="1440" w:gutter="0" w:footer="0" w:header="0"/>
        </w:sectPr>
      </w:pPr>
    </w:p>
    <w:bookmarkStart w:id="270" w:name="page271"/>
    <w:bookmarkEnd w:id="270"/>
    <w:p>
      <w:pPr>
        <w:jc w:val="center"/>
        <w:ind w:right="20"/>
        <w:spacing w:after="0"/>
        <w:rPr>
          <w:sz w:val="20"/>
          <w:szCs w:val="20"/>
          <w:color w:val="auto"/>
        </w:rPr>
      </w:pPr>
      <w:r>
        <w:rPr>
          <w:rFonts w:ascii="Times New Roman" w:cs="Times New Roman" w:eastAsia="Times New Roman" w:hAnsi="Times New Roman"/>
          <w:sz w:val="13"/>
          <w:szCs w:val="13"/>
          <w:color w:val="auto"/>
        </w:rPr>
        <w:t>Attachment 1</w:t>
      </w: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22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spacing w:after="0"/>
              <w:rPr>
                <w:sz w:val="13"/>
                <w:szCs w:val="13"/>
                <w:color w:val="auto"/>
              </w:rPr>
            </w:pPr>
          </w:p>
        </w:tc>
        <w:tc>
          <w:tcPr>
            <w:tcW w:w="22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Schedule</w:t>
            </w:r>
          </w:p>
        </w:tc>
        <w:tc>
          <w:tcPr>
            <w:tcW w:w="640" w:type="dxa"/>
            <w:vAlign w:val="bottom"/>
            <w:tcBorders>
              <w:top w:val="single" w:sz="8" w:color="auto"/>
              <w:bottom w:val="single" w:sz="8" w:color="auto"/>
              <w:right w:val="single" w:sz="8" w:color="auto"/>
            </w:tcBorders>
          </w:tcPr>
          <w:p>
            <w:pPr>
              <w:spacing w:after="0"/>
              <w:rPr>
                <w:sz w:val="13"/>
                <w:szCs w:val="13"/>
                <w:color w:val="auto"/>
              </w:rPr>
            </w:pPr>
          </w:p>
        </w:tc>
        <w:tc>
          <w:tcPr>
            <w:tcW w:w="2740" w:type="dxa"/>
            <w:vAlign w:val="bottom"/>
            <w:tcBorders>
              <w:top w:val="single" w:sz="8" w:color="auto"/>
              <w:bottom w:val="single" w:sz="8" w:color="auto"/>
              <w:right w:val="single" w:sz="8" w:color="auto"/>
            </w:tcBorders>
          </w:tcPr>
          <w:p>
            <w:pPr>
              <w:spacing w:after="0"/>
              <w:rPr>
                <w:sz w:val="13"/>
                <w:szCs w:val="13"/>
                <w:color w:val="auto"/>
              </w:rPr>
            </w:pPr>
          </w:p>
        </w:tc>
        <w:tc>
          <w:tcPr>
            <w:tcW w:w="2320" w:type="dxa"/>
            <w:vAlign w:val="bottom"/>
            <w:tcBorders>
              <w:top w:val="single" w:sz="8" w:color="auto"/>
              <w:bottom w:val="single" w:sz="8" w:color="auto"/>
              <w:right w:val="single" w:sz="8" w:color="auto"/>
            </w:tcBorders>
          </w:tcPr>
          <w:p>
            <w:pPr>
              <w:spacing w:after="0"/>
              <w:rPr>
                <w:sz w:val="13"/>
                <w:szCs w:val="13"/>
                <w:color w:val="auto"/>
              </w:rPr>
            </w:pPr>
          </w:p>
        </w:tc>
      </w:tr>
      <w:tr>
        <w:trPr>
          <w:trHeight w:val="133"/>
        </w:trPr>
        <w:tc>
          <w:tcPr>
            <w:tcW w:w="1220" w:type="dxa"/>
            <w:vAlign w:val="bottom"/>
            <w:tcBorders>
              <w:left w:val="single" w:sz="8" w:color="auto"/>
              <w:bottom w:val="single" w:sz="8" w:color="auto"/>
              <w:right w:val="single" w:sz="8" w:color="auto"/>
            </w:tcBorders>
          </w:tcPr>
          <w:p>
            <w:pPr>
              <w:ind w:left="440"/>
              <w:spacing w:after="0" w:line="133" w:lineRule="exact"/>
              <w:rPr>
                <w:sz w:val="20"/>
                <w:szCs w:val="20"/>
                <w:color w:val="auto"/>
              </w:rPr>
            </w:pPr>
            <w:r>
              <w:rPr>
                <w:rFonts w:ascii="Times New Roman" w:cs="Times New Roman" w:eastAsia="Times New Roman" w:hAnsi="Times New Roman"/>
                <w:sz w:val="13"/>
                <w:szCs w:val="13"/>
                <w:b w:val="1"/>
                <w:bCs w:val="1"/>
                <w:color w:val="auto"/>
              </w:rPr>
              <w:t>Ticker</w:t>
            </w:r>
          </w:p>
        </w:tc>
        <w:tc>
          <w:tcPr>
            <w:tcW w:w="2180" w:type="dxa"/>
            <w:vAlign w:val="bottom"/>
            <w:tcBorders>
              <w:bottom w:val="single" w:sz="8" w:color="auto"/>
            </w:tcBorders>
          </w:tcPr>
          <w:p>
            <w:pPr>
              <w:jc w:val="center"/>
              <w:ind w:left="537"/>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Internal MSCI Reference #</w:t>
            </w:r>
          </w:p>
        </w:tc>
        <w:tc>
          <w:tcPr>
            <w:tcW w:w="62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jc w:val="center"/>
              <w:ind w:left="537"/>
              <w:spacing w:after="0" w:line="133" w:lineRule="exact"/>
              <w:rPr>
                <w:sz w:val="20"/>
                <w:szCs w:val="20"/>
                <w:color w:val="auto"/>
              </w:rPr>
            </w:pPr>
            <w:r>
              <w:rPr>
                <w:rFonts w:ascii="Times New Roman" w:cs="Times New Roman" w:eastAsia="Times New Roman" w:hAnsi="Times New Roman"/>
                <w:sz w:val="13"/>
                <w:szCs w:val="13"/>
                <w:b w:val="1"/>
                <w:bCs w:val="1"/>
                <w:color w:val="auto"/>
                <w:w w:val="96"/>
              </w:rPr>
              <w:t>Date of Schedule</w:t>
            </w:r>
          </w:p>
        </w:tc>
        <w:tc>
          <w:tcPr>
            <w:tcW w:w="64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ind w:left="780"/>
              <w:spacing w:after="0" w:line="133" w:lineRule="exact"/>
              <w:rPr>
                <w:sz w:val="20"/>
                <w:szCs w:val="20"/>
                <w:color w:val="auto"/>
              </w:rPr>
            </w:pPr>
            <w:r>
              <w:rPr>
                <w:rFonts w:ascii="Times New Roman" w:cs="Times New Roman" w:eastAsia="Times New Roman" w:hAnsi="Times New Roman"/>
                <w:sz w:val="13"/>
                <w:szCs w:val="13"/>
                <w:b w:val="1"/>
                <w:bCs w:val="1"/>
                <w:color w:val="auto"/>
              </w:rPr>
              <w:t>Original Fund Name</w:t>
            </w:r>
          </w:p>
        </w:tc>
        <w:tc>
          <w:tcPr>
            <w:tcW w:w="2320" w:type="dxa"/>
            <w:vAlign w:val="bottom"/>
            <w:tcBorders>
              <w:bottom w:val="single" w:sz="8" w:color="auto"/>
              <w:right w:val="single" w:sz="8" w:color="auto"/>
            </w:tcBorders>
          </w:tcPr>
          <w:p>
            <w:pPr>
              <w:ind w:left="600"/>
              <w:spacing w:after="0" w:line="133" w:lineRule="exact"/>
              <w:rPr>
                <w:sz w:val="20"/>
                <w:szCs w:val="20"/>
                <w:color w:val="auto"/>
              </w:rPr>
            </w:pPr>
            <w:r>
              <w:rPr>
                <w:rFonts w:ascii="Times New Roman" w:cs="Times New Roman" w:eastAsia="Times New Roman" w:hAnsi="Times New Roman"/>
                <w:sz w:val="13"/>
                <w:szCs w:val="13"/>
                <w:b w:val="1"/>
                <w:bCs w:val="1"/>
                <w:color w:val="auto"/>
              </w:rPr>
              <w:t>Revised Fund Name</w:t>
            </w:r>
          </w:p>
        </w:tc>
      </w:tr>
      <w:tr>
        <w:trPr>
          <w:trHeight w:val="115"/>
        </w:trPr>
        <w:tc>
          <w:tcPr>
            <w:tcW w:w="1220" w:type="dxa"/>
            <w:vAlign w:val="bottom"/>
            <w:tcBorders>
              <w:left w:val="single" w:sz="8" w:color="auto"/>
              <w:right w:val="single" w:sz="8" w:color="auto"/>
            </w:tcBorders>
          </w:tcPr>
          <w:p>
            <w:pPr>
              <w:ind w:left="440"/>
              <w:spacing w:after="0" w:line="115" w:lineRule="exact"/>
              <w:rPr>
                <w:sz w:val="20"/>
                <w:szCs w:val="20"/>
                <w:color w:val="auto"/>
              </w:rPr>
            </w:pPr>
            <w:r>
              <w:rPr>
                <w:rFonts w:ascii="Times New Roman" w:cs="Times New Roman" w:eastAsia="Times New Roman" w:hAnsi="Times New Roman"/>
                <w:sz w:val="13"/>
                <w:szCs w:val="13"/>
                <w:color w:val="auto"/>
              </w:rPr>
              <w:t>ESGU</w:t>
            </w:r>
          </w:p>
        </w:tc>
        <w:tc>
          <w:tcPr>
            <w:tcW w:w="2180" w:type="dxa"/>
            <w:vAlign w:val="bottom"/>
          </w:tcPr>
          <w:p>
            <w:pPr>
              <w:jc w:val="center"/>
              <w:ind w:left="5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AMD_00250009.0</w:t>
            </w:r>
          </w:p>
        </w:tc>
        <w:tc>
          <w:tcPr>
            <w:tcW w:w="620" w:type="dxa"/>
            <w:vAlign w:val="bottom"/>
            <w:tcBorders>
              <w:right w:val="single" w:sz="8" w:color="auto"/>
            </w:tcBorders>
          </w:tcPr>
          <w:p>
            <w:pPr>
              <w:spacing w:after="0"/>
              <w:rPr>
                <w:sz w:val="9"/>
                <w:szCs w:val="9"/>
                <w:color w:val="auto"/>
              </w:rPr>
            </w:pPr>
          </w:p>
        </w:tc>
        <w:tc>
          <w:tcPr>
            <w:tcW w:w="1580" w:type="dxa"/>
            <w:vAlign w:val="bottom"/>
          </w:tcPr>
          <w:p>
            <w:pPr>
              <w:jc w:val="center"/>
              <w:ind w:left="537"/>
              <w:spacing w:after="0" w:line="115" w:lineRule="exact"/>
              <w:rPr>
                <w:sz w:val="20"/>
                <w:szCs w:val="20"/>
                <w:color w:val="auto"/>
              </w:rPr>
            </w:pPr>
            <w:r>
              <w:rPr>
                <w:rFonts w:ascii="Times New Roman" w:cs="Times New Roman" w:eastAsia="Times New Roman" w:hAnsi="Times New Roman"/>
                <w:sz w:val="13"/>
                <w:szCs w:val="13"/>
                <w:color w:val="auto"/>
                <w:w w:val="96"/>
              </w:rPr>
              <w:t>September 1, 2018</w:t>
            </w:r>
          </w:p>
        </w:tc>
        <w:tc>
          <w:tcPr>
            <w:tcW w:w="64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iShares ESG MSCI</w:t>
            </w:r>
          </w:p>
        </w:tc>
        <w:tc>
          <w:tcPr>
            <w:tcW w:w="2320" w:type="dxa"/>
            <w:vAlign w:val="bottom"/>
            <w:tcBorders>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iShares ESG Aware</w:t>
            </w:r>
          </w:p>
        </w:tc>
      </w:tr>
      <w:tr>
        <w:trPr>
          <w:trHeight w:val="144"/>
        </w:trPr>
        <w:tc>
          <w:tcPr>
            <w:tcW w:w="1220" w:type="dxa"/>
            <w:vAlign w:val="bottom"/>
            <w:tcBorders>
              <w:left w:val="single" w:sz="8" w:color="auto"/>
              <w:right w:val="single" w:sz="8" w:color="auto"/>
            </w:tcBorders>
          </w:tcPr>
          <w:p>
            <w:pPr>
              <w:spacing w:after="0"/>
              <w:rPr>
                <w:sz w:val="12"/>
                <w:szCs w:val="12"/>
                <w:color w:val="auto"/>
              </w:rPr>
            </w:pPr>
          </w:p>
        </w:tc>
        <w:tc>
          <w:tcPr>
            <w:tcW w:w="2180" w:type="dxa"/>
            <w:vAlign w:val="bottom"/>
          </w:tcPr>
          <w:p>
            <w:pPr>
              <w:jc w:val="center"/>
              <w:ind w:left="517"/>
              <w:spacing w:after="0" w:line="144" w:lineRule="exact"/>
              <w:rPr>
                <w:sz w:val="20"/>
                <w:szCs w:val="20"/>
                <w:color w:val="auto"/>
              </w:rPr>
            </w:pPr>
            <w:r>
              <w:rPr>
                <w:rFonts w:ascii="Times New Roman" w:cs="Times New Roman" w:eastAsia="Times New Roman" w:hAnsi="Times New Roman"/>
                <w:sz w:val="13"/>
                <w:szCs w:val="13"/>
                <w:color w:val="auto"/>
                <w:w w:val="97"/>
              </w:rPr>
              <w:t>(previous</w:t>
            </w:r>
          </w:p>
        </w:tc>
        <w:tc>
          <w:tcPr>
            <w:tcW w:w="62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ind w:left="40"/>
              <w:spacing w:after="0" w:line="144" w:lineRule="exact"/>
              <w:rPr>
                <w:sz w:val="20"/>
                <w:szCs w:val="20"/>
                <w:color w:val="auto"/>
              </w:rPr>
            </w:pPr>
            <w:r>
              <w:rPr>
                <w:rFonts w:ascii="Times New Roman" w:cs="Times New Roman" w:eastAsia="Times New Roman" w:hAnsi="Times New Roman"/>
                <w:sz w:val="13"/>
                <w:szCs w:val="13"/>
                <w:color w:val="auto"/>
              </w:rPr>
              <w:t>USA ETF</w:t>
            </w:r>
          </w:p>
        </w:tc>
        <w:tc>
          <w:tcPr>
            <w:tcW w:w="2320" w:type="dxa"/>
            <w:vAlign w:val="bottom"/>
            <w:tcBorders>
              <w:right w:val="single" w:sz="8" w:color="auto"/>
            </w:tcBorders>
          </w:tcPr>
          <w:p>
            <w:pPr>
              <w:ind w:left="40"/>
              <w:spacing w:after="0" w:line="144" w:lineRule="exact"/>
              <w:rPr>
                <w:sz w:val="20"/>
                <w:szCs w:val="20"/>
                <w:color w:val="auto"/>
              </w:rPr>
            </w:pPr>
            <w:r>
              <w:rPr>
                <w:rFonts w:ascii="Times New Roman" w:cs="Times New Roman" w:eastAsia="Times New Roman" w:hAnsi="Times New Roman"/>
                <w:sz w:val="13"/>
                <w:szCs w:val="13"/>
                <w:color w:val="auto"/>
              </w:rPr>
              <w:t>MSCI USA ETF</w:t>
            </w:r>
          </w:p>
        </w:tc>
      </w:tr>
      <w:tr>
        <w:trPr>
          <w:trHeight w:val="144"/>
        </w:trPr>
        <w:tc>
          <w:tcPr>
            <w:tcW w:w="1220" w:type="dxa"/>
            <w:vAlign w:val="bottom"/>
            <w:tcBorders>
              <w:left w:val="single" w:sz="8" w:color="auto"/>
              <w:right w:val="single" w:sz="8" w:color="auto"/>
            </w:tcBorders>
          </w:tcPr>
          <w:p>
            <w:pPr>
              <w:spacing w:after="0"/>
              <w:rPr>
                <w:sz w:val="12"/>
                <w:szCs w:val="12"/>
                <w:color w:val="auto"/>
              </w:rPr>
            </w:pPr>
          </w:p>
        </w:tc>
        <w:tc>
          <w:tcPr>
            <w:tcW w:w="2180" w:type="dxa"/>
            <w:vAlign w:val="bottom"/>
          </w:tcPr>
          <w:p>
            <w:pPr>
              <w:jc w:val="center"/>
              <w:ind w:left="537"/>
              <w:spacing w:after="0" w:line="144" w:lineRule="exact"/>
              <w:rPr>
                <w:sz w:val="20"/>
                <w:szCs w:val="20"/>
                <w:color w:val="auto"/>
              </w:rPr>
            </w:pPr>
            <w:r>
              <w:rPr>
                <w:rFonts w:ascii="Times New Roman" w:cs="Times New Roman" w:eastAsia="Times New Roman" w:hAnsi="Times New Roman"/>
                <w:sz w:val="13"/>
                <w:szCs w:val="13"/>
                <w:color w:val="auto"/>
                <w:w w:val="96"/>
              </w:rPr>
              <w:t>AMD_00243265.0,</w:t>
            </w:r>
          </w:p>
        </w:tc>
        <w:tc>
          <w:tcPr>
            <w:tcW w:w="62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r>
      <w:tr>
        <w:trPr>
          <w:trHeight w:val="162"/>
        </w:trPr>
        <w:tc>
          <w:tcPr>
            <w:tcW w:w="1220" w:type="dxa"/>
            <w:vAlign w:val="bottom"/>
            <w:tcBorders>
              <w:left w:val="single" w:sz="8" w:color="auto"/>
              <w:bottom w:val="single" w:sz="8" w:color="auto"/>
              <w:right w:val="single" w:sz="8" w:color="auto"/>
            </w:tcBorders>
          </w:tcPr>
          <w:p>
            <w:pPr>
              <w:spacing w:after="0"/>
              <w:rPr>
                <w:sz w:val="14"/>
                <w:szCs w:val="14"/>
                <w:color w:val="auto"/>
              </w:rPr>
            </w:pPr>
          </w:p>
        </w:tc>
        <w:tc>
          <w:tcPr>
            <w:tcW w:w="218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3"/>
                <w:szCs w:val="13"/>
                <w:color w:val="auto"/>
                <w:w w:val="97"/>
              </w:rPr>
              <w:t>AMD_00208225.0)</w:t>
            </w:r>
          </w:p>
        </w:tc>
        <w:tc>
          <w:tcPr>
            <w:tcW w:w="62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r>
      <w:tr>
        <w:trPr>
          <w:trHeight w:val="115"/>
        </w:trPr>
        <w:tc>
          <w:tcPr>
            <w:tcW w:w="1220" w:type="dxa"/>
            <w:vAlign w:val="bottom"/>
            <w:tcBorders>
              <w:left w:val="single" w:sz="8" w:color="auto"/>
              <w:right w:val="single" w:sz="8" w:color="auto"/>
            </w:tcBorders>
          </w:tcPr>
          <w:p>
            <w:pPr>
              <w:ind w:left="460"/>
              <w:spacing w:after="0" w:line="115" w:lineRule="exact"/>
              <w:rPr>
                <w:sz w:val="20"/>
                <w:szCs w:val="20"/>
                <w:color w:val="auto"/>
              </w:rPr>
            </w:pPr>
            <w:r>
              <w:rPr>
                <w:rFonts w:ascii="Times New Roman" w:cs="Times New Roman" w:eastAsia="Times New Roman" w:hAnsi="Times New Roman"/>
                <w:sz w:val="13"/>
                <w:szCs w:val="13"/>
                <w:color w:val="auto"/>
              </w:rPr>
              <w:t>ESGE</w:t>
            </w:r>
          </w:p>
        </w:tc>
        <w:tc>
          <w:tcPr>
            <w:tcW w:w="2180" w:type="dxa"/>
            <w:vAlign w:val="bottom"/>
          </w:tcPr>
          <w:p>
            <w:pPr>
              <w:jc w:val="center"/>
              <w:ind w:left="5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AMD_00250009.0</w:t>
            </w:r>
          </w:p>
        </w:tc>
        <w:tc>
          <w:tcPr>
            <w:tcW w:w="620" w:type="dxa"/>
            <w:vAlign w:val="bottom"/>
            <w:tcBorders>
              <w:right w:val="single" w:sz="8" w:color="auto"/>
            </w:tcBorders>
          </w:tcPr>
          <w:p>
            <w:pPr>
              <w:spacing w:after="0"/>
              <w:rPr>
                <w:sz w:val="9"/>
                <w:szCs w:val="9"/>
                <w:color w:val="auto"/>
              </w:rPr>
            </w:pPr>
          </w:p>
        </w:tc>
        <w:tc>
          <w:tcPr>
            <w:tcW w:w="1580" w:type="dxa"/>
            <w:vAlign w:val="bottom"/>
          </w:tcPr>
          <w:p>
            <w:pPr>
              <w:jc w:val="center"/>
              <w:ind w:left="537"/>
              <w:spacing w:after="0" w:line="115" w:lineRule="exact"/>
              <w:rPr>
                <w:sz w:val="20"/>
                <w:szCs w:val="20"/>
                <w:color w:val="auto"/>
              </w:rPr>
            </w:pPr>
            <w:r>
              <w:rPr>
                <w:rFonts w:ascii="Times New Roman" w:cs="Times New Roman" w:eastAsia="Times New Roman" w:hAnsi="Times New Roman"/>
                <w:sz w:val="13"/>
                <w:szCs w:val="13"/>
                <w:color w:val="auto"/>
                <w:w w:val="96"/>
              </w:rPr>
              <w:t>September 1, 2018</w:t>
            </w:r>
          </w:p>
        </w:tc>
        <w:tc>
          <w:tcPr>
            <w:tcW w:w="64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iShares ESG MSCI EM</w:t>
            </w:r>
          </w:p>
        </w:tc>
        <w:tc>
          <w:tcPr>
            <w:tcW w:w="2320" w:type="dxa"/>
            <w:vAlign w:val="bottom"/>
            <w:tcBorders>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iShares ESG Aware</w:t>
            </w:r>
          </w:p>
        </w:tc>
      </w:tr>
      <w:tr>
        <w:trPr>
          <w:trHeight w:val="144"/>
        </w:trPr>
        <w:tc>
          <w:tcPr>
            <w:tcW w:w="1220" w:type="dxa"/>
            <w:vAlign w:val="bottom"/>
            <w:tcBorders>
              <w:left w:val="single" w:sz="8" w:color="auto"/>
              <w:right w:val="single" w:sz="8" w:color="auto"/>
            </w:tcBorders>
          </w:tcPr>
          <w:p>
            <w:pPr>
              <w:spacing w:after="0"/>
              <w:rPr>
                <w:sz w:val="12"/>
                <w:szCs w:val="12"/>
                <w:color w:val="auto"/>
              </w:rPr>
            </w:pPr>
          </w:p>
        </w:tc>
        <w:tc>
          <w:tcPr>
            <w:tcW w:w="2180" w:type="dxa"/>
            <w:vAlign w:val="bottom"/>
          </w:tcPr>
          <w:p>
            <w:pPr>
              <w:jc w:val="center"/>
              <w:ind w:left="517"/>
              <w:spacing w:after="0" w:line="144" w:lineRule="exact"/>
              <w:rPr>
                <w:sz w:val="20"/>
                <w:szCs w:val="20"/>
                <w:color w:val="auto"/>
              </w:rPr>
            </w:pPr>
            <w:r>
              <w:rPr>
                <w:rFonts w:ascii="Times New Roman" w:cs="Times New Roman" w:eastAsia="Times New Roman" w:hAnsi="Times New Roman"/>
                <w:sz w:val="13"/>
                <w:szCs w:val="13"/>
                <w:color w:val="auto"/>
                <w:w w:val="97"/>
              </w:rPr>
              <w:t>(previous</w:t>
            </w:r>
          </w:p>
        </w:tc>
        <w:tc>
          <w:tcPr>
            <w:tcW w:w="62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ind w:left="40"/>
              <w:spacing w:after="0" w:line="144" w:lineRule="exact"/>
              <w:rPr>
                <w:sz w:val="20"/>
                <w:szCs w:val="20"/>
                <w:color w:val="auto"/>
              </w:rPr>
            </w:pPr>
            <w:r>
              <w:rPr>
                <w:rFonts w:ascii="Times New Roman" w:cs="Times New Roman" w:eastAsia="Times New Roman" w:hAnsi="Times New Roman"/>
                <w:sz w:val="13"/>
                <w:szCs w:val="13"/>
                <w:color w:val="auto"/>
              </w:rPr>
              <w:t>ETF</w:t>
            </w:r>
          </w:p>
        </w:tc>
        <w:tc>
          <w:tcPr>
            <w:tcW w:w="2320" w:type="dxa"/>
            <w:vAlign w:val="bottom"/>
            <w:tcBorders>
              <w:right w:val="single" w:sz="8" w:color="auto"/>
            </w:tcBorders>
          </w:tcPr>
          <w:p>
            <w:pPr>
              <w:ind w:left="40"/>
              <w:spacing w:after="0" w:line="144" w:lineRule="exact"/>
              <w:rPr>
                <w:sz w:val="20"/>
                <w:szCs w:val="20"/>
                <w:color w:val="auto"/>
              </w:rPr>
            </w:pPr>
            <w:r>
              <w:rPr>
                <w:rFonts w:ascii="Times New Roman" w:cs="Times New Roman" w:eastAsia="Times New Roman" w:hAnsi="Times New Roman"/>
                <w:sz w:val="13"/>
                <w:szCs w:val="13"/>
                <w:color w:val="auto"/>
              </w:rPr>
              <w:t>MSCI EM ETF</w:t>
            </w:r>
          </w:p>
        </w:tc>
      </w:tr>
      <w:tr>
        <w:trPr>
          <w:trHeight w:val="144"/>
        </w:trPr>
        <w:tc>
          <w:tcPr>
            <w:tcW w:w="1220" w:type="dxa"/>
            <w:vAlign w:val="bottom"/>
            <w:tcBorders>
              <w:left w:val="single" w:sz="8" w:color="auto"/>
              <w:right w:val="single" w:sz="8" w:color="auto"/>
            </w:tcBorders>
          </w:tcPr>
          <w:p>
            <w:pPr>
              <w:spacing w:after="0"/>
              <w:rPr>
                <w:sz w:val="12"/>
                <w:szCs w:val="12"/>
                <w:color w:val="auto"/>
              </w:rPr>
            </w:pPr>
          </w:p>
        </w:tc>
        <w:tc>
          <w:tcPr>
            <w:tcW w:w="2180" w:type="dxa"/>
            <w:vAlign w:val="bottom"/>
          </w:tcPr>
          <w:p>
            <w:pPr>
              <w:jc w:val="center"/>
              <w:ind w:left="537"/>
              <w:spacing w:after="0" w:line="144" w:lineRule="exact"/>
              <w:rPr>
                <w:sz w:val="20"/>
                <w:szCs w:val="20"/>
                <w:color w:val="auto"/>
              </w:rPr>
            </w:pPr>
            <w:r>
              <w:rPr>
                <w:rFonts w:ascii="Times New Roman" w:cs="Times New Roman" w:eastAsia="Times New Roman" w:hAnsi="Times New Roman"/>
                <w:sz w:val="13"/>
                <w:szCs w:val="13"/>
                <w:color w:val="auto"/>
                <w:w w:val="96"/>
              </w:rPr>
              <w:t>AMD_00243265.0,</w:t>
            </w:r>
          </w:p>
        </w:tc>
        <w:tc>
          <w:tcPr>
            <w:tcW w:w="62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r>
      <w:tr>
        <w:trPr>
          <w:trHeight w:val="144"/>
        </w:trPr>
        <w:tc>
          <w:tcPr>
            <w:tcW w:w="1220" w:type="dxa"/>
            <w:vAlign w:val="bottom"/>
            <w:tcBorders>
              <w:left w:val="single" w:sz="8" w:color="auto"/>
              <w:right w:val="single" w:sz="8" w:color="auto"/>
            </w:tcBorders>
          </w:tcPr>
          <w:p>
            <w:pPr>
              <w:spacing w:after="0"/>
              <w:rPr>
                <w:sz w:val="12"/>
                <w:szCs w:val="12"/>
                <w:color w:val="auto"/>
              </w:rPr>
            </w:pPr>
          </w:p>
        </w:tc>
        <w:tc>
          <w:tcPr>
            <w:tcW w:w="2180" w:type="dxa"/>
            <w:vAlign w:val="bottom"/>
          </w:tcPr>
          <w:p>
            <w:pPr>
              <w:jc w:val="center"/>
              <w:ind w:left="537"/>
              <w:spacing w:after="0" w:line="144" w:lineRule="exact"/>
              <w:rPr>
                <w:sz w:val="20"/>
                <w:szCs w:val="20"/>
                <w:color w:val="auto"/>
              </w:rPr>
            </w:pPr>
            <w:r>
              <w:rPr>
                <w:rFonts w:ascii="Times New Roman" w:cs="Times New Roman" w:eastAsia="Times New Roman" w:hAnsi="Times New Roman"/>
                <w:sz w:val="13"/>
                <w:szCs w:val="13"/>
                <w:color w:val="auto"/>
                <w:w w:val="96"/>
              </w:rPr>
              <w:t>AMD_00209563.0,</w:t>
            </w:r>
          </w:p>
        </w:tc>
        <w:tc>
          <w:tcPr>
            <w:tcW w:w="62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r>
      <w:tr>
        <w:trPr>
          <w:trHeight w:val="162"/>
        </w:trPr>
        <w:tc>
          <w:tcPr>
            <w:tcW w:w="1220" w:type="dxa"/>
            <w:vAlign w:val="bottom"/>
            <w:tcBorders>
              <w:left w:val="single" w:sz="8" w:color="auto"/>
              <w:bottom w:val="single" w:sz="8" w:color="auto"/>
              <w:right w:val="single" w:sz="8" w:color="auto"/>
            </w:tcBorders>
          </w:tcPr>
          <w:p>
            <w:pPr>
              <w:spacing w:after="0"/>
              <w:rPr>
                <w:sz w:val="14"/>
                <w:szCs w:val="14"/>
                <w:color w:val="auto"/>
              </w:rPr>
            </w:pPr>
          </w:p>
        </w:tc>
        <w:tc>
          <w:tcPr>
            <w:tcW w:w="218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3"/>
                <w:szCs w:val="13"/>
                <w:color w:val="auto"/>
                <w:w w:val="97"/>
              </w:rPr>
              <w:t>AMD_00200775.0)</w:t>
            </w:r>
          </w:p>
        </w:tc>
        <w:tc>
          <w:tcPr>
            <w:tcW w:w="62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r>
      <w:tr>
        <w:trPr>
          <w:trHeight w:val="115"/>
        </w:trPr>
        <w:tc>
          <w:tcPr>
            <w:tcW w:w="1220" w:type="dxa"/>
            <w:vAlign w:val="bottom"/>
            <w:tcBorders>
              <w:left w:val="single" w:sz="8" w:color="auto"/>
              <w:right w:val="single" w:sz="8" w:color="auto"/>
            </w:tcBorders>
          </w:tcPr>
          <w:p>
            <w:pPr>
              <w:ind w:left="440"/>
              <w:spacing w:after="0" w:line="115" w:lineRule="exact"/>
              <w:rPr>
                <w:sz w:val="20"/>
                <w:szCs w:val="20"/>
                <w:color w:val="auto"/>
              </w:rPr>
            </w:pPr>
            <w:r>
              <w:rPr>
                <w:rFonts w:ascii="Times New Roman" w:cs="Times New Roman" w:eastAsia="Times New Roman" w:hAnsi="Times New Roman"/>
                <w:sz w:val="13"/>
                <w:szCs w:val="13"/>
                <w:color w:val="auto"/>
              </w:rPr>
              <w:t>ESGD</w:t>
            </w:r>
          </w:p>
        </w:tc>
        <w:tc>
          <w:tcPr>
            <w:tcW w:w="2180" w:type="dxa"/>
            <w:vAlign w:val="bottom"/>
          </w:tcPr>
          <w:p>
            <w:pPr>
              <w:jc w:val="center"/>
              <w:ind w:left="5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AMD_00250009.0</w:t>
            </w:r>
          </w:p>
        </w:tc>
        <w:tc>
          <w:tcPr>
            <w:tcW w:w="620" w:type="dxa"/>
            <w:vAlign w:val="bottom"/>
            <w:tcBorders>
              <w:right w:val="single" w:sz="8" w:color="auto"/>
            </w:tcBorders>
          </w:tcPr>
          <w:p>
            <w:pPr>
              <w:spacing w:after="0"/>
              <w:rPr>
                <w:sz w:val="9"/>
                <w:szCs w:val="9"/>
                <w:color w:val="auto"/>
              </w:rPr>
            </w:pPr>
          </w:p>
        </w:tc>
        <w:tc>
          <w:tcPr>
            <w:tcW w:w="1580" w:type="dxa"/>
            <w:vAlign w:val="bottom"/>
          </w:tcPr>
          <w:p>
            <w:pPr>
              <w:jc w:val="center"/>
              <w:ind w:left="537"/>
              <w:spacing w:after="0" w:line="115" w:lineRule="exact"/>
              <w:rPr>
                <w:sz w:val="20"/>
                <w:szCs w:val="20"/>
                <w:color w:val="auto"/>
              </w:rPr>
            </w:pPr>
            <w:r>
              <w:rPr>
                <w:rFonts w:ascii="Times New Roman" w:cs="Times New Roman" w:eastAsia="Times New Roman" w:hAnsi="Times New Roman"/>
                <w:sz w:val="13"/>
                <w:szCs w:val="13"/>
                <w:color w:val="auto"/>
                <w:w w:val="96"/>
              </w:rPr>
              <w:t>September 1, 2018</w:t>
            </w:r>
          </w:p>
        </w:tc>
        <w:tc>
          <w:tcPr>
            <w:tcW w:w="64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iShares ESG MSCI</w:t>
            </w:r>
          </w:p>
        </w:tc>
        <w:tc>
          <w:tcPr>
            <w:tcW w:w="2320" w:type="dxa"/>
            <w:vAlign w:val="bottom"/>
            <w:tcBorders>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iShares ESG Aware</w:t>
            </w:r>
          </w:p>
        </w:tc>
      </w:tr>
      <w:tr>
        <w:trPr>
          <w:trHeight w:val="144"/>
        </w:trPr>
        <w:tc>
          <w:tcPr>
            <w:tcW w:w="1220" w:type="dxa"/>
            <w:vAlign w:val="bottom"/>
            <w:tcBorders>
              <w:left w:val="single" w:sz="8" w:color="auto"/>
              <w:right w:val="single" w:sz="8" w:color="auto"/>
            </w:tcBorders>
          </w:tcPr>
          <w:p>
            <w:pPr>
              <w:spacing w:after="0"/>
              <w:rPr>
                <w:sz w:val="12"/>
                <w:szCs w:val="12"/>
                <w:color w:val="auto"/>
              </w:rPr>
            </w:pPr>
          </w:p>
        </w:tc>
        <w:tc>
          <w:tcPr>
            <w:tcW w:w="2180" w:type="dxa"/>
            <w:vAlign w:val="bottom"/>
          </w:tcPr>
          <w:p>
            <w:pPr>
              <w:jc w:val="center"/>
              <w:ind w:left="517"/>
              <w:spacing w:after="0" w:line="144" w:lineRule="exact"/>
              <w:rPr>
                <w:sz w:val="20"/>
                <w:szCs w:val="20"/>
                <w:color w:val="auto"/>
              </w:rPr>
            </w:pPr>
            <w:r>
              <w:rPr>
                <w:rFonts w:ascii="Times New Roman" w:cs="Times New Roman" w:eastAsia="Times New Roman" w:hAnsi="Times New Roman"/>
                <w:sz w:val="13"/>
                <w:szCs w:val="13"/>
                <w:color w:val="auto"/>
                <w:w w:val="97"/>
              </w:rPr>
              <w:t>(previous</w:t>
            </w:r>
          </w:p>
        </w:tc>
        <w:tc>
          <w:tcPr>
            <w:tcW w:w="62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ind w:left="40"/>
              <w:spacing w:after="0" w:line="144" w:lineRule="exact"/>
              <w:rPr>
                <w:sz w:val="20"/>
                <w:szCs w:val="20"/>
                <w:color w:val="auto"/>
              </w:rPr>
            </w:pPr>
            <w:r>
              <w:rPr>
                <w:rFonts w:ascii="Times New Roman" w:cs="Times New Roman" w:eastAsia="Times New Roman" w:hAnsi="Times New Roman"/>
                <w:sz w:val="13"/>
                <w:szCs w:val="13"/>
                <w:color w:val="auto"/>
              </w:rPr>
              <w:t>EAFE ETF</w:t>
            </w:r>
          </w:p>
        </w:tc>
        <w:tc>
          <w:tcPr>
            <w:tcW w:w="2320" w:type="dxa"/>
            <w:vAlign w:val="bottom"/>
            <w:tcBorders>
              <w:right w:val="single" w:sz="8" w:color="auto"/>
            </w:tcBorders>
          </w:tcPr>
          <w:p>
            <w:pPr>
              <w:ind w:left="40"/>
              <w:spacing w:after="0" w:line="144" w:lineRule="exact"/>
              <w:rPr>
                <w:sz w:val="20"/>
                <w:szCs w:val="20"/>
                <w:color w:val="auto"/>
              </w:rPr>
            </w:pPr>
            <w:r>
              <w:rPr>
                <w:rFonts w:ascii="Times New Roman" w:cs="Times New Roman" w:eastAsia="Times New Roman" w:hAnsi="Times New Roman"/>
                <w:sz w:val="13"/>
                <w:szCs w:val="13"/>
                <w:color w:val="auto"/>
              </w:rPr>
              <w:t>MSCI EAFE ETF</w:t>
            </w:r>
          </w:p>
        </w:tc>
      </w:tr>
      <w:tr>
        <w:trPr>
          <w:trHeight w:val="144"/>
        </w:trPr>
        <w:tc>
          <w:tcPr>
            <w:tcW w:w="1220" w:type="dxa"/>
            <w:vAlign w:val="bottom"/>
            <w:tcBorders>
              <w:left w:val="single" w:sz="8" w:color="auto"/>
              <w:right w:val="single" w:sz="8" w:color="auto"/>
            </w:tcBorders>
          </w:tcPr>
          <w:p>
            <w:pPr>
              <w:spacing w:after="0"/>
              <w:rPr>
                <w:sz w:val="12"/>
                <w:szCs w:val="12"/>
                <w:color w:val="auto"/>
              </w:rPr>
            </w:pPr>
          </w:p>
        </w:tc>
        <w:tc>
          <w:tcPr>
            <w:tcW w:w="2180" w:type="dxa"/>
            <w:vAlign w:val="bottom"/>
          </w:tcPr>
          <w:p>
            <w:pPr>
              <w:jc w:val="center"/>
              <w:ind w:left="537"/>
              <w:spacing w:after="0" w:line="144" w:lineRule="exact"/>
              <w:rPr>
                <w:sz w:val="20"/>
                <w:szCs w:val="20"/>
                <w:color w:val="auto"/>
              </w:rPr>
            </w:pPr>
            <w:r>
              <w:rPr>
                <w:rFonts w:ascii="Times New Roman" w:cs="Times New Roman" w:eastAsia="Times New Roman" w:hAnsi="Times New Roman"/>
                <w:sz w:val="13"/>
                <w:szCs w:val="13"/>
                <w:color w:val="auto"/>
                <w:w w:val="96"/>
              </w:rPr>
              <w:t>AMD_00243265.0,</w:t>
            </w:r>
          </w:p>
        </w:tc>
        <w:tc>
          <w:tcPr>
            <w:tcW w:w="62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r>
      <w:tr>
        <w:trPr>
          <w:trHeight w:val="144"/>
        </w:trPr>
        <w:tc>
          <w:tcPr>
            <w:tcW w:w="1220" w:type="dxa"/>
            <w:vAlign w:val="bottom"/>
            <w:tcBorders>
              <w:left w:val="single" w:sz="8" w:color="auto"/>
              <w:right w:val="single" w:sz="8" w:color="auto"/>
            </w:tcBorders>
          </w:tcPr>
          <w:p>
            <w:pPr>
              <w:spacing w:after="0"/>
              <w:rPr>
                <w:sz w:val="12"/>
                <w:szCs w:val="12"/>
                <w:color w:val="auto"/>
              </w:rPr>
            </w:pPr>
          </w:p>
        </w:tc>
        <w:tc>
          <w:tcPr>
            <w:tcW w:w="2180" w:type="dxa"/>
            <w:vAlign w:val="bottom"/>
          </w:tcPr>
          <w:p>
            <w:pPr>
              <w:jc w:val="center"/>
              <w:ind w:left="537"/>
              <w:spacing w:after="0" w:line="144" w:lineRule="exact"/>
              <w:rPr>
                <w:sz w:val="20"/>
                <w:szCs w:val="20"/>
                <w:color w:val="auto"/>
              </w:rPr>
            </w:pPr>
            <w:r>
              <w:rPr>
                <w:rFonts w:ascii="Times New Roman" w:cs="Times New Roman" w:eastAsia="Times New Roman" w:hAnsi="Times New Roman"/>
                <w:sz w:val="13"/>
                <w:szCs w:val="13"/>
                <w:color w:val="auto"/>
                <w:w w:val="96"/>
              </w:rPr>
              <w:t>AMD_00209563.0,</w:t>
            </w:r>
          </w:p>
        </w:tc>
        <w:tc>
          <w:tcPr>
            <w:tcW w:w="62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r>
      <w:tr>
        <w:trPr>
          <w:trHeight w:val="162"/>
        </w:trPr>
        <w:tc>
          <w:tcPr>
            <w:tcW w:w="1220" w:type="dxa"/>
            <w:vAlign w:val="bottom"/>
            <w:tcBorders>
              <w:left w:val="single" w:sz="8" w:color="auto"/>
              <w:bottom w:val="single" w:sz="8" w:color="auto"/>
              <w:right w:val="single" w:sz="8" w:color="auto"/>
            </w:tcBorders>
          </w:tcPr>
          <w:p>
            <w:pPr>
              <w:spacing w:after="0"/>
              <w:rPr>
                <w:sz w:val="14"/>
                <w:szCs w:val="14"/>
                <w:color w:val="auto"/>
              </w:rPr>
            </w:pPr>
          </w:p>
        </w:tc>
        <w:tc>
          <w:tcPr>
            <w:tcW w:w="218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3"/>
                <w:szCs w:val="13"/>
                <w:color w:val="auto"/>
                <w:w w:val="97"/>
              </w:rPr>
              <w:t>AMD_00200775.0)</w:t>
            </w:r>
          </w:p>
        </w:tc>
        <w:tc>
          <w:tcPr>
            <w:tcW w:w="62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r>
      <w:tr>
        <w:trPr>
          <w:trHeight w:val="115"/>
        </w:trPr>
        <w:tc>
          <w:tcPr>
            <w:tcW w:w="1220" w:type="dxa"/>
            <w:vAlign w:val="bottom"/>
            <w:tcBorders>
              <w:left w:val="single" w:sz="8" w:color="auto"/>
              <w:right w:val="single" w:sz="8" w:color="auto"/>
            </w:tcBorders>
          </w:tcPr>
          <w:p>
            <w:pPr>
              <w:ind w:left="440"/>
              <w:spacing w:after="0" w:line="115" w:lineRule="exact"/>
              <w:rPr>
                <w:sz w:val="20"/>
                <w:szCs w:val="20"/>
                <w:color w:val="auto"/>
              </w:rPr>
            </w:pPr>
            <w:r>
              <w:rPr>
                <w:rFonts w:ascii="Times New Roman" w:cs="Times New Roman" w:eastAsia="Times New Roman" w:hAnsi="Times New Roman"/>
                <w:sz w:val="13"/>
                <w:szCs w:val="13"/>
                <w:color w:val="auto"/>
              </w:rPr>
              <w:t>ESML</w:t>
            </w:r>
          </w:p>
        </w:tc>
        <w:tc>
          <w:tcPr>
            <w:tcW w:w="2180" w:type="dxa"/>
            <w:vAlign w:val="bottom"/>
          </w:tcPr>
          <w:p>
            <w:pPr>
              <w:jc w:val="center"/>
              <w:ind w:left="5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AMD_00250009.0</w:t>
            </w:r>
          </w:p>
        </w:tc>
        <w:tc>
          <w:tcPr>
            <w:tcW w:w="620" w:type="dxa"/>
            <w:vAlign w:val="bottom"/>
            <w:tcBorders>
              <w:right w:val="single" w:sz="8" w:color="auto"/>
            </w:tcBorders>
          </w:tcPr>
          <w:p>
            <w:pPr>
              <w:spacing w:after="0"/>
              <w:rPr>
                <w:sz w:val="9"/>
                <w:szCs w:val="9"/>
                <w:color w:val="auto"/>
              </w:rPr>
            </w:pPr>
          </w:p>
        </w:tc>
        <w:tc>
          <w:tcPr>
            <w:tcW w:w="1580" w:type="dxa"/>
            <w:vAlign w:val="bottom"/>
          </w:tcPr>
          <w:p>
            <w:pPr>
              <w:jc w:val="center"/>
              <w:ind w:left="537"/>
              <w:spacing w:after="0" w:line="115" w:lineRule="exact"/>
              <w:rPr>
                <w:sz w:val="20"/>
                <w:szCs w:val="20"/>
                <w:color w:val="auto"/>
              </w:rPr>
            </w:pPr>
            <w:r>
              <w:rPr>
                <w:rFonts w:ascii="Times New Roman" w:cs="Times New Roman" w:eastAsia="Times New Roman" w:hAnsi="Times New Roman"/>
                <w:sz w:val="13"/>
                <w:szCs w:val="13"/>
                <w:color w:val="auto"/>
                <w:w w:val="96"/>
              </w:rPr>
              <w:t>September 1, 2018</w:t>
            </w:r>
          </w:p>
        </w:tc>
        <w:tc>
          <w:tcPr>
            <w:tcW w:w="64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iShares ESG MSCI</w:t>
            </w:r>
          </w:p>
        </w:tc>
        <w:tc>
          <w:tcPr>
            <w:tcW w:w="2320" w:type="dxa"/>
            <w:vAlign w:val="bottom"/>
            <w:tcBorders>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iShares ESG Aware</w:t>
            </w:r>
          </w:p>
        </w:tc>
      </w:tr>
      <w:tr>
        <w:trPr>
          <w:trHeight w:val="144"/>
        </w:trPr>
        <w:tc>
          <w:tcPr>
            <w:tcW w:w="1220" w:type="dxa"/>
            <w:vAlign w:val="bottom"/>
            <w:tcBorders>
              <w:left w:val="single" w:sz="8" w:color="auto"/>
              <w:right w:val="single" w:sz="8" w:color="auto"/>
            </w:tcBorders>
          </w:tcPr>
          <w:p>
            <w:pPr>
              <w:spacing w:after="0"/>
              <w:rPr>
                <w:sz w:val="12"/>
                <w:szCs w:val="12"/>
                <w:color w:val="auto"/>
              </w:rPr>
            </w:pPr>
          </w:p>
        </w:tc>
        <w:tc>
          <w:tcPr>
            <w:tcW w:w="2180" w:type="dxa"/>
            <w:vAlign w:val="bottom"/>
          </w:tcPr>
          <w:p>
            <w:pPr>
              <w:jc w:val="center"/>
              <w:ind w:left="517"/>
              <w:spacing w:after="0" w:line="144" w:lineRule="exact"/>
              <w:rPr>
                <w:sz w:val="20"/>
                <w:szCs w:val="20"/>
                <w:color w:val="auto"/>
              </w:rPr>
            </w:pPr>
            <w:r>
              <w:rPr>
                <w:rFonts w:ascii="Times New Roman" w:cs="Times New Roman" w:eastAsia="Times New Roman" w:hAnsi="Times New Roman"/>
                <w:sz w:val="13"/>
                <w:szCs w:val="13"/>
                <w:color w:val="auto"/>
                <w:w w:val="97"/>
              </w:rPr>
              <w:t>(previous</w:t>
            </w:r>
          </w:p>
        </w:tc>
        <w:tc>
          <w:tcPr>
            <w:tcW w:w="62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tcPr>
          <w:p>
            <w:pPr>
              <w:ind w:left="40"/>
              <w:spacing w:after="0" w:line="144" w:lineRule="exact"/>
              <w:rPr>
                <w:sz w:val="20"/>
                <w:szCs w:val="20"/>
                <w:color w:val="auto"/>
              </w:rPr>
            </w:pPr>
            <w:r>
              <w:rPr>
                <w:rFonts w:ascii="Times New Roman" w:cs="Times New Roman" w:eastAsia="Times New Roman" w:hAnsi="Times New Roman"/>
                <w:sz w:val="13"/>
                <w:szCs w:val="13"/>
                <w:color w:val="auto"/>
              </w:rPr>
              <w:t>USA Small-Cap ETF</w:t>
            </w:r>
          </w:p>
        </w:tc>
        <w:tc>
          <w:tcPr>
            <w:tcW w:w="2320" w:type="dxa"/>
            <w:vAlign w:val="bottom"/>
            <w:tcBorders>
              <w:right w:val="single" w:sz="8" w:color="auto"/>
            </w:tcBorders>
          </w:tcPr>
          <w:p>
            <w:pPr>
              <w:ind w:left="40"/>
              <w:spacing w:after="0" w:line="144" w:lineRule="exact"/>
              <w:rPr>
                <w:sz w:val="20"/>
                <w:szCs w:val="20"/>
                <w:color w:val="auto"/>
              </w:rPr>
            </w:pPr>
            <w:r>
              <w:rPr>
                <w:rFonts w:ascii="Times New Roman" w:cs="Times New Roman" w:eastAsia="Times New Roman" w:hAnsi="Times New Roman"/>
                <w:sz w:val="13"/>
                <w:szCs w:val="13"/>
                <w:color w:val="auto"/>
              </w:rPr>
              <w:t>MSCI USA Small-</w:t>
            </w:r>
          </w:p>
        </w:tc>
      </w:tr>
      <w:tr>
        <w:trPr>
          <w:trHeight w:val="162"/>
        </w:trPr>
        <w:tc>
          <w:tcPr>
            <w:tcW w:w="1220" w:type="dxa"/>
            <w:vAlign w:val="bottom"/>
            <w:tcBorders>
              <w:left w:val="single" w:sz="8" w:color="auto"/>
              <w:bottom w:val="single" w:sz="8" w:color="auto"/>
              <w:right w:val="single" w:sz="8" w:color="auto"/>
            </w:tcBorders>
          </w:tcPr>
          <w:p>
            <w:pPr>
              <w:spacing w:after="0"/>
              <w:rPr>
                <w:sz w:val="14"/>
                <w:szCs w:val="14"/>
                <w:color w:val="auto"/>
              </w:rPr>
            </w:pPr>
          </w:p>
        </w:tc>
        <w:tc>
          <w:tcPr>
            <w:tcW w:w="218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3"/>
                <w:szCs w:val="13"/>
                <w:color w:val="auto"/>
                <w:w w:val="97"/>
              </w:rPr>
              <w:t>AMD_00235248.0)</w:t>
            </w:r>
          </w:p>
        </w:tc>
        <w:tc>
          <w:tcPr>
            <w:tcW w:w="62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Cap ETF</w:t>
            </w:r>
          </w:p>
        </w:tc>
      </w:tr>
      <w:tr>
        <w:trPr>
          <w:trHeight w:val="729"/>
        </w:trPr>
        <w:tc>
          <w:tcPr>
            <w:tcW w:w="1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w w:val="91"/>
              </w:rPr>
              <w:t>2</w:t>
            </w:r>
          </w:p>
        </w:tc>
        <w:tc>
          <w:tcPr>
            <w:tcW w:w="274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300"/>
          </w:cols>
          <w:pgMar w:left="300" w:top="278" w:right="29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3"/>
          <w:szCs w:val="13"/>
          <w:b w:val="1"/>
          <w:bCs w:val="1"/>
          <w:color w:val="auto"/>
        </w:rPr>
        <w:t>Exhibit 10.225</w:t>
      </w:r>
    </w:p>
    <w:p>
      <w:pPr>
        <w:spacing w:after="0" w:line="139" w:lineRule="exact"/>
        <w:rPr>
          <w:sz w:val="20"/>
          <w:szCs w:val="20"/>
          <w:color w:val="auto"/>
        </w:rPr>
      </w:pPr>
    </w:p>
    <w:p>
      <w:pPr>
        <w:ind w:left="8" w:right="20" w:hanging="8"/>
        <w:spacing w:after="0" w:line="244" w:lineRule="auto"/>
        <w:tabs>
          <w:tab w:leader="none" w:pos="252" w:val="left"/>
        </w:tabs>
        <w:numPr>
          <w:ilvl w:val="0"/>
          <w:numId w:val="38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jc w:val="right"/>
        <w:spacing w:after="0"/>
        <w:rPr>
          <w:sz w:val="20"/>
          <w:szCs w:val="20"/>
          <w:color w:val="auto"/>
        </w:rPr>
      </w:pPr>
      <w:r>
        <w:rPr>
          <w:rFonts w:ascii="Times New Roman" w:cs="Times New Roman" w:eastAsia="Times New Roman" w:hAnsi="Times New Roman"/>
          <w:sz w:val="13"/>
          <w:szCs w:val="13"/>
          <w:color w:val="auto"/>
        </w:rPr>
        <w:t>AMD_00270883.0</w:t>
      </w:r>
    </w:p>
    <w:p>
      <w:pPr>
        <w:spacing w:after="0" w:line="269" w:lineRule="exact"/>
        <w:rPr>
          <w:sz w:val="20"/>
          <w:szCs w:val="20"/>
          <w:color w:val="auto"/>
        </w:rPr>
      </w:pPr>
    </w:p>
    <w:p>
      <w:pPr>
        <w:ind w:left="8"/>
        <w:spacing w:after="0" w:line="254" w:lineRule="auto"/>
        <w:rPr>
          <w:sz w:val="20"/>
          <w:szCs w:val="20"/>
          <w:color w:val="auto"/>
        </w:rPr>
      </w:pPr>
      <w:r>
        <w:rPr>
          <w:rFonts w:ascii="Times New Roman" w:cs="Times New Roman" w:eastAsia="Times New Roman" w:hAnsi="Times New Roman"/>
          <w:sz w:val="13"/>
          <w:szCs w:val="13"/>
          <w:color w:val="auto"/>
        </w:rPr>
        <w:t>THIS AMENDMENT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dated as of March 9, 2020 (the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is made to the Schedules (as defined below) by and between MSCI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each applicable Schedule, as the case may be.</w:t>
      </w:r>
    </w:p>
    <w:p>
      <w:pPr>
        <w:spacing w:after="0" w:line="89" w:lineRule="exact"/>
        <w:rPr>
          <w:sz w:val="20"/>
          <w:szCs w:val="20"/>
          <w:color w:val="auto"/>
        </w:rPr>
      </w:pPr>
    </w:p>
    <w:p>
      <w:pPr>
        <w:ind w:left="8" w:right="20"/>
        <w:spacing w:after="0" w:line="254" w:lineRule="auto"/>
        <w:rPr>
          <w:sz w:val="20"/>
          <w:szCs w:val="20"/>
          <w:color w:val="auto"/>
        </w:rPr>
      </w:pPr>
      <w:r>
        <w:rPr>
          <w:rFonts w:ascii="Times New Roman" w:cs="Times New Roman" w:eastAsia="Times New Roman" w:hAnsi="Times New Roman"/>
          <w:sz w:val="13"/>
          <w:szCs w:val="13"/>
          <w:color w:val="auto"/>
        </w:rPr>
        <w:t>WHEREAS, MSCI and Licensee entered into (i) the Index License Agreement for Funds (internal MSCI reference number: IXF_00040) dated as of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and (ii) the Schedules or Amendments identified in Attachment 1 hereto (each, a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u w:val="single" w:color="auto"/>
          <w:color w:val="auto"/>
        </w:rPr>
        <w:t>Schedules</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in consideration of the mutual covenants set forth herein, each of MSCI and Licensee hereby agree to amend the Schedules as follows:</w:t>
      </w:r>
    </w:p>
    <w:p>
      <w:pPr>
        <w:spacing w:after="0" w:line="112" w:lineRule="exact"/>
        <w:rPr>
          <w:sz w:val="20"/>
          <w:szCs w:val="20"/>
          <w:color w:val="auto"/>
        </w:rPr>
      </w:pPr>
    </w:p>
    <w:p>
      <w:pPr>
        <w:ind w:left="428" w:right="20" w:hanging="428"/>
        <w:spacing w:after="0" w:line="254" w:lineRule="auto"/>
        <w:tabs>
          <w:tab w:leader="none" w:pos="428" w:val="left"/>
        </w:tabs>
        <w:numPr>
          <w:ilvl w:val="0"/>
          <w:numId w:val="3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Amendment Effective Date, each of the Schedules is hereby amended so that the “original Fund Name” set forth in Attachment 1 hereto shall be deleted and replaced with the “revised Fund Name” set forth in Attachment 1 hereto.</w:t>
      </w:r>
    </w:p>
    <w:p>
      <w:pPr>
        <w:spacing w:after="0" w:line="88" w:lineRule="exact"/>
        <w:rPr>
          <w:rFonts w:ascii="Times New Roman" w:cs="Times New Roman" w:eastAsia="Times New Roman" w:hAnsi="Times New Roman"/>
          <w:sz w:val="13"/>
          <w:szCs w:val="13"/>
          <w:color w:val="auto"/>
        </w:rPr>
      </w:pPr>
    </w:p>
    <w:p>
      <w:pPr>
        <w:jc w:val="both"/>
        <w:ind w:left="428" w:hanging="428"/>
        <w:spacing w:after="0" w:line="243" w:lineRule="auto"/>
        <w:tabs>
          <w:tab w:leader="none" w:pos="428" w:val="left"/>
        </w:tabs>
        <w:numPr>
          <w:ilvl w:val="0"/>
          <w:numId w:val="3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amends and operates in conjunction with each applicable Schedule. This Amendment, each applicable Schedule and the Agreement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any applicable Schedule or the Agreement, the terms of this Amendment shall control.</w:t>
      </w:r>
    </w:p>
    <w:p>
      <w:pPr>
        <w:spacing w:after="0" w:line="9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3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11" w:lineRule="exact"/>
        <w:rPr>
          <w:rFonts w:ascii="Times New Roman" w:cs="Times New Roman" w:eastAsia="Times New Roman" w:hAnsi="Times New Roman"/>
          <w:sz w:val="13"/>
          <w:szCs w:val="13"/>
          <w:color w:val="auto"/>
        </w:rPr>
      </w:pPr>
    </w:p>
    <w:p>
      <w:pPr>
        <w:jc w:val="both"/>
        <w:ind w:left="428" w:hanging="428"/>
        <w:spacing w:after="0" w:line="243" w:lineRule="auto"/>
        <w:tabs>
          <w:tab w:leader="none" w:pos="428" w:val="left"/>
        </w:tabs>
        <w:numPr>
          <w:ilvl w:val="0"/>
          <w:numId w:val="3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counterparts, which taken together, shall constitute one Amendment and each party hereto may execute this Amendment by signing such counterpart; provided 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as of the Amendment Effective Date set forth above.</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5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MSCI Inc.</w:t>
            </w:r>
          </w:p>
        </w:tc>
        <w:tc>
          <w:tcPr>
            <w:tcW w:w="5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BlackRock Fund Advisors</w:t>
            </w: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Ruth Weiss</w:t>
            </w: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Name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Title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March 24, 2020</w:t>
            </w:r>
          </w:p>
        </w:tc>
      </w:tr>
    </w:tbl>
    <w:p>
      <w:pPr>
        <w:spacing w:after="0" w:line="200" w:lineRule="exact"/>
        <w:rPr>
          <w:sz w:val="20"/>
          <w:szCs w:val="20"/>
          <w:color w:val="auto"/>
        </w:rPr>
      </w:pPr>
    </w:p>
    <w:p>
      <w:pPr>
        <w:spacing w:after="0" w:line="37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89470" cy="11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9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2" w:right="299" w:bottom="1440" w:gutter="0" w:footer="0" w:header="0"/>
        </w:sectPr>
      </w:pPr>
    </w:p>
    <w:bookmarkStart w:id="272" w:name="page273"/>
    <w:bookmarkEnd w:id="272"/>
    <w:p>
      <w:pPr>
        <w:jc w:val="center"/>
        <w:ind w:right="20"/>
        <w:spacing w:after="0"/>
        <w:rPr>
          <w:sz w:val="20"/>
          <w:szCs w:val="20"/>
          <w:color w:val="auto"/>
        </w:rPr>
      </w:pPr>
      <w:r>
        <w:rPr>
          <w:rFonts w:ascii="Times New Roman" w:cs="Times New Roman" w:eastAsia="Times New Roman" w:hAnsi="Times New Roman"/>
          <w:sz w:val="13"/>
          <w:szCs w:val="13"/>
          <w:color w:val="auto"/>
        </w:rPr>
        <w:t>Attachment 1</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260" w:type="dxa"/>
            <w:vAlign w:val="bottom"/>
            <w:tcBorders>
              <w:top w:val="single" w:sz="8" w:color="auto"/>
              <w:left w:val="single" w:sz="8" w:color="auto"/>
              <w:bottom w:val="single" w:sz="8" w:color="auto"/>
            </w:tcBorders>
            <w:shd w:val="clear" w:color="auto" w:fill="D9D9D9"/>
          </w:tcPr>
          <w:p>
            <w:pPr>
              <w:spacing w:after="0"/>
              <w:rPr>
                <w:sz w:val="18"/>
                <w:szCs w:val="18"/>
                <w:color w:val="auto"/>
              </w:rPr>
            </w:pPr>
          </w:p>
        </w:tc>
        <w:tc>
          <w:tcPr>
            <w:tcW w:w="3400" w:type="dxa"/>
            <w:vAlign w:val="bottom"/>
            <w:tcBorders>
              <w:top w:val="single" w:sz="8" w:color="auto"/>
              <w:bottom w:val="single" w:sz="8" w:color="auto"/>
              <w:right w:val="single" w:sz="8" w:color="auto"/>
            </w:tcBorders>
            <w:gridSpan w:val="2"/>
            <w:shd w:val="clear" w:color="auto" w:fill="D9D9D9"/>
          </w:tcPr>
          <w:p>
            <w:pPr>
              <w:ind w:left="320"/>
              <w:spacing w:after="0"/>
              <w:rPr>
                <w:sz w:val="20"/>
                <w:szCs w:val="20"/>
                <w:color w:val="auto"/>
              </w:rPr>
            </w:pPr>
            <w:r>
              <w:rPr>
                <w:rFonts w:ascii="Times New Roman" w:cs="Times New Roman" w:eastAsia="Times New Roman" w:hAnsi="Times New Roman"/>
                <w:sz w:val="13"/>
                <w:szCs w:val="13"/>
                <w:b w:val="1"/>
                <w:bCs w:val="1"/>
                <w:color w:val="auto"/>
              </w:rPr>
              <w:t>Schedule</w:t>
            </w:r>
          </w:p>
        </w:tc>
        <w:tc>
          <w:tcPr>
            <w:tcW w:w="2840" w:type="dxa"/>
            <w:vAlign w:val="bottom"/>
            <w:tcBorders>
              <w:top w:val="single" w:sz="8" w:color="auto"/>
              <w:bottom w:val="single" w:sz="8" w:color="auto"/>
              <w:right w:val="single" w:sz="8" w:color="auto"/>
            </w:tcBorders>
            <w:shd w:val="clear" w:color="auto" w:fill="D9D9D9"/>
          </w:tcPr>
          <w:p>
            <w:pPr>
              <w:jc w:val="right"/>
              <w:ind w:right="797"/>
              <w:spacing w:after="0"/>
              <w:rPr>
                <w:sz w:val="20"/>
                <w:szCs w:val="20"/>
                <w:color w:val="auto"/>
              </w:rPr>
            </w:pPr>
            <w:r>
              <w:rPr>
                <w:rFonts w:ascii="Times New Roman" w:cs="Times New Roman" w:eastAsia="Times New Roman" w:hAnsi="Times New Roman"/>
                <w:sz w:val="13"/>
                <w:szCs w:val="13"/>
                <w:b w:val="1"/>
                <w:bCs w:val="1"/>
                <w:color w:val="auto"/>
              </w:rPr>
              <w:t>original Fund name</w:t>
            </w:r>
          </w:p>
        </w:tc>
        <w:tc>
          <w:tcPr>
            <w:tcW w:w="2800" w:type="dxa"/>
            <w:vAlign w:val="bottom"/>
            <w:tcBorders>
              <w:top w:val="single" w:sz="8" w:color="auto"/>
              <w:bottom w:val="single" w:sz="8" w:color="auto"/>
              <w:right w:val="single" w:sz="8" w:color="auto"/>
            </w:tcBorders>
            <w:shd w:val="clear" w:color="auto" w:fill="D9D9D9"/>
          </w:tcPr>
          <w:p>
            <w:pPr>
              <w:ind w:left="900"/>
              <w:spacing w:after="0"/>
              <w:rPr>
                <w:sz w:val="20"/>
                <w:szCs w:val="20"/>
                <w:color w:val="auto"/>
              </w:rPr>
            </w:pPr>
            <w:r>
              <w:rPr>
                <w:rFonts w:ascii="Times New Roman" w:cs="Times New Roman" w:eastAsia="Times New Roman" w:hAnsi="Times New Roman"/>
                <w:sz w:val="13"/>
                <w:szCs w:val="13"/>
                <w:b w:val="1"/>
                <w:bCs w:val="1"/>
                <w:color w:val="auto"/>
              </w:rPr>
              <w:t>revised Fund Name</w:t>
            </w:r>
          </w:p>
        </w:tc>
      </w:tr>
      <w:tr>
        <w:trPr>
          <w:trHeight w:val="79"/>
        </w:trPr>
        <w:tc>
          <w:tcPr>
            <w:tcW w:w="2260" w:type="dxa"/>
            <w:vAlign w:val="bottom"/>
            <w:tcBorders>
              <w:top w:val="single" w:sz="8" w:color="D9D9D9"/>
              <w:left w:val="single" w:sz="8" w:color="auto"/>
              <w:bottom w:val="single" w:sz="8" w:color="auto"/>
            </w:tcBorders>
            <w:shd w:val="clear" w:color="auto" w:fill="D9D9D9"/>
          </w:tcPr>
          <w:p>
            <w:pPr>
              <w:jc w:val="center"/>
              <w:ind w:left="501"/>
              <w:spacing w:after="0" w:line="79" w:lineRule="exact"/>
              <w:rPr>
                <w:sz w:val="20"/>
                <w:szCs w:val="20"/>
                <w:color w:val="auto"/>
              </w:rPr>
            </w:pPr>
            <w:r>
              <w:rPr>
                <w:rFonts w:ascii="Times New Roman" w:cs="Times New Roman" w:eastAsia="Times New Roman" w:hAnsi="Times New Roman"/>
                <w:sz w:val="9"/>
                <w:szCs w:val="9"/>
                <w:b w:val="1"/>
                <w:bCs w:val="1"/>
                <w:color w:val="auto"/>
              </w:rPr>
              <w:t>internal MSCI ref. #</w:t>
            </w:r>
          </w:p>
        </w:tc>
        <w:tc>
          <w:tcPr>
            <w:tcW w:w="58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c>
          <w:tcPr>
            <w:tcW w:w="2820" w:type="dxa"/>
            <w:vAlign w:val="bottom"/>
            <w:tcBorders>
              <w:top w:val="single" w:sz="8" w:color="D9D9D9"/>
              <w:bottom w:val="single" w:sz="8" w:color="auto"/>
              <w:right w:val="single" w:sz="8" w:color="auto"/>
            </w:tcBorders>
            <w:shd w:val="clear" w:color="auto" w:fill="D9D9D9"/>
          </w:tcPr>
          <w:p>
            <w:pPr>
              <w:jc w:val="center"/>
              <w:spacing w:after="0" w:line="79" w:lineRule="exact"/>
              <w:rPr>
                <w:sz w:val="20"/>
                <w:szCs w:val="20"/>
                <w:color w:val="auto"/>
              </w:rPr>
            </w:pPr>
            <w:r>
              <w:rPr>
                <w:rFonts w:ascii="Times New Roman" w:cs="Times New Roman" w:eastAsia="Times New Roman" w:hAnsi="Times New Roman"/>
                <w:sz w:val="9"/>
                <w:szCs w:val="9"/>
                <w:b w:val="1"/>
                <w:bCs w:val="1"/>
                <w:color w:val="auto"/>
              </w:rPr>
              <w:t>Date of Schedule</w:t>
            </w:r>
          </w:p>
        </w:tc>
        <w:tc>
          <w:tcPr>
            <w:tcW w:w="2840" w:type="dxa"/>
            <w:vAlign w:val="bottom"/>
            <w:tcBorders>
              <w:top w:val="single" w:sz="8" w:color="auto"/>
              <w:bottom w:val="single" w:sz="8" w:color="auto"/>
              <w:right w:val="single" w:sz="8" w:color="auto"/>
            </w:tcBorders>
            <w:shd w:val="clear" w:color="auto" w:fill="D9D9D9"/>
          </w:tcPr>
          <w:p>
            <w:pPr>
              <w:spacing w:after="0"/>
              <w:rPr>
                <w:sz w:val="6"/>
                <w:szCs w:val="6"/>
                <w:color w:val="auto"/>
              </w:rPr>
            </w:pPr>
          </w:p>
        </w:tc>
        <w:tc>
          <w:tcPr>
            <w:tcW w:w="2800" w:type="dxa"/>
            <w:vAlign w:val="bottom"/>
            <w:tcBorders>
              <w:top w:val="single" w:sz="8" w:color="auto"/>
              <w:bottom w:val="single" w:sz="8" w:color="auto"/>
              <w:right w:val="single" w:sz="8" w:color="auto"/>
            </w:tcBorders>
            <w:shd w:val="clear" w:color="auto" w:fill="D9D9D9"/>
          </w:tcPr>
          <w:p>
            <w:pPr>
              <w:spacing w:after="0"/>
              <w:rPr>
                <w:sz w:val="6"/>
                <w:szCs w:val="6"/>
                <w:color w:val="auto"/>
              </w:rPr>
            </w:pPr>
          </w:p>
        </w:tc>
      </w:tr>
      <w:tr>
        <w:trPr>
          <w:trHeight w:val="169"/>
        </w:trPr>
        <w:tc>
          <w:tcPr>
            <w:tcW w:w="2260" w:type="dxa"/>
            <w:vAlign w:val="bottom"/>
            <w:tcBorders>
              <w:left w:val="single" w:sz="8" w:color="auto"/>
              <w:bottom w:val="single" w:sz="8" w:color="auto"/>
            </w:tcBorders>
          </w:tcPr>
          <w:p>
            <w:pPr>
              <w:jc w:val="center"/>
              <w:ind w:left="501"/>
              <w:spacing w:after="0"/>
              <w:rPr>
                <w:sz w:val="20"/>
                <w:szCs w:val="20"/>
                <w:color w:val="auto"/>
              </w:rPr>
            </w:pPr>
            <w:r>
              <w:rPr>
                <w:rFonts w:ascii="Times New Roman" w:cs="Times New Roman" w:eastAsia="Times New Roman" w:hAnsi="Times New Roman"/>
                <w:sz w:val="13"/>
                <w:szCs w:val="13"/>
                <w:color w:val="auto"/>
                <w:w w:val="95"/>
              </w:rPr>
              <w:t>AMD_00265489.0</w:t>
            </w:r>
          </w:p>
        </w:tc>
        <w:tc>
          <w:tcPr>
            <w:tcW w:w="580" w:type="dxa"/>
            <w:vAlign w:val="bottom"/>
            <w:tcBorders>
              <w:bottom w:val="single" w:sz="8" w:color="auto"/>
              <w:right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November 25, 2019</w:t>
            </w:r>
          </w:p>
        </w:tc>
        <w:tc>
          <w:tcPr>
            <w:tcW w:w="2840" w:type="dxa"/>
            <w:vAlign w:val="bottom"/>
            <w:tcBorders>
              <w:bottom w:val="single" w:sz="8" w:color="auto"/>
              <w:right w:val="single" w:sz="8" w:color="auto"/>
            </w:tcBorders>
          </w:tcPr>
          <w:p>
            <w:pPr>
              <w:jc w:val="right"/>
              <w:ind w:right="2137"/>
              <w:spacing w:after="0"/>
              <w:rPr>
                <w:sz w:val="20"/>
                <w:szCs w:val="20"/>
                <w:color w:val="auto"/>
              </w:rPr>
            </w:pPr>
            <w:r>
              <w:rPr>
                <w:rFonts w:ascii="Times New Roman" w:cs="Times New Roman" w:eastAsia="Times New Roman" w:hAnsi="Times New Roman"/>
                <w:sz w:val="13"/>
                <w:szCs w:val="13"/>
                <w:color w:val="auto"/>
              </w:rPr>
              <w:t>*********</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iShares ESG Advanced MSCI USA ETF</w:t>
            </w:r>
          </w:p>
        </w:tc>
      </w:tr>
      <w:tr>
        <w:trPr>
          <w:trHeight w:val="169"/>
        </w:trPr>
        <w:tc>
          <w:tcPr>
            <w:tcW w:w="2260" w:type="dxa"/>
            <w:vAlign w:val="bottom"/>
            <w:tcBorders>
              <w:left w:val="single" w:sz="8" w:color="auto"/>
              <w:bottom w:val="single" w:sz="8" w:color="auto"/>
            </w:tcBorders>
          </w:tcPr>
          <w:p>
            <w:pPr>
              <w:jc w:val="center"/>
              <w:ind w:left="501"/>
              <w:spacing w:after="0"/>
              <w:rPr>
                <w:sz w:val="20"/>
                <w:szCs w:val="20"/>
                <w:color w:val="auto"/>
              </w:rPr>
            </w:pPr>
            <w:r>
              <w:rPr>
                <w:rFonts w:ascii="Times New Roman" w:cs="Times New Roman" w:eastAsia="Times New Roman" w:hAnsi="Times New Roman"/>
                <w:sz w:val="13"/>
                <w:szCs w:val="13"/>
                <w:color w:val="auto"/>
                <w:w w:val="95"/>
              </w:rPr>
              <w:t>AMD_00265489.0</w:t>
            </w:r>
          </w:p>
        </w:tc>
        <w:tc>
          <w:tcPr>
            <w:tcW w:w="580" w:type="dxa"/>
            <w:vAlign w:val="bottom"/>
            <w:tcBorders>
              <w:bottom w:val="single" w:sz="8" w:color="auto"/>
              <w:right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November 25, 2019</w:t>
            </w:r>
          </w:p>
        </w:tc>
        <w:tc>
          <w:tcPr>
            <w:tcW w:w="2840" w:type="dxa"/>
            <w:vAlign w:val="bottom"/>
            <w:tcBorders>
              <w:bottom w:val="single" w:sz="8" w:color="auto"/>
              <w:right w:val="single" w:sz="8" w:color="auto"/>
            </w:tcBorders>
          </w:tcPr>
          <w:p>
            <w:pPr>
              <w:jc w:val="right"/>
              <w:ind w:right="2137"/>
              <w:spacing w:after="0"/>
              <w:rPr>
                <w:sz w:val="20"/>
                <w:szCs w:val="20"/>
                <w:color w:val="auto"/>
              </w:rPr>
            </w:pPr>
            <w:r>
              <w:rPr>
                <w:rFonts w:ascii="Times New Roman" w:cs="Times New Roman" w:eastAsia="Times New Roman" w:hAnsi="Times New Roman"/>
                <w:sz w:val="13"/>
                <w:szCs w:val="13"/>
                <w:color w:val="auto"/>
              </w:rPr>
              <w:t>*********</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iShares ESG Advanced MSCI EAFE ETF</w:t>
            </w:r>
          </w:p>
        </w:tc>
      </w:tr>
      <w:tr>
        <w:trPr>
          <w:trHeight w:val="169"/>
        </w:trPr>
        <w:tc>
          <w:tcPr>
            <w:tcW w:w="2260" w:type="dxa"/>
            <w:vAlign w:val="bottom"/>
            <w:tcBorders>
              <w:left w:val="single" w:sz="8" w:color="auto"/>
              <w:bottom w:val="single" w:sz="8" w:color="auto"/>
            </w:tcBorders>
          </w:tcPr>
          <w:p>
            <w:pPr>
              <w:jc w:val="center"/>
              <w:ind w:left="501"/>
              <w:spacing w:after="0"/>
              <w:rPr>
                <w:sz w:val="20"/>
                <w:szCs w:val="20"/>
                <w:color w:val="auto"/>
              </w:rPr>
            </w:pPr>
            <w:r>
              <w:rPr>
                <w:rFonts w:ascii="Times New Roman" w:cs="Times New Roman" w:eastAsia="Times New Roman" w:hAnsi="Times New Roman"/>
                <w:sz w:val="13"/>
                <w:szCs w:val="13"/>
                <w:color w:val="auto"/>
                <w:w w:val="95"/>
              </w:rPr>
              <w:t>AMD_00265489.0</w:t>
            </w:r>
          </w:p>
        </w:tc>
        <w:tc>
          <w:tcPr>
            <w:tcW w:w="580" w:type="dxa"/>
            <w:vAlign w:val="bottom"/>
            <w:tcBorders>
              <w:bottom w:val="single" w:sz="8" w:color="auto"/>
              <w:right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November 25, 2019</w:t>
            </w:r>
          </w:p>
        </w:tc>
        <w:tc>
          <w:tcPr>
            <w:tcW w:w="2840" w:type="dxa"/>
            <w:vAlign w:val="bottom"/>
            <w:tcBorders>
              <w:bottom w:val="single" w:sz="8" w:color="auto"/>
              <w:right w:val="single" w:sz="8" w:color="auto"/>
            </w:tcBorders>
          </w:tcPr>
          <w:p>
            <w:pPr>
              <w:jc w:val="right"/>
              <w:ind w:right="2137"/>
              <w:spacing w:after="0"/>
              <w:rPr>
                <w:sz w:val="20"/>
                <w:szCs w:val="20"/>
                <w:color w:val="auto"/>
              </w:rPr>
            </w:pPr>
            <w:r>
              <w:rPr>
                <w:rFonts w:ascii="Times New Roman" w:cs="Times New Roman" w:eastAsia="Times New Roman" w:hAnsi="Times New Roman"/>
                <w:sz w:val="13"/>
                <w:szCs w:val="13"/>
                <w:color w:val="auto"/>
              </w:rPr>
              <w:t>*********</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iShares ESG Advanced MSCI EM ETF</w:t>
            </w:r>
          </w:p>
        </w:tc>
      </w:tr>
    </w:tbl>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0"/>
          </w:cols>
          <w:pgMar w:left="300" w:top="274" w:right="29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3"/>
          <w:szCs w:val="13"/>
          <w:b w:val="1"/>
          <w:bCs w:val="1"/>
          <w:color w:val="auto"/>
        </w:rPr>
        <w:t>Exhibit 10.226</w:t>
      </w:r>
    </w:p>
    <w:p>
      <w:pPr>
        <w:spacing w:after="0" w:line="148" w:lineRule="exact"/>
        <w:rPr>
          <w:sz w:val="20"/>
          <w:szCs w:val="20"/>
          <w:color w:val="auto"/>
        </w:rPr>
      </w:pPr>
    </w:p>
    <w:p>
      <w:pPr>
        <w:ind w:left="8" w:hanging="8"/>
        <w:spacing w:after="0" w:line="284" w:lineRule="auto"/>
        <w:tabs>
          <w:tab w:leader="none" w:pos="279" w:val="left"/>
        </w:tabs>
        <w:numPr>
          <w:ilvl w:val="0"/>
          <w:numId w:val="3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07" w:lineRule="exact"/>
        <w:rPr>
          <w:sz w:val="20"/>
          <w:szCs w:val="20"/>
          <w:color w:val="auto"/>
        </w:rPr>
      </w:pPr>
    </w:p>
    <w:p>
      <w:pPr>
        <w:ind w:left="10308"/>
        <w:spacing w:after="0"/>
        <w:rPr>
          <w:sz w:val="20"/>
          <w:szCs w:val="20"/>
          <w:color w:val="auto"/>
        </w:rPr>
      </w:pPr>
      <w:r>
        <w:rPr>
          <w:rFonts w:ascii="Times New Roman" w:cs="Times New Roman" w:eastAsia="Times New Roman" w:hAnsi="Times New Roman"/>
          <w:sz w:val="13"/>
          <w:szCs w:val="13"/>
          <w:color w:val="auto"/>
        </w:rPr>
        <w:t>AMD_00265661.0</w:t>
      </w:r>
    </w:p>
    <w:p>
      <w:pPr>
        <w:spacing w:after="0" w:line="148"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THIS AMENDMENT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dated as of April 1, 2020 (the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is made to the Previous Amendment (as defined below) by and between MSCI Inc. (formerly known as Morgan Stanley Capital International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the Previous Amendment or the Agreement (as defined below), as the case may be.</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WHEREAS, MSCI and Licensee entered into the Amendment (internal MSCI reference number: AMD_00090437.0) dated as of February 21, 2013 (as previously amended by the amendment dated May 4, 2016</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(internal MSCI reference number: AMD_00191087.0) and the amendment dated February 3, 2020 (internal MSCI reference number: AMD_00269258.0), the “</w:t>
      </w:r>
      <w:r>
        <w:rPr>
          <w:rFonts w:ascii="Times New Roman" w:cs="Times New Roman" w:eastAsia="Times New Roman" w:hAnsi="Times New Roman"/>
          <w:sz w:val="13"/>
          <w:szCs w:val="13"/>
          <w:u w:val="single" w:color="auto"/>
          <w:color w:val="auto"/>
        </w:rPr>
        <w:t>Previous Amendment</w:t>
      </w:r>
      <w:r>
        <w:rPr>
          <w:rFonts w:ascii="Times New Roman" w:cs="Times New Roman" w:eastAsia="Times New Roman" w:hAnsi="Times New Roman"/>
          <w:sz w:val="13"/>
          <w:szCs w:val="13"/>
          <w:color w:val="auto"/>
        </w:rPr>
        <w:t>”), which amends the Index</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License Agreement for Funds (internal MSCI reference number: IXF_00040) dated as of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between MSCI and Licensee; and</w:t>
      </w:r>
    </w:p>
    <w:p>
      <w:pPr>
        <w:spacing w:after="0" w:line="116"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WHEREAS, on a date which is expected to occur on or about ********* (the “</w:t>
      </w:r>
      <w:r>
        <w:rPr>
          <w:rFonts w:ascii="Times New Roman" w:cs="Times New Roman" w:eastAsia="Times New Roman" w:hAnsi="Times New Roman"/>
          <w:sz w:val="13"/>
          <w:szCs w:val="13"/>
          <w:u w:val="single" w:color="auto"/>
          <w:color w:val="auto"/>
        </w:rPr>
        <w:t>Conversion Date</w:t>
      </w:r>
      <w:r>
        <w:rPr>
          <w:rFonts w:ascii="Times New Roman" w:cs="Times New Roman" w:eastAsia="Times New Roman" w:hAnsi="Times New Roman"/>
          <w:sz w:val="13"/>
          <w:szCs w:val="13"/>
          <w:color w:val="auto"/>
        </w:rPr>
        <w:t>”), Licensee and MSCI wish to replace MSCI USA Momentum Index with MSCI USA Momentum SR Variant Index as the underlying index for iShares MSCI USA Momentum Factor ETF.</w:t>
      </w:r>
    </w:p>
    <w:p>
      <w:pPr>
        <w:spacing w:after="0" w:line="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in consideration of the mutual covenants set forth herein, each of MSCI and Licensee hereby agree to amend the Previous Amendment as follows:</w:t>
      </w:r>
    </w:p>
    <w:p>
      <w:pPr>
        <w:spacing w:after="0" w:line="121" w:lineRule="exact"/>
        <w:rPr>
          <w:sz w:val="20"/>
          <w:szCs w:val="20"/>
          <w:color w:val="auto"/>
        </w:rPr>
      </w:pPr>
    </w:p>
    <w:p>
      <w:pPr>
        <w:ind w:left="428" w:hanging="428"/>
        <w:spacing w:after="0" w:line="281" w:lineRule="auto"/>
        <w:tabs>
          <w:tab w:leader="none" w:pos="428" w:val="left"/>
        </w:tabs>
        <w:numPr>
          <w:ilvl w:val="0"/>
          <w:numId w:val="3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Conversion Date, Section 1 of the Previous Amendment is hereby amended so that all references to the “MSCI USA Momentum Index” shall be deleted and replaced with the following index: “MSCI USA Momentum SR Variant Index.”.</w:t>
      </w:r>
    </w:p>
    <w:p>
      <w:pPr>
        <w:spacing w:after="0" w:line="72" w:lineRule="exact"/>
        <w:rPr>
          <w:rFonts w:ascii="Times New Roman" w:cs="Times New Roman" w:eastAsia="Times New Roman" w:hAnsi="Times New Roman"/>
          <w:sz w:val="13"/>
          <w:szCs w:val="13"/>
          <w:color w:val="auto"/>
        </w:rPr>
      </w:pPr>
    </w:p>
    <w:p>
      <w:pPr>
        <w:ind w:left="428" w:right="20" w:hanging="428"/>
        <w:spacing w:after="0" w:line="281" w:lineRule="auto"/>
        <w:tabs>
          <w:tab w:leader="none" w:pos="428" w:val="left"/>
        </w:tabs>
        <w:numPr>
          <w:ilvl w:val="0"/>
          <w:numId w:val="3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2.If the Conversion Date occurs more than one hundred ninety (190) days after *********, this Amendment shall automatically terminate and this Amendment shall have no effect on the Previous Amendment.</w:t>
      </w:r>
    </w:p>
    <w:p>
      <w:pPr>
        <w:spacing w:after="0" w:line="72" w:lineRule="exact"/>
        <w:rPr>
          <w:rFonts w:ascii="Times New Roman" w:cs="Times New Roman" w:eastAsia="Times New Roman" w:hAnsi="Times New Roman"/>
          <w:sz w:val="13"/>
          <w:szCs w:val="13"/>
          <w:color w:val="auto"/>
        </w:rPr>
      </w:pPr>
    </w:p>
    <w:p>
      <w:pPr>
        <w:jc w:val="both"/>
        <w:ind w:left="428" w:hanging="428"/>
        <w:spacing w:after="0" w:line="263" w:lineRule="auto"/>
        <w:tabs>
          <w:tab w:leader="none" w:pos="428" w:val="left"/>
        </w:tabs>
        <w:numPr>
          <w:ilvl w:val="0"/>
          <w:numId w:val="3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amends and operates in conjunction with the Previous Amendment. This Amendment, the Previous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the Previous Amendment, or the Agreement, the terms of this Amendment shall control.</w:t>
      </w:r>
    </w:p>
    <w:p>
      <w:pPr>
        <w:spacing w:after="0" w:line="8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3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20" w:lineRule="exact"/>
        <w:rPr>
          <w:rFonts w:ascii="Times New Roman" w:cs="Times New Roman" w:eastAsia="Times New Roman" w:hAnsi="Times New Roman"/>
          <w:sz w:val="13"/>
          <w:szCs w:val="13"/>
          <w:color w:val="auto"/>
        </w:rPr>
      </w:pPr>
    </w:p>
    <w:p>
      <w:pPr>
        <w:jc w:val="both"/>
        <w:ind w:left="428" w:hanging="428"/>
        <w:spacing w:after="0" w:line="263" w:lineRule="auto"/>
        <w:tabs>
          <w:tab w:leader="none" w:pos="428" w:val="left"/>
        </w:tabs>
        <w:numPr>
          <w:ilvl w:val="0"/>
          <w:numId w:val="3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counterparts, which taken together, shall constitute one Amendment and each party hereto may execute this Amendment by signing such counterpart; provided 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1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89470" cy="114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67" w:right="2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as of the Amendment Effective Date set forth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MSCI Inc.</w:t>
            </w:r>
          </w:p>
        </w:tc>
        <w:tc>
          <w:tcPr>
            <w:tcW w:w="3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BlackRock Fund Advisors</w:t>
            </w:r>
          </w:p>
        </w:tc>
      </w:tr>
      <w:tr>
        <w:trPr>
          <w:trHeight w:val="302"/>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2160" w:type="dxa"/>
            <w:vAlign w:val="bottom"/>
            <w:tcBorders>
              <w:bottom w:val="single" w:sz="8" w:color="auto"/>
            </w:tcBorders>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Ruth Weiss</w:t>
            </w:r>
          </w:p>
        </w:tc>
      </w:tr>
      <w:tr>
        <w:trPr>
          <w:trHeight w:val="295"/>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2160" w:type="dxa"/>
            <w:vAlign w:val="bottom"/>
            <w:tcBorders>
              <w:bottom w:val="single" w:sz="8" w:color="auto"/>
            </w:tcBorders>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r>
      <w:tr>
        <w:trPr>
          <w:trHeight w:val="295"/>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2160" w:type="dxa"/>
            <w:vAlign w:val="bottom"/>
            <w:tcBorders>
              <w:bottom w:val="single" w:sz="8" w:color="auto"/>
            </w:tcBorders>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r>
      <w:tr>
        <w:trPr>
          <w:trHeight w:val="443"/>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11300"/>
          </w:cols>
          <w:pgMar w:left="300" w:top="386" w:right="29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3"/>
          <w:szCs w:val="13"/>
          <w:b w:val="1"/>
          <w:bCs w:val="1"/>
          <w:color w:val="auto"/>
        </w:rPr>
        <w:t>Exhibit 10.227</w:t>
      </w:r>
    </w:p>
    <w:p>
      <w:pPr>
        <w:spacing w:after="0" w:line="275" w:lineRule="exact"/>
        <w:rPr>
          <w:sz w:val="20"/>
          <w:szCs w:val="20"/>
          <w:color w:val="auto"/>
        </w:rPr>
      </w:pPr>
    </w:p>
    <w:p>
      <w:pPr>
        <w:ind w:left="8" w:hanging="8"/>
        <w:spacing w:after="0" w:line="262" w:lineRule="auto"/>
        <w:tabs>
          <w:tab w:leader="none" w:pos="220" w:val="left"/>
        </w:tabs>
        <w:numPr>
          <w:ilvl w:val="0"/>
          <w:numId w:val="3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AMD_00272081.0</w:t>
      </w:r>
    </w:p>
    <w:p>
      <w:pPr>
        <w:spacing w:after="0" w:line="269"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THIS AMENDMENT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dated as of April 13, 2020 (the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is made to the Previous Amendment (as defined below) by and between MSCI Inc. (formerly known as Morgan Stanley Capital International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the Previous Amendment or the Agreement (as defined below), as the case may be.</w:t>
      </w:r>
    </w:p>
    <w:p>
      <w:pPr>
        <w:spacing w:after="0" w:line="85"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WHEREAS, MSCI and Licensee entered into the Index License Agreement for Funds (internal MSCI reference number: IXF_00040) dated as of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between MSCI and Licensee; and</w:t>
      </w:r>
    </w:p>
    <w:p>
      <w:pPr>
        <w:spacing w:after="0" w:line="73" w:lineRule="exact"/>
        <w:rPr>
          <w:sz w:val="20"/>
          <w:szCs w:val="20"/>
          <w:color w:val="auto"/>
        </w:rPr>
      </w:pPr>
    </w:p>
    <w:p>
      <w:pPr>
        <w:jc w:val="both"/>
        <w:ind w:left="8" w:right="20"/>
        <w:spacing w:after="0" w:line="281" w:lineRule="auto"/>
        <w:rPr>
          <w:sz w:val="20"/>
          <w:szCs w:val="20"/>
          <w:color w:val="auto"/>
        </w:rPr>
      </w:pPr>
      <w:r>
        <w:rPr>
          <w:rFonts w:ascii="Times New Roman" w:cs="Times New Roman" w:eastAsia="Times New Roman" w:hAnsi="Times New Roman"/>
          <w:sz w:val="13"/>
          <w:szCs w:val="13"/>
          <w:color w:val="auto"/>
        </w:rPr>
        <w:t>WHEREAS, on a date which is expected to occur on or about ********* (the “</w:t>
      </w:r>
      <w:r>
        <w:rPr>
          <w:rFonts w:ascii="Times New Roman" w:cs="Times New Roman" w:eastAsia="Times New Roman" w:hAnsi="Times New Roman"/>
          <w:sz w:val="13"/>
          <w:szCs w:val="13"/>
          <w:u w:val="single" w:color="auto"/>
          <w:color w:val="auto"/>
        </w:rPr>
        <w:t>Conversion Date</w:t>
      </w:r>
      <w:r>
        <w:rPr>
          <w:rFonts w:ascii="Times New Roman" w:cs="Times New Roman" w:eastAsia="Times New Roman" w:hAnsi="Times New Roman"/>
          <w:sz w:val="13"/>
          <w:szCs w:val="13"/>
          <w:color w:val="auto"/>
        </w:rPr>
        <w:t>”), Licensee and MSCI wish to replace MSCI Hong Kong Index with MSCI Hong Kong 25/50 Index as the underlying index for iShares MSCI Hong Kong ETF.</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in consideration of the mutual covenants set forth herein, each of MSCI and Licensee hereby agree to amend the Previous Amendment as follows:</w:t>
      </w:r>
    </w:p>
    <w:p>
      <w:pPr>
        <w:spacing w:after="0" w:line="121" w:lineRule="exact"/>
        <w:rPr>
          <w:sz w:val="20"/>
          <w:szCs w:val="20"/>
          <w:color w:val="auto"/>
        </w:rPr>
      </w:pPr>
    </w:p>
    <w:p>
      <w:pPr>
        <w:ind w:left="428" w:right="20" w:hanging="428"/>
        <w:spacing w:after="0" w:line="281" w:lineRule="auto"/>
        <w:tabs>
          <w:tab w:leader="none" w:pos="428" w:val="left"/>
        </w:tabs>
        <w:numPr>
          <w:ilvl w:val="0"/>
          <w:numId w:val="3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Conversion Date, Exhibit A of the Agreement is hereby amended so that all references to the “MSCI Hong Kong Index” shall be deleted and replaced with the following index: “MSCI Hong Kong 25/50 Index.”</w:t>
      </w:r>
    </w:p>
    <w:p>
      <w:pPr>
        <w:spacing w:after="0" w:line="72" w:lineRule="exact"/>
        <w:rPr>
          <w:rFonts w:ascii="Times New Roman" w:cs="Times New Roman" w:eastAsia="Times New Roman" w:hAnsi="Times New Roman"/>
          <w:sz w:val="13"/>
          <w:szCs w:val="13"/>
          <w:color w:val="auto"/>
        </w:rPr>
      </w:pPr>
    </w:p>
    <w:p>
      <w:pPr>
        <w:ind w:left="428" w:right="20" w:hanging="428"/>
        <w:spacing w:after="0" w:line="260" w:lineRule="auto"/>
        <w:tabs>
          <w:tab w:leader="none" w:pos="428" w:val="left"/>
        </w:tabs>
        <w:numPr>
          <w:ilvl w:val="0"/>
          <w:numId w:val="3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Conversion Date occurs more than one hundred ninety (190) days after *********, this Amendment shall automatically terminate and this Amendment shall have no effect on the Previous Amendment.</w:t>
      </w:r>
    </w:p>
    <w:p>
      <w:pPr>
        <w:spacing w:after="0" w:line="261" w:lineRule="exact"/>
        <w:rPr>
          <w:rFonts w:ascii="Times New Roman" w:cs="Times New Roman" w:eastAsia="Times New Roman" w:hAnsi="Times New Roman"/>
          <w:sz w:val="13"/>
          <w:szCs w:val="13"/>
          <w:color w:val="auto"/>
        </w:rPr>
      </w:pPr>
    </w:p>
    <w:p>
      <w:pPr>
        <w:jc w:val="both"/>
        <w:ind w:left="428" w:hanging="428"/>
        <w:spacing w:after="0" w:line="263" w:lineRule="auto"/>
        <w:tabs>
          <w:tab w:leader="none" w:pos="428" w:val="left"/>
        </w:tabs>
        <w:numPr>
          <w:ilvl w:val="0"/>
          <w:numId w:val="3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amends and operates in conjunction with the Previous Amendment. This Amendment, the Previous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the Previous Amendment, or the Agreement, the terms of this Amendment shall control.</w:t>
      </w:r>
    </w:p>
    <w:p>
      <w:pPr>
        <w:spacing w:after="0" w:line="8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3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20" w:lineRule="exact"/>
        <w:rPr>
          <w:rFonts w:ascii="Times New Roman" w:cs="Times New Roman" w:eastAsia="Times New Roman" w:hAnsi="Times New Roman"/>
          <w:sz w:val="13"/>
          <w:szCs w:val="13"/>
          <w:color w:val="auto"/>
        </w:rPr>
      </w:pPr>
    </w:p>
    <w:p>
      <w:pPr>
        <w:jc w:val="both"/>
        <w:ind w:left="428" w:hanging="428"/>
        <w:spacing w:after="0" w:line="263" w:lineRule="auto"/>
        <w:tabs>
          <w:tab w:leader="none" w:pos="428" w:val="left"/>
        </w:tabs>
        <w:numPr>
          <w:ilvl w:val="0"/>
          <w:numId w:val="3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counterparts, which taken together, shall constitute one Amendment and each party hereto may execute this Amendment by signing such counterpart; provided 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429" w:right="2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as of the Amendment Effective Date set forth above.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MSCI Inc.</w:t>
            </w:r>
          </w:p>
        </w:tc>
        <w:tc>
          <w:tcPr>
            <w:tcW w:w="4040" w:type="dxa"/>
            <w:vAlign w:val="bottom"/>
          </w:tcPr>
          <w:p>
            <w:pPr>
              <w:spacing w:after="0"/>
              <w:rPr>
                <w:sz w:val="14"/>
                <w:szCs w:val="14"/>
                <w:color w:val="auto"/>
              </w:rPr>
            </w:pPr>
          </w:p>
        </w:tc>
        <w:tc>
          <w:tcPr>
            <w:tcW w:w="60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BlackRock Fund Advisors</w:t>
            </w:r>
          </w:p>
        </w:tc>
      </w:tr>
      <w:tr>
        <w:trPr>
          <w:trHeight w:val="302"/>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1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Ruth Weiss</w:t>
            </w:r>
          </w:p>
        </w:tc>
      </w:tr>
      <w:tr>
        <w:trPr>
          <w:trHeight w:val="295"/>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1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Name</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r>
      <w:tr>
        <w:trPr>
          <w:trHeight w:val="295"/>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1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Title</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r>
      <w:tr>
        <w:trPr>
          <w:trHeight w:val="583"/>
        </w:trPr>
        <w:tc>
          <w:tcPr>
            <w:tcW w:w="1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2</w:t>
            </w:r>
          </w:p>
        </w:tc>
        <w:tc>
          <w:tcPr>
            <w:tcW w:w="4640" w:type="dxa"/>
            <w:vAlign w:val="bottom"/>
          </w:tcPr>
          <w:p>
            <w:pPr>
              <w:spacing w:after="0"/>
              <w:rPr>
                <w:sz w:val="24"/>
                <w:szCs w:val="24"/>
                <w:color w:val="auto"/>
              </w:rPr>
            </w:pPr>
          </w:p>
        </w:tc>
      </w:tr>
    </w:tbl>
    <w:p>
      <w:pPr>
        <w:sectPr>
          <w:pgSz w:w="11900" w:h="16838" w:orient="portrait"/>
          <w:cols w:equalWidth="0" w:num="1">
            <w:col w:w="11300"/>
          </w:cols>
          <w:pgMar w:left="300" w:top="278" w:right="29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3"/>
          <w:szCs w:val="13"/>
          <w:b w:val="1"/>
          <w:bCs w:val="1"/>
          <w:color w:val="auto"/>
        </w:rPr>
        <w:t>Exhibit 10.228</w:t>
      </w:r>
    </w:p>
    <w:p>
      <w:pPr>
        <w:spacing w:after="0" w:line="139" w:lineRule="exact"/>
        <w:rPr>
          <w:sz w:val="20"/>
          <w:szCs w:val="20"/>
          <w:color w:val="auto"/>
        </w:rPr>
      </w:pPr>
    </w:p>
    <w:p>
      <w:pPr>
        <w:ind w:firstLine="9"/>
        <w:spacing w:after="0" w:line="258" w:lineRule="auto"/>
        <w:tabs>
          <w:tab w:leader="none" w:pos="265" w:val="left"/>
        </w:tabs>
        <w:numPr>
          <w:ilvl w:val="0"/>
          <w:numId w:val="38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jc w:val="right"/>
        <w:spacing w:after="0" w:line="232" w:lineRule="auto"/>
        <w:rPr>
          <w:sz w:val="20"/>
          <w:szCs w:val="20"/>
          <w:color w:val="auto"/>
        </w:rPr>
      </w:pPr>
      <w:r>
        <w:rPr>
          <w:rFonts w:ascii="Times New Roman" w:cs="Times New Roman" w:eastAsia="Times New Roman" w:hAnsi="Times New Roman"/>
          <w:sz w:val="13"/>
          <w:szCs w:val="13"/>
          <w:color w:val="auto"/>
        </w:rPr>
        <w:t>AMD_00273220.0</w:t>
      </w:r>
    </w:p>
    <w:p>
      <w:pPr>
        <w:jc w:val="center"/>
        <w:ind w:right="120"/>
        <w:spacing w:after="0"/>
        <w:rPr>
          <w:sz w:val="20"/>
          <w:szCs w:val="20"/>
          <w:color w:val="auto"/>
        </w:rPr>
      </w:pPr>
      <w:r>
        <w:rPr>
          <w:rFonts w:ascii="Times New Roman" w:cs="Times New Roman" w:eastAsia="Times New Roman" w:hAnsi="Times New Roman"/>
          <w:sz w:val="13"/>
          <w:szCs w:val="13"/>
          <w:b w:val="1"/>
          <w:bCs w:val="1"/>
          <w:u w:val="single" w:color="auto"/>
          <w:color w:val="auto"/>
        </w:rPr>
        <w:t>Amendment No. 5</w:t>
      </w:r>
    </w:p>
    <w:p>
      <w:pPr>
        <w:spacing w:after="0" w:line="134"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3"/>
          <w:szCs w:val="13"/>
          <w:color w:val="auto"/>
        </w:rPr>
        <w:t>This Amendment No. 5 (this “Amendment”) is entered into as of June 15, 2020 (“Effective Date”) by and between BlackRock Fund Advisors (“Licensee”) and MSCI ESG Research LLC pursuant to the Index License Agreement for Funds (internal MSCI reference number IXF_00040) dated as of March 18, 2000 (the “U.S. Agreement”) by and between MSCI Inc. (formerly known as Morgan Stanley Capital International Inc.) and Licensee (as successor to Barclays Global Investors, N.A.). The U.S. Agreement, together with this Amendment, shall constitute the “Agreement.”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Capitalized terms used but not defined in this Amendment shall have the meanings ascribed to them in the U.S. Agreement.</w:t>
      </w:r>
    </w:p>
    <w:p>
      <w:pPr>
        <w:spacing w:after="0" w:line="14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3"/>
          <w:szCs w:val="13"/>
          <w:color w:val="auto"/>
        </w:rPr>
        <w:t>*The parties agree that this Amendment is subject to the terms and conditions of the U.S. Agreement, all of which shall be incorporated hereunder, and which shall constitute the whole and standalone Agreement between Licensee and MSCI ESG Research LLC. The parties agree, for the purposes of this Amendment, that MSCI ESG Research LLC shall be deemed to be “MSCI” (as such term is used in the U.S. Agreement) as if it had entered the U.S. Agreement in place of MSCI Inc. For the avoidance of doubt, this Amendment shall not modify any other licenses granted to Licensee pursuant to the U.S. Agreement, or any other amendment to the U.S. Agreement, between MSCI Inc. and Licensee. To the extent there is a conflict between this Amendment and the U.S. Agreement, the terms of this Amendment shall prevail.</w:t>
      </w:r>
    </w:p>
    <w:p>
      <w:pPr>
        <w:spacing w:after="0" w:line="114" w:lineRule="exact"/>
        <w:rPr>
          <w:sz w:val="20"/>
          <w:szCs w:val="20"/>
          <w:color w:val="auto"/>
        </w:rPr>
      </w:pPr>
    </w:p>
    <w:p>
      <w:pPr>
        <w:ind w:left="440" w:hanging="431"/>
        <w:spacing w:after="0"/>
        <w:tabs>
          <w:tab w:leader="none" w:pos="440" w:val="left"/>
        </w:tabs>
        <w:numPr>
          <w:ilvl w:val="0"/>
          <w:numId w:val="39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Index and Marks: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Exhibit A of the U.S. Agreement is hereby amended to include the following Index and Marks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•Bloomberg Barclays MSCI US High Yield Choice ESG Screened Index</w:t>
      </w:r>
    </w:p>
    <w:p>
      <w:pPr>
        <w:spacing w:after="0" w:line="145" w:lineRule="exact"/>
        <w:rPr>
          <w:sz w:val="20"/>
          <w:szCs w:val="20"/>
          <w:color w:val="auto"/>
        </w:rPr>
      </w:pPr>
    </w:p>
    <w:p>
      <w:pPr>
        <w:ind w:left="440" w:hanging="431"/>
        <w:spacing w:after="0"/>
        <w:tabs>
          <w:tab w:leader="none" w:pos="440" w:val="left"/>
        </w:tabs>
        <w:numPr>
          <w:ilvl w:val="0"/>
          <w:numId w:val="3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Funds: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Exhibit B of the U.S. Agreement is hereby amended as follows:</w:t>
      </w:r>
    </w:p>
    <w:p>
      <w:pPr>
        <w:spacing w:after="0" w:line="76" w:lineRule="exact"/>
        <w:rPr>
          <w:sz w:val="20"/>
          <w:szCs w:val="20"/>
          <w:color w:val="auto"/>
        </w:rPr>
      </w:pPr>
    </w:p>
    <w:p>
      <w:pPr>
        <w:ind w:left="860" w:right="180" w:hanging="428"/>
        <w:spacing w:after="0" w:line="281" w:lineRule="auto"/>
        <w:tabs>
          <w:tab w:leader="none" w:pos="860" w:val="left"/>
        </w:tabs>
        <w:numPr>
          <w:ilvl w:val="0"/>
          <w:numId w:val="3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Licensee shall use the Index set forth in Section 1 above with respect to the following Licensee Fund (the “ESG ETF” or the “Fund”, which shall be a “Fund” as such term is defined in the U.S. Agreement):</w:t>
      </w:r>
    </w:p>
    <w:p>
      <w:pPr>
        <w:spacing w:after="0" w:line="28" w:lineRule="exact"/>
        <w:rPr>
          <w:sz w:val="20"/>
          <w:szCs w:val="20"/>
          <w:color w:val="auto"/>
        </w:rPr>
      </w:pPr>
    </w:p>
    <w:p>
      <w:pPr>
        <w:ind w:left="880" w:hanging="430"/>
        <w:spacing w:after="0"/>
        <w:tabs>
          <w:tab w:leader="none" w:pos="880" w:val="left"/>
        </w:tabs>
        <w:numPr>
          <w:ilvl w:val="0"/>
          <w:numId w:val="3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iShares ESG Advanced High Yield Corporate Bond ETF or such other name(s) as are agreed by Licensee and MSCI.</w:t>
      </w:r>
    </w:p>
    <w:p>
      <w:pPr>
        <w:spacing w:after="0" w:line="85" w:lineRule="exact"/>
        <w:rPr>
          <w:sz w:val="20"/>
          <w:szCs w:val="20"/>
          <w:color w:val="auto"/>
        </w:rPr>
      </w:pPr>
    </w:p>
    <w:p>
      <w:pPr>
        <w:ind w:left="860" w:hanging="428"/>
        <w:spacing w:after="0"/>
        <w:tabs>
          <w:tab w:leader="none" w:pos="860" w:val="left"/>
        </w:tabs>
        <w:numPr>
          <w:ilvl w:val="0"/>
          <w:numId w:val="3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ESG ETF shall be an exchange traded index fund listed on a national securities exchange located in the United States.</w:t>
      </w:r>
    </w:p>
    <w:p>
      <w:pPr>
        <w:spacing w:after="0" w:line="84" w:lineRule="exact"/>
        <w:rPr>
          <w:rFonts w:ascii="Times New Roman" w:cs="Times New Roman" w:eastAsia="Times New Roman" w:hAnsi="Times New Roman"/>
          <w:sz w:val="13"/>
          <w:szCs w:val="13"/>
          <w:color w:val="auto"/>
        </w:rPr>
      </w:pPr>
    </w:p>
    <w:p>
      <w:pPr>
        <w:ind w:left="860" w:right="20" w:hanging="428"/>
        <w:spacing w:after="0" w:line="281" w:lineRule="auto"/>
        <w:tabs>
          <w:tab w:leader="none" w:pos="860" w:val="left"/>
        </w:tabs>
        <w:numPr>
          <w:ilvl w:val="0"/>
          <w:numId w:val="3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primary listing(s) must occur within twelve months of the Effective Date of this Amendment. After such twelve month period, Licensee shall obtain MSCI’s prior written permission before the primary listing of the Fund on any national securities exchange located in the United States.</w:t>
      </w:r>
    </w:p>
    <w:p>
      <w:pPr>
        <w:spacing w:after="0" w:line="63" w:lineRule="exact"/>
        <w:rPr>
          <w:rFonts w:ascii="Times New Roman" w:cs="Times New Roman" w:eastAsia="Times New Roman" w:hAnsi="Times New Roman"/>
          <w:sz w:val="13"/>
          <w:szCs w:val="13"/>
          <w:color w:val="auto"/>
        </w:rPr>
      </w:pPr>
    </w:p>
    <w:p>
      <w:pPr>
        <w:ind w:left="860" w:hanging="428"/>
        <w:spacing w:after="0"/>
        <w:tabs>
          <w:tab w:leader="none" w:pos="860" w:val="left"/>
        </w:tabs>
        <w:numPr>
          <w:ilvl w:val="0"/>
          <w:numId w:val="3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Agreement: (i) does not give Licensee the right to create any futures, options or other derivatives based on any of the Index listed in this Amendment, and (ii) does not give Licensee the</w:t>
      </w:r>
    </w:p>
    <w:p>
      <w:pPr>
        <w:spacing w:after="0" w:line="3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148590</wp:posOffset>
            </wp:positionV>
            <wp:extent cx="7189470" cy="11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9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00"/>
          </w:cols>
          <w:pgMar w:left="400" w:top="411" w:right="299" w:bottom="1440" w:gutter="0" w:footer="0" w:header="0"/>
        </w:sectPr>
      </w:pPr>
    </w:p>
    <w:bookmarkStart w:id="278" w:name="page279"/>
    <w:bookmarkEnd w:id="278"/>
    <w:p>
      <w:pPr>
        <w:ind w:left="860" w:right="480"/>
        <w:spacing w:after="0" w:line="281" w:lineRule="auto"/>
        <w:rPr>
          <w:sz w:val="20"/>
          <w:szCs w:val="20"/>
          <w:color w:val="auto"/>
        </w:rPr>
      </w:pPr>
      <w:r>
        <w:rPr>
          <w:rFonts w:ascii="Times New Roman" w:cs="Times New Roman" w:eastAsia="Times New Roman" w:hAnsi="Times New Roman"/>
          <w:sz w:val="13"/>
          <w:szCs w:val="13"/>
          <w:color w:val="auto"/>
        </w:rPr>
        <w:t>right to create any futures, options, or other derivatives of the Fund without the prior written consent of MSCI. Notwithstanding the foregoing, Licensee may hold futures, options or other derivative instruments as constituent holdings of the Fund.</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e.Licensee or any affiliate of Licensee is the asset manager of the Fund.</w:t>
      </w:r>
    </w:p>
    <w:p>
      <w:pPr>
        <w:spacing w:after="0" w:line="145" w:lineRule="exact"/>
        <w:rPr>
          <w:sz w:val="20"/>
          <w:szCs w:val="20"/>
          <w:color w:val="auto"/>
        </w:rPr>
      </w:pPr>
    </w:p>
    <w:p>
      <w:pPr>
        <w:ind w:left="440" w:hanging="431"/>
        <w:spacing w:after="0"/>
        <w:tabs>
          <w:tab w:leader="none" w:pos="440" w:val="left"/>
        </w:tabs>
        <w:numPr>
          <w:ilvl w:val="0"/>
          <w:numId w:val="39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License Fees: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first paragraph of Section 3 of the U.S. Agreement shall be replaced as follows:</w:t>
      </w:r>
    </w:p>
    <w:p>
      <w:pPr>
        <w:spacing w:after="0" w:line="76" w:lineRule="exact"/>
        <w:rPr>
          <w:sz w:val="20"/>
          <w:szCs w:val="20"/>
          <w:color w:val="auto"/>
        </w:rPr>
      </w:pPr>
    </w:p>
    <w:p>
      <w:pPr>
        <w:ind w:left="860" w:hanging="428"/>
        <w:spacing w:after="0"/>
        <w:tabs>
          <w:tab w:leader="none" w:pos="860" w:val="left"/>
        </w:tabs>
        <w:numPr>
          <w:ilvl w:val="0"/>
          <w:numId w:val="3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on the Conversion Date, each calendar ***, Licensee shall pay to only MSCI *********:</w:t>
      </w:r>
    </w:p>
    <w:p>
      <w:pPr>
        <w:spacing w:after="0" w:line="75" w:lineRule="exact"/>
        <w:rPr>
          <w:rFonts w:ascii="Times New Roman" w:cs="Times New Roman" w:eastAsia="Times New Roman" w:hAnsi="Times New Roman"/>
          <w:sz w:val="13"/>
          <w:szCs w:val="13"/>
          <w:color w:val="auto"/>
        </w:rPr>
      </w:pPr>
    </w:p>
    <w:p>
      <w:pPr>
        <w:ind w:left="1020" w:hanging="161"/>
        <w:spacing w:after="0"/>
        <w:tabs>
          <w:tab w:leader="none" w:pos="1020" w:val="left"/>
        </w:tabs>
        <w:numPr>
          <w:ilvl w:val="1"/>
          <w:numId w:val="3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7" w:lineRule="exact"/>
        <w:rPr>
          <w:rFonts w:ascii="Times New Roman" w:cs="Times New Roman" w:eastAsia="Times New Roman" w:hAnsi="Times New Roman"/>
          <w:sz w:val="13"/>
          <w:szCs w:val="13"/>
          <w:color w:val="auto"/>
        </w:rPr>
      </w:pPr>
    </w:p>
    <w:p>
      <w:pPr>
        <w:ind w:left="1060" w:hanging="201"/>
        <w:spacing w:after="0"/>
        <w:tabs>
          <w:tab w:leader="none" w:pos="1060" w:val="left"/>
        </w:tabs>
        <w:numPr>
          <w:ilvl w:val="1"/>
          <w:numId w:val="3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62"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Notwithstanding the foregoing, ******************. For the avoidance of doubt, ********* and Licensee shall pay the Licensee Fees calculated as specified above for the *********, if any, or the *** License Fee set forth in 3(a)(ii) above.</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 the above License Fees shall be paid by Licensee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For purposes of illustration only, </w:t>
      </w:r>
      <w:r>
        <w:rPr>
          <w:rFonts w:ascii="Times New Roman" w:cs="Times New Roman" w:eastAsia="Times New Roman" w:hAnsi="Times New Roman"/>
          <w:sz w:val="13"/>
          <w:szCs w:val="13"/>
          <w:color w:val="auto"/>
        </w:rPr>
        <w:t>********* ********* ********</w:t>
      </w:r>
      <w:r>
        <w:rPr>
          <w:rFonts w:ascii="Times New Roman" w:cs="Times New Roman" w:eastAsia="Times New Roman" w:hAnsi="Times New Roman"/>
          <w:sz w:val="13"/>
          <w:szCs w:val="13"/>
          <w:i w:val="1"/>
          <w:iCs w:val="1"/>
          <w:color w:val="auto"/>
        </w:rPr>
        <w:t xml:space="preserve"> License Fee would be calculated as follows:</w:t>
      </w:r>
    </w:p>
    <w:p>
      <w:pPr>
        <w:spacing w:after="0" w:line="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 which shall be calculated on a ********* on the last day of the *********or, in the event of a termination of the Agreement or this Amendment, the effective date of such termination.</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 all license fees applicable to the Fund shall be ********* using a *********.</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860" w:hanging="428"/>
        <w:spacing w:after="0"/>
        <w:tabs>
          <w:tab w:leader="none" w:pos="860" w:val="left"/>
        </w:tabs>
        <w:numPr>
          <w:ilvl w:val="1"/>
          <w:numId w:val="3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Licensee shall, with the payment of the relevant *** License Fees, provide to MSCI a written report that shall include, for each ******, (i) the ****** of the Fund during such ******, (ii) the</w:t>
      </w:r>
    </w:p>
    <w:p>
      <w:pPr>
        <w:spacing w:after="0" w:line="17" w:lineRule="exact"/>
        <w:rPr>
          <w:rFonts w:ascii="Times New Roman" w:cs="Times New Roman" w:eastAsia="Times New Roman" w:hAnsi="Times New Roman"/>
          <w:sz w:val="13"/>
          <w:szCs w:val="13"/>
          <w:color w:val="auto"/>
        </w:rPr>
      </w:pPr>
    </w:p>
    <w:p>
      <w:pPr>
        <w:ind w:left="860" w:right="100"/>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and (iii) Licensee’s calculation of the ****** License Fees due for such ******. The License Fees shall *************** and shall be accompanied by a statement from Licensee or its designee stating that such fees are accurate. ***************************.</w:t>
      </w:r>
    </w:p>
    <w:p>
      <w:pPr>
        <w:spacing w:after="0" w:line="112" w:lineRule="exact"/>
        <w:rPr>
          <w:rFonts w:ascii="Times New Roman" w:cs="Times New Roman" w:eastAsia="Times New Roman" w:hAnsi="Times New Roman"/>
          <w:sz w:val="13"/>
          <w:szCs w:val="13"/>
          <w:color w:val="auto"/>
        </w:rPr>
      </w:pPr>
    </w:p>
    <w:p>
      <w:pPr>
        <w:ind w:left="440" w:hanging="431"/>
        <w:spacing w:after="0"/>
        <w:tabs>
          <w:tab w:leader="none" w:pos="440" w:val="left"/>
        </w:tabs>
        <w:numPr>
          <w:ilvl w:val="0"/>
          <w:numId w:val="3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Miscellaneous:</w:t>
      </w:r>
    </w:p>
    <w:p>
      <w:pPr>
        <w:spacing w:after="0" w:line="149" w:lineRule="exact"/>
        <w:rPr>
          <w:rFonts w:ascii="Times New Roman" w:cs="Times New Roman" w:eastAsia="Times New Roman" w:hAnsi="Times New Roman"/>
          <w:sz w:val="13"/>
          <w:szCs w:val="13"/>
          <w:b w:val="1"/>
          <w:bCs w:val="1"/>
          <w:color w:val="auto"/>
        </w:rPr>
      </w:pPr>
    </w:p>
    <w:p>
      <w:pPr>
        <w:ind w:left="860" w:right="60" w:hanging="428"/>
        <w:spacing w:after="0" w:line="252" w:lineRule="auto"/>
        <w:tabs>
          <w:tab w:leader="none" w:pos="860" w:val="left"/>
        </w:tabs>
        <w:numPr>
          <w:ilvl w:val="1"/>
          <w:numId w:val="3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MSCI ESG Research LLC and Barclays Capital Inc. (or its successor, “Bloomberg/Barclays”) are parties to an agreement dated as of May 2, 2012 setting forth the licensing for the Index and Marks listed above. MSCI ESG Research LLC has full power and authority, including all necessary permissions and authorizations from Bloomberg/Barclays, to grant a license to the Licensee to use the Index and Marks listed above. Licensee hereby acknowledges and agrees that for the Index, Licensee has provided to MSCI certain specifications, designs, security screens or other instructions from Licensee, such as instructions for controversial weapon exclusion screening (the “Licensee Information”). Licensee represents and warrants that it has all rights, titles, licenses, permissions and approvals necessary to provide the Licensee Information to MSCI or Bloomberg/Barclays for purposes of calculating the Index and that none of the Licensee Information infringes, violates, trespasses or in any manner contravenes or breaches any patent,</w:t>
      </w:r>
    </w:p>
    <w:p>
      <w:pPr>
        <w:spacing w:after="0" w:line="2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148590</wp:posOffset>
            </wp:positionV>
            <wp:extent cx="7189470" cy="11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80"/>
          </w:cols>
          <w:pgMar w:left="400" w:top="440" w:right="319" w:bottom="1440" w:gutter="0" w:footer="0" w:header="0"/>
        </w:sectPr>
      </w:pPr>
    </w:p>
    <w:bookmarkStart w:id="279" w:name="page280"/>
    <w:bookmarkEnd w:id="279"/>
    <w:p>
      <w:pPr>
        <w:ind w:left="428"/>
        <w:spacing w:after="0"/>
        <w:rPr>
          <w:sz w:val="20"/>
          <w:szCs w:val="20"/>
          <w:color w:val="auto"/>
        </w:rPr>
      </w:pPr>
      <w:r>
        <w:rPr>
          <w:rFonts w:ascii="Times New Roman" w:cs="Times New Roman" w:eastAsia="Times New Roman" w:hAnsi="Times New Roman"/>
          <w:sz w:val="13"/>
          <w:szCs w:val="13"/>
          <w:color w:val="auto"/>
        </w:rPr>
        <w:t>copyright, trademark, license or other property or proprietary right or constitutes the unauthorized use or misappropriation of any trade secret of any third party.</w:t>
      </w:r>
    </w:p>
    <w:p>
      <w:pPr>
        <w:spacing w:after="0" w:line="148" w:lineRule="exact"/>
        <w:rPr>
          <w:sz w:val="20"/>
          <w:szCs w:val="20"/>
          <w:color w:val="auto"/>
        </w:rPr>
      </w:pPr>
    </w:p>
    <w:p>
      <w:pPr>
        <w:ind w:left="428" w:hanging="428"/>
        <w:spacing w:after="0" w:line="263" w:lineRule="auto"/>
        <w:tabs>
          <w:tab w:leader="none" w:pos="428" w:val="left"/>
        </w:tabs>
        <w:numPr>
          <w:ilvl w:val="0"/>
          <w:numId w:val="3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Licensee shall refer to the Index only by the name set forth in this Amendment. No use or reference of the Index by Licensee shall imply that the Index is part of the standard family of indexes published by MSCI and/or Bloomberg/Barclays. Further, Licensee agrees not to make any statement or take any action that expresses or implies that MSCI and/or Bloomberg/Barclays approves of, endorses or otherwise expresses any judgment or opinion regarding Licensee or its products or services.</w:t>
      </w:r>
    </w:p>
    <w:p>
      <w:pPr>
        <w:spacing w:after="0" w:line="75" w:lineRule="exact"/>
        <w:rPr>
          <w:rFonts w:ascii="Times New Roman" w:cs="Times New Roman" w:eastAsia="Times New Roman" w:hAnsi="Times New Roman"/>
          <w:sz w:val="13"/>
          <w:szCs w:val="13"/>
          <w:color w:val="auto"/>
        </w:rPr>
      </w:pPr>
    </w:p>
    <w:p>
      <w:pPr>
        <w:ind w:left="428" w:right="40" w:hanging="428"/>
        <w:spacing w:after="0" w:line="281" w:lineRule="auto"/>
        <w:tabs>
          <w:tab w:leader="none" w:pos="428" w:val="left"/>
        </w:tabs>
        <w:numPr>
          <w:ilvl w:val="0"/>
          <w:numId w:val="3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(including Section 2 of the U.S. Agreement), ***************************************************************. For the avoidance of doubt, this Amendment shall automatically terminate if the U.S. Agreement terminates or expires for any reason.</w:t>
      </w:r>
    </w:p>
    <w:p>
      <w:pPr>
        <w:spacing w:after="0" w:line="36" w:lineRule="exact"/>
        <w:rPr>
          <w:rFonts w:ascii="Times New Roman" w:cs="Times New Roman" w:eastAsia="Times New Roman" w:hAnsi="Times New Roman"/>
          <w:sz w:val="13"/>
          <w:szCs w:val="13"/>
          <w:color w:val="auto"/>
        </w:rPr>
      </w:pPr>
    </w:p>
    <w:p>
      <w:pPr>
        <w:ind w:left="428" w:right="60" w:hanging="428"/>
        <w:spacing w:after="0" w:line="263" w:lineRule="auto"/>
        <w:tabs>
          <w:tab w:leader="none" w:pos="428" w:val="left"/>
        </w:tabs>
        <w:numPr>
          <w:ilvl w:val="0"/>
          <w:numId w:val="3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Licensee agrees that the audit requirements under Section 3 of the U.S. Agreement also include a right of audit with respect to Licensee’s compliance with this Amendment, subject to MSCI complying with any confidentiality obligations set forth in the U.S. Agreement and any applicable regulatory obligations provided to MSCI in advance in writing, and provided that any such audit does not access any Confidential Information that would cause the Licensee to breach any contractual obligation of confidentiality it owes to its clients.</w:t>
      </w:r>
    </w:p>
    <w:p>
      <w:pPr>
        <w:spacing w:after="0" w:line="48" w:lineRule="exact"/>
        <w:rPr>
          <w:rFonts w:ascii="Times New Roman" w:cs="Times New Roman" w:eastAsia="Times New Roman" w:hAnsi="Times New Roman"/>
          <w:sz w:val="13"/>
          <w:szCs w:val="13"/>
          <w:color w:val="auto"/>
        </w:rPr>
      </w:pPr>
    </w:p>
    <w:p>
      <w:pPr>
        <w:ind w:left="428" w:right="80" w:hanging="428"/>
        <w:spacing w:after="0" w:line="257" w:lineRule="auto"/>
        <w:tabs>
          <w:tab w:leader="none" w:pos="428" w:val="left"/>
        </w:tabs>
        <w:numPr>
          <w:ilvl w:val="0"/>
          <w:numId w:val="3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the rights granted to MSCI in Section 4(c) of the U.S. Agreement and subject to the same notice requirements detailed therein, Licensee hereby acknowledges and agrees that MSCI and/or Bloomberg/Barclays may, and MSCI and/or Bloomberg/Barclays reserve the right in their discretion to, make changes in the titles, names, format, organization or content of the underlying parent index, including without limitation amending, enhancing or replacing index methodologies or index naming conventions governing the underlying parent index as well as any applicable security level attributes related to such underlying parent index.</w:t>
      </w:r>
    </w:p>
    <w:p>
      <w:pPr>
        <w:spacing w:after="0" w:line="52" w:lineRule="exact"/>
        <w:rPr>
          <w:rFonts w:ascii="Times New Roman" w:cs="Times New Roman" w:eastAsia="Times New Roman" w:hAnsi="Times New Roman"/>
          <w:sz w:val="13"/>
          <w:szCs w:val="13"/>
          <w:color w:val="auto"/>
        </w:rPr>
      </w:pPr>
    </w:p>
    <w:p>
      <w:pPr>
        <w:ind w:left="428" w:right="40" w:hanging="428"/>
        <w:spacing w:after="0" w:line="254" w:lineRule="auto"/>
        <w:tabs>
          <w:tab w:leader="none" w:pos="428" w:val="left"/>
        </w:tabs>
        <w:numPr>
          <w:ilvl w:val="0"/>
          <w:numId w:val="3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Licensee acknowledges and agrees that the Index, the Marks, and all intellectual property rights in respect thereof are the property of MSCI and/or Bloomberg/Barclays, their affiliates and information providers (as applicable), and that the use granted hereunder shall not be construed to vest in Licensee any rights except as expressly authorized herein. Licensee further acknowledges and agrees that Marks shall include Bloomberg/Barclays trade name, trademark and service mark rights (including Index names and other Bloomberg/Barclays marks referred to herein) and that Bloomberg/Barclays is entitled to the same rights and protections that MSCI is afforded under the U.S. Agreement, including Sections 6 through 9 of the U.S. Agreement (as such Sections are amended by this Amendment).</w:t>
      </w:r>
    </w:p>
    <w:p>
      <w:pPr>
        <w:spacing w:after="0" w:line="5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3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disclaimer under Section 10(b) shall be replaced as follows in respect of the Fund only:</w:t>
      </w:r>
    </w:p>
    <w:p>
      <w:pPr>
        <w:spacing w:after="0" w:line="156" w:lineRule="exact"/>
        <w:rPr>
          <w:rFonts w:ascii="Times New Roman" w:cs="Times New Roman" w:eastAsia="Times New Roman" w:hAnsi="Times New Roman"/>
          <w:sz w:val="13"/>
          <w:szCs w:val="13"/>
          <w:color w:val="auto"/>
        </w:rPr>
      </w:pPr>
    </w:p>
    <w:p>
      <w:pPr>
        <w:ind w:left="428" w:right="140"/>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FUND IS NOT SPONSORED, ENDORSED, SOLD OR PROMOTED BY MSCI ESG RESEARCH LLC (“MSCI ESG RESEARCH”), BLOOMBERG INDEX SERVICES LIMITED (“BLOOMBERG”), BARCLAYS BANK PLC (“BARCLAYS”) OR ANY OF THEIR RESPECTIVE AFFILIATES, INFORMATION PROVIDERS OR ANY OTHER THIRD PARTY (COLLECTIVELY, THE “INDEX PARTIES”) INVOLVED IN, OR RELATED TO, COMPILING, COMPUTING OR CREATING THE BLOOMBERG BARCLAYS MSCI US UNIVERSAL CHOICE ESG SCREENED INDEX (THE “INDEX”). THE INDEX IS THE EXCLUSIVE PROPERTY OF THE APPLICABLE INDEX PARTY. “BLOOMBERG”, “BARCLAYS”, “MSCI ESG RESEARCH”, AND THE INDEX NAME ARE THE RESPECTIVE TRADE AND/OR SERVICE MARKS OF BLOOMBERG, BARCLAYS, MSCI ESG RESEARCH, OR THEIR AFFILIATES AND HAVE BEEN LICENSED FOR USE FOR CERTAIN</w:t>
      </w:r>
    </w:p>
    <w:p>
      <w:pPr>
        <w:spacing w:after="0" w:line="273" w:lineRule="exact"/>
        <w:rPr>
          <w:sz w:val="20"/>
          <w:szCs w:val="20"/>
          <w:color w:val="auto"/>
        </w:rPr>
      </w:pPr>
    </w:p>
    <w:p>
      <w:pPr>
        <w:jc w:val="center"/>
        <w:ind w:right="512"/>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148590</wp:posOffset>
            </wp:positionV>
            <wp:extent cx="7189470" cy="114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748"/>
          </w:cols>
          <w:pgMar w:left="832" w:top="413" w:right="319" w:bottom="1440" w:gutter="0" w:footer="0" w:header="0"/>
        </w:sectPr>
      </w:pPr>
    </w:p>
    <w:bookmarkStart w:id="280" w:name="page281"/>
    <w:bookmarkEnd w:id="280"/>
    <w:p>
      <w:pPr>
        <w:ind w:left="428"/>
        <w:spacing w:after="0" w:line="249" w:lineRule="auto"/>
        <w:rPr>
          <w:sz w:val="20"/>
          <w:szCs w:val="20"/>
          <w:color w:val="auto"/>
        </w:rPr>
      </w:pPr>
      <w:r>
        <w:rPr>
          <w:rFonts w:ascii="Times New Roman" w:cs="Times New Roman" w:eastAsia="Times New Roman" w:hAnsi="Times New Roman"/>
          <w:sz w:val="13"/>
          <w:szCs w:val="13"/>
          <w:color w:val="auto"/>
        </w:rPr>
        <w:t>PURPOSES BY [LICENSEE]. NONE OF THE INDEX PARTIES MAKES ANY REPRESENTATION OR WARRANTY, EXPRESS OR IMPLIED, TO THE ISSUER OR OWNERS OF THIS FUND OR ANY OTHER PERSON OR ENTITY REGARDING THE ADVISABILITY OF INVESTING IN FUNDS GENERALLY OR IN THIS FUND PARTICULARLY OR THE ABILITY OF THE INDEX TO TRACK CORRESPONDING STOCK MARKET PERFORMANCE. MSCI ESG RESEARCH, BLOOMBERG, BARCLAYS, OR THEIR AFFILIATES ARE THE LICENSORS OF CERTAIN TRADEMARKS, SERVICE MARKS AND TRADE NAMES AND OF THE INDEX WHICH IS DETERMINED, COMPOSED AND CALCULATED BY BLOOMBERG AND/OR MSCI ESG RESEARCH WITHOUT REGARD TO THIS FUND OR THE ISSUER OR OWNERS OF THIS FUND OR ANY OTHER PERSON OR ENTITY. NONE OF THE INDEX PARTIES HAS ANY OBLIGATION TO TAKE THE NEEDS OF THE ISSUER OR OWNERS OF THIS FUND OR ANY OTHER PERSON OR ENTITY INTO CONSIDERATION IN DETERMINING, COMPOSING OR CALCULATING THE INDEX. NONE OF THE INDEX PARTIES IS RESPONSIBLE FOR OR HAS PARTICIPATED IN THE DETERMINATION OF THE TIMING OF, PRICES AT, OR QUANTITIES OF THIS FUND TO BE ISSUED OR IN THE DETERMINATION OR CALCULATION OF THE EQUATION BY OR THE CONSIDERATION INTO WHICH THIS FUND IS REDEEMABLE. FURTHER, NONE OF THE INDEX PARTIES HAS ANY OBLIGATION OR LIABILITY TO THE ISSUER OR OWNERS OF THIS FUND OR ANY OTHER PERSON OR ENTITY IN CONNECTION WITH THE ADMINISTRATION, MARKETING OR OFFERING OF THIS FUND.</w:t>
      </w:r>
    </w:p>
    <w:p>
      <w:pPr>
        <w:spacing w:after="0" w:line="123" w:lineRule="exact"/>
        <w:rPr>
          <w:sz w:val="20"/>
          <w:szCs w:val="20"/>
          <w:color w:val="auto"/>
        </w:rPr>
      </w:pPr>
    </w:p>
    <w:p>
      <w:pPr>
        <w:ind w:left="428" w:right="20"/>
        <w:spacing w:after="0" w:line="250" w:lineRule="auto"/>
        <w:rPr>
          <w:sz w:val="20"/>
          <w:szCs w:val="20"/>
          <w:color w:val="auto"/>
        </w:rPr>
      </w:pPr>
      <w:r>
        <w:rPr>
          <w:rFonts w:ascii="Times New Roman" w:cs="Times New Roman" w:eastAsia="Times New Roman" w:hAnsi="Times New Roman"/>
          <w:sz w:val="13"/>
          <w:szCs w:val="13"/>
          <w:color w:val="auto"/>
        </w:rPr>
        <w:t>ALTHOUGH THE INDEX PARTIES SHALL OBTAIN INFORMATION FOR INCLUSION IN OR FOR USE IN THE CALCULATION OF THE INDEX FROM SOURCES CONSIDERED RELIABLE, NONE OF THE INDEX PARTIES WARRANTS OR GUARANTEES THE ORIGINALITY, ACCURACY AND/OR THE COMPLETENESS OF THE INDEX OR ANY DATA INCLUDED THEREIN. NONE OF THE INDEX PARTIES MAKES ANY WARRANTY, EXPRESS OR IMPLIED, AS TO RESULTS TO BE OBTAINED BY THE ISSUER OF THE FUND, OWNERS OF THE FUND, OR ANY OTHER PERSON OR ENTITY, FROM THE USE OF ANY INDEX OR ANY DATA INCLUDED THEREIN. NONE OF THE INDEX PARTIES SHALL HAVE ANY LIABILITY FOR ANY ERRORS, OMISSIONS OR INTERRUPTIONS OF OR IN CONNECTION WITH THE INDEX OR ANY DATA INCLUDED THEREIN. FURTHER, NONE OF THE INDEX PARTIES MAKES ANY EXPRESS OR IMPLIED WARRANTIES OF ANY KIND, AND THE INDEX PARTIES HEREBY EXPRESSLY DISCLAIM ALL WARRANTIES OF MERCHANTABILITY AND FITNESS FOR A PARTICULAR PURPOSE, WITH RESPECT TO THE INDEX AND ANY DATA INCLUDED THEREIN. WITHOUT LIMITING ANY OF THE FOREGOING, IN NO EVENT SHALL ANY OF THE INDEX PARTIES HAVE ANY LIABILITY FOR ANY DIRECT, INDIRECT, SPECIAL, PUNITIVE, CONSEQUENTIAL OR ANY OTHER DAMAGES (INCLUDING LOST PROFITS) EVEN IF NOTIFIED OF THE POSSIBILITY OF SUCH DAMAGES.</w:t>
      </w:r>
    </w:p>
    <w:p>
      <w:pPr>
        <w:spacing w:after="0" w:line="120" w:lineRule="exact"/>
        <w:rPr>
          <w:sz w:val="20"/>
          <w:szCs w:val="20"/>
          <w:color w:val="auto"/>
        </w:rPr>
      </w:pPr>
    </w:p>
    <w:p>
      <w:pPr>
        <w:jc w:val="both"/>
        <w:ind w:left="428" w:right="240"/>
        <w:spacing w:after="0" w:line="263" w:lineRule="auto"/>
        <w:rPr>
          <w:sz w:val="20"/>
          <w:szCs w:val="20"/>
          <w:color w:val="auto"/>
        </w:rPr>
      </w:pPr>
      <w:r>
        <w:rPr>
          <w:rFonts w:ascii="Times New Roman" w:cs="Times New Roman" w:eastAsia="Times New Roman" w:hAnsi="Times New Roman"/>
          <w:sz w:val="13"/>
          <w:szCs w:val="13"/>
          <w:color w:val="auto"/>
        </w:rPr>
        <w:t>No purchaser, seller or holder of this security, product or fund, or any other person or entity, should use or refer to any MSCI ESG Research, Bloomberg, or Barclays trade name, trademark or service mark to sponsor, endorse, market or promote this security without first contacting MSCI ESG Research to determine whether permission is required. Under no circumstances may any person or entity claim any affiliation with MSCI ESG Research, Bloomberg, or Barclays without prior written permission.</w:t>
      </w:r>
    </w:p>
    <w:p>
      <w:pPr>
        <w:spacing w:after="0" w:line="49" w:lineRule="exact"/>
        <w:rPr>
          <w:sz w:val="20"/>
          <w:szCs w:val="20"/>
          <w:color w:val="auto"/>
        </w:rPr>
      </w:pPr>
    </w:p>
    <w:p>
      <w:pPr>
        <w:ind w:left="428" w:hanging="428"/>
        <w:spacing w:after="0"/>
        <w:tabs>
          <w:tab w:leader="none" w:pos="428" w:val="left"/>
        </w:tabs>
        <w:numPr>
          <w:ilvl w:val="0"/>
          <w:numId w:val="4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disclaimer required under Section 10(c) shall be replaced as follows in respect of the Fund only:</w:t>
      </w:r>
    </w:p>
    <w:p>
      <w:pPr>
        <w:spacing w:after="0" w:line="147" w:lineRule="exact"/>
        <w:rPr>
          <w:rFonts w:ascii="Times New Roman" w:cs="Times New Roman" w:eastAsia="Times New Roman" w:hAnsi="Times New Roman"/>
          <w:sz w:val="13"/>
          <w:szCs w:val="13"/>
          <w:color w:val="auto"/>
        </w:rPr>
      </w:pPr>
    </w:p>
    <w:p>
      <w:pPr>
        <w:jc w:val="both"/>
        <w:ind w:left="428" w:right="2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fund or securities referred to herein are not sponsored, endorsed, or promoted by MSCI ESG Research, Bloomberg, or Barclays, and they each bear no liability with respect to any such fund or securities or any index on which such fund or securities are based. The [Prospectus] contains a more detailed description of the limited relationship MSCI ESG Research, Bloomberg, and Barclays have with [Licensee] and any related funds.</w:t>
      </w:r>
    </w:p>
    <w:p>
      <w:pPr>
        <w:spacing w:after="0" w:line="346" w:lineRule="exact"/>
        <w:rPr>
          <w:sz w:val="20"/>
          <w:szCs w:val="20"/>
          <w:color w:val="auto"/>
        </w:rPr>
      </w:pPr>
    </w:p>
    <w:p>
      <w:pPr>
        <w:jc w:val="center"/>
        <w:ind w:right="492"/>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148590</wp:posOffset>
            </wp:positionV>
            <wp:extent cx="7189470" cy="114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9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728"/>
          </w:cols>
          <w:pgMar w:left="832" w:top="413" w:right="339" w:bottom="1440" w:gutter="0" w:footer="0" w:header="0"/>
        </w:sectPr>
      </w:pPr>
    </w:p>
    <w:bookmarkStart w:id="281" w:name="page282"/>
    <w:bookmarkEnd w:id="281"/>
    <w:p>
      <w:pPr>
        <w:ind w:left="428" w:hanging="428"/>
        <w:spacing w:after="0"/>
        <w:tabs>
          <w:tab w:leader="none" w:pos="428" w:val="left"/>
        </w:tabs>
        <w:numPr>
          <w:ilvl w:val="0"/>
          <w:numId w:val="4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Licensee hereby acknowledges and agrees that Bloomberg/Barclays is considered a third party beneficiary of this Agreement.</w:t>
      </w:r>
    </w:p>
    <w:p>
      <w:pPr>
        <w:spacing w:after="0" w:line="111"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 in this Agreement, the Licensee shall not be required to pay twice for the same loss under this Agreement.</w:t>
      </w:r>
    </w:p>
    <w:p>
      <w:pPr>
        <w:spacing w:after="0" w:line="8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this Amendment only, the indemnification provision under Section 11(a) of the U.S. Agreement shall be deleted in its entirety and replaced as follows:</w:t>
      </w:r>
    </w:p>
    <w:p>
      <w:pPr>
        <w:spacing w:after="0" w:line="147" w:lineRule="exact"/>
        <w:rPr>
          <w:rFonts w:ascii="Times New Roman" w:cs="Times New Roman" w:eastAsia="Times New Roman" w:hAnsi="Times New Roman"/>
          <w:sz w:val="13"/>
          <w:szCs w:val="13"/>
          <w:color w:val="auto"/>
        </w:rPr>
      </w:pPr>
    </w:p>
    <w:p>
      <w:pPr>
        <w:ind w:left="428" w:right="20"/>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Licensee shall indemnify, defend and hold harmless MSCI and its parent, subsidiaries, affiliates, Bloomberg/Barclays and its parent, subsidiaries and affiliates, and their officers, directors, employees and agents (each, an “</w:t>
      </w:r>
      <w:r>
        <w:rPr>
          <w:rFonts w:ascii="Times New Roman" w:cs="Times New Roman" w:eastAsia="Times New Roman" w:hAnsi="Times New Roman"/>
          <w:sz w:val="13"/>
          <w:szCs w:val="13"/>
          <w:u w:val="single" w:color="auto"/>
          <w:color w:val="auto"/>
        </w:rPr>
        <w:t>Indemnitee</w:t>
      </w:r>
      <w:r>
        <w:rPr>
          <w:rFonts w:ascii="Times New Roman" w:cs="Times New Roman" w:eastAsia="Times New Roman" w:hAnsi="Times New Roman"/>
          <w:sz w:val="13"/>
          <w:szCs w:val="13"/>
          <w:color w:val="auto"/>
        </w:rPr>
        <w:t>”) against any and all judgments, damages, costs or losses of any kind (including reasonable attorney’s and experts’ fees) as a result of claims or actions brought by third parties against any Indemnitee which arise from any act or omission of Licensee which constitutes a breach of this Agreement or is in any manner related to the Fund (except with respect to any claim or action alleging that Licensee’s or Fund’s use of the Index and Marks violates or infringes any trademark, service mark, copyright or other proprietary right of any person not a party to this Agreement); provided, however, that (i) MSCI notifies Licensee promptly of any such claim or action, and (ii) Licensee shall have no liability to an Indemnitee if such judgments, damages, costs or losses are attributable to any breach of the Agreement, negligent act or omission by any Indemnitee with respect to this Agreement. Licensee shall bear all expenses in connection with the defense and/or settlement of any such claim or action. MSCI shall have the right, at its own expense, to participate in the defense of any claim or action against which an Indemnitee is indemnified hereunder; provided, however, it shall have no right to control the defense, consent to judgment, or agree to settle any claim or action, without the written consent of Licensee. Licensee, in the defense of any such claim, except with the written consent of MSCI, shall not consent to entry of any judgment or enter into any settlement which (i) does not include, as an unconditional term, the grant by the claimant to each relevant Indemnitee of a release of all liabilities in respect of such claims or (ii) otherwise adversely affects the rights of an Indemnitee. This provision shall survive the termination of this Agreement.”</w:t>
      </w:r>
    </w:p>
    <w:p>
      <w:pPr>
        <w:spacing w:after="0" w:line="57" w:lineRule="exact"/>
        <w:rPr>
          <w:rFonts w:ascii="Times New Roman" w:cs="Times New Roman" w:eastAsia="Times New Roman" w:hAnsi="Times New Roman"/>
          <w:sz w:val="13"/>
          <w:szCs w:val="13"/>
          <w:color w:val="auto"/>
        </w:rPr>
      </w:pPr>
    </w:p>
    <w:p>
      <w:pPr>
        <w:ind w:left="428" w:hanging="428"/>
        <w:spacing w:after="0" w:line="257" w:lineRule="auto"/>
        <w:tabs>
          <w:tab w:leader="none" w:pos="428" w:val="left"/>
        </w:tabs>
        <w:numPr>
          <w:ilvl w:val="0"/>
          <w:numId w:val="4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MSCI and/or Bloomberg/Barclays may collect data generated as a result of use of the Index by Licensee provided and/or made available to MSCI and/or Bloomberg/Barclays as a result of the Agreement and/or concerning Licensee usage of the Index and Licensee acknowledges and hereby agrees that MSCI and/or Bloomberg/Barclays may use such data, including Licensee’s contact and delivery information to: (i) allow for delivery of the Index to Licensee and for reporting purposes between MSCI and/or Bloomberg/Barclays; (ii) enable MSCI and/or Bloomberg/Barclays to better tailor products to meet its customers’ particular requirements; (iii) improve the Index; and (iv) provided always that such data has been anonymized, for any other purpose.</w:t>
      </w:r>
    </w:p>
    <w:p>
      <w:pPr>
        <w:spacing w:after="0" w:line="43"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“Notice” addresses under Section 13 shall be replaced as follows:</w:t>
      </w:r>
    </w:p>
    <w:p>
      <w:pPr>
        <w:spacing w:after="0" w:line="301" w:lineRule="exact"/>
        <w:rPr>
          <w:sz w:val="20"/>
          <w:szCs w:val="20"/>
          <w:color w:val="auto"/>
        </w:rPr>
      </w:pPr>
    </w:p>
    <w:p>
      <w:pPr>
        <w:jc w:val="center"/>
        <w:ind w:right="512"/>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148590</wp:posOffset>
            </wp:positionV>
            <wp:extent cx="7189470" cy="114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748"/>
          </w:cols>
          <w:pgMar w:left="832" w:top="413" w:right="31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153"/>
        </w:trPr>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Notice to MSCI:</w:t>
            </w: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MSCI ESG Research LLC</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7 World Trade Center</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250 Greenwich Street, 49th Floor</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New York, NY 10007, USA</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Attn: MSCI Finance Department</w:t>
            </w:r>
          </w:p>
        </w:tc>
        <w:tc>
          <w:tcPr>
            <w:tcW w:w="0" w:type="dxa"/>
            <w:vAlign w:val="bottom"/>
          </w:tcPr>
          <w:p>
            <w:pPr>
              <w:spacing w:after="0"/>
              <w:rPr>
                <w:sz w:val="1"/>
                <w:szCs w:val="1"/>
                <w:color w:val="auto"/>
              </w:rPr>
            </w:pPr>
          </w:p>
        </w:tc>
      </w:tr>
      <w:tr>
        <w:trPr>
          <w:trHeight w:val="172"/>
        </w:trPr>
        <w:tc>
          <w:tcPr>
            <w:tcW w:w="44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with a copy to (which shall not constitute notice hereunder):</w:t>
            </w: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Fax: 212-809-1213</w:t>
            </w:r>
          </w:p>
        </w:tc>
        <w:tc>
          <w:tcPr>
            <w:tcW w:w="0" w:type="dxa"/>
            <w:vAlign w:val="bottom"/>
          </w:tcPr>
          <w:p>
            <w:pPr>
              <w:spacing w:after="0"/>
              <w:rPr>
                <w:sz w:val="1"/>
                <w:szCs w:val="1"/>
                <w:color w:val="auto"/>
              </w:rPr>
            </w:pPr>
          </w:p>
        </w:tc>
      </w:tr>
      <w:tr>
        <w:trPr>
          <w:trHeight w:val="153"/>
        </w:trPr>
        <w:tc>
          <w:tcPr>
            <w:tcW w:w="4420" w:type="dxa"/>
            <w:vAlign w:val="bottom"/>
            <w:vMerge w:val="continue"/>
          </w:tcPr>
          <w:p>
            <w:pPr>
              <w:spacing w:after="0"/>
              <w:rPr>
                <w:sz w:val="13"/>
                <w:szCs w:val="13"/>
                <w:color w:val="auto"/>
              </w:rPr>
            </w:pPr>
          </w:p>
        </w:tc>
        <w:tc>
          <w:tcPr>
            <w:tcW w:w="6900" w:type="dxa"/>
            <w:vAlign w:val="bottom"/>
            <w:vMerge w:val="restart"/>
          </w:tcPr>
          <w:p>
            <w:pPr>
              <w:ind w:left="1280"/>
              <w:spacing w:after="0"/>
              <w:rPr>
                <w:sz w:val="20"/>
                <w:szCs w:val="20"/>
                <w:color w:val="auto"/>
              </w:rPr>
            </w:pPr>
            <w:r>
              <w:rPr>
                <w:rFonts w:ascii="Times New Roman" w:cs="Times New Roman" w:eastAsia="Times New Roman" w:hAnsi="Times New Roman"/>
                <w:sz w:val="13"/>
                <w:szCs w:val="13"/>
                <w:color w:val="auto"/>
              </w:rPr>
              <w:t>MSCI ESG Research LLC</w:t>
            </w: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6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7 World Trade Center</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250 Greenwich Street, 49th Floor</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New York, NY 10007, USA</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Attn: General Counsel</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Fax: 212-804-2906</w:t>
            </w:r>
          </w:p>
        </w:tc>
        <w:tc>
          <w:tcPr>
            <w:tcW w:w="0" w:type="dxa"/>
            <w:vAlign w:val="bottom"/>
          </w:tcPr>
          <w:p>
            <w:pPr>
              <w:spacing w:after="0"/>
              <w:rPr>
                <w:sz w:val="1"/>
                <w:szCs w:val="1"/>
                <w:color w:val="auto"/>
              </w:rPr>
            </w:pPr>
          </w:p>
        </w:tc>
      </w:tr>
      <w:tr>
        <w:trPr>
          <w:trHeight w:val="153"/>
        </w:trPr>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Notice to Licensee:</w:t>
            </w: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BlackRock Fund Advisors</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400 Howard Street</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San Francisco, CA 94105</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Attn: U.S. Legal and Compliance Group</w:t>
            </w:r>
          </w:p>
        </w:tc>
        <w:tc>
          <w:tcPr>
            <w:tcW w:w="0" w:type="dxa"/>
            <w:vAlign w:val="bottom"/>
          </w:tcPr>
          <w:p>
            <w:pPr>
              <w:spacing w:after="0"/>
              <w:rPr>
                <w:sz w:val="1"/>
                <w:szCs w:val="1"/>
                <w:color w:val="auto"/>
              </w:rPr>
            </w:pPr>
          </w:p>
        </w:tc>
      </w:tr>
      <w:tr>
        <w:trPr>
          <w:trHeight w:val="172"/>
        </w:trPr>
        <w:tc>
          <w:tcPr>
            <w:tcW w:w="44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with a copy to (which shall not constitute notice hereunder):</w:t>
            </w: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Fax: (415) 618-1025</w:t>
            </w:r>
          </w:p>
        </w:tc>
        <w:tc>
          <w:tcPr>
            <w:tcW w:w="0" w:type="dxa"/>
            <w:vAlign w:val="bottom"/>
          </w:tcPr>
          <w:p>
            <w:pPr>
              <w:spacing w:after="0"/>
              <w:rPr>
                <w:sz w:val="1"/>
                <w:szCs w:val="1"/>
                <w:color w:val="auto"/>
              </w:rPr>
            </w:pPr>
          </w:p>
        </w:tc>
      </w:tr>
      <w:tr>
        <w:trPr>
          <w:trHeight w:val="153"/>
        </w:trPr>
        <w:tc>
          <w:tcPr>
            <w:tcW w:w="4420" w:type="dxa"/>
            <w:vAlign w:val="bottom"/>
            <w:vMerge w:val="continue"/>
          </w:tcPr>
          <w:p>
            <w:pPr>
              <w:spacing w:after="0"/>
              <w:rPr>
                <w:sz w:val="13"/>
                <w:szCs w:val="13"/>
                <w:color w:val="auto"/>
              </w:rPr>
            </w:pPr>
          </w:p>
        </w:tc>
        <w:tc>
          <w:tcPr>
            <w:tcW w:w="6900" w:type="dxa"/>
            <w:vAlign w:val="bottom"/>
            <w:vMerge w:val="restart"/>
          </w:tcPr>
          <w:p>
            <w:pPr>
              <w:ind w:left="1280"/>
              <w:spacing w:after="0"/>
              <w:rPr>
                <w:sz w:val="20"/>
                <w:szCs w:val="20"/>
                <w:color w:val="auto"/>
              </w:rPr>
            </w:pPr>
            <w:r>
              <w:rPr>
                <w:rFonts w:ascii="Times New Roman" w:cs="Times New Roman" w:eastAsia="Times New Roman" w:hAnsi="Times New Roman"/>
                <w:sz w:val="13"/>
                <w:szCs w:val="13"/>
                <w:color w:val="auto"/>
              </w:rPr>
              <w:t>BlackRock Fund Advisors</w:t>
            </w: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6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55 East 52nd Street</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New York, NY 10055</w:t>
            </w:r>
          </w:p>
        </w:tc>
        <w:tc>
          <w:tcPr>
            <w:tcW w:w="0" w:type="dxa"/>
            <w:vAlign w:val="bottom"/>
          </w:tcPr>
          <w:p>
            <w:pPr>
              <w:spacing w:after="0"/>
              <w:rPr>
                <w:sz w:val="1"/>
                <w:szCs w:val="1"/>
                <w:color w:val="auto"/>
              </w:rPr>
            </w:pPr>
          </w:p>
        </w:tc>
      </w:tr>
      <w:tr>
        <w:trPr>
          <w:trHeight w:val="172"/>
        </w:trPr>
        <w:tc>
          <w:tcPr>
            <w:tcW w:w="4420" w:type="dxa"/>
            <w:vAlign w:val="bottom"/>
          </w:tcPr>
          <w:p>
            <w:pPr>
              <w:spacing w:after="0"/>
              <w:rPr>
                <w:sz w:val="14"/>
                <w:szCs w:val="14"/>
                <w:color w:val="auto"/>
              </w:rPr>
            </w:pPr>
          </w:p>
        </w:tc>
        <w:tc>
          <w:tcPr>
            <w:tcW w:w="69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Attn: U.S. Legal and Compliance Group</w:t>
            </w:r>
          </w:p>
        </w:tc>
        <w:tc>
          <w:tcPr>
            <w:tcW w:w="0" w:type="dxa"/>
            <w:vAlign w:val="bottom"/>
          </w:tcPr>
          <w:p>
            <w:pPr>
              <w:spacing w:after="0"/>
              <w:rPr>
                <w:sz w:val="1"/>
                <w:szCs w:val="1"/>
                <w:color w:val="auto"/>
              </w:rPr>
            </w:pPr>
          </w:p>
        </w:tc>
      </w:tr>
      <w:tr>
        <w:trPr>
          <w:trHeight w:val="603"/>
        </w:trPr>
        <w:tc>
          <w:tcPr>
            <w:tcW w:w="4420" w:type="dxa"/>
            <w:vAlign w:val="bottom"/>
          </w:tcPr>
          <w:p>
            <w:pPr>
              <w:spacing w:after="0"/>
              <w:rPr>
                <w:sz w:val="24"/>
                <w:szCs w:val="24"/>
                <w:color w:val="auto"/>
              </w:rPr>
            </w:pPr>
          </w:p>
        </w:tc>
        <w:tc>
          <w:tcPr>
            <w:tcW w:w="6900" w:type="dxa"/>
            <w:vAlign w:val="bottom"/>
          </w:tcPr>
          <w:p>
            <w:pPr>
              <w:ind w:left="120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12"/>
        </w:trPr>
        <w:tc>
          <w:tcPr>
            <w:tcW w:w="4420" w:type="dxa"/>
            <w:vAlign w:val="bottom"/>
            <w:tcBorders>
              <w:bottom w:val="single" w:sz="8" w:color="9A9A9A"/>
            </w:tcBorders>
          </w:tcPr>
          <w:p>
            <w:pPr>
              <w:spacing w:after="0"/>
              <w:rPr>
                <w:sz w:val="18"/>
                <w:szCs w:val="18"/>
                <w:color w:val="auto"/>
              </w:rPr>
            </w:pPr>
          </w:p>
        </w:tc>
        <w:tc>
          <w:tcPr>
            <w:tcW w:w="69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9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782" w:right="279" w:bottom="1440" w:gutter="0" w:footer="0" w:header="0"/>
        </w:sectPr>
      </w:pPr>
    </w:p>
    <w:bookmarkStart w:id="283" w:name="page284"/>
    <w:bookmarkEnd w:id="283"/>
    <w:p>
      <w:pPr>
        <w:ind w:left="100"/>
        <w:spacing w:after="0"/>
        <w:rPr>
          <w:sz w:val="20"/>
          <w:szCs w:val="20"/>
          <w:color w:val="auto"/>
        </w:rPr>
      </w:pPr>
      <w:r>
        <w:rPr>
          <w:rFonts w:ascii="Times New Roman" w:cs="Times New Roman" w:eastAsia="Times New Roman" w:hAnsi="Times New Roman"/>
          <w:sz w:val="13"/>
          <w:szCs w:val="13"/>
          <w:color w:val="auto"/>
        </w:rPr>
        <w:t>The parties agree that this Amendment forms an integral part of and is subject to all the terms and conditions of the Agreement.</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39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MSCI ESG Research LLC</w:t>
            </w:r>
          </w:p>
        </w:tc>
        <w:tc>
          <w:tcPr>
            <w:tcW w:w="3460" w:type="dxa"/>
            <w:vAlign w:val="bottom"/>
            <w:tcBorders>
              <w:top w:val="single" w:sz="8" w:color="auto"/>
              <w:right w:val="single" w:sz="8" w:color="auto"/>
            </w:tcBorders>
          </w:tcPr>
          <w:p>
            <w:pPr>
              <w:spacing w:after="0"/>
              <w:rPr>
                <w:sz w:val="15"/>
                <w:szCs w:val="15"/>
                <w:color w:val="auto"/>
              </w:rPr>
            </w:pPr>
          </w:p>
        </w:tc>
        <w:tc>
          <w:tcPr>
            <w:tcW w:w="3920" w:type="dxa"/>
            <w:vAlign w:val="bottom"/>
            <w:tcBorders>
              <w:top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BlackRock Fund Advisors</w:t>
            </w:r>
          </w:p>
        </w:tc>
      </w:tr>
      <w:tr>
        <w:trPr>
          <w:trHeight w:val="215"/>
        </w:trPr>
        <w:tc>
          <w:tcPr>
            <w:tcW w:w="8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By:</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3460" w:type="dxa"/>
            <w:vAlign w:val="bottom"/>
            <w:tcBorders>
              <w:right w:val="single" w:sz="8" w:color="auto"/>
            </w:tcBorders>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By:</w:t>
            </w:r>
          </w:p>
        </w:tc>
        <w:tc>
          <w:tcPr>
            <w:tcW w:w="3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/s/ Ruth Weiss</w:t>
            </w:r>
          </w:p>
        </w:tc>
      </w:tr>
      <w:tr>
        <w:trPr>
          <w:trHeight w:val="223"/>
        </w:trPr>
        <w:tc>
          <w:tcPr>
            <w:tcW w:w="8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Name:</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3460" w:type="dxa"/>
            <w:vAlign w:val="bottom"/>
            <w:tcBorders>
              <w:right w:val="single" w:sz="8" w:color="auto"/>
            </w:tcBorders>
          </w:tcPr>
          <w:p>
            <w:pPr>
              <w:spacing w:after="0"/>
              <w:rPr>
                <w:sz w:val="19"/>
                <w:szCs w:val="19"/>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Name:</w:t>
            </w:r>
          </w:p>
        </w:tc>
        <w:tc>
          <w:tcPr>
            <w:tcW w:w="3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r>
      <w:tr>
        <w:trPr>
          <w:trHeight w:val="223"/>
        </w:trPr>
        <w:tc>
          <w:tcPr>
            <w:tcW w:w="8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Title:</w:t>
            </w:r>
          </w:p>
        </w:tc>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3460" w:type="dxa"/>
            <w:vAlign w:val="bottom"/>
            <w:tcBorders>
              <w:right w:val="single" w:sz="8" w:color="auto"/>
            </w:tcBorders>
          </w:tcPr>
          <w:p>
            <w:pPr>
              <w:spacing w:after="0"/>
              <w:rPr>
                <w:sz w:val="19"/>
                <w:szCs w:val="19"/>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Title:</w:t>
            </w:r>
          </w:p>
        </w:tc>
        <w:tc>
          <w:tcPr>
            <w:tcW w:w="3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r>
      <w:tr>
        <w:trPr>
          <w:trHeight w:val="70"/>
        </w:trPr>
        <w:tc>
          <w:tcPr>
            <w:tcW w:w="840" w:type="dxa"/>
            <w:vAlign w:val="bottom"/>
            <w:tcBorders>
              <w:left w:val="single" w:sz="8" w:color="auto"/>
              <w:bottom w:val="single" w:sz="8" w:color="auto"/>
            </w:tcBorders>
          </w:tcPr>
          <w:p>
            <w:pPr>
              <w:spacing w:after="0"/>
              <w:rPr>
                <w:sz w:val="6"/>
                <w:szCs w:val="6"/>
                <w:color w:val="auto"/>
              </w:rPr>
            </w:pPr>
          </w:p>
        </w:tc>
        <w:tc>
          <w:tcPr>
            <w:tcW w:w="3080" w:type="dxa"/>
            <w:vAlign w:val="bottom"/>
            <w:tcBorders>
              <w:bottom w:val="single" w:sz="8" w:color="auto"/>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100" w:type="dxa"/>
            <w:vAlign w:val="bottom"/>
            <w:tcBorders>
              <w:bottom w:val="single" w:sz="8" w:color="auto"/>
              <w:right w:val="single" w:sz="8" w:color="auto"/>
            </w:tcBorders>
          </w:tcPr>
          <w:p>
            <w:pPr>
              <w:spacing w:after="0"/>
              <w:rPr>
                <w:sz w:val="6"/>
                <w:szCs w:val="6"/>
                <w:color w:val="auto"/>
              </w:rPr>
            </w:pPr>
          </w:p>
        </w:tc>
      </w:tr>
      <w:tr>
        <w:trPr>
          <w:trHeight w:val="587"/>
        </w:trPr>
        <w:tc>
          <w:tcPr>
            <w:tcW w:w="8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60" w:type="dxa"/>
            <w:vAlign w:val="bottom"/>
          </w:tcPr>
          <w:p>
            <w:pPr>
              <w:jc w:val="right"/>
              <w:ind w:right="1634"/>
              <w:spacing w:after="0"/>
              <w:rPr>
                <w:sz w:val="20"/>
                <w:szCs w:val="20"/>
                <w:color w:val="auto"/>
              </w:rPr>
            </w:pPr>
            <w:r>
              <w:rPr>
                <w:rFonts w:ascii="Times New Roman" w:cs="Times New Roman" w:eastAsia="Times New Roman" w:hAnsi="Times New Roman"/>
                <w:sz w:val="13"/>
                <w:szCs w:val="13"/>
                <w:color w:val="auto"/>
              </w:rPr>
              <w:t>7</w:t>
            </w:r>
          </w:p>
        </w:tc>
        <w:tc>
          <w:tcPr>
            <w:tcW w:w="82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1300"/>
          </w:cols>
          <w:pgMar w:left="300" w:top="710" w:right="29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3"/>
          <w:szCs w:val="13"/>
          <w:b w:val="1"/>
          <w:bCs w:val="1"/>
          <w:color w:val="auto"/>
        </w:rPr>
        <w:t>Exhibit 10.229</w:t>
      </w:r>
    </w:p>
    <w:p>
      <w:pPr>
        <w:spacing w:after="0" w:line="122" w:lineRule="exact"/>
        <w:rPr>
          <w:sz w:val="20"/>
          <w:szCs w:val="20"/>
          <w:color w:val="auto"/>
        </w:rPr>
      </w:pPr>
    </w:p>
    <w:p>
      <w:pPr>
        <w:ind w:left="8" w:hanging="8"/>
        <w:spacing w:after="0" w:line="286" w:lineRule="auto"/>
        <w:tabs>
          <w:tab w:leader="none" w:pos="220" w:val="left"/>
        </w:tabs>
        <w:numPr>
          <w:ilvl w:val="0"/>
          <w:numId w:val="4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12" w:lineRule="exact"/>
        <w:rPr>
          <w:sz w:val="20"/>
          <w:szCs w:val="20"/>
          <w:color w:val="auto"/>
        </w:rPr>
      </w:pPr>
    </w:p>
    <w:p>
      <w:pPr>
        <w:ind w:left="10308"/>
        <w:spacing w:after="0"/>
        <w:rPr>
          <w:sz w:val="20"/>
          <w:szCs w:val="20"/>
          <w:color w:val="auto"/>
        </w:rPr>
      </w:pPr>
      <w:r>
        <w:rPr>
          <w:rFonts w:ascii="Times New Roman" w:cs="Times New Roman" w:eastAsia="Times New Roman" w:hAnsi="Times New Roman"/>
          <w:sz w:val="13"/>
          <w:szCs w:val="13"/>
          <w:color w:val="auto"/>
        </w:rPr>
        <w:t>AMD_00276472.0</w:t>
      </w:r>
    </w:p>
    <w:p>
      <w:pPr>
        <w:spacing w:after="0" w:line="130"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THIS AMENDMENT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dated as of August 19, 2020 (the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is made to the Previous Amendment (as defined below) by and between MSCI Inc. (formerly known as Morgan Stanley Capital International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the Previous Amendment or the Agreement (as defined below), as the case may be.</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WHEREAS, MSCI and Licensee entered into an amendment (internal MSCI reference number: ADD_01420) dated as of December 15, 2009 (the “</w:t>
      </w:r>
      <w:r>
        <w:rPr>
          <w:rFonts w:ascii="Times New Roman" w:cs="Times New Roman" w:eastAsia="Times New Roman" w:hAnsi="Times New Roman"/>
          <w:sz w:val="13"/>
          <w:szCs w:val="13"/>
          <w:u w:val="single" w:color="auto"/>
          <w:color w:val="auto"/>
        </w:rPr>
        <w:t>Previous Amendment</w:t>
      </w:r>
      <w:r>
        <w:rPr>
          <w:rFonts w:ascii="Times New Roman" w:cs="Times New Roman" w:eastAsia="Times New Roman" w:hAnsi="Times New Roman"/>
          <w:sz w:val="13"/>
          <w:szCs w:val="13"/>
          <w:color w:val="auto"/>
        </w:rPr>
        <w:t>”), which amended the Index License</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Agreement for Funds (internal MSCI reference number: IXF_00040) dated as of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between MSCI and Licensee; and</w:t>
      </w:r>
    </w:p>
    <w:p>
      <w:pPr>
        <w:spacing w:after="0" w:line="107"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WHEREAS, on a date which is expected to occur on or about ********* (the “</w:t>
      </w:r>
      <w:r>
        <w:rPr>
          <w:rFonts w:ascii="Times New Roman" w:cs="Times New Roman" w:eastAsia="Times New Roman" w:hAnsi="Times New Roman"/>
          <w:sz w:val="13"/>
          <w:szCs w:val="13"/>
          <w:u w:val="single" w:color="auto"/>
          <w:color w:val="auto"/>
        </w:rPr>
        <w:t>Conversion Date</w:t>
      </w:r>
      <w:r>
        <w:rPr>
          <w:rFonts w:ascii="Times New Roman" w:cs="Times New Roman" w:eastAsia="Times New Roman" w:hAnsi="Times New Roman"/>
          <w:sz w:val="13"/>
          <w:szCs w:val="13"/>
          <w:color w:val="auto"/>
        </w:rPr>
        <w:t>”), Licensee and MSCI wish to replace MSCI Philippines Investable Market Index to MSCI Philippines IMI 25/50 Index as the underlying index for iShares MSCI Philippines ETF.</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in consideration of the mutual covenants set forth herein, each of MSCI and Licensee hereby agree to amend the Previous Amendment as follows:</w:t>
      </w:r>
    </w:p>
    <w:p>
      <w:pPr>
        <w:spacing w:after="0" w:line="121" w:lineRule="exact"/>
        <w:rPr>
          <w:sz w:val="20"/>
          <w:szCs w:val="20"/>
          <w:color w:val="auto"/>
        </w:rPr>
      </w:pPr>
    </w:p>
    <w:p>
      <w:pPr>
        <w:ind w:left="428" w:hanging="428"/>
        <w:spacing w:after="0" w:line="281" w:lineRule="auto"/>
        <w:tabs>
          <w:tab w:leader="none" w:pos="428" w:val="left"/>
        </w:tabs>
        <w:numPr>
          <w:ilvl w:val="0"/>
          <w:numId w:val="4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Conversion Date, Exhibit A of the Agreement is hereby amended so that all references to the “MSCI Philippines Investable Market Index” shall be deleted and replaced with the following index: “MSCI Philippines IMI 25/50 Index”</w:t>
      </w:r>
    </w:p>
    <w:p>
      <w:pPr>
        <w:spacing w:after="0" w:line="72" w:lineRule="exact"/>
        <w:rPr>
          <w:rFonts w:ascii="Times New Roman" w:cs="Times New Roman" w:eastAsia="Times New Roman" w:hAnsi="Times New Roman"/>
          <w:sz w:val="13"/>
          <w:szCs w:val="13"/>
          <w:color w:val="auto"/>
        </w:rPr>
      </w:pPr>
    </w:p>
    <w:p>
      <w:pPr>
        <w:ind w:left="428" w:right="20" w:hanging="428"/>
        <w:spacing w:after="0" w:line="260" w:lineRule="auto"/>
        <w:tabs>
          <w:tab w:leader="none" w:pos="428" w:val="left"/>
        </w:tabs>
        <w:numPr>
          <w:ilvl w:val="0"/>
          <w:numId w:val="4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Conversion Date occurs more than one hundred ninety (190) days after *********, this Amendment shall automatically terminate and this Amendment shall have no effect on the Previous Amendment.</w:t>
      </w:r>
    </w:p>
    <w:p>
      <w:pPr>
        <w:spacing w:after="0" w:line="261" w:lineRule="exact"/>
        <w:rPr>
          <w:rFonts w:ascii="Times New Roman" w:cs="Times New Roman" w:eastAsia="Times New Roman" w:hAnsi="Times New Roman"/>
          <w:sz w:val="13"/>
          <w:szCs w:val="13"/>
          <w:color w:val="auto"/>
        </w:rPr>
      </w:pPr>
    </w:p>
    <w:p>
      <w:pPr>
        <w:jc w:val="both"/>
        <w:ind w:left="428" w:hanging="428"/>
        <w:spacing w:after="0" w:line="263" w:lineRule="auto"/>
        <w:tabs>
          <w:tab w:leader="none" w:pos="428" w:val="left"/>
        </w:tabs>
        <w:numPr>
          <w:ilvl w:val="0"/>
          <w:numId w:val="4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amends and operates in conjunction with the Previous Amendment. This Amendment, the Previous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the Previous Amendment, or the Agreement, the terms of this Amendment shall control.</w:t>
      </w:r>
    </w:p>
    <w:p>
      <w:pPr>
        <w:spacing w:after="0" w:line="8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20" w:lineRule="exact"/>
        <w:rPr>
          <w:rFonts w:ascii="Times New Roman" w:cs="Times New Roman" w:eastAsia="Times New Roman" w:hAnsi="Times New Roman"/>
          <w:sz w:val="13"/>
          <w:szCs w:val="13"/>
          <w:color w:val="auto"/>
        </w:rPr>
      </w:pPr>
    </w:p>
    <w:p>
      <w:pPr>
        <w:jc w:val="both"/>
        <w:ind w:left="428" w:hanging="428"/>
        <w:spacing w:after="0" w:line="263" w:lineRule="auto"/>
        <w:tabs>
          <w:tab w:leader="none" w:pos="428" w:val="left"/>
        </w:tabs>
        <w:numPr>
          <w:ilvl w:val="0"/>
          <w:numId w:val="4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counterparts, which taken together, shall constitute one Amendment and each party hereto may execute this Amendment by signing such counterpart; provided 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26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189470" cy="114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0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6" w:right="2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as of the Amendment Effective Date set forth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MSCI Inc.</w:t>
            </w:r>
          </w:p>
        </w:tc>
        <w:tc>
          <w:tcPr>
            <w:tcW w:w="4940" w:type="dxa"/>
            <w:vAlign w:val="bottom"/>
          </w:tcPr>
          <w:p>
            <w:pPr>
              <w:spacing w:after="0"/>
              <w:rPr>
                <w:sz w:val="14"/>
                <w:szCs w:val="14"/>
                <w:color w:val="auto"/>
              </w:rPr>
            </w:pP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BlackRock Fund Advisors</w:t>
            </w:r>
          </w:p>
        </w:tc>
      </w:tr>
      <w:tr>
        <w:trPr>
          <w:trHeight w:val="28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Ruth Weiss</w:t>
            </w:r>
          </w:p>
        </w:tc>
      </w:tr>
      <w:tr>
        <w:trPr>
          <w:trHeight w:val="27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r>
      <w:tr>
        <w:trPr>
          <w:trHeight w:val="27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r>
      <w:tr>
        <w:trPr>
          <w:trHeight w:val="161"/>
        </w:trPr>
        <w:tc>
          <w:tcPr>
            <w:tcW w:w="6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September 3, 2020</w:t>
            </w:r>
          </w:p>
        </w:tc>
      </w:tr>
      <w:tr>
        <w:trPr>
          <w:trHeight w:val="575"/>
        </w:trPr>
        <w:tc>
          <w:tcPr>
            <w:tcW w:w="6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2</w:t>
            </w:r>
          </w:p>
        </w:tc>
        <w:tc>
          <w:tcPr>
            <w:tcW w:w="4940" w:type="dxa"/>
            <w:vAlign w:val="bottom"/>
          </w:tcPr>
          <w:p>
            <w:pPr>
              <w:spacing w:after="0"/>
              <w:rPr>
                <w:sz w:val="24"/>
                <w:szCs w:val="24"/>
                <w:color w:val="auto"/>
              </w:rPr>
            </w:pPr>
          </w:p>
        </w:tc>
      </w:tr>
    </w:tbl>
    <w:p>
      <w:pPr>
        <w:sectPr>
          <w:pgSz w:w="11900" w:h="16838" w:orient="portrait"/>
          <w:cols w:equalWidth="0" w:num="1">
            <w:col w:w="11300"/>
          </w:cols>
          <w:pgMar w:left="300" w:top="278" w:right="299" w:bottom="1440" w:gutter="0" w:footer="0" w:header="0"/>
        </w:sectPr>
      </w:pPr>
    </w:p>
    <w:bookmarkStart w:id="286" w:name="page287"/>
    <w:bookmarkEnd w:id="286"/>
    <w:p>
      <w:pPr>
        <w:ind w:left="10488"/>
        <w:spacing w:after="0"/>
        <w:rPr>
          <w:sz w:val="20"/>
          <w:szCs w:val="20"/>
          <w:color w:val="auto"/>
        </w:rPr>
      </w:pPr>
      <w:r>
        <w:rPr>
          <w:rFonts w:ascii="Times New Roman" w:cs="Times New Roman" w:eastAsia="Times New Roman" w:hAnsi="Times New Roman"/>
          <w:sz w:val="13"/>
          <w:szCs w:val="13"/>
          <w:b w:val="1"/>
          <w:bCs w:val="1"/>
          <w:color w:val="auto"/>
        </w:rPr>
        <w:t>Exhibit 10.230</w:t>
      </w:r>
    </w:p>
    <w:p>
      <w:pPr>
        <w:spacing w:after="0" w:line="158" w:lineRule="exact"/>
        <w:rPr>
          <w:sz w:val="20"/>
          <w:szCs w:val="20"/>
          <w:color w:val="auto"/>
        </w:rPr>
      </w:pPr>
    </w:p>
    <w:p>
      <w:pPr>
        <w:ind w:left="8" w:hanging="8"/>
        <w:spacing w:after="0" w:line="284" w:lineRule="auto"/>
        <w:tabs>
          <w:tab w:leader="none" w:pos="279" w:val="left"/>
        </w:tabs>
        <w:numPr>
          <w:ilvl w:val="0"/>
          <w:numId w:val="4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07" w:lineRule="exact"/>
        <w:rPr>
          <w:sz w:val="20"/>
          <w:szCs w:val="20"/>
          <w:color w:val="auto"/>
        </w:rPr>
      </w:pPr>
    </w:p>
    <w:p>
      <w:pPr>
        <w:ind w:left="10588"/>
        <w:spacing w:after="0"/>
        <w:rPr>
          <w:sz w:val="20"/>
          <w:szCs w:val="20"/>
          <w:color w:val="auto"/>
        </w:rPr>
      </w:pPr>
      <w:r>
        <w:rPr>
          <w:rFonts w:ascii="Times New Roman" w:cs="Times New Roman" w:eastAsia="Times New Roman" w:hAnsi="Times New Roman"/>
          <w:sz w:val="13"/>
          <w:szCs w:val="13"/>
          <w:color w:val="auto"/>
        </w:rPr>
        <w:t>A.N.: 130339</w:t>
      </w:r>
    </w:p>
    <w:p>
      <w:pPr>
        <w:spacing w:after="0" w:line="18" w:lineRule="exact"/>
        <w:rPr>
          <w:sz w:val="20"/>
          <w:szCs w:val="20"/>
          <w:color w:val="auto"/>
        </w:rPr>
      </w:pPr>
    </w:p>
    <w:p>
      <w:pPr>
        <w:ind w:left="10308"/>
        <w:spacing w:after="0"/>
        <w:rPr>
          <w:sz w:val="20"/>
          <w:szCs w:val="20"/>
          <w:color w:val="auto"/>
        </w:rPr>
      </w:pPr>
      <w:r>
        <w:rPr>
          <w:rFonts w:ascii="Times New Roman" w:cs="Times New Roman" w:eastAsia="Times New Roman" w:hAnsi="Times New Roman"/>
          <w:sz w:val="13"/>
          <w:szCs w:val="13"/>
          <w:color w:val="auto"/>
        </w:rPr>
        <w:t>AMD</w:t>
      </w:r>
      <w:r>
        <w:rPr>
          <w:rFonts w:ascii="Times New Roman" w:cs="Times New Roman" w:eastAsia="Times New Roman" w:hAnsi="Times New Roman"/>
          <w:sz w:val="11"/>
          <w:szCs w:val="11"/>
          <w:color w:val="auto"/>
        </w:rPr>
        <w:t>_</w:t>
      </w:r>
      <w:r>
        <w:rPr>
          <w:rFonts w:ascii="Times New Roman" w:cs="Times New Roman" w:eastAsia="Times New Roman" w:hAnsi="Times New Roman"/>
          <w:sz w:val="13"/>
          <w:szCs w:val="13"/>
          <w:color w:val="auto"/>
        </w:rPr>
        <w:t>00279701.0</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AMENDMENT</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Date of Amendment: November 16, 2020</w:t>
      </w:r>
    </w:p>
    <w:p>
      <w:pPr>
        <w:spacing w:after="0" w:line="121"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AMENDMENT to the Index License Agreement for Funds (internal MSCI reference IXF_00040) dated as of March 18, 2000 (as amended,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between MSCI Inc. (formerly known as Morgan Stanley Capital International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(as successor to Barclays Global Investors, N.A.)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the Agreement.</w:t>
      </w:r>
    </w:p>
    <w:p>
      <w:pPr>
        <w:spacing w:after="0" w:line="94"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WHEREAS, pursuant to the terms of the Amendment (internal MSCI reference AMD_00264512.0) dated October 1, 2019 between MSCI and Licensee (the “</w:t>
      </w:r>
      <w:r>
        <w:rPr>
          <w:rFonts w:ascii="Times New Roman" w:cs="Times New Roman" w:eastAsia="Times New Roman" w:hAnsi="Times New Roman"/>
          <w:sz w:val="13"/>
          <w:szCs w:val="13"/>
          <w:u w:val="single" w:color="auto"/>
          <w:color w:val="auto"/>
        </w:rPr>
        <w:t>Previous Amendment</w:t>
      </w:r>
      <w:r>
        <w:rPr>
          <w:rFonts w:ascii="Times New Roman" w:cs="Times New Roman" w:eastAsia="Times New Roman" w:hAnsi="Times New Roman"/>
          <w:sz w:val="13"/>
          <w:szCs w:val="13"/>
          <w:color w:val="auto"/>
        </w:rPr>
        <w:t>”), MSCI granted Licensee the right to use the MSCI index identified below as the basis for the Licensee Fund identified below:</w:t>
      </w:r>
    </w:p>
    <w:p>
      <w:pPr>
        <w:spacing w:after="0" w:line="73" w:lineRule="exact"/>
        <w:rPr>
          <w:sz w:val="20"/>
          <w:szCs w:val="20"/>
          <w:color w:val="auto"/>
        </w:rPr>
      </w:pPr>
    </w:p>
    <w:p>
      <w:pPr>
        <w:ind w:left="8" w:right="2980" w:firstLine="388"/>
        <w:spacing w:after="0" w:line="433" w:lineRule="auto"/>
        <w:tabs>
          <w:tab w:leader="none" w:pos="800" w:val="left"/>
        </w:tabs>
        <w:numPr>
          <w:ilvl w:val="1"/>
          <w:numId w:val="4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iShares ESG MSCI EM Leaders ETF, which seeks to track the performance of the MSCI EM Extended ESG Leaders 5% Issuer Capped Index. (The term “Fund” as used herein shall have the meaning ascribed to it in the Previous Amendment.)</w:t>
      </w:r>
    </w:p>
    <w:p>
      <w:pPr>
        <w:ind w:left="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WHEREAS, the parties wish to further amend the Agreement to allow for the cross-listing of the Licensee Fund identified above, as set forth below.</w:t>
      </w:r>
    </w:p>
    <w:p>
      <w:pPr>
        <w:spacing w:after="0" w:line="129" w:lineRule="exact"/>
        <w:rPr>
          <w:rFonts w:ascii="Times New Roman" w:cs="Times New Roman" w:eastAsia="Times New Roman" w:hAnsi="Times New Roman"/>
          <w:sz w:val="13"/>
          <w:szCs w:val="13"/>
          <w:color w:val="auto"/>
        </w:rPr>
      </w:pPr>
    </w:p>
    <w:p>
      <w:pPr>
        <w:ind w:left="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NOW, THEREFORE, for good and valuable consideration, the receipt and sufficiency of which is hereby acknowledged, the parties hereto agree as follows:</w:t>
      </w:r>
    </w:p>
    <w:p>
      <w:pPr>
        <w:spacing w:after="0" w:line="120" w:lineRule="exact"/>
        <w:rPr>
          <w:rFonts w:ascii="Times New Roman" w:cs="Times New Roman" w:eastAsia="Times New Roman" w:hAnsi="Times New Roman"/>
          <w:sz w:val="13"/>
          <w:szCs w:val="13"/>
          <w:color w:val="auto"/>
        </w:rPr>
      </w:pPr>
    </w:p>
    <w:p>
      <w:pPr>
        <w:jc w:val="both"/>
        <w:ind w:left="388" w:hanging="388"/>
        <w:spacing w:after="0" w:line="253" w:lineRule="auto"/>
        <w:tabs>
          <w:tab w:leader="none" w:pos="388" w:val="left"/>
        </w:tabs>
        <w:numPr>
          <w:ilvl w:val="0"/>
          <w:numId w:val="4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 B of the Agreement is hereby amended to allow the Licensee Fund identified above to be listed and traded on the Mexican Stock Exchange (Bolsa Institucional de Valores) (herein referred to as the “</w:t>
      </w:r>
      <w:r>
        <w:rPr>
          <w:rFonts w:ascii="Times New Roman" w:cs="Times New Roman" w:eastAsia="Times New Roman" w:hAnsi="Times New Roman"/>
          <w:sz w:val="13"/>
          <w:szCs w:val="13"/>
          <w:u w:val="single" w:color="auto"/>
          <w:color w:val="auto"/>
        </w:rPr>
        <w:t>Mexican Listed Fund</w:t>
      </w:r>
      <w:r>
        <w:rPr>
          <w:rFonts w:ascii="Times New Roman" w:cs="Times New Roman" w:eastAsia="Times New Roman" w:hAnsi="Times New Roman"/>
          <w:sz w:val="13"/>
          <w:szCs w:val="13"/>
          <w:color w:val="auto"/>
        </w:rPr>
        <w:t>”) after such Fund is listed on a United States exchange. The Mexican Listed Fund must be issued, sold and traded on a public basis in accordance with applicable Mexican securities law. All other terms and restrictions contained in Exhibit B of the Agreement shall apply to the Mexican Listed Fund. For clarity, there shall be ********* for the Mexican Listed Fund as</w:t>
      </w:r>
    </w:p>
    <w:p>
      <w:pPr>
        <w:ind w:left="38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06" w:lineRule="exact"/>
        <w:rPr>
          <w:rFonts w:ascii="Times New Roman" w:cs="Times New Roman" w:eastAsia="Times New Roman" w:hAnsi="Times New Roman"/>
          <w:sz w:val="13"/>
          <w:szCs w:val="13"/>
          <w:color w:val="auto"/>
        </w:rPr>
      </w:pPr>
    </w:p>
    <w:p>
      <w:pPr>
        <w:jc w:val="both"/>
        <w:ind w:left="388" w:hanging="388"/>
        <w:spacing w:after="0" w:line="263" w:lineRule="auto"/>
        <w:tabs>
          <w:tab w:leader="none" w:pos="388" w:val="left"/>
        </w:tabs>
        <w:numPr>
          <w:ilvl w:val="0"/>
          <w:numId w:val="4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is intended to amend and operate in conjunction with the Agreement and together this Amendment and the Agreement constitute the complete and exclusive statement of the agreement between the parties and supersede in full all prior proposals and understandings, oral or written, relating to the subject matter hereof. To the extent that any terms of this Amendment conflict with any terms of the Agreement, the terms of this Amendment shall control. No right or license of any kind is granted to Licensee except as expressly provided in the Agreement and this Amendment.</w:t>
      </w:r>
    </w:p>
    <w:p>
      <w:pPr>
        <w:spacing w:after="0" w:line="84" w:lineRule="exact"/>
        <w:rPr>
          <w:rFonts w:ascii="Times New Roman" w:cs="Times New Roman" w:eastAsia="Times New Roman" w:hAnsi="Times New Roman"/>
          <w:sz w:val="13"/>
          <w:szCs w:val="13"/>
          <w:color w:val="auto"/>
        </w:rPr>
      </w:pPr>
    </w:p>
    <w:p>
      <w:pPr>
        <w:ind w:left="388" w:hanging="388"/>
        <w:spacing w:after="0"/>
        <w:tabs>
          <w:tab w:leader="none" w:pos="388" w:val="left"/>
        </w:tabs>
        <w:numPr>
          <w:ilvl w:val="0"/>
          <w:numId w:val="4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LICENSEE: BlackRock Fund Advisors</w:t>
            </w:r>
          </w:p>
        </w:tc>
        <w:tc>
          <w:tcPr>
            <w:tcW w:w="5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MSCI Inc.</w:t>
            </w:r>
          </w:p>
        </w:tc>
        <w:tc>
          <w:tcPr>
            <w:tcW w:w="0" w:type="dxa"/>
            <w:vAlign w:val="bottom"/>
          </w:tcPr>
          <w:p>
            <w:pPr>
              <w:spacing w:after="0"/>
              <w:rPr>
                <w:sz w:val="1"/>
                <w:szCs w:val="1"/>
                <w:color w:val="auto"/>
              </w:rPr>
            </w:pPr>
          </w:p>
        </w:tc>
      </w:tr>
      <w:tr>
        <w:trPr>
          <w:trHeight w:val="293"/>
        </w:trPr>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Ruth Weiss</w:t>
            </w:r>
          </w:p>
        </w:tc>
        <w:tc>
          <w:tcPr>
            <w:tcW w:w="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0" w:type="dxa"/>
            <w:vAlign w:val="bottom"/>
          </w:tcPr>
          <w:p>
            <w:pPr>
              <w:spacing w:after="0"/>
              <w:rPr>
                <w:sz w:val="1"/>
                <w:szCs w:val="1"/>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c>
          <w:tcPr>
            <w:tcW w:w="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Name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0" w:type="dxa"/>
            <w:vAlign w:val="bottom"/>
          </w:tcPr>
          <w:p>
            <w:pPr>
              <w:spacing w:after="0"/>
              <w:rPr>
                <w:sz w:val="1"/>
                <w:szCs w:val="1"/>
                <w:color w:val="auto"/>
              </w:rPr>
            </w:pPr>
          </w:p>
        </w:tc>
      </w:tr>
      <w:tr>
        <w:trPr>
          <w:trHeight w:val="127"/>
        </w:trPr>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Title</w:t>
            </w:r>
          </w:p>
        </w:tc>
        <w:tc>
          <w:tcPr>
            <w:tcW w:w="50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auto"/>
              </w:rPr>
              <w:t>(printed)</w:t>
            </w: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Title</w:t>
            </w:r>
          </w:p>
        </w:tc>
        <w:tc>
          <w:tcPr>
            <w:tcW w:w="50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auto"/>
              </w:rPr>
              <w:t>(printed)</w:t>
            </w:r>
          </w:p>
        </w:tc>
        <w:tc>
          <w:tcPr>
            <w:tcW w:w="0" w:type="dxa"/>
            <w:vAlign w:val="bottom"/>
          </w:tcPr>
          <w:p>
            <w:pPr>
              <w:spacing w:after="0"/>
              <w:rPr>
                <w:sz w:val="1"/>
                <w:szCs w:val="1"/>
                <w:color w:val="auto"/>
              </w:rPr>
            </w:pPr>
          </w:p>
        </w:tc>
      </w:tr>
      <w:tr>
        <w:trPr>
          <w:trHeight w:val="168"/>
        </w:trPr>
        <w:tc>
          <w:tcPr>
            <w:tcW w:w="520" w:type="dxa"/>
            <w:vAlign w:val="bottom"/>
            <w:vMerge w:val="continue"/>
          </w:tcPr>
          <w:p>
            <w:pPr>
              <w:spacing w:after="0"/>
              <w:rPr>
                <w:sz w:val="14"/>
                <w:szCs w:val="14"/>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c>
          <w:tcPr>
            <w:tcW w:w="740" w:type="dxa"/>
            <w:vAlign w:val="bottom"/>
            <w:vMerge w:val="continue"/>
          </w:tcPr>
          <w:p>
            <w:pPr>
              <w:spacing w:after="0"/>
              <w:rPr>
                <w:sz w:val="14"/>
                <w:szCs w:val="14"/>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0" w:type="dxa"/>
            <w:vAlign w:val="bottom"/>
          </w:tcPr>
          <w:p>
            <w:pPr>
              <w:spacing w:after="0"/>
              <w:rPr>
                <w:sz w:val="1"/>
                <w:szCs w:val="1"/>
                <w:color w:val="auto"/>
              </w:rPr>
            </w:pPr>
          </w:p>
        </w:tc>
      </w:tr>
    </w:tbl>
    <w:p>
      <w:pPr>
        <w:sectPr>
          <w:pgSz w:w="11900" w:h="16838" w:orient="portrait"/>
          <w:cols w:equalWidth="0" w:num="1">
            <w:col w:w="11308"/>
          </w:cols>
          <w:pgMar w:left="292" w:top="122" w:right="29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3"/>
          <w:szCs w:val="13"/>
          <w:b w:val="1"/>
          <w:bCs w:val="1"/>
          <w:color w:val="auto"/>
        </w:rPr>
        <w:t>Exhibit 10.231</w:t>
      </w:r>
    </w:p>
    <w:p>
      <w:pPr>
        <w:spacing w:after="0" w:line="149" w:lineRule="exact"/>
        <w:rPr>
          <w:sz w:val="20"/>
          <w:szCs w:val="20"/>
          <w:color w:val="auto"/>
        </w:rPr>
      </w:pPr>
    </w:p>
    <w:p>
      <w:pPr>
        <w:ind w:left="8" w:hanging="8"/>
        <w:spacing w:after="0" w:line="262" w:lineRule="auto"/>
        <w:tabs>
          <w:tab w:leader="none" w:pos="220" w:val="left"/>
        </w:tabs>
        <w:numPr>
          <w:ilvl w:val="0"/>
          <w:numId w:val="4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INDICATES CERTAIN CONFIDENTIAL PORTIONS OF THIS EXHIBIT THAT HAVE BEEN OMITTED PURSUANT TO ITEM 601(B) OF REGULATION S-K BECAUSE THE IDENTIFIED CONFIDENTIAL PORTIONS (I) ARE NOT MATERIAL AND (II) WOULD BE COMPETITIVELY HARMFUL IF PUBLICLY DISCLOSED.</w:t>
      </w:r>
    </w:p>
    <w:p>
      <w:pPr>
        <w:spacing w:after="0" w:line="1" w:lineRule="exact"/>
        <w:rPr>
          <w:sz w:val="20"/>
          <w:szCs w:val="20"/>
          <w:color w:val="auto"/>
        </w:rPr>
      </w:pPr>
    </w:p>
    <w:p>
      <w:pPr>
        <w:ind w:left="10308"/>
        <w:spacing w:after="0"/>
        <w:rPr>
          <w:sz w:val="20"/>
          <w:szCs w:val="20"/>
          <w:color w:val="auto"/>
        </w:rPr>
      </w:pPr>
      <w:r>
        <w:rPr>
          <w:rFonts w:ascii="Times New Roman" w:cs="Times New Roman" w:eastAsia="Times New Roman" w:hAnsi="Times New Roman"/>
          <w:sz w:val="13"/>
          <w:szCs w:val="13"/>
          <w:color w:val="auto"/>
        </w:rPr>
        <w:t>AMD_00276677.0</w:t>
      </w:r>
    </w:p>
    <w:p>
      <w:pPr>
        <w:spacing w:after="0" w:line="134"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THIS AMENDMENT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dated as of December 1, 2020 (the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is made to the Previous Amendment (as defined below) by and between MSCI Inc. (formerly known as Morgan Stanley Capital International Inc.) (“</w:t>
      </w:r>
      <w:r>
        <w:rPr>
          <w:rFonts w:ascii="Times New Roman" w:cs="Times New Roman" w:eastAsia="Times New Roman" w:hAnsi="Times New Roman"/>
          <w:sz w:val="13"/>
          <w:szCs w:val="13"/>
          <w:u w:val="single" w:color="auto"/>
          <w:color w:val="auto"/>
        </w:rPr>
        <w:t>MSCI</w:t>
      </w:r>
      <w:r>
        <w:rPr>
          <w:rFonts w:ascii="Times New Roman" w:cs="Times New Roman" w:eastAsia="Times New Roman" w:hAnsi="Times New Roman"/>
          <w:sz w:val="13"/>
          <w:szCs w:val="13"/>
          <w:color w:val="auto"/>
        </w:rPr>
        <w:t>”) and BlackRock Fund Advisors (“</w:t>
      </w:r>
      <w:r>
        <w:rPr>
          <w:rFonts w:ascii="Times New Roman" w:cs="Times New Roman" w:eastAsia="Times New Roman" w:hAnsi="Times New Roman"/>
          <w:sz w:val="13"/>
          <w:szCs w:val="13"/>
          <w:u w:val="single" w:color="auto"/>
          <w:color w:val="auto"/>
        </w:rPr>
        <w:t>Licensee</w:t>
      </w:r>
      <w:r>
        <w:rPr>
          <w:rFonts w:ascii="Times New Roman" w:cs="Times New Roman" w:eastAsia="Times New Roman" w:hAnsi="Times New Roman"/>
          <w:sz w:val="13"/>
          <w:szCs w:val="13"/>
          <w:color w:val="auto"/>
        </w:rPr>
        <w:t>”). Capitalized terms used but not defined herein shall have the meanings ascribed to them in the Previous Amendment or the Agreement (as defined below), as the case may be.</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WHEREAS, MSCI and Licensee entered into an amendment (internal MSCI reference: AMD_00064734.0) dated as of February 16, 2012 (the “</w:t>
      </w:r>
      <w:r>
        <w:rPr>
          <w:rFonts w:ascii="Times New Roman" w:cs="Times New Roman" w:eastAsia="Times New Roman" w:hAnsi="Times New Roman"/>
          <w:sz w:val="13"/>
          <w:szCs w:val="13"/>
          <w:u w:val="single" w:color="auto"/>
          <w:color w:val="auto"/>
        </w:rPr>
        <w:t>Previous Amendment</w:t>
      </w:r>
      <w:r>
        <w:rPr>
          <w:rFonts w:ascii="Times New Roman" w:cs="Times New Roman" w:eastAsia="Times New Roman" w:hAnsi="Times New Roman"/>
          <w:sz w:val="13"/>
          <w:szCs w:val="13"/>
          <w:color w:val="auto"/>
        </w:rPr>
        <w:t>”), which amended the Index License</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Agreement for Funds (internal MSCI reference number: IXF_00040) dated as of March 18, 2000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between MSCI and Licensee; and</w:t>
      </w:r>
    </w:p>
    <w:p>
      <w:pPr>
        <w:spacing w:after="0" w:line="134" w:lineRule="exact"/>
        <w:rPr>
          <w:sz w:val="20"/>
          <w:szCs w:val="20"/>
          <w:color w:val="auto"/>
        </w:rPr>
      </w:pPr>
    </w:p>
    <w:p>
      <w:pPr>
        <w:jc w:val="both"/>
        <w:ind w:left="8" w:right="20"/>
        <w:spacing w:after="0" w:line="281" w:lineRule="auto"/>
        <w:rPr>
          <w:sz w:val="20"/>
          <w:szCs w:val="20"/>
          <w:color w:val="auto"/>
        </w:rPr>
      </w:pPr>
      <w:r>
        <w:rPr>
          <w:rFonts w:ascii="Times New Roman" w:cs="Times New Roman" w:eastAsia="Times New Roman" w:hAnsi="Times New Roman"/>
          <w:sz w:val="13"/>
          <w:szCs w:val="13"/>
          <w:color w:val="auto"/>
        </w:rPr>
        <w:t>WHEREAS, on a date which is expected to occur on or about ********* (the “</w:t>
      </w:r>
      <w:r>
        <w:rPr>
          <w:rFonts w:ascii="Times New Roman" w:cs="Times New Roman" w:eastAsia="Times New Roman" w:hAnsi="Times New Roman"/>
          <w:sz w:val="13"/>
          <w:szCs w:val="13"/>
          <w:u w:val="single" w:color="auto"/>
          <w:color w:val="auto"/>
        </w:rPr>
        <w:t>Conversion Date</w:t>
      </w:r>
      <w:r>
        <w:rPr>
          <w:rFonts w:ascii="Times New Roman" w:cs="Times New Roman" w:eastAsia="Times New Roman" w:hAnsi="Times New Roman"/>
          <w:sz w:val="13"/>
          <w:szCs w:val="13"/>
          <w:color w:val="auto"/>
        </w:rPr>
        <w:t>”), Licensee and MSCI wish to replace the MSCI Frontier Markets 100 Index with the MSCI Frontier and Emerging Markets Select Index as the underlying index for the iShares MSCI Frontier 100 ETF (the “</w:t>
      </w: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NOW, THEREFORE, in consideration of the mutual covenants set forth herein, each of MSCI and Licensee hereby agree to amend the Previous Amendment as follows:</w:t>
      </w:r>
    </w:p>
    <w:p>
      <w:pPr>
        <w:spacing w:after="0" w:line="148" w:lineRule="exact"/>
        <w:rPr>
          <w:sz w:val="20"/>
          <w:szCs w:val="20"/>
          <w:color w:val="auto"/>
        </w:rPr>
      </w:pPr>
    </w:p>
    <w:p>
      <w:pPr>
        <w:ind w:left="428" w:hanging="428"/>
        <w:spacing w:after="0" w:line="281" w:lineRule="auto"/>
        <w:tabs>
          <w:tab w:leader="none" w:pos="428" w:val="left"/>
        </w:tabs>
        <w:numPr>
          <w:ilvl w:val="0"/>
          <w:numId w:val="4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on the Conversion Date, Exhibit A of the Agreement is hereby amended so that all references to the “MSCI Frontier Markets 100 Index” shall be deleted and replaced with the following index: “MSCI Frontier and Emerging Markets Select Index”</w:t>
      </w:r>
    </w:p>
    <w:p>
      <w:pPr>
        <w:spacing w:after="0" w:line="99" w:lineRule="exact"/>
        <w:rPr>
          <w:rFonts w:ascii="Times New Roman" w:cs="Times New Roman" w:eastAsia="Times New Roman" w:hAnsi="Times New Roman"/>
          <w:sz w:val="13"/>
          <w:szCs w:val="13"/>
          <w:color w:val="auto"/>
        </w:rPr>
      </w:pPr>
    </w:p>
    <w:p>
      <w:pPr>
        <w:ind w:left="428" w:hanging="428"/>
        <w:spacing w:after="0" w:line="260" w:lineRule="auto"/>
        <w:tabs>
          <w:tab w:leader="none" w:pos="428" w:val="left"/>
        </w:tabs>
        <w:numPr>
          <w:ilvl w:val="0"/>
          <w:numId w:val="4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Conversion has not occurred within one hundred ninety (190) days after *********, this Amendment shall automatically terminate and this Amendment shall have no effect on the Previous Amendment.</w:t>
      </w:r>
    </w:p>
    <w:p>
      <w:pPr>
        <w:spacing w:after="0" w:line="288" w:lineRule="exact"/>
        <w:rPr>
          <w:rFonts w:ascii="Times New Roman" w:cs="Times New Roman" w:eastAsia="Times New Roman" w:hAnsi="Times New Roman"/>
          <w:sz w:val="13"/>
          <w:szCs w:val="13"/>
          <w:color w:val="auto"/>
        </w:rPr>
      </w:pPr>
    </w:p>
    <w:p>
      <w:pPr>
        <w:jc w:val="both"/>
        <w:ind w:left="428" w:hanging="428"/>
        <w:spacing w:after="0" w:line="263" w:lineRule="auto"/>
        <w:tabs>
          <w:tab w:leader="none" w:pos="428" w:val="left"/>
        </w:tabs>
        <w:numPr>
          <w:ilvl w:val="0"/>
          <w:numId w:val="4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Section 9(a) of the Agreement, commencing on the Conversion Date, the iShares MSCI Frontier 100 ETF shall be renamed as the “iShares MSCI Frontier and Select EM ETF” (and shall cease to be named as the iShares MSCI Frontier 100 ETF). It is acknowledged and agreed that the MSCI Frontier and Emerging Markets Select Index shall be only used as the underlying index for the iShares MSCI Frontier and Select EM ETF.</w:t>
      </w:r>
    </w:p>
    <w:p>
      <w:pPr>
        <w:spacing w:after="0" w:line="111" w:lineRule="exact"/>
        <w:rPr>
          <w:rFonts w:ascii="Times New Roman" w:cs="Times New Roman" w:eastAsia="Times New Roman" w:hAnsi="Times New Roman"/>
          <w:sz w:val="13"/>
          <w:szCs w:val="13"/>
          <w:color w:val="auto"/>
        </w:rPr>
      </w:pPr>
    </w:p>
    <w:p>
      <w:pPr>
        <w:jc w:val="both"/>
        <w:ind w:left="428" w:hanging="428"/>
        <w:spacing w:after="0" w:line="263" w:lineRule="auto"/>
        <w:tabs>
          <w:tab w:leader="none" w:pos="428" w:val="left"/>
        </w:tabs>
        <w:numPr>
          <w:ilvl w:val="0"/>
          <w:numId w:val="4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amends and operates in conjunction with the Previous Amendment. This Amendment, the Previous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the Previous Amendment, or the Agreement, the terms of this Amendment shall control.</w:t>
      </w:r>
    </w:p>
    <w:p>
      <w:pPr>
        <w:spacing w:after="0" w:line="111"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construed in accordance with, the laws of the State of New York without regard to its conflict or choice of laws principles.</w:t>
      </w:r>
    </w:p>
    <w:p>
      <w:pPr>
        <w:spacing w:after="0" w:line="147"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counterparts, which taken together, shall constitute one Amendment and each party hereto may execute this Amendment by signing such counterpart; provided</w:t>
      </w:r>
    </w:p>
    <w:p>
      <w:pPr>
        <w:spacing w:after="0" w:line="29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0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6" w:right="299" w:bottom="1440" w:gutter="0" w:footer="0" w:header="0"/>
        </w:sectPr>
      </w:pPr>
    </w:p>
    <w:bookmarkStart w:id="288" w:name="page289"/>
    <w:bookmarkEnd w:id="288"/>
    <w:p>
      <w:pPr>
        <w:ind w:left="420"/>
        <w:spacing w:after="0" w:line="281" w:lineRule="auto"/>
        <w:rPr>
          <w:sz w:val="20"/>
          <w:szCs w:val="20"/>
          <w:color w:val="auto"/>
        </w:rPr>
      </w:pPr>
      <w:r>
        <w:rPr>
          <w:rFonts w:ascii="Times New Roman" w:cs="Times New Roman" w:eastAsia="Times New Roman" w:hAnsi="Times New Roman"/>
          <w:sz w:val="13"/>
          <w:szCs w:val="13"/>
          <w:color w:val="auto"/>
        </w:rPr>
        <w:t>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as of the Amendment Effective Date set forth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MSCI Inc.</w:t>
            </w:r>
          </w:p>
        </w:tc>
        <w:tc>
          <w:tcPr>
            <w:tcW w:w="626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BlackRock Fund Advisors</w:t>
            </w:r>
          </w:p>
        </w:tc>
      </w:tr>
      <w:tr>
        <w:trPr>
          <w:trHeight w:val="302"/>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Joke Jacinto</w:t>
            </w:r>
          </w:p>
        </w:tc>
        <w:tc>
          <w:tcPr>
            <w:tcW w:w="1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Ruth Weiss</w:t>
            </w:r>
          </w:p>
        </w:tc>
      </w:tr>
      <w:tr>
        <w:trPr>
          <w:trHeight w:val="24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500" w:type="dxa"/>
            <w:vAlign w:val="bottom"/>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Joke Jacinto</w:t>
            </w:r>
          </w:p>
        </w:tc>
        <w:tc>
          <w:tcPr>
            <w:tcW w:w="1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Name</w:t>
            </w:r>
          </w:p>
        </w:tc>
        <w:tc>
          <w:tcPr>
            <w:tcW w:w="28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Ruth Weiss</w:t>
            </w:r>
          </w:p>
        </w:tc>
      </w:tr>
      <w:tr>
        <w:trPr>
          <w:trHeight w:val="24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0" w:type="dxa"/>
            <w:vAlign w:val="bottom"/>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Executive Director</w:t>
            </w:r>
          </w:p>
        </w:tc>
        <w:tc>
          <w:tcPr>
            <w:tcW w:w="1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Title</w:t>
            </w:r>
          </w:p>
        </w:tc>
        <w:tc>
          <w:tcPr>
            <w:tcW w:w="28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Managing Director</w:t>
            </w:r>
          </w:p>
        </w:tc>
      </w:tr>
      <w:tr>
        <w:trPr>
          <w:trHeight w:val="439"/>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2</w:t>
            </w:r>
          </w:p>
        </w:tc>
        <w:tc>
          <w:tcPr>
            <w:tcW w:w="28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2"/>
          <w:szCs w:val="12"/>
          <w:b w:val="1"/>
          <w:bCs w:val="1"/>
          <w:color w:val="auto"/>
        </w:rPr>
        <w:t>Exhibit 10.232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AWARD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RESTRICTED STOCK UNITS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EMPLOYEES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UNDER THE MSCI INC. 2016 OMNIBUS INCENTIVE PLAN</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MSCI Inc. (“</w:t>
      </w:r>
      <w:r>
        <w:rPr>
          <w:rFonts w:ascii="Times New Roman" w:cs="Times New Roman" w:eastAsia="Times New Roman" w:hAnsi="Times New Roman"/>
          <w:sz w:val="12"/>
          <w:szCs w:val="12"/>
          <w:b w:val="1"/>
          <w:bCs w:val="1"/>
          <w:color w:val="auto"/>
        </w:rPr>
        <w:t>MSCI</w:t>
      </w:r>
      <w:r>
        <w:rPr>
          <w:rFonts w:ascii="Times New Roman" w:cs="Times New Roman" w:eastAsia="Times New Roman" w:hAnsi="Times New Roman"/>
          <w:sz w:val="12"/>
          <w:szCs w:val="12"/>
          <w:color w:val="auto"/>
        </w:rPr>
        <w:t>,” together with its Subsidiaries,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hereby grants to you Restricted Stock Units (“</w:t>
      </w:r>
      <w:r>
        <w:rPr>
          <w:rFonts w:ascii="Times New Roman" w:cs="Times New Roman" w:eastAsia="Times New Roman" w:hAnsi="Times New Roman"/>
          <w:sz w:val="12"/>
          <w:szCs w:val="12"/>
          <w:b w:val="1"/>
          <w:bCs w:val="1"/>
          <w:color w:val="auto"/>
        </w:rPr>
        <w:t>RSUs</w:t>
      </w:r>
      <w:r>
        <w:rPr>
          <w:rFonts w:ascii="Times New Roman" w:cs="Times New Roman" w:eastAsia="Times New Roman" w:hAnsi="Times New Roman"/>
          <w:sz w:val="12"/>
          <w:szCs w:val="12"/>
          <w:color w:val="auto"/>
        </w:rPr>
        <w:t>”) as described below. The awards are being granted under the MSCI Inc. 2016 Omnibus Incentive Plan (as may be amended from time to time, the “</w:t>
      </w:r>
      <w:r>
        <w:rPr>
          <w:rFonts w:ascii="Times New Roman" w:cs="Times New Roman" w:eastAsia="Times New Roman" w:hAnsi="Times New Roman"/>
          <w:sz w:val="12"/>
          <w:szCs w:val="12"/>
          <w:b w:val="1"/>
          <w:bCs w:val="1"/>
          <w:color w:val="auto"/>
        </w:rPr>
        <w:t>Plan</w:t>
      </w:r>
      <w:r>
        <w:rPr>
          <w:rFonts w:ascii="Times New Roman" w:cs="Times New Roman" w:eastAsia="Times New Roman" w:hAnsi="Times New Roman"/>
          <w:sz w:val="12"/>
          <w:szCs w:val="12"/>
          <w:color w:val="auto"/>
        </w:rPr>
        <w:t>”).</w:t>
      </w:r>
    </w:p>
    <w:p>
      <w:pPr>
        <w:sectPr>
          <w:pgSz w:w="11900" w:h="16838" w:orient="portrait"/>
          <w:cols w:equalWidth="0" w:num="1">
            <w:col w:w="11300"/>
          </w:cols>
          <w:pgMar w:left="300" w:top="269" w:right="29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[Name]</w:t>
      </w:r>
    </w:p>
    <w:p>
      <w:pPr>
        <w:spacing w:after="0" w:line="157" w:lineRule="exact"/>
        <w:rPr>
          <w:sz w:val="20"/>
          <w:szCs w:val="20"/>
          <w:color w:val="auto"/>
        </w:rPr>
      </w:pPr>
    </w:p>
    <w:p>
      <w:pPr>
        <w:sectPr>
          <w:pgSz w:w="11900" w:h="16838" w:orient="portrait"/>
          <w:cols w:equalWidth="0" w:num="2">
            <w:col w:w="3780" w:space="720"/>
            <w:col w:w="680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 RSUs</w:t>
      </w:r>
    </w:p>
    <w:p>
      <w:pPr>
        <w:spacing w:after="0" w:line="146" w:lineRule="exact"/>
        <w:rPr>
          <w:sz w:val="20"/>
          <w:szCs w:val="20"/>
          <w:color w:val="auto"/>
        </w:rPr>
      </w:pPr>
    </w:p>
    <w:p>
      <w:pPr>
        <w:sectPr>
          <w:pgSz w:w="11900" w:h="16838" w:orient="portrait"/>
          <w:cols w:equalWidth="0" w:num="2">
            <w:col w:w="3780" w:space="720"/>
            <w:col w:w="680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w:t>
      </w:r>
    </w:p>
    <w:p>
      <w:pPr>
        <w:spacing w:after="0" w:line="158" w:lineRule="exact"/>
        <w:rPr>
          <w:sz w:val="20"/>
          <w:szCs w:val="20"/>
          <w:color w:val="auto"/>
        </w:rPr>
      </w:pPr>
    </w:p>
    <w:p>
      <w:pPr>
        <w:sectPr>
          <w:pgSz w:w="11900" w:h="16838" w:orient="portrait"/>
          <w:cols w:equalWidth="0" w:num="2">
            <w:col w:w="3780" w:space="720"/>
            <w:col w:w="680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ectPr>
          <w:pgSz w:w="11900" w:h="16838" w:orient="portrait"/>
          <w:cols w:equalWidth="0" w:num="2">
            <w:col w:w="3780" w:space="720"/>
            <w:col w:w="6800"/>
          </w:cols>
          <w:pgMar w:left="300" w:top="269" w:right="299" w:bottom="1440" w:gutter="0" w:footer="0" w:header="0"/>
          <w:type w:val="continuous"/>
        </w:sectPr>
      </w:pPr>
    </w:p>
    <w:p>
      <w:pPr>
        <w:spacing w:after="0" w:line="12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Your RSUs may be subject to forfeiture or recoupment if you terminate employment with the Company, or fail to affirmatively accept the terms of this Award Agreement by [•] or do not comply with the notice requirements, as set forth in the Plan and this Restricted Stock Unit Award Agreement (including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attached hereto, as applicable, this “</w:t>
      </w:r>
      <w:r>
        <w:rPr>
          <w:rFonts w:ascii="Times New Roman" w:cs="Times New Roman" w:eastAsia="Times New Roman" w:hAnsi="Times New Roman"/>
          <w:sz w:val="12"/>
          <w:szCs w:val="12"/>
          <w:b w:val="1"/>
          <w:bCs w:val="1"/>
          <w:color w:val="auto"/>
        </w:rPr>
        <w:t>Award Agreement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You agree that this Award Agreement is granted under the Plan and governed by the terms and conditions of the Plan and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attached hereto, as applicable. RSUs granted to you pursuant to this Award Agreement and any Shares issued in settlement or satisfaction thereof may be subject to the MSCI Inc. Clawback Policy and any stock ownership guidelines of MSCI, as may be in effect from time to time, if on or after the Grant Date you are or become covered by such policies, as determined in accordance with the terms of such policies. You will be able to access a prospectus and tax supplement that contains important information about this award via the MSCI website or your brokerage account. Unless defined in this Award Agreement, capitalized terms shall have the meanings ascribed to them in the Plan.</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IN WITNESS WHEREOF, MSCI has duly executed and delivered this Award Agreement as of the Grant Date.</w:t>
      </w:r>
    </w:p>
    <w:p>
      <w:pPr>
        <w:spacing w:after="0" w:line="200" w:lineRule="exact"/>
        <w:rPr>
          <w:sz w:val="20"/>
          <w:szCs w:val="20"/>
          <w:color w:val="auto"/>
        </w:rPr>
      </w:pPr>
    </w:p>
    <w:p>
      <w:pPr>
        <w:spacing w:after="0" w:line="27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MSCI Inc.</w:t>
      </w:r>
    </w:p>
    <w:p>
      <w:pPr>
        <w:spacing w:after="0" w:line="3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-85725</wp:posOffset>
            </wp:positionV>
            <wp:extent cx="358902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0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jc w:val="center"/>
        <w:ind w:right="-279"/>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323850</wp:posOffset>
            </wp:positionV>
            <wp:extent cx="7189470" cy="114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0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type w:val="continuous"/>
        </w:sectPr>
      </w:pPr>
    </w:p>
    <w:bookmarkStart w:id="290" w:name="page291"/>
    <w:bookmarkEnd w:id="290"/>
    <w:p>
      <w:pPr>
        <w:jc w:val="right"/>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TERMS AND CONDITIONS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RESTRICTED STOCK UNIT AWARD AGREEMENT</w:t>
      </w:r>
    </w:p>
    <w:p>
      <w:pPr>
        <w:spacing w:after="0" w:line="298"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1. </w:t>
      </w:r>
      <w:r>
        <w:rPr>
          <w:rFonts w:ascii="Times New Roman" w:cs="Times New Roman" w:eastAsia="Times New Roman" w:hAnsi="Times New Roman"/>
          <w:sz w:val="12"/>
          <w:szCs w:val="12"/>
          <w:u w:val="single" w:color="auto"/>
          <w:color w:val="auto"/>
        </w:rPr>
        <w:t>RSUs Generally</w:t>
      </w:r>
      <w:r>
        <w:rPr>
          <w:rFonts w:ascii="Times New Roman" w:cs="Times New Roman" w:eastAsia="Times New Roman" w:hAnsi="Times New Roman"/>
          <w:sz w:val="12"/>
          <w:szCs w:val="12"/>
          <w:color w:val="auto"/>
        </w:rPr>
        <w:t>. MSCI has awarded you RSUs as an incentive for you to continue to provide services to the Company and to align your interests with those of the Company. As such, you will earn your RSUs only if you remain in continuous employment with the Company through the applicable Vesting Dates, or as otherwise set forth below. Each RSU corresponds to one share of MSCI common stock, par value $0.01 per share (each, a “</w:t>
      </w:r>
      <w:r>
        <w:rPr>
          <w:rFonts w:ascii="Times New Roman" w:cs="Times New Roman" w:eastAsia="Times New Roman" w:hAnsi="Times New Roman"/>
          <w:sz w:val="12"/>
          <w:szCs w:val="12"/>
          <w:b w:val="1"/>
          <w:bCs w:val="1"/>
          <w:color w:val="auto"/>
        </w:rPr>
        <w:t>Share</w:t>
      </w:r>
      <w:r>
        <w:rPr>
          <w:rFonts w:ascii="Times New Roman" w:cs="Times New Roman" w:eastAsia="Times New Roman" w:hAnsi="Times New Roman"/>
          <w:sz w:val="12"/>
          <w:szCs w:val="12"/>
          <w:color w:val="auto"/>
        </w:rPr>
        <w:t>”). Each RSU constitutes a contingent and unsecured promise by MSCI to deliver one Share on the conversion date for such RSU.</w:t>
      </w:r>
    </w:p>
    <w:p>
      <w:pPr>
        <w:spacing w:after="0" w:line="119"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2.</w:t>
      </w:r>
      <w:r>
        <w:rPr>
          <w:sz w:val="20"/>
          <w:szCs w:val="20"/>
          <w:color w:val="auto"/>
        </w:rPr>
        <w:tab/>
      </w:r>
      <w:r>
        <w:rPr>
          <w:rFonts w:ascii="Times New Roman" w:cs="Times New Roman" w:eastAsia="Times New Roman" w:hAnsi="Times New Roman"/>
          <w:sz w:val="11"/>
          <w:szCs w:val="11"/>
          <w:u w:val="single" w:color="auto"/>
          <w:color w:val="auto"/>
        </w:rPr>
        <w:t>Vesting, Conversion and HSR Act</w:t>
      </w:r>
      <w:r>
        <w:rPr>
          <w:rFonts w:ascii="Times New Roman" w:cs="Times New Roman" w:eastAsia="Times New Roman" w:hAnsi="Times New Roman"/>
          <w:sz w:val="11"/>
          <w:szCs w:val="11"/>
          <w:color w:val="auto"/>
        </w:rPr>
        <w:t>.</w:t>
      </w:r>
    </w:p>
    <w:p>
      <w:pPr>
        <w:spacing w:after="0" w:line="146" w:lineRule="exact"/>
        <w:rPr>
          <w:sz w:val="20"/>
          <w:szCs w:val="20"/>
          <w:color w:val="auto"/>
        </w:rPr>
      </w:pPr>
    </w:p>
    <w:p>
      <w:pPr>
        <w:ind w:right="20" w:firstLine="933"/>
        <w:spacing w:after="0" w:line="286" w:lineRule="auto"/>
        <w:tabs>
          <w:tab w:leader="none" w:pos="1507"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Vesting</w:t>
      </w:r>
      <w:r>
        <w:rPr>
          <w:rFonts w:ascii="Times New Roman" w:cs="Times New Roman" w:eastAsia="Times New Roman" w:hAnsi="Times New Roman"/>
          <w:sz w:val="12"/>
          <w:szCs w:val="12"/>
          <w:color w:val="auto"/>
        </w:rPr>
        <w:t>. Your RSUs shall vest [•] (each, a “</w:t>
      </w:r>
      <w:r>
        <w:rPr>
          <w:rFonts w:ascii="Times New Roman" w:cs="Times New Roman" w:eastAsia="Times New Roman" w:hAnsi="Times New Roman"/>
          <w:sz w:val="12"/>
          <w:szCs w:val="12"/>
          <w:b w:val="1"/>
          <w:bCs w:val="1"/>
          <w:color w:val="auto"/>
        </w:rPr>
        <w:t>Vesting Date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provided </w:t>
      </w:r>
      <w:r>
        <w:rPr>
          <w:rFonts w:ascii="Times New Roman" w:cs="Times New Roman" w:eastAsia="Times New Roman" w:hAnsi="Times New Roman"/>
          <w:sz w:val="12"/>
          <w:szCs w:val="12"/>
          <w:color w:val="auto"/>
        </w:rPr>
        <w:t>that, subject to Section 4 and Section 5, you continue to be employed by the Company on each such Vesting Date;</w:t>
      </w:r>
      <w:r>
        <w:rPr>
          <w:rFonts w:ascii="Times New Roman" w:cs="Times New Roman" w:eastAsia="Times New Roman" w:hAnsi="Times New Roman"/>
          <w:sz w:val="12"/>
          <w:szCs w:val="12"/>
          <w:i w:val="1"/>
          <w:iCs w:val="1"/>
          <w:color w:val="auto"/>
        </w:rPr>
        <w:t xml:space="preserve"> 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further</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you have complied with all applicable provisions of the HSR Act. For purposes of this Award Agreement, each [•] period immediately prior to each applicable Vesting Date shall be referred to herein as a “</w:t>
      </w:r>
      <w:r>
        <w:rPr>
          <w:rFonts w:ascii="Times New Roman" w:cs="Times New Roman" w:eastAsia="Times New Roman" w:hAnsi="Times New Roman"/>
          <w:sz w:val="12"/>
          <w:szCs w:val="12"/>
          <w:b w:val="1"/>
          <w:bCs w:val="1"/>
          <w:color w:val="auto"/>
        </w:rPr>
        <w:t>Vesting Period</w:t>
      </w:r>
      <w:r>
        <w:rPr>
          <w:rFonts w:ascii="Times New Roman" w:cs="Times New Roman" w:eastAsia="Times New Roman" w:hAnsi="Times New Roman"/>
          <w:sz w:val="12"/>
          <w:szCs w:val="12"/>
          <w:color w:val="auto"/>
        </w:rPr>
        <w:t>”.</w:t>
      </w:r>
    </w:p>
    <w:p>
      <w:pPr>
        <w:spacing w:after="0" w:line="105"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Conversion</w:t>
      </w:r>
      <w:r>
        <w:rPr>
          <w:rFonts w:ascii="Times New Roman" w:cs="Times New Roman" w:eastAsia="Times New Roman" w:hAnsi="Times New Roman"/>
          <w:sz w:val="12"/>
          <w:szCs w:val="12"/>
          <w:color w:val="auto"/>
        </w:rPr>
        <w:t>. Vested RSUs shall convert into Shares on the applicable Vesting Date or as soon as reasonably practicable, but in no event later than 30 days thereafter.</w:t>
      </w:r>
    </w:p>
    <w:p>
      <w:pPr>
        <w:spacing w:after="0" w:line="150" w:lineRule="exact"/>
        <w:rPr>
          <w:rFonts w:ascii="Times New Roman" w:cs="Times New Roman" w:eastAsia="Times New Roman" w:hAnsi="Times New Roman"/>
          <w:sz w:val="12"/>
          <w:szCs w:val="12"/>
          <w:color w:val="auto"/>
        </w:rPr>
      </w:pPr>
    </w:p>
    <w:p>
      <w:pPr>
        <w:ind w:firstLine="933"/>
        <w:spacing w:after="0" w:line="283" w:lineRule="auto"/>
        <w:tabs>
          <w:tab w:leader="none" w:pos="1507"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HSR Act</w:t>
      </w:r>
      <w:r>
        <w:rPr>
          <w:rFonts w:ascii="Times New Roman" w:cs="Times New Roman" w:eastAsia="Times New Roman" w:hAnsi="Times New Roman"/>
          <w:sz w:val="12"/>
          <w:szCs w:val="12"/>
          <w:color w:val="auto"/>
        </w:rPr>
        <w:t>. If unvested RSUs would have vested pursuant to this Section 2, Section 4 or Section 5(b), but did not vest solely because you were not in compliance with all applicable provisions of the HSR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Act, subject to Section 409A, the vesting date for such RSUs shall occur on the first date following the date on which you have complied with all applicable provisions of the HSR Act.</w:t>
      </w:r>
    </w:p>
    <w:p>
      <w:pPr>
        <w:spacing w:after="0" w:line="109" w:lineRule="exact"/>
        <w:rPr>
          <w:sz w:val="20"/>
          <w:szCs w:val="20"/>
          <w:color w:val="auto"/>
        </w:rPr>
      </w:pPr>
    </w:p>
    <w:p>
      <w:pPr>
        <w:jc w:val="both"/>
        <w:ind w:firstLine="941"/>
        <w:spacing w:after="0" w:line="255" w:lineRule="auto"/>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Dividend Equivalent Payments</w:t>
      </w:r>
      <w:r>
        <w:rPr>
          <w:rFonts w:ascii="Times New Roman" w:cs="Times New Roman" w:eastAsia="Times New Roman" w:hAnsi="Times New Roman"/>
          <w:sz w:val="12"/>
          <w:szCs w:val="12"/>
          <w:color w:val="auto"/>
        </w:rPr>
        <w:t xml:space="preserve">. Until your RSUs convert to Shares, if MSCI pays a dividend on Shares, you will be entitled to a dividend equivalent payment in the same amount as the dividend you would have received if you held Shares for your vested and unvested RSUs immediately prior to the record date. No dividend equivalents will be paid to you with respect to any canceled or forfeited RSUs. MSCI will decide on the form of payment and may pay dividend equivalents in Shares, in cash or in a combination thereof, unless otherwise provided in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MSCI will pay the dividend equivalent when it pays the corresponding dividend on its common stock or on the next regularly scheduled payroll date. The gross amount of any dividend equivalents paid to you with respect to RSUs that do not vest and convert to Shares shall be subject to potential recoupment or payback (such recoupment or payback of dividend equivalents, the “</w:t>
      </w:r>
      <w:r>
        <w:rPr>
          <w:rFonts w:ascii="Times New Roman" w:cs="Times New Roman" w:eastAsia="Times New Roman" w:hAnsi="Times New Roman"/>
          <w:sz w:val="12"/>
          <w:szCs w:val="12"/>
          <w:b w:val="1"/>
          <w:bCs w:val="1"/>
          <w:color w:val="auto"/>
        </w:rPr>
        <w:t>Clawback</w:t>
      </w:r>
      <w:r>
        <w:rPr>
          <w:rFonts w:ascii="Times New Roman" w:cs="Times New Roman" w:eastAsia="Times New Roman" w:hAnsi="Times New Roman"/>
          <w:sz w:val="12"/>
          <w:szCs w:val="12"/>
          <w:color w:val="auto"/>
        </w:rPr>
        <w:t>”) following the cancellation or forfeiture of the underlying RSUs. You consent to the Company’s implementation and enforcement of the Clawback and expressly agree that MSCI may take such actions as are necessary to effectuate the Clawback consistent with applicable law. If, within a reasonable period, you do not tender repayment of the dividend equivalents in response to demand for repayment, MSCI may seek a court order against you or take any other actions as are necessary to effectuate the Clawback.</w:t>
      </w:r>
    </w:p>
    <w:p>
      <w:pPr>
        <w:spacing w:after="0" w:line="126"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Termination of Employment</w:t>
      </w:r>
      <w:r>
        <w:rPr>
          <w:rFonts w:ascii="Times New Roman" w:cs="Times New Roman" w:eastAsia="Times New Roman" w:hAnsi="Times New Roman"/>
          <w:sz w:val="12"/>
          <w:szCs w:val="12"/>
          <w:color w:val="auto"/>
        </w:rPr>
        <w:t>. Upon termination of employment with the Company prior to a Vesting Date pursuant to this Section 4, the following special vesting and payment terms will apply to your unvested RSUs:</w:t>
      </w:r>
    </w:p>
    <w:p>
      <w:pPr>
        <w:spacing w:after="0" w:line="109" w:lineRule="exact"/>
        <w:rPr>
          <w:sz w:val="20"/>
          <w:szCs w:val="20"/>
          <w:color w:val="auto"/>
        </w:rPr>
      </w:pPr>
    </w:p>
    <w:p>
      <w:pPr>
        <w:ind w:right="20" w:firstLine="933"/>
        <w:spacing w:after="0" w:line="283" w:lineRule="auto"/>
        <w:tabs>
          <w:tab w:leader="none" w:pos="1507"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Termination of Employment Due to Death or Disability</w:t>
      </w:r>
      <w:r>
        <w:rPr>
          <w:rFonts w:ascii="Times New Roman" w:cs="Times New Roman" w:eastAsia="Times New Roman" w:hAnsi="Times New Roman"/>
          <w:sz w:val="12"/>
          <w:szCs w:val="12"/>
          <w:color w:val="auto"/>
        </w:rPr>
        <w:t>. If your employment with the Company terminates due to death or Disability, your RSUs will immediately vest and convert into Shares on the date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termination of your employment or within 30 days thereafter. Such Shares shall be delivered to the beneficiary(ies) you have designated pursuant to Section 10 or the legal representative of your estate, as applicable.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91" w:name="page292"/>
    <w:bookmarkEnd w:id="291"/>
    <w:p>
      <w:pPr>
        <w:jc w:val="both"/>
        <w:ind w:left="8" w:firstLine="933"/>
        <w:spacing w:after="0" w:line="255" w:lineRule="auto"/>
        <w:tabs>
          <w:tab w:leader="none" w:pos="1521" w:val="left"/>
        </w:tabs>
        <w:numPr>
          <w:ilvl w:val="1"/>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Involuntary Termination of Employment by the Company Prior to 62/10 Retirement Eligibility</w:t>
      </w:r>
      <w:r>
        <w:rPr>
          <w:rFonts w:ascii="Times New Roman" w:cs="Times New Roman" w:eastAsia="Times New Roman" w:hAnsi="Times New Roman"/>
          <w:sz w:val="12"/>
          <w:szCs w:val="12"/>
          <w:color w:val="auto"/>
        </w:rPr>
        <w:t>. In the event of an involuntary termination of your employment by the Company without Cause prior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62/10 Retirement Eligibility, provided that you execute and do not revoke an agreement and release of claims satisfactory to the Company, which will contain,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xml:space="preserve">, confidentiality, non-compete (if applicable), non-solicitation and non-disparagement covenants substantially in the form set forth in Sections 1, 2, as applicable, 3 and 4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accordance with Section 6, the non-compete shall apply only to those Participants who are (x) Retirement Eligible Participants or (y) Managing Directors), within 60 days following termination of your employment, you will be entitled to receive a pro-rated portion of your unvested RSUs equal to the product of (i) one-third of the total number of RSUs granted to you pursuant to this Award Agreement </w:t>
      </w:r>
      <w:r>
        <w:rPr>
          <w:rFonts w:ascii="Times New Roman" w:cs="Times New Roman" w:eastAsia="Times New Roman" w:hAnsi="Times New Roman"/>
          <w:sz w:val="12"/>
          <w:szCs w:val="12"/>
          <w:i w:val="1"/>
          <w:iCs w:val="1"/>
          <w:color w:val="auto"/>
        </w:rPr>
        <w:t>multiplied</w:t>
      </w:r>
      <w:r>
        <w:rPr>
          <w:rFonts w:ascii="Times New Roman" w:cs="Times New Roman" w:eastAsia="Times New Roman" w:hAnsi="Times New Roman"/>
          <w:sz w:val="12"/>
          <w:szCs w:val="12"/>
          <w:color w:val="auto"/>
        </w:rPr>
        <w:t xml:space="preserve"> by (ii) the quotient of (A) the total number of months you were employed with the Company during the applicable Vesting Period (rounding up partial months) divided by (B) 12. Such pro-rated RSUs will vest and convert into Shares on the next regularly scheduled Vesting Date in accordance with Section 2. Any unvested RSUs that do not vest and convert into Shares in accordance with this Section 4(b) shall be forfeited in their entirety. Notwithstanding anything to the contrary herein, in the event of a termination of your employment as described in this Section 4(b), pursuant to Section 6, you may still be bound by, and must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as applicable.</w:t>
      </w:r>
    </w:p>
    <w:p>
      <w:pPr>
        <w:spacing w:after="0" w:line="123" w:lineRule="exact"/>
        <w:rPr>
          <w:rFonts w:ascii="Times New Roman" w:cs="Times New Roman" w:eastAsia="Times New Roman" w:hAnsi="Times New Roman"/>
          <w:sz w:val="12"/>
          <w:szCs w:val="12"/>
          <w:color w:val="auto"/>
        </w:rPr>
      </w:pPr>
    </w:p>
    <w:p>
      <w:pPr>
        <w:jc w:val="both"/>
        <w:ind w:left="8" w:firstLine="933"/>
        <w:spacing w:after="0" w:line="256" w:lineRule="auto"/>
        <w:tabs>
          <w:tab w:leader="none" w:pos="1515" w:val="left"/>
        </w:tabs>
        <w:numPr>
          <w:ilvl w:val="1"/>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Involuntary Termination of Employment by the Company Following 62/10 Retirement Eligibility</w:t>
      </w:r>
      <w:r>
        <w:rPr>
          <w:rFonts w:ascii="Times New Roman" w:cs="Times New Roman" w:eastAsia="Times New Roman" w:hAnsi="Times New Roman"/>
          <w:sz w:val="12"/>
          <w:szCs w:val="12"/>
          <w:color w:val="auto"/>
        </w:rPr>
        <w:t>. In the event of an involuntary termination of your employment by the Company without Cause following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62/10 Retirement Eligibility, provided that you execute and do not revoke an agreement and release of claims satisfactory to the Company, which will contain,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xml:space="preserve">, confidentiality, non-compete (if applicable), non-solicitation and non-disparagement covenants substantially in the form set forth in Sections 1, 2 (as applicable), 3 and 4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accordance with Section 6, the non-compete shall apply only to those Participants who are (x) Retirement Eligible Participants or (y) Managing Directors), within 60 days following termination of your employment, your unvested RSUs will fully vest and convert into Shares in accordance with the schedule set forth in Section</w:t>
      </w:r>
    </w:p>
    <w:p>
      <w:pPr>
        <w:ind w:left="8" w:hanging="8"/>
        <w:spacing w:after="0" w:line="260" w:lineRule="auto"/>
        <w:tabs>
          <w:tab w:leader="none" w:pos="164"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herein, in the event of a termination of your employment as described in this Section 4(c), pursuant to Section 6, you may still be bound by, and must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as applicable.</w:t>
      </w:r>
    </w:p>
    <w:p>
      <w:pPr>
        <w:spacing w:after="0" w:line="120" w:lineRule="exact"/>
        <w:rPr>
          <w:rFonts w:ascii="Times New Roman" w:cs="Times New Roman" w:eastAsia="Times New Roman" w:hAnsi="Times New Roman"/>
          <w:sz w:val="12"/>
          <w:szCs w:val="12"/>
          <w:color w:val="auto"/>
        </w:rPr>
      </w:pPr>
    </w:p>
    <w:p>
      <w:pPr>
        <w:jc w:val="both"/>
        <w:ind w:left="8" w:firstLine="933"/>
        <w:spacing w:after="0" w:line="266" w:lineRule="auto"/>
        <w:tabs>
          <w:tab w:leader="none" w:pos="1521" w:val="left"/>
        </w:tabs>
        <w:numPr>
          <w:ilvl w:val="1"/>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Retirement Terminations</w:t>
      </w:r>
      <w:r>
        <w:rPr>
          <w:rFonts w:ascii="Times New Roman" w:cs="Times New Roman" w:eastAsia="Times New Roman" w:hAnsi="Times New Roman"/>
          <w:sz w:val="12"/>
          <w:szCs w:val="12"/>
          <w:color w:val="auto"/>
        </w:rPr>
        <w:t>. In the event of your applicable Retirement Termination, your unvested RSUs shall be eligible for the treatment specified below;</w:t>
      </w:r>
      <w:r>
        <w:rPr>
          <w:rFonts w:ascii="Times New Roman" w:cs="Times New Roman" w:eastAsia="Times New Roman" w:hAnsi="Times New Roman"/>
          <w:sz w:val="12"/>
          <w:szCs w:val="12"/>
          <w:i w:val="1"/>
          <w:iCs w:val="1"/>
          <w:color w:val="auto"/>
        </w:rPr>
        <w:t xml:space="preserve"> provided </w:t>
      </w:r>
      <w:r>
        <w:rPr>
          <w:rFonts w:ascii="Times New Roman" w:cs="Times New Roman" w:eastAsia="Times New Roman" w:hAnsi="Times New Roman"/>
          <w:sz w:val="12"/>
          <w:szCs w:val="12"/>
          <w:color w:val="auto"/>
        </w:rPr>
        <w:t>that (x) you are in compliance with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Notice Requirements and all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in each case, as of the applicable Vesting Date and (y) you execute and do not revoke an agreement and release of claims satisfactory to the Company, which will contain restrictive covenants substantially in the form as those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within 60 days following termination of your employment.</w:t>
      </w:r>
    </w:p>
    <w:p>
      <w:pPr>
        <w:spacing w:after="0" w:line="119" w:lineRule="exact"/>
        <w:rPr>
          <w:rFonts w:ascii="Times New Roman" w:cs="Times New Roman" w:eastAsia="Times New Roman" w:hAnsi="Times New Roman"/>
          <w:sz w:val="12"/>
          <w:szCs w:val="12"/>
          <w:color w:val="auto"/>
        </w:rPr>
      </w:pPr>
    </w:p>
    <w:p>
      <w:pPr>
        <w:ind w:left="2348" w:hanging="543"/>
        <w:spacing w:after="0"/>
        <w:tabs>
          <w:tab w:leader="none" w:pos="2348" w:val="left"/>
        </w:tabs>
        <w:numPr>
          <w:ilvl w:val="2"/>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your Legacy Retirement Termination or 55/10 Retirement Termination, you will be entitled to receive a pro-rated portion of your unvested RSUs equal to the product of</w:t>
      </w:r>
    </w:p>
    <w:p>
      <w:pPr>
        <w:spacing w:after="0" w:line="16" w:lineRule="exact"/>
        <w:rPr>
          <w:rFonts w:ascii="Times New Roman" w:cs="Times New Roman" w:eastAsia="Times New Roman" w:hAnsi="Times New Roman"/>
          <w:sz w:val="12"/>
          <w:szCs w:val="12"/>
          <w:color w:val="auto"/>
        </w:rPr>
      </w:pPr>
    </w:p>
    <w:p>
      <w:pPr>
        <w:jc w:val="both"/>
        <w:ind w:left="948" w:hanging="7"/>
        <w:spacing w:after="0" w:line="255" w:lineRule="auto"/>
        <w:tabs>
          <w:tab w:leader="none" w:pos="1131" w:val="left"/>
        </w:tabs>
        <w:numPr>
          <w:ilvl w:val="1"/>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one-third of the total number of RSUs granted to you pursuant to this Award Agreement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(y) the quotient of (A) the total number of months you were employed with the Company during the applicable Vesting Period (rounding up partial months)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 12. Such pro-rated RSUs will vest and convert into Shares on the next regularly scheduled Vesting Date in accordance with Section 2. Any unvested RSUs that do not vest and convert into Shares in accordance with this Section 4(d)(i) shall be forfeited in their entirety</w:t>
      </w:r>
    </w:p>
    <w:p>
      <w:pPr>
        <w:spacing w:after="0" w:line="125" w:lineRule="exact"/>
        <w:rPr>
          <w:rFonts w:ascii="Times New Roman" w:cs="Times New Roman" w:eastAsia="Times New Roman" w:hAnsi="Times New Roman"/>
          <w:sz w:val="12"/>
          <w:szCs w:val="12"/>
          <w:color w:val="auto"/>
        </w:rPr>
      </w:pPr>
    </w:p>
    <w:p>
      <w:pPr>
        <w:ind w:left="2388" w:hanging="583"/>
        <w:spacing w:after="0"/>
        <w:tabs>
          <w:tab w:leader="none" w:pos="2388" w:val="left"/>
        </w:tabs>
        <w:numPr>
          <w:ilvl w:val="2"/>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your 62/10 Retirement Termination, your unvested RSUs will fully vest and convert into Shares in accordance with the schedule set forth in Section 2.</w:t>
      </w:r>
    </w:p>
    <w:p>
      <w:pPr>
        <w:spacing w:after="0" w:line="150" w:lineRule="exact"/>
        <w:rPr>
          <w:rFonts w:ascii="Times New Roman" w:cs="Times New Roman" w:eastAsia="Times New Roman" w:hAnsi="Times New Roman"/>
          <w:sz w:val="12"/>
          <w:szCs w:val="12"/>
          <w:color w:val="auto"/>
        </w:rPr>
      </w:pPr>
    </w:p>
    <w:p>
      <w:pPr>
        <w:ind w:left="948" w:right="20" w:firstLine="857"/>
        <w:spacing w:after="0" w:line="279" w:lineRule="auto"/>
        <w:tabs>
          <w:tab w:leader="none" w:pos="2423" w:val="left"/>
        </w:tabs>
        <w:numPr>
          <w:ilvl w:val="2"/>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consideration of the treatment of your unvested RSUs upon your Retirement Termination as set forth in this Section 4(d), you agree to be bound by, and to comply with, all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to this Award Agreement.</w:t>
      </w:r>
    </w:p>
    <w:p>
      <w:pPr>
        <w:spacing w:after="0" w:line="111" w:lineRule="exact"/>
        <w:rPr>
          <w:rFonts w:ascii="Times New Roman" w:cs="Times New Roman" w:eastAsia="Times New Roman" w:hAnsi="Times New Roman"/>
          <w:sz w:val="12"/>
          <w:szCs w:val="12"/>
          <w:color w:val="auto"/>
        </w:rPr>
      </w:pPr>
    </w:p>
    <w:p>
      <w:pPr>
        <w:ind w:left="948" w:right="20" w:firstLine="857"/>
        <w:spacing w:after="0" w:line="279" w:lineRule="auto"/>
        <w:tabs>
          <w:tab w:leader="none" w:pos="2416" w:val="left"/>
        </w:tabs>
        <w:numPr>
          <w:ilvl w:val="2"/>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chart provides a summary overview of the treatment of your awards upon a Retirement Termination, as set forth in Sections 4(d)(i) and (ii). This summary chart is qualified in its entirety by the terms of Sections 4(d)(i) and (ii). In the event of any inconsistency</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0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415" w:right="299" w:bottom="1440" w:gutter="0" w:footer="0" w:header="0"/>
        </w:sectPr>
      </w:pPr>
    </w:p>
    <w:bookmarkStart w:id="292" w:name="page293"/>
    <w:bookmarkEnd w:id="292"/>
    <w:p>
      <w:pPr>
        <w:ind w:left="940"/>
        <w:spacing w:after="0"/>
        <w:rPr>
          <w:sz w:val="20"/>
          <w:szCs w:val="20"/>
          <w:color w:val="auto"/>
        </w:rPr>
      </w:pPr>
      <w:r>
        <w:rPr>
          <w:rFonts w:ascii="Times New Roman" w:cs="Times New Roman" w:eastAsia="Times New Roman" w:hAnsi="Times New Roman"/>
          <w:sz w:val="12"/>
          <w:szCs w:val="12"/>
          <w:color w:val="auto"/>
        </w:rPr>
        <w:t>between the terms of the below chart and Sections 4(d)(i) and (ii), the terms of Sections 4(d)(i) and (ii) shall prevail.</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40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2"/>
                <w:szCs w:val="12"/>
                <w:b w:val="1"/>
                <w:bCs w:val="1"/>
                <w:color w:val="auto"/>
              </w:rPr>
              <w:t>Age and Service Requirements</w:t>
            </w:r>
          </w:p>
        </w:tc>
        <w:tc>
          <w:tcPr>
            <w:tcW w:w="33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 on Which Age and Service Requirements Must be Satisfied</w:t>
            </w:r>
          </w:p>
        </w:tc>
        <w:tc>
          <w:tcPr>
            <w:tcW w:w="4520" w:type="dxa"/>
            <w:vAlign w:val="bottom"/>
            <w:tcBorders>
              <w:top w:val="single" w:sz="8" w:color="auto"/>
              <w:bottom w:val="single" w:sz="8" w:color="auto"/>
              <w:right w:val="single" w:sz="8" w:color="auto"/>
            </w:tcBorders>
            <w:shd w:val="clear" w:color="auto" w:fill="D9D9D9"/>
          </w:tcPr>
          <w:p>
            <w:pPr>
              <w:ind w:left="1980"/>
              <w:spacing w:after="0"/>
              <w:rPr>
                <w:sz w:val="20"/>
                <w:szCs w:val="20"/>
                <w:color w:val="auto"/>
              </w:rPr>
            </w:pPr>
            <w:r>
              <w:rPr>
                <w:rFonts w:ascii="Times New Roman" w:cs="Times New Roman" w:eastAsia="Times New Roman" w:hAnsi="Times New Roman"/>
                <w:sz w:val="12"/>
                <w:szCs w:val="12"/>
                <w:b w:val="1"/>
                <w:bCs w:val="1"/>
                <w:color w:val="auto"/>
              </w:rPr>
              <w:t>Treatment</w:t>
            </w:r>
          </w:p>
        </w:tc>
        <w:tc>
          <w:tcPr>
            <w:tcW w:w="0" w:type="dxa"/>
            <w:vAlign w:val="bottom"/>
          </w:tcPr>
          <w:p>
            <w:pPr>
              <w:spacing w:after="0"/>
              <w:rPr>
                <w:sz w:val="1"/>
                <w:szCs w:val="1"/>
                <w:color w:val="auto"/>
              </w:rPr>
            </w:pPr>
          </w:p>
        </w:tc>
      </w:tr>
      <w:tr>
        <w:trPr>
          <w:trHeight w:val="120"/>
        </w:trPr>
        <w:tc>
          <w:tcPr>
            <w:tcW w:w="3400" w:type="dxa"/>
            <w:vAlign w:val="bottom"/>
            <w:tcBorders>
              <w:left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Legacy Retirement Eligibility</w:t>
            </w:r>
          </w:p>
        </w:tc>
        <w:tc>
          <w:tcPr>
            <w:tcW w:w="338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December 31, 2014</w:t>
            </w:r>
          </w:p>
        </w:tc>
        <w:tc>
          <w:tcPr>
            <w:tcW w:w="452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A prorated portion of your unvested RSUs will vest as follows: (i) 1/3 of the total number of</w:t>
            </w:r>
          </w:p>
        </w:tc>
        <w:tc>
          <w:tcPr>
            <w:tcW w:w="0" w:type="dxa"/>
            <w:vAlign w:val="bottom"/>
          </w:tcPr>
          <w:p>
            <w:pPr>
              <w:spacing w:after="0"/>
              <w:rPr>
                <w:sz w:val="1"/>
                <w:szCs w:val="1"/>
                <w:color w:val="auto"/>
              </w:rPr>
            </w:pPr>
          </w:p>
        </w:tc>
      </w:tr>
      <w:tr>
        <w:trPr>
          <w:trHeight w:val="146"/>
        </w:trPr>
        <w:tc>
          <w:tcPr>
            <w:tcW w:w="3400" w:type="dxa"/>
            <w:vAlign w:val="bottom"/>
            <w:tcBorders>
              <w:left w:val="single" w:sz="8" w:color="auto"/>
              <w:right w:val="single" w:sz="8" w:color="auto"/>
            </w:tcBorders>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RSUs granted to you pursuant to this Award Agreement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quotient of (a)</w:t>
            </w:r>
          </w:p>
        </w:tc>
        <w:tc>
          <w:tcPr>
            <w:tcW w:w="0" w:type="dxa"/>
            <w:vAlign w:val="bottom"/>
          </w:tcPr>
          <w:p>
            <w:pPr>
              <w:spacing w:after="0"/>
              <w:rPr>
                <w:sz w:val="1"/>
                <w:szCs w:val="1"/>
                <w:color w:val="auto"/>
              </w:rPr>
            </w:pPr>
          </w:p>
        </w:tc>
      </w:tr>
      <w:tr>
        <w:trPr>
          <w:trHeight w:val="142"/>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(see definition of “Legacy Retirement Eligibility”)</w:t>
            </w:r>
          </w:p>
        </w:tc>
        <w:tc>
          <w:tcPr>
            <w:tcW w:w="338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the total number of months you were employed with the Company during the applicable</w:t>
            </w:r>
          </w:p>
        </w:tc>
        <w:tc>
          <w:tcPr>
            <w:tcW w:w="0" w:type="dxa"/>
            <w:vAlign w:val="bottom"/>
          </w:tcPr>
          <w:p>
            <w:pPr>
              <w:spacing w:after="0"/>
              <w:rPr>
                <w:sz w:val="1"/>
                <w:szCs w:val="1"/>
                <w:color w:val="auto"/>
              </w:rPr>
            </w:pPr>
          </w:p>
        </w:tc>
      </w:tr>
      <w:tr>
        <w:trPr>
          <w:trHeight w:val="146"/>
        </w:trPr>
        <w:tc>
          <w:tcPr>
            <w:tcW w:w="3400" w:type="dxa"/>
            <w:vAlign w:val="bottom"/>
            <w:tcBorders>
              <w:left w:val="single" w:sz="8" w:color="auto"/>
              <w:right w:val="single" w:sz="8" w:color="auto"/>
            </w:tcBorders>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Vesting Period (rounding up partial months)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 12. The pro-rated RSUs will vest</w:t>
            </w:r>
          </w:p>
        </w:tc>
        <w:tc>
          <w:tcPr>
            <w:tcW w:w="0" w:type="dxa"/>
            <w:vAlign w:val="bottom"/>
          </w:tcPr>
          <w:p>
            <w:pPr>
              <w:spacing w:after="0"/>
              <w:rPr>
                <w:sz w:val="1"/>
                <w:szCs w:val="1"/>
                <w:color w:val="auto"/>
              </w:rPr>
            </w:pPr>
          </w:p>
        </w:tc>
      </w:tr>
      <w:tr>
        <w:trPr>
          <w:trHeight w:val="74"/>
        </w:trPr>
        <w:tc>
          <w:tcPr>
            <w:tcW w:w="3400" w:type="dxa"/>
            <w:vAlign w:val="bottom"/>
            <w:tcBorders>
              <w:left w:val="single" w:sz="8" w:color="auto"/>
              <w:bottom w:val="single" w:sz="8" w:color="auto"/>
              <w:right w:val="single" w:sz="8" w:color="auto"/>
            </w:tcBorders>
          </w:tcPr>
          <w:p>
            <w:pPr>
              <w:spacing w:after="0"/>
              <w:rPr>
                <w:sz w:val="6"/>
                <w:szCs w:val="6"/>
                <w:color w:val="auto"/>
              </w:rPr>
            </w:pPr>
          </w:p>
        </w:tc>
        <w:tc>
          <w:tcPr>
            <w:tcW w:w="3380" w:type="dxa"/>
            <w:vAlign w:val="bottom"/>
            <w:tcBorders>
              <w:bottom w:val="single" w:sz="8" w:color="auto"/>
              <w:right w:val="single" w:sz="8" w:color="auto"/>
            </w:tcBorders>
          </w:tcPr>
          <w:p>
            <w:pPr>
              <w:spacing w:after="0"/>
              <w:rPr>
                <w:sz w:val="6"/>
                <w:szCs w:val="6"/>
                <w:color w:val="auto"/>
              </w:rPr>
            </w:pPr>
          </w:p>
        </w:tc>
        <w:tc>
          <w:tcPr>
            <w:tcW w:w="4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and convert into Shares on the next regularly scheduled Vesting Date in accordance with</w:t>
            </w:r>
          </w:p>
        </w:tc>
        <w:tc>
          <w:tcPr>
            <w:tcW w:w="0" w:type="dxa"/>
            <w:vAlign w:val="bottom"/>
          </w:tcPr>
          <w:p>
            <w:pPr>
              <w:spacing w:after="0"/>
              <w:rPr>
                <w:sz w:val="1"/>
                <w:szCs w:val="1"/>
                <w:color w:val="auto"/>
              </w:rPr>
            </w:pPr>
          </w:p>
        </w:tc>
      </w:tr>
      <w:tr>
        <w:trPr>
          <w:trHeight w:val="50"/>
        </w:trPr>
        <w:tc>
          <w:tcPr>
            <w:tcW w:w="3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Age 55 and 10 years of service</w:t>
            </w: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December 31, 2019</w:t>
            </w:r>
          </w:p>
        </w:tc>
        <w:tc>
          <w:tcPr>
            <w:tcW w:w="45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400" w:type="dxa"/>
            <w:vAlign w:val="bottom"/>
            <w:tcBorders>
              <w:left w:val="single" w:sz="8" w:color="auto"/>
              <w:right w:val="single" w:sz="8" w:color="auto"/>
            </w:tcBorders>
            <w:vMerge w:val="continue"/>
          </w:tcPr>
          <w:p>
            <w:pPr>
              <w:spacing w:after="0"/>
              <w:rPr>
                <w:sz w:val="8"/>
                <w:szCs w:val="8"/>
                <w:color w:val="auto"/>
              </w:rPr>
            </w:pPr>
          </w:p>
        </w:tc>
        <w:tc>
          <w:tcPr>
            <w:tcW w:w="338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Section 2.</w:t>
            </w:r>
          </w:p>
        </w:tc>
        <w:tc>
          <w:tcPr>
            <w:tcW w:w="0" w:type="dxa"/>
            <w:vAlign w:val="bottom"/>
          </w:tcPr>
          <w:p>
            <w:pPr>
              <w:spacing w:after="0"/>
              <w:rPr>
                <w:sz w:val="1"/>
                <w:szCs w:val="1"/>
                <w:color w:val="auto"/>
              </w:rPr>
            </w:pPr>
          </w:p>
        </w:tc>
      </w:tr>
      <w:tr>
        <w:trPr>
          <w:trHeight w:val="61"/>
        </w:trPr>
        <w:tc>
          <w:tcPr>
            <w:tcW w:w="3400" w:type="dxa"/>
            <w:vAlign w:val="bottom"/>
            <w:tcBorders>
              <w:left w:val="single" w:sz="8" w:color="auto"/>
              <w:right w:val="single" w:sz="8" w:color="auto"/>
            </w:tcBorders>
          </w:tcPr>
          <w:p>
            <w:pPr>
              <w:spacing w:after="0"/>
              <w:rPr>
                <w:sz w:val="5"/>
                <w:szCs w:val="5"/>
                <w:color w:val="auto"/>
              </w:rPr>
            </w:pPr>
          </w:p>
        </w:tc>
        <w:tc>
          <w:tcPr>
            <w:tcW w:w="3380" w:type="dxa"/>
            <w:vAlign w:val="bottom"/>
            <w:tcBorders>
              <w:right w:val="single" w:sz="8" w:color="auto"/>
            </w:tcBorders>
          </w:tcPr>
          <w:p>
            <w:pPr>
              <w:spacing w:after="0"/>
              <w:rPr>
                <w:sz w:val="5"/>
                <w:szCs w:val="5"/>
                <w:color w:val="auto"/>
              </w:rPr>
            </w:pPr>
          </w:p>
        </w:tc>
        <w:tc>
          <w:tcPr>
            <w:tcW w:w="45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(see definition of “55/10 Retirement Eligibility”)</w:t>
            </w:r>
          </w:p>
        </w:tc>
        <w:tc>
          <w:tcPr>
            <w:tcW w:w="338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Any remaining unvested RSUs shall be forfeited.</w:t>
            </w:r>
          </w:p>
        </w:tc>
        <w:tc>
          <w:tcPr>
            <w:tcW w:w="0" w:type="dxa"/>
            <w:vAlign w:val="bottom"/>
          </w:tcPr>
          <w:p>
            <w:pPr>
              <w:spacing w:after="0"/>
              <w:rPr>
                <w:sz w:val="1"/>
                <w:szCs w:val="1"/>
                <w:color w:val="auto"/>
              </w:rPr>
            </w:pPr>
          </w:p>
        </w:tc>
      </w:tr>
      <w:tr>
        <w:trPr>
          <w:trHeight w:val="72"/>
        </w:trPr>
        <w:tc>
          <w:tcPr>
            <w:tcW w:w="3400" w:type="dxa"/>
            <w:vAlign w:val="bottom"/>
            <w:tcBorders>
              <w:left w:val="single" w:sz="8" w:color="auto"/>
              <w:right w:val="single" w:sz="8" w:color="auto"/>
            </w:tcBorders>
          </w:tcPr>
          <w:p>
            <w:pPr>
              <w:spacing w:after="0"/>
              <w:rPr>
                <w:sz w:val="6"/>
                <w:szCs w:val="6"/>
                <w:color w:val="auto"/>
              </w:rPr>
            </w:pPr>
          </w:p>
        </w:tc>
        <w:tc>
          <w:tcPr>
            <w:tcW w:w="3380" w:type="dxa"/>
            <w:vAlign w:val="bottom"/>
            <w:tcBorders>
              <w:right w:val="single" w:sz="8" w:color="auto"/>
            </w:tcBorders>
          </w:tcPr>
          <w:p>
            <w:pPr>
              <w:spacing w:after="0"/>
              <w:rPr>
                <w:sz w:val="6"/>
                <w:szCs w:val="6"/>
                <w:color w:val="auto"/>
              </w:rPr>
            </w:pPr>
          </w:p>
        </w:tc>
        <w:tc>
          <w:tcPr>
            <w:tcW w:w="45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400" w:type="dxa"/>
            <w:vAlign w:val="bottom"/>
            <w:tcBorders>
              <w:left w:val="single" w:sz="8" w:color="auto"/>
              <w:bottom w:val="single" w:sz="8" w:color="auto"/>
              <w:right w:val="single" w:sz="8" w:color="auto"/>
            </w:tcBorders>
          </w:tcPr>
          <w:p>
            <w:pPr>
              <w:spacing w:after="0"/>
              <w:rPr>
                <w:sz w:val="12"/>
                <w:szCs w:val="12"/>
                <w:color w:val="auto"/>
              </w:rPr>
            </w:pPr>
          </w:p>
        </w:tc>
        <w:tc>
          <w:tcPr>
            <w:tcW w:w="338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40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Age 62 and 10 years of service</w:t>
            </w:r>
          </w:p>
        </w:tc>
        <w:tc>
          <w:tcPr>
            <w:tcW w:w="33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5"/>
              </w:rPr>
              <w:t>Vesting Date</w:t>
            </w:r>
          </w:p>
        </w:tc>
        <w:tc>
          <w:tcPr>
            <w:tcW w:w="45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All of your unvested RSUs will vest and convert into Shares in accordance with the schedule</w:t>
            </w:r>
          </w:p>
        </w:tc>
        <w:tc>
          <w:tcPr>
            <w:tcW w:w="0" w:type="dxa"/>
            <w:vAlign w:val="bottom"/>
          </w:tcPr>
          <w:p>
            <w:pPr>
              <w:spacing w:after="0"/>
              <w:rPr>
                <w:sz w:val="1"/>
                <w:szCs w:val="1"/>
                <w:color w:val="auto"/>
              </w:rPr>
            </w:pPr>
          </w:p>
        </w:tc>
      </w:tr>
      <w:tr>
        <w:trPr>
          <w:trHeight w:val="155"/>
        </w:trPr>
        <w:tc>
          <w:tcPr>
            <w:tcW w:w="3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(see definition of “62/10 Retirement Eligibility”)</w:t>
            </w:r>
          </w:p>
        </w:tc>
        <w:tc>
          <w:tcPr>
            <w:tcW w:w="3380" w:type="dxa"/>
            <w:vAlign w:val="bottom"/>
            <w:tcBorders>
              <w:right w:val="single" w:sz="8" w:color="auto"/>
            </w:tcBorders>
          </w:tcPr>
          <w:p>
            <w:pPr>
              <w:spacing w:after="0"/>
              <w:rPr>
                <w:sz w:val="13"/>
                <w:szCs w:val="13"/>
                <w:color w:val="auto"/>
              </w:rPr>
            </w:pP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set forth in Section 2.</w:t>
            </w:r>
          </w:p>
        </w:tc>
        <w:tc>
          <w:tcPr>
            <w:tcW w:w="0" w:type="dxa"/>
            <w:vAlign w:val="bottom"/>
          </w:tcPr>
          <w:p>
            <w:pPr>
              <w:spacing w:after="0"/>
              <w:rPr>
                <w:sz w:val="1"/>
                <w:szCs w:val="1"/>
                <w:color w:val="auto"/>
              </w:rPr>
            </w:pPr>
          </w:p>
        </w:tc>
      </w:tr>
      <w:tr>
        <w:trPr>
          <w:trHeight w:val="144"/>
        </w:trPr>
        <w:tc>
          <w:tcPr>
            <w:tcW w:w="34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38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500" w:hanging="567"/>
        <w:spacing w:after="0"/>
        <w:tabs>
          <w:tab w:leader="none" w:pos="1500" w:val="left"/>
        </w:tabs>
        <w:numPr>
          <w:ilvl w:val="0"/>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Other Resignations from Employment</w:t>
      </w:r>
      <w:r>
        <w:rPr>
          <w:rFonts w:ascii="Times New Roman" w:cs="Times New Roman" w:eastAsia="Times New Roman" w:hAnsi="Times New Roman"/>
          <w:sz w:val="12"/>
          <w:szCs w:val="12"/>
          <w:color w:val="auto"/>
        </w:rPr>
        <w:t>. All other resignations from employment must comply with the Notice Requirements.</w:t>
      </w:r>
    </w:p>
    <w:p>
      <w:pPr>
        <w:spacing w:after="0" w:line="152" w:lineRule="exact"/>
        <w:rPr>
          <w:rFonts w:ascii="Times New Roman" w:cs="Times New Roman" w:eastAsia="Times New Roman" w:hAnsi="Times New Roman"/>
          <w:sz w:val="12"/>
          <w:szCs w:val="12"/>
          <w:color w:val="auto"/>
        </w:rPr>
      </w:pPr>
    </w:p>
    <w:p>
      <w:pPr>
        <w:ind w:left="940" w:firstLine="857"/>
        <w:spacing w:after="0" w:line="279" w:lineRule="auto"/>
        <w:tabs>
          <w:tab w:leader="none" w:pos="2348" w:val="left"/>
        </w:tabs>
        <w:numPr>
          <w:ilvl w:val="1"/>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resign from your employment with the Company under circumstances which are not in accordance with the provisions above in this Section 4, you will forfeit any RSUs that have not vested as of your last day of employment with the Company; and</w:t>
      </w:r>
    </w:p>
    <w:p>
      <w:pPr>
        <w:spacing w:after="0" w:line="111" w:lineRule="exact"/>
        <w:rPr>
          <w:rFonts w:ascii="Times New Roman" w:cs="Times New Roman" w:eastAsia="Times New Roman" w:hAnsi="Times New Roman"/>
          <w:sz w:val="12"/>
          <w:szCs w:val="12"/>
          <w:color w:val="auto"/>
        </w:rPr>
      </w:pPr>
    </w:p>
    <w:p>
      <w:pPr>
        <w:jc w:val="both"/>
        <w:ind w:left="940" w:firstLine="857"/>
        <w:spacing w:after="0" w:line="265" w:lineRule="auto"/>
        <w:tabs>
          <w:tab w:leader="none" w:pos="2382" w:val="left"/>
        </w:tabs>
        <w:numPr>
          <w:ilvl w:val="1"/>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prior to a Vesting Date, you give MSCI notice of your intention to resign from your employment with the Company as of a date following such Vesting Date, your RSUs will vest and settle in accordance with Section 2;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if you do not subsequently comply with the Notice Requirements, the Committee may, in its discretion, require that the gross cash value of the RSUs delivered to you in accordance with this Section 4(e)(ii) be subject to recoupment or payback.</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For the avoidance of doubt, (A) revocation of a notice of intention to resign may, in the Company’s sole discretion or if required to comply with Section 409A, be deemed to be noncompliant with the Notice Requirements and, in connection with such revocation, your RSUs may be forfeited and (B) if, after you have given notice of your intention to resign or retire, as applicable, from your employment with the Company, the Company involuntarily terminates your employment without Cause prior to the expiration of your notice period, your outstanding RSUs will be treated in accordance with Section 4(b) or 4(c), as applicable.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Notwithstanding anything to the contrary contained herein, the unvested RSUs shall only vest pursuant to this Section 4 provided that you have complied with all applicable provisions of the HSR Act.</w:t>
      </w:r>
    </w:p>
    <w:p>
      <w:pPr>
        <w:spacing w:after="0" w:line="148" w:lineRule="exact"/>
        <w:rPr>
          <w:sz w:val="20"/>
          <w:szCs w:val="20"/>
          <w:color w:val="auto"/>
        </w:rPr>
      </w:pPr>
    </w:p>
    <w:p>
      <w:pPr>
        <w:ind w:left="5560" w:right="360" w:hanging="4627"/>
        <w:spacing w:after="0" w:line="784" w:lineRule="auto"/>
        <w:tabs>
          <w:tab w:leader="none" w:pos="1494" w:val="left"/>
        </w:tabs>
        <w:numPr>
          <w:ilvl w:val="0"/>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Termination of Employment</w:t>
      </w:r>
      <w:r>
        <w:rPr>
          <w:rFonts w:ascii="Times New Roman" w:cs="Times New Roman" w:eastAsia="Times New Roman" w:hAnsi="Times New Roman"/>
          <w:sz w:val="12"/>
          <w:szCs w:val="12"/>
          <w:color w:val="auto"/>
        </w:rPr>
        <w:t>. Unless otherwise provided in Section 4 or Section 5(b), your employment relationship will be considered terminated as of the date you are no longer actively providing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89470" cy="11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0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293" w:name="page294"/>
    <w:bookmarkEnd w:id="293"/>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services to the Company (whether or not later found to be invalid or in breach of employment laws in the jurisdiction where you are employed or the terms of your employment agreement, if any), and such date will not be extended by any notice period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your period of employment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RSUs (including whether you may still be considered to be providing services while (i)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your employment for purposes of your RSUs).</w:t>
      </w:r>
    </w:p>
    <w:p>
      <w:pPr>
        <w:spacing w:after="0" w:line="125" w:lineRule="exact"/>
        <w:rPr>
          <w:sz w:val="20"/>
          <w:szCs w:val="20"/>
          <w:color w:val="auto"/>
        </w:rPr>
      </w:pPr>
    </w:p>
    <w:p>
      <w:pPr>
        <w:ind w:left="948"/>
        <w:spacing w:after="0"/>
        <w:tabs>
          <w:tab w:leader="none" w:pos="1828" w:val="left"/>
        </w:tabs>
        <w:rPr>
          <w:sz w:val="20"/>
          <w:szCs w:val="20"/>
          <w:color w:val="auto"/>
        </w:rPr>
      </w:pPr>
      <w:r>
        <w:rPr>
          <w:rFonts w:ascii="Times New Roman" w:cs="Times New Roman" w:eastAsia="Times New Roman" w:hAnsi="Times New Roman"/>
          <w:sz w:val="12"/>
          <w:szCs w:val="12"/>
          <w:color w:val="auto"/>
        </w:rPr>
        <w:t>Section 5.</w:t>
      </w:r>
      <w:r>
        <w:rPr>
          <w:sz w:val="20"/>
          <w:szCs w:val="20"/>
          <w:color w:val="auto"/>
        </w:rPr>
        <w:tab/>
      </w:r>
      <w:r>
        <w:rPr>
          <w:rFonts w:ascii="Times New Roman" w:cs="Times New Roman" w:eastAsia="Times New Roman" w:hAnsi="Times New Roman"/>
          <w:sz w:val="12"/>
          <w:szCs w:val="12"/>
          <w:u w:val="single" w:color="auto"/>
          <w:color w:val="auto"/>
        </w:rPr>
        <w:t>Change in Control</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left="8" w:firstLine="933"/>
        <w:spacing w:after="0" w:line="257" w:lineRule="auto"/>
        <w:tabs>
          <w:tab w:leader="none" w:pos="1515" w:val="left"/>
        </w:tabs>
        <w:numPr>
          <w:ilvl w:val="1"/>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w:t>
      </w:r>
      <w:r>
        <w:rPr>
          <w:rFonts w:ascii="Times New Roman" w:cs="Times New Roman" w:eastAsia="Times New Roman" w:hAnsi="Times New Roman"/>
          <w:sz w:val="12"/>
          <w:szCs w:val="12"/>
          <w:color w:val="auto"/>
        </w:rPr>
        <w:t>. In the event of a Change in Control, the Committee, in its sole discretion, may provide for (i) the continuation or assumption of your outstanding RSUs under the Plan by the Company (if it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surviving corporation) or by the surviving corporation or its parent, in which case your RSUs will continue to be subject to the terms of this Award Agreement, or (ii) the lapse of restrictions relating to and the settlement of your outstanding RSUs immediately prior to such Change in Control in the event a buyer will not continue or assume the RSUs. Following a Change in Control in which your outstanding RSUs are continued or assumed pursuant to clause</w:t>
      </w:r>
    </w:p>
    <w:p>
      <w:pPr>
        <w:spacing w:after="0" w:line="1"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4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above, such RSUs may be settled in cash, Shares or a combination thereof.</w:t>
      </w:r>
    </w:p>
    <w:p>
      <w:pPr>
        <w:spacing w:after="0" w:line="137" w:lineRule="exact"/>
        <w:rPr>
          <w:rFonts w:ascii="Times New Roman" w:cs="Times New Roman" w:eastAsia="Times New Roman" w:hAnsi="Times New Roman"/>
          <w:sz w:val="12"/>
          <w:szCs w:val="12"/>
          <w:color w:val="auto"/>
        </w:rPr>
      </w:pPr>
    </w:p>
    <w:p>
      <w:pPr>
        <w:jc w:val="both"/>
        <w:ind w:left="8" w:firstLine="933"/>
        <w:spacing w:after="0" w:line="258" w:lineRule="auto"/>
        <w:tabs>
          <w:tab w:leader="none" w:pos="1521" w:val="left"/>
        </w:tabs>
        <w:numPr>
          <w:ilvl w:val="1"/>
          <w:numId w:val="4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Qualifying Termination</w:t>
      </w:r>
      <w:r>
        <w:rPr>
          <w:rFonts w:ascii="Times New Roman" w:cs="Times New Roman" w:eastAsia="Times New Roman" w:hAnsi="Times New Roman"/>
          <w:sz w:val="12"/>
          <w:szCs w:val="12"/>
          <w:color w:val="auto"/>
        </w:rPr>
        <w:t>. In the event of a Qualifying Termination (as defined below), your RSUs will vest and convert into Shares within 60 days following such Qualifying Termination. If such 60-day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period begins in one taxable year and ends in a subsequent taxable year, such vesting and conversion shall occur in the second taxable year. “</w:t>
      </w:r>
      <w:r>
        <w:rPr>
          <w:rFonts w:ascii="Times New Roman" w:cs="Times New Roman" w:eastAsia="Times New Roman" w:hAnsi="Times New Roman"/>
          <w:sz w:val="12"/>
          <w:szCs w:val="12"/>
          <w:b w:val="1"/>
          <w:bCs w:val="1"/>
          <w:color w:val="auto"/>
        </w:rPr>
        <w:t>Qualifying Termination</w:t>
      </w:r>
      <w:r>
        <w:rPr>
          <w:rFonts w:ascii="Times New Roman" w:cs="Times New Roman" w:eastAsia="Times New Roman" w:hAnsi="Times New Roman"/>
          <w:sz w:val="12"/>
          <w:szCs w:val="12"/>
          <w:color w:val="auto"/>
        </w:rPr>
        <w:t>” means a termination of employment by the Company without Cause or by you for Good Reason (which shall be deemed an involuntary termination of employment by the Company without Cause), in each case within 24 months following the effective date of the Change in Control in which the RSUs are continued or assumed. Notwithstanding anything to the contrary contained herein, the unvested RSUs shall only vest pursuant to this Section 5(b) provided that you have complied with all applicable provisions of the HSR Act.</w:t>
      </w:r>
    </w:p>
    <w:p>
      <w:pPr>
        <w:spacing w:after="0" w:line="124" w:lineRule="exact"/>
        <w:rPr>
          <w:sz w:val="20"/>
          <w:szCs w:val="20"/>
          <w:color w:val="auto"/>
        </w:rPr>
      </w:pPr>
    </w:p>
    <w:p>
      <w:pPr>
        <w:ind w:left="948"/>
        <w:spacing w:after="0"/>
        <w:tabs>
          <w:tab w:leader="none" w:pos="1828" w:val="left"/>
        </w:tabs>
        <w:rPr>
          <w:sz w:val="20"/>
          <w:szCs w:val="20"/>
          <w:color w:val="auto"/>
        </w:rPr>
      </w:pPr>
      <w:r>
        <w:rPr>
          <w:rFonts w:ascii="Times New Roman" w:cs="Times New Roman" w:eastAsia="Times New Roman" w:hAnsi="Times New Roman"/>
          <w:sz w:val="12"/>
          <w:szCs w:val="12"/>
          <w:color w:val="auto"/>
        </w:rPr>
        <w:t>Section 6.</w:t>
      </w:r>
      <w:r>
        <w:rPr>
          <w:sz w:val="20"/>
          <w:szCs w:val="20"/>
          <w:color w:val="auto"/>
        </w:rPr>
        <w:tab/>
      </w:r>
      <w:r>
        <w:rPr>
          <w:rFonts w:ascii="Times New Roman" w:cs="Times New Roman" w:eastAsia="Times New Roman" w:hAnsi="Times New Roman"/>
          <w:sz w:val="12"/>
          <w:szCs w:val="12"/>
          <w:u w:val="single" w:color="auto"/>
          <w:color w:val="auto"/>
        </w:rPr>
        <w:t>Restrictive Covenants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left="8" w:firstLine="933"/>
        <w:spacing w:after="0" w:line="255" w:lineRule="auto"/>
        <w:tabs>
          <w:tab w:leader="none" w:pos="1515"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Managing Directors and Retirement Eligible Participants</w:t>
      </w:r>
      <w:r>
        <w:rPr>
          <w:rFonts w:ascii="Times New Roman" w:cs="Times New Roman" w:eastAsia="Times New Roman" w:hAnsi="Times New Roman"/>
          <w:sz w:val="12"/>
          <w:szCs w:val="12"/>
          <w:color w:val="auto"/>
        </w:rPr>
        <w:t>. This Section 6(a) is only applicable to Participants who are (x) Retirement Eligible Participants (as defined below) whose employment with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Company terminates pursuant to Section 4(c) or Section 4(d), as applicable, or (y) Managing Directors as of the Grant Date, including those who are terminated pursuant to any of the termination events described in Section 4. In consideration of the grant of RSUs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In the event you violate any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 prior to or on any applicable Vesting Date, you will forfeit the RSUs outstanding as of the date of such violation or (b) after the final Vesting Date, but prior to or on the expiry date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you will promptly deliver to the Company all Shares acquired upon conversion of the RSUs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ind w:left="8" w:right="20" w:firstLine="933"/>
        <w:spacing w:after="0" w:line="283" w:lineRule="auto"/>
        <w:tabs>
          <w:tab w:leader="none" w:pos="1521"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All Other Participants</w:t>
      </w:r>
      <w:r>
        <w:rPr>
          <w:rFonts w:ascii="Times New Roman" w:cs="Times New Roman" w:eastAsia="Times New Roman" w:hAnsi="Times New Roman"/>
          <w:sz w:val="12"/>
          <w:szCs w:val="12"/>
          <w:color w:val="auto"/>
        </w:rPr>
        <w:t>. In the case of all Participants other than those described in Section 6(a), in consideration of the grant of RSUs under this Award Agreement, as well as all other awards granted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Company to you under the Plan, and in consideration of the economic benefits derivable by you</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0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417" w:right="299" w:bottom="1440" w:gutter="0" w:footer="0" w:header="0"/>
        </w:sectPr>
      </w:pPr>
    </w:p>
    <w:bookmarkStart w:id="294" w:name="page295"/>
    <w:bookmarkEnd w:id="294"/>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therefrom, you agree to be bound by, and to comply with, the restrictive covenants set forth in Sections 1, 3 and 4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In the event you violate any of the restrictive covenants set forth in Sections 1, 3 or 4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 prior to or on any applicable Vesting Date, you will forfeit the RSUs outstanding as of the date of such violation or (b) after the final Vesting Date, but prior to or on the expiry date of the restrictive covenants set forth in Sections 1, 3 and 4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you will promptly deliver to the Company all Shares acquired upon conversion of the RSUs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Sections 1, 3 or 4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941"/>
        <w:spacing w:after="0" w:line="260" w:lineRule="auto"/>
        <w:rPr>
          <w:sz w:val="20"/>
          <w:szCs w:val="20"/>
          <w:color w:val="auto"/>
        </w:rPr>
      </w:pPr>
      <w:r>
        <w:rPr>
          <w:rFonts w:ascii="Times New Roman" w:cs="Times New Roman" w:eastAsia="Times New Roman" w:hAnsi="Times New Roman"/>
          <w:sz w:val="12"/>
          <w:szCs w:val="12"/>
          <w:color w:val="auto"/>
        </w:rPr>
        <w:t xml:space="preserve">Section 7. </w:t>
      </w:r>
      <w:r>
        <w:rPr>
          <w:rFonts w:ascii="Times New Roman" w:cs="Times New Roman" w:eastAsia="Times New Roman" w:hAnsi="Times New Roman"/>
          <w:sz w:val="12"/>
          <w:szCs w:val="12"/>
          <w:u w:val="single" w:color="auto"/>
          <w:color w:val="auto"/>
        </w:rPr>
        <w:t>Cancellation of Awards</w:t>
      </w:r>
      <w:r>
        <w:rPr>
          <w:rFonts w:ascii="Times New Roman" w:cs="Times New Roman" w:eastAsia="Times New Roman" w:hAnsi="Times New Roman"/>
          <w:sz w:val="12"/>
          <w:szCs w:val="12"/>
          <w:color w:val="auto"/>
        </w:rPr>
        <w:t>. Notwithstanding any other terms of this Award Agreement, your RSUs will be canceled prior to conversion in the event of any Cancellation Event. You may be required to provide MSCI with a written certification or other evidence that it deems appropriate, in its sole discretion, to confirm that no Cancellation Event has occurred. If you fail to submit a timely certification or evidence, MSCI will cancel your award. Except as explicitly provided in Section 4, upon a termination of your employment by you or by the Company for any reason, any of your RSUs that have not vested pursuant to Section 2 as of the date of your termination of employment with the Company will be canceled and forfeited in full as of such date.</w:t>
      </w:r>
    </w:p>
    <w:p>
      <w:pPr>
        <w:spacing w:after="0" w:line="122" w:lineRule="exact"/>
        <w:rPr>
          <w:sz w:val="20"/>
          <w:szCs w:val="20"/>
          <w:color w:val="auto"/>
        </w:rPr>
      </w:pPr>
    </w:p>
    <w:p>
      <w:pPr>
        <w:jc w:val="both"/>
        <w:ind w:firstLine="941"/>
        <w:spacing w:after="0" w:line="257" w:lineRule="auto"/>
        <w:rPr>
          <w:sz w:val="20"/>
          <w:szCs w:val="20"/>
          <w:color w:val="auto"/>
        </w:rPr>
      </w:pPr>
      <w:r>
        <w:rPr>
          <w:rFonts w:ascii="Times New Roman" w:cs="Times New Roman" w:eastAsia="Times New Roman" w:hAnsi="Times New Roman"/>
          <w:sz w:val="12"/>
          <w:szCs w:val="12"/>
          <w:color w:val="auto"/>
        </w:rPr>
        <w:t xml:space="preserve">Section 8. </w:t>
      </w:r>
      <w:r>
        <w:rPr>
          <w:rFonts w:ascii="Times New Roman" w:cs="Times New Roman" w:eastAsia="Times New Roman" w:hAnsi="Times New Roman"/>
          <w:sz w:val="12"/>
          <w:szCs w:val="12"/>
          <w:u w:val="single" w:color="auto"/>
          <w:color w:val="auto"/>
        </w:rPr>
        <w:t>Tax and Other Withholding Obligations</w:t>
      </w:r>
      <w:r>
        <w:rPr>
          <w:rFonts w:ascii="Times New Roman" w:cs="Times New Roman" w:eastAsia="Times New Roman" w:hAnsi="Times New Roman"/>
          <w:sz w:val="12"/>
          <w:szCs w:val="12"/>
          <w:color w:val="auto"/>
        </w:rPr>
        <w:t>. Pursuant to Section 15(d) of the Plan and the rules and procedures that the Committee may establish from time to time, tax or other withholding obligations arising upon vesting and conversion (as applicable) of your RSUs may be satisfied, in the Committee’s sole discretion, by having MSCI withhold Shares, tendering Shares or by having MSCI withhold cash if MSCI provides for a cash withholding option, in each case in an amount necessary to satisfy the tax or other withholding obligations. Shares withheld or tendered will be valued using the Fair Market Value of the Shares on the date your RSUs convert. In order to comply with applicable accounting standards or the Company’s policies in effect from time to time, the Committee may limit the amount of Shares that you may have withheld or that you may tender. You acknowledge that, if you are subject to Tax-Related Items (as defined below) in more than one jurisdiction, the Company (including any former employer) may be required to withhold or account for Tax-Related Items in more than one jurisdiction.</w:t>
      </w:r>
    </w:p>
    <w:p>
      <w:pPr>
        <w:spacing w:after="0" w:line="269"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9. </w:t>
      </w:r>
      <w:r>
        <w:rPr>
          <w:rFonts w:ascii="Times New Roman" w:cs="Times New Roman" w:eastAsia="Times New Roman" w:hAnsi="Times New Roman"/>
          <w:sz w:val="12"/>
          <w:szCs w:val="12"/>
          <w:u w:val="single" w:color="auto"/>
          <w:color w:val="auto"/>
        </w:rPr>
        <w:t>Nontransferability</w:t>
      </w:r>
      <w:r>
        <w:rPr>
          <w:rFonts w:ascii="Times New Roman" w:cs="Times New Roman" w:eastAsia="Times New Roman" w:hAnsi="Times New Roman"/>
          <w:sz w:val="12"/>
          <w:szCs w:val="12"/>
          <w:color w:val="auto"/>
        </w:rPr>
        <w:t>. You may not Transfer your RSUs, or the Shares underlying your RSUs (or rights to the foregoing) other than as provided in Section 10 or by will or the laws of descent and distribution or otherwise as provided for by the Committee.</w:t>
      </w:r>
    </w:p>
    <w:p>
      <w:pPr>
        <w:spacing w:after="0" w:line="111" w:lineRule="exact"/>
        <w:rPr>
          <w:sz w:val="20"/>
          <w:szCs w:val="20"/>
          <w:color w:val="auto"/>
        </w:rPr>
      </w:pPr>
    </w:p>
    <w:p>
      <w:pPr>
        <w:jc w:val="both"/>
        <w:ind w:firstLine="941"/>
        <w:spacing w:after="0" w:line="260" w:lineRule="auto"/>
        <w:rPr>
          <w:sz w:val="20"/>
          <w:szCs w:val="20"/>
          <w:color w:val="auto"/>
        </w:rPr>
      </w:pPr>
      <w:r>
        <w:rPr>
          <w:rFonts w:ascii="Times New Roman" w:cs="Times New Roman" w:eastAsia="Times New Roman" w:hAnsi="Times New Roman"/>
          <w:sz w:val="12"/>
          <w:szCs w:val="12"/>
          <w:color w:val="auto"/>
        </w:rPr>
        <w:t xml:space="preserve">Section 10. </w:t>
      </w:r>
      <w:r>
        <w:rPr>
          <w:rFonts w:ascii="Times New Roman" w:cs="Times New Roman" w:eastAsia="Times New Roman" w:hAnsi="Times New Roman"/>
          <w:sz w:val="12"/>
          <w:szCs w:val="12"/>
          <w:u w:val="single" w:color="auto"/>
          <w:color w:val="auto"/>
        </w:rPr>
        <w:t>Designation of a Beneficiary</w:t>
      </w:r>
      <w:r>
        <w:rPr>
          <w:rFonts w:ascii="Times New Roman" w:cs="Times New Roman" w:eastAsia="Times New Roman" w:hAnsi="Times New Roman"/>
          <w:sz w:val="12"/>
          <w:szCs w:val="12"/>
          <w:color w:val="auto"/>
        </w:rPr>
        <w:t>. Any designation of a beneficiary or beneficiaries to receive all or part of the Shares to be paid under this Award Agreement in the event of your death will be governed by local law. To make a beneficiary designation, you must coordinate with your personal tax or estate planning representative. Any Shares that become payable upon your death will be distributed to your estate in accordance with local law rules. If there is any question as to the legal right of any beneficiary(ies)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122"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11.</w:t>
      </w:r>
      <w:r>
        <w:rPr>
          <w:sz w:val="20"/>
          <w:szCs w:val="20"/>
          <w:color w:val="auto"/>
        </w:rPr>
        <w:tab/>
      </w:r>
      <w:r>
        <w:rPr>
          <w:rFonts w:ascii="Times New Roman" w:cs="Times New Roman" w:eastAsia="Times New Roman" w:hAnsi="Times New Roman"/>
          <w:sz w:val="12"/>
          <w:szCs w:val="12"/>
          <w:u w:val="single" w:color="auto"/>
          <w:color w:val="auto"/>
        </w:rPr>
        <w:t>Ownership and Possession</w:t>
      </w:r>
      <w:r>
        <w:rPr>
          <w:rFonts w:ascii="Times New Roman" w:cs="Times New Roman" w:eastAsia="Times New Roman" w:hAnsi="Times New Roman"/>
          <w:sz w:val="12"/>
          <w:szCs w:val="12"/>
          <w:color w:val="auto"/>
        </w:rPr>
        <w:t>. Except as set forth herein, you will not have any rights as a stockholder in the Shares corresponding to your RSUs prior to conversion of your RSUs.</w:t>
      </w:r>
    </w:p>
    <w:p>
      <w:pPr>
        <w:spacing w:after="0" w:line="150"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12. </w:t>
      </w:r>
      <w:r>
        <w:rPr>
          <w:rFonts w:ascii="Times New Roman" w:cs="Times New Roman" w:eastAsia="Times New Roman" w:hAnsi="Times New Roman"/>
          <w:sz w:val="12"/>
          <w:szCs w:val="12"/>
          <w:u w:val="single" w:color="auto"/>
          <w:color w:val="auto"/>
        </w:rPr>
        <w:t>Securities Law Compliance Matters</w:t>
      </w:r>
      <w:r>
        <w:rPr>
          <w:rFonts w:ascii="Times New Roman" w:cs="Times New Roman" w:eastAsia="Times New Roman" w:hAnsi="Times New Roman"/>
          <w:sz w:val="12"/>
          <w:szCs w:val="12"/>
          <w:color w:val="auto"/>
        </w:rPr>
        <w:t>. MSCI may, if it determines it is appropriate, affix any legend to the stock certificates representing Shares issued upon conversion of your RSUs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11"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13.</w:t>
      </w:r>
      <w:r>
        <w:rPr>
          <w:sz w:val="20"/>
          <w:szCs w:val="20"/>
          <w:color w:val="auto"/>
        </w:rPr>
        <w:tab/>
      </w:r>
      <w:r>
        <w:rPr>
          <w:rFonts w:ascii="Times New Roman" w:cs="Times New Roman" w:eastAsia="Times New Roman" w:hAnsi="Times New Roman"/>
          <w:sz w:val="12"/>
          <w:szCs w:val="12"/>
          <w:u w:val="single" w:color="auto"/>
          <w:color w:val="auto"/>
        </w:rPr>
        <w:t>Compliance with Laws and Regulations</w:t>
      </w:r>
      <w:r>
        <w:rPr>
          <w:rFonts w:ascii="Times New Roman" w:cs="Times New Roman" w:eastAsia="Times New Roman" w:hAnsi="Times New Roman"/>
          <w:sz w:val="12"/>
          <w:szCs w:val="12"/>
          <w:color w:val="auto"/>
        </w:rPr>
        <w:t>. Any sale, assignment, transfer, pledge, mortgage, encumbrance or other disposition of Shares issued upon conversion of your RSUs (whether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0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295" w:name="page296"/>
    <w:bookmarkEnd w:id="295"/>
    <w:p>
      <w:pPr>
        <w:spacing w:after="0" w:line="279" w:lineRule="auto"/>
        <w:rPr>
          <w:sz w:val="20"/>
          <w:szCs w:val="20"/>
          <w:color w:val="auto"/>
        </w:rPr>
      </w:pPr>
      <w:r>
        <w:rPr>
          <w:rFonts w:ascii="Times New Roman" w:cs="Times New Roman" w:eastAsia="Times New Roman" w:hAnsi="Times New Roman"/>
          <w:sz w:val="12"/>
          <w:szCs w:val="12"/>
          <w:color w:val="auto"/>
        </w:rPr>
        <w:t>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111"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14.</w:t>
      </w:r>
      <w:r>
        <w:rPr>
          <w:sz w:val="20"/>
          <w:szCs w:val="20"/>
          <w:color w:val="auto"/>
        </w:rPr>
        <w:tab/>
      </w:r>
      <w:r>
        <w:rPr>
          <w:rFonts w:ascii="Times New Roman" w:cs="Times New Roman" w:eastAsia="Times New Roman" w:hAnsi="Times New Roman"/>
          <w:sz w:val="12"/>
          <w:szCs w:val="12"/>
          <w:u w:val="single" w:color="auto"/>
          <w:color w:val="auto"/>
        </w:rPr>
        <w:t>No Entitlements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1500" w:hanging="567"/>
        <w:spacing w:after="0"/>
        <w:tabs>
          <w:tab w:leader="none" w:pos="1500"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Right to Continued Employment</w:t>
      </w:r>
      <w:r>
        <w:rPr>
          <w:rFonts w:ascii="Times New Roman" w:cs="Times New Roman" w:eastAsia="Times New Roman" w:hAnsi="Times New Roman"/>
          <w:sz w:val="12"/>
          <w:szCs w:val="12"/>
          <w:color w:val="auto"/>
        </w:rPr>
        <w:t>. This RSU award is not an employment agreement, and nothing in this Award Agreement or the Plan shall alter your status as an “at-will” employee of the Company.</w:t>
      </w:r>
    </w:p>
    <w:p>
      <w:pPr>
        <w:spacing w:after="0" w:line="150" w:lineRule="exact"/>
        <w:rPr>
          <w:rFonts w:ascii="Times New Roman" w:cs="Times New Roman" w:eastAsia="Times New Roman" w:hAnsi="Times New Roman"/>
          <w:sz w:val="12"/>
          <w:szCs w:val="12"/>
          <w:color w:val="auto"/>
        </w:rPr>
      </w:pPr>
    </w:p>
    <w:p>
      <w:pPr>
        <w:jc w:val="both"/>
        <w:ind w:firstLine="933"/>
        <w:spacing w:after="0" w:line="266" w:lineRule="auto"/>
        <w:tabs>
          <w:tab w:leader="none" w:pos="1513"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Right to Future Awards</w:t>
      </w:r>
      <w:r>
        <w:rPr>
          <w:rFonts w:ascii="Times New Roman" w:cs="Times New Roman" w:eastAsia="Times New Roman" w:hAnsi="Times New Roman"/>
          <w:sz w:val="12"/>
          <w:szCs w:val="12"/>
          <w:color w:val="auto"/>
        </w:rPr>
        <w:t>. This award, and all other awards of RSUs and other equity-based awards, are discretionary. This award does not confer on you any right or entitlement to receive another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award of RSUs or any other equity-based award at any time in the future or in respect of any future period. You agree that any release required under Section 4 of this Award Agreement is in exchange for the grant of RSUs hereunder, for which you have no current entitlement.</w:t>
      </w:r>
    </w:p>
    <w:p>
      <w:pPr>
        <w:spacing w:after="0" w:line="117" w:lineRule="exact"/>
        <w:rPr>
          <w:rFonts w:ascii="Times New Roman" w:cs="Times New Roman" w:eastAsia="Times New Roman" w:hAnsi="Times New Roman"/>
          <w:sz w:val="12"/>
          <w:szCs w:val="12"/>
          <w:color w:val="auto"/>
        </w:rPr>
      </w:pPr>
    </w:p>
    <w:p>
      <w:pPr>
        <w:ind w:firstLine="933"/>
        <w:spacing w:after="0" w:line="283" w:lineRule="auto"/>
        <w:tabs>
          <w:tab w:leader="none" w:pos="1507"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Effect on Future Employment Compensation</w:t>
      </w:r>
      <w:r>
        <w:rPr>
          <w:rFonts w:ascii="Times New Roman" w:cs="Times New Roman" w:eastAsia="Times New Roman" w:hAnsi="Times New Roman"/>
          <w:sz w:val="12"/>
          <w:szCs w:val="12"/>
          <w:color w:val="auto"/>
        </w:rPr>
        <w:t>. MSCI has made this award to you in its sole discretion. This award does not confer on you any right or entitlement to receive compensation in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specific amount. In addition, this award is not part of your base salary or wages and will not be taken into account in determining any other employment-related rights you may have, such as rights to pension or severance pay.</w:t>
      </w:r>
    </w:p>
    <w:p>
      <w:pPr>
        <w:spacing w:after="0" w:line="109" w:lineRule="exact"/>
        <w:rPr>
          <w:sz w:val="20"/>
          <w:szCs w:val="20"/>
          <w:color w:val="auto"/>
        </w:rPr>
      </w:pPr>
    </w:p>
    <w:p>
      <w:pPr>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15. </w:t>
      </w:r>
      <w:r>
        <w:rPr>
          <w:rFonts w:ascii="Times New Roman" w:cs="Times New Roman" w:eastAsia="Times New Roman" w:hAnsi="Times New Roman"/>
          <w:sz w:val="12"/>
          <w:szCs w:val="12"/>
          <w:u w:val="single" w:color="auto"/>
          <w:color w:val="auto"/>
        </w:rPr>
        <w:t>No Advice Regarding Grant</w:t>
      </w:r>
      <w:r>
        <w:rPr>
          <w:rFonts w:ascii="Times New Roman" w:cs="Times New Roman" w:eastAsia="Times New Roman" w:hAnsi="Times New Roman"/>
          <w:sz w:val="12"/>
          <w:szCs w:val="1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111"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16.</w:t>
      </w:r>
      <w:r>
        <w:rPr>
          <w:sz w:val="20"/>
          <w:szCs w:val="20"/>
          <w:color w:val="auto"/>
        </w:rPr>
        <w:tab/>
      </w:r>
      <w:r>
        <w:rPr>
          <w:rFonts w:ascii="Times New Roman" w:cs="Times New Roman" w:eastAsia="Times New Roman" w:hAnsi="Times New Roman"/>
          <w:sz w:val="12"/>
          <w:szCs w:val="12"/>
          <w:u w:val="single" w:color="auto"/>
          <w:color w:val="auto"/>
        </w:rPr>
        <w:t>Consents under Local Law</w:t>
      </w:r>
      <w:r>
        <w:rPr>
          <w:rFonts w:ascii="Times New Roman" w:cs="Times New Roman" w:eastAsia="Times New Roman" w:hAnsi="Times New Roman"/>
          <w:sz w:val="12"/>
          <w:szCs w:val="12"/>
          <w:color w:val="auto"/>
        </w:rPr>
        <w:t>. Your award is conditioned upon the making of all filings and the receipt of all consents or authorizations required to comply with, or to be obtained under, applicable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local law.</w:t>
      </w:r>
    </w:p>
    <w:p>
      <w:pPr>
        <w:spacing w:after="0" w:line="139"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17.</w:t>
      </w:r>
      <w:r>
        <w:rPr>
          <w:sz w:val="20"/>
          <w:szCs w:val="20"/>
          <w:color w:val="auto"/>
        </w:rPr>
        <w:tab/>
      </w:r>
      <w:r>
        <w:rPr>
          <w:rFonts w:ascii="Times New Roman" w:cs="Times New Roman" w:eastAsia="Times New Roman" w:hAnsi="Times New Roman"/>
          <w:sz w:val="11"/>
          <w:szCs w:val="11"/>
          <w:u w:val="single" w:color="auto"/>
          <w:color w:val="auto"/>
        </w:rPr>
        <w:t>Award Modification and Section 409A</w:t>
      </w:r>
      <w:r>
        <w:rPr>
          <w:rFonts w:ascii="Times New Roman" w:cs="Times New Roman" w:eastAsia="Times New Roman" w:hAnsi="Times New Roman"/>
          <w:sz w:val="11"/>
          <w:szCs w:val="11"/>
          <w:color w:val="auto"/>
        </w:rPr>
        <w:t>.</w:t>
      </w:r>
    </w:p>
    <w:p>
      <w:pPr>
        <w:spacing w:after="0" w:line="148" w:lineRule="exact"/>
        <w:rPr>
          <w:sz w:val="20"/>
          <w:szCs w:val="20"/>
          <w:color w:val="auto"/>
        </w:rPr>
      </w:pPr>
    </w:p>
    <w:p>
      <w:pPr>
        <w:jc w:val="both"/>
        <w:ind w:firstLine="933"/>
        <w:spacing w:after="0" w:line="257" w:lineRule="auto"/>
        <w:tabs>
          <w:tab w:leader="none" w:pos="1507" w:val="left"/>
        </w:tabs>
        <w:numPr>
          <w:ilvl w:val="0"/>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Modification</w:t>
      </w:r>
      <w:r>
        <w:rPr>
          <w:rFonts w:ascii="Times New Roman" w:cs="Times New Roman" w:eastAsia="Times New Roman" w:hAnsi="Times New Roman"/>
          <w:sz w:val="12"/>
          <w:szCs w:val="12"/>
          <w:color w:val="auto"/>
        </w:rPr>
        <w:t>. MSCI reserves the right to modify or amend unilaterally the terms and conditions of your RSUs, without first asking your consent, or to waive any terms and conditions that operate in favor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of MSCI. MSCI may not modify your RSUs in a manner that would materially impair your rights in your RSUs without your consent;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MSCI may, without your consent, amend or modify your RSUs in any manner that MSCI considers necessary or advisable to comply with applicable law, stock market or exchange rules and regulations or accounting or tax rules and regulations or to ensure that your RSUs are not subject to tax prior to payment. MSCI will notify you of any amendment of your RSUs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23"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409A.</w:t>
      </w:r>
    </w:p>
    <w:p>
      <w:pPr>
        <w:spacing w:after="0" w:line="150" w:lineRule="exact"/>
        <w:rPr>
          <w:rFonts w:ascii="Times New Roman" w:cs="Times New Roman" w:eastAsia="Times New Roman" w:hAnsi="Times New Roman"/>
          <w:sz w:val="12"/>
          <w:szCs w:val="12"/>
          <w:color w:val="auto"/>
        </w:rPr>
      </w:pPr>
    </w:p>
    <w:p>
      <w:pPr>
        <w:ind w:left="940" w:firstLine="857"/>
        <w:spacing w:after="0" w:line="279" w:lineRule="auto"/>
        <w:tabs>
          <w:tab w:leader="none" w:pos="2348" w:val="left"/>
        </w:tabs>
        <w:numPr>
          <w:ilvl w:val="1"/>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understand and agree that all payments made pursuant to this Award Agreement are intended to be exempt and/or comply with Section 409A, and shall be interpreted on a basis consistent with such intent. For the avoidance of doubt, the Company makes no representations that the payments provided under this Award Agreement comply with Section 409A,</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0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96" w:name="page297"/>
    <w:bookmarkEnd w:id="296"/>
    <w:p>
      <w:pPr>
        <w:ind w:left="940"/>
        <w:spacing w:after="0"/>
        <w:rPr>
          <w:sz w:val="20"/>
          <w:szCs w:val="20"/>
          <w:color w:val="auto"/>
        </w:rPr>
      </w:pPr>
      <w:r>
        <w:rPr>
          <w:rFonts w:ascii="Times New Roman" w:cs="Times New Roman" w:eastAsia="Times New Roman" w:hAnsi="Times New Roman"/>
          <w:sz w:val="12"/>
          <w:szCs w:val="12"/>
          <w:color w:val="auto"/>
        </w:rPr>
        <w:t>and in no event will the Company be liable for any taxes, penalties, interest or other expenses that may be incurred by you on account of non-compliance with Section 409A.</w:t>
      </w:r>
    </w:p>
    <w:p>
      <w:pPr>
        <w:spacing w:after="0" w:line="150" w:lineRule="exact"/>
        <w:rPr>
          <w:sz w:val="20"/>
          <w:szCs w:val="20"/>
          <w:color w:val="auto"/>
        </w:rPr>
      </w:pPr>
    </w:p>
    <w:p>
      <w:pPr>
        <w:jc w:val="both"/>
        <w:ind w:left="940" w:firstLine="857"/>
        <w:spacing w:after="0" w:line="145" w:lineRule="exact"/>
        <w:tabs>
          <w:tab w:leader="none" w:pos="2382" w:val="left"/>
        </w:tabs>
        <w:numPr>
          <w:ilvl w:val="0"/>
          <w:numId w:val="4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other provisions of this Award Agreement, to the extent necessary to comply with Section 409A, no conversion specified hereunder shall occur unless permissible under Section 409A. If MSCI considers you to be one of its “specified employees” and you are a U.S. taxpayer, in each case, at the time of your “separation from service” (as such terms are defined in the Code) from the Company, no conversion specified hereunder shall occur prior to the expiration of the six</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month period measured from the date of your separation from service from the Company (such period, the “</w:t>
      </w:r>
      <w:r>
        <w:rPr>
          <w:rFonts w:ascii="Times New Roman" w:cs="Times New Roman" w:eastAsia="Times New Roman" w:hAnsi="Times New Roman"/>
          <w:sz w:val="12"/>
          <w:szCs w:val="12"/>
          <w:b w:val="1"/>
          <w:bCs w:val="1"/>
          <w:color w:val="auto"/>
        </w:rPr>
        <w:t>Specified Employee Period</w:t>
      </w:r>
      <w:r>
        <w:rPr>
          <w:rFonts w:ascii="Times New Roman" w:cs="Times New Roman" w:eastAsia="Times New Roman" w:hAnsi="Times New Roman"/>
          <w:sz w:val="12"/>
          <w:szCs w:val="12"/>
          <w:color w:val="auto"/>
        </w:rPr>
        <w:t xml:space="preserve">”). Any conversion of RSUs into Shares that would have occurred during the Specified Employee Period but for the fact that you are deemed to be a specified employee shall be satisfied either by (A) conversion of such RSUs into Shares on the first business day following the Specified Employee Period or (B) a cash payment on the first business day following the Specified Employee Period equal to the value of such RSUs on the scheduled conversion date (based on the value of the Shares on such date) plus accrued interest as determined by MSCI;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to the extent this Section 17(b)(ii) is applicable, in the event of your death after the date of your separation from service from the Company, any conversion or payment delayed pursuant to this Section 17(b)(ii) shall occur or be made immediately. For the avoidance of doubt, any determination as to form of payment provided in this Section 17(b)(ii) will be in the sole discretion of MSCI.</w:t>
      </w:r>
    </w:p>
    <w:p>
      <w:pPr>
        <w:spacing w:after="0" w:line="136" w:lineRule="exact"/>
        <w:rPr>
          <w:rFonts w:ascii="Times New Roman" w:cs="Times New Roman" w:eastAsia="Times New Roman" w:hAnsi="Times New Roman"/>
          <w:sz w:val="12"/>
          <w:szCs w:val="12"/>
          <w:color w:val="auto"/>
        </w:rPr>
      </w:pPr>
    </w:p>
    <w:p>
      <w:pPr>
        <w:ind w:left="940" w:firstLine="857"/>
        <w:spacing w:after="0" w:line="279" w:lineRule="auto"/>
        <w:tabs>
          <w:tab w:leader="none" w:pos="2415" w:val="left"/>
        </w:tabs>
        <w:numPr>
          <w:ilvl w:val="0"/>
          <w:numId w:val="4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any provision of this Award Agreement providing for the payment of any amounts of nonqualified deferred compensation upon or following a termination of employment from the Company, references to your “termination of employment” (and corollary terms) shall be construed to refer to your “separation from service” from the Company.</w:t>
      </w:r>
    </w:p>
    <w:p>
      <w:pPr>
        <w:spacing w:after="0" w:line="111"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408" w:val="left"/>
        </w:tabs>
        <w:numPr>
          <w:ilvl w:val="0"/>
          <w:numId w:val="4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reserves the right to modify the terms of this Award Agreement, including, without limitation, the payment provisions applicable to your RSUs, to the extent necessary or advisable to comply with Section 409A and reserves the right to make any changes to your RSU award so that it does not become subject to Section 409A or become subject to a Specified Employee Period.</w:t>
      </w:r>
    </w:p>
    <w:p>
      <w:pPr>
        <w:spacing w:after="0" w:line="111"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18.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In the event MSCI determines that any provision of this Award Agreement would cause you to be in constructive receipt for United States federal or state income tax purposes of any portion of your award, then such provision will be considered null and void, and this Award Agreement will be construed and enforced as if the provision had not been included in this Award Agreement as of the date such provision was determined to cause you to be in constructive receipt of any portion of your award.</w:t>
      </w:r>
    </w:p>
    <w:p>
      <w:pPr>
        <w:spacing w:after="0" w:line="119"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19. </w:t>
      </w:r>
      <w:r>
        <w:rPr>
          <w:rFonts w:ascii="Times New Roman" w:cs="Times New Roman" w:eastAsia="Times New Roman" w:hAnsi="Times New Roman"/>
          <w:sz w:val="12"/>
          <w:szCs w:val="12"/>
          <w:u w:val="single" w:color="auto"/>
          <w:color w:val="auto"/>
        </w:rPr>
        <w:t>Successors</w:t>
      </w:r>
      <w:r>
        <w:rPr>
          <w:rFonts w:ascii="Times New Roman" w:cs="Times New Roman" w:eastAsia="Times New Roman" w:hAnsi="Times New Roman"/>
          <w:sz w:val="12"/>
          <w:szCs w:val="12"/>
          <w:color w:val="auto"/>
        </w:rPr>
        <w:t>. This Award Agreement shall be binding upon and inure to the benefit of any successor or successors of the Company and any person or persons who shall, upon your death, acquire any rights hereunder in accordance with this Award Agreement or the Plan.</w:t>
      </w:r>
    </w:p>
    <w:p>
      <w:pPr>
        <w:spacing w:after="0" w:line="111"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20. </w:t>
      </w:r>
      <w:r>
        <w:rPr>
          <w:rFonts w:ascii="Times New Roman" w:cs="Times New Roman" w:eastAsia="Times New Roman" w:hAnsi="Times New Roman"/>
          <w:sz w:val="12"/>
          <w:szCs w:val="12"/>
          <w:u w:val="single" w:color="auto"/>
          <w:color w:val="auto"/>
        </w:rPr>
        <w:t>Governing Law and Venue</w:t>
      </w:r>
      <w:r>
        <w:rPr>
          <w:rFonts w:ascii="Times New Roman" w:cs="Times New Roman" w:eastAsia="Times New Roman" w:hAnsi="Times New Roman"/>
          <w:sz w:val="12"/>
          <w:szCs w:val="12"/>
          <w:color w:val="auto"/>
        </w:rPr>
        <w:t>. The RSU grant and the provisions of this Award Agreement are governed by, and subject to, the laws of the State of Delaware, United States of America, without regard to the conflict of law provisions, as provided in the Plan. For purposes of litigating any dispute that arises under this grant or the Award Agreement, the parties hereby submit to 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19" w:lineRule="exact"/>
        <w:rPr>
          <w:sz w:val="20"/>
          <w:szCs w:val="20"/>
          <w:color w:val="auto"/>
        </w:rPr>
      </w:pPr>
    </w:p>
    <w:p>
      <w:pPr>
        <w:jc w:val="both"/>
        <w:ind w:right="20"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Rule of Construction for Timing of Conversion</w:t>
      </w:r>
      <w:r>
        <w:rPr>
          <w:rFonts w:ascii="Times New Roman" w:cs="Times New Roman" w:eastAsia="Times New Roman" w:hAnsi="Times New Roman"/>
          <w:sz w:val="12"/>
          <w:szCs w:val="12"/>
          <w:color w:val="auto"/>
        </w:rPr>
        <w:t>. With respect to each provision of this Award Agreement that provides for your RSUs to convert into Shares, or your dividend equivalents to be paid, on a specified event or date, such conversion or payment will be considered to have been timely made, and neither you nor any of your beneficiaries or your estate shall have any claim against the Company for damages based on a delay in a conversion or payment, and the Company shall have no liability to you (or</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1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297" w:name="page298"/>
    <w:bookmarkEnd w:id="297"/>
    <w:p>
      <w:pPr>
        <w:jc w:val="both"/>
        <w:spacing w:after="0" w:line="279" w:lineRule="auto"/>
        <w:rPr>
          <w:sz w:val="20"/>
          <w:szCs w:val="20"/>
          <w:color w:val="auto"/>
        </w:rPr>
      </w:pPr>
      <w:r>
        <w:rPr>
          <w:rFonts w:ascii="Times New Roman" w:cs="Times New Roman" w:eastAsia="Times New Roman" w:hAnsi="Times New Roman"/>
          <w:sz w:val="12"/>
          <w:szCs w:val="12"/>
          <w:color w:val="auto"/>
        </w:rPr>
        <w:t>to any of your beneficiaries or your estate) in respect of any such delay, as long as payment is made by December 31 of the year in which the applicable Vesting Date or such other specified event or date occurs, or if later, by March 15th of the year following such specified event or date.</w:t>
      </w:r>
    </w:p>
    <w:p>
      <w:pPr>
        <w:spacing w:after="0" w:line="111"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22. </w:t>
      </w:r>
      <w:r>
        <w:rPr>
          <w:rFonts w:ascii="Times New Roman" w:cs="Times New Roman" w:eastAsia="Times New Roman" w:hAnsi="Times New Roman"/>
          <w:sz w:val="12"/>
          <w:szCs w:val="12"/>
          <w:u w:val="single" w:color="auto"/>
          <w:color w:val="auto"/>
        </w:rPr>
        <w:t>Non-U.S. Participants</w:t>
      </w:r>
      <w:r>
        <w:rPr>
          <w:rFonts w:ascii="Times New Roman" w:cs="Times New Roman" w:eastAsia="Times New Roman" w:hAnsi="Times New Roman"/>
          <w:sz w:val="12"/>
          <w:szCs w:val="12"/>
          <w:color w:val="auto"/>
        </w:rPr>
        <w:t>. The following provisions will apply to you if you reside or work outside of the United States. For the 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17" w:lineRule="exact"/>
        <w:rPr>
          <w:sz w:val="20"/>
          <w:szCs w:val="20"/>
          <w:color w:val="auto"/>
        </w:rPr>
      </w:pPr>
    </w:p>
    <w:p>
      <w:pPr>
        <w:ind w:left="1500" w:hanging="567"/>
        <w:spacing w:after="0"/>
        <w:tabs>
          <w:tab w:leader="none" w:pos="1500" w:val="left"/>
        </w:tabs>
        <w:numPr>
          <w:ilvl w:val="0"/>
          <w:numId w:val="4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[Reserved]</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firstLine="933"/>
        <w:spacing w:after="0" w:line="258" w:lineRule="auto"/>
        <w:tabs>
          <w:tab w:leader="none" w:pos="1513" w:val="left"/>
        </w:tabs>
        <w:numPr>
          <w:ilvl w:val="0"/>
          <w:numId w:val="4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Tax and Other Withholding Obligations</w:t>
      </w:r>
      <w:r>
        <w:rPr>
          <w:rFonts w:ascii="Times New Roman" w:cs="Times New Roman" w:eastAsia="Times New Roman" w:hAnsi="Times New Roman"/>
          <w:sz w:val="12"/>
          <w:szCs w:val="12"/>
          <w:color w:val="auto"/>
        </w:rPr>
        <w:t>. You acknowledge that, regardless of any action taken by the Company, the ultimate liability for all income tax, social insurance, payroll tax, fringe benefits tax,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payment on account or other tax-related items related to your participation in the Plan and legally applicable or deemed applicable to you (“</w:t>
      </w:r>
      <w:r>
        <w:rPr>
          <w:rFonts w:ascii="Times New Roman" w:cs="Times New Roman" w:eastAsia="Times New Roman" w:hAnsi="Times New Roman"/>
          <w:sz w:val="12"/>
          <w:szCs w:val="12"/>
          <w:b w:val="1"/>
          <w:bCs w:val="1"/>
          <w:color w:val="auto"/>
        </w:rPr>
        <w:t>Tax-Related Items</w:t>
      </w:r>
      <w:r>
        <w:rPr>
          <w:rFonts w:ascii="Times New Roman" w:cs="Times New Roman" w:eastAsia="Times New Roman" w:hAnsi="Times New Roman"/>
          <w:sz w:val="12"/>
          <w:szCs w:val="12"/>
          <w:color w:val="auto"/>
        </w:rPr>
        <w:t>”) is and remains your responsibility and may exceed the amount, if any, actually withheld by the Company. You further acknowledge that the Company (i) makes no representations or undertaking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 equivalents and/or dividends; and (ii) does not commit to and is under no obligation to structure the terms of the grant or any aspect of the RSUs to reduce or eliminate your liability for Tax-Related Items or achieve any particular tax result.</w:t>
      </w:r>
    </w:p>
    <w:p>
      <w:pPr>
        <w:spacing w:after="0" w:line="124"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If the obligation for Tax-Related Items is satisfied by withholding in Shares, for tax purposes, you are deemed to have been issued the full number of Shares subject to the vested RSUs, notwithstanding that a number of the Shares are held back solely for the purpose of paying the Tax-Related Items.</w:t>
      </w:r>
    </w:p>
    <w:p>
      <w:pPr>
        <w:spacing w:after="0" w:line="111" w:lineRule="exact"/>
        <w:rPr>
          <w:sz w:val="20"/>
          <w:szCs w:val="20"/>
          <w:color w:val="auto"/>
        </w:rPr>
      </w:pPr>
    </w:p>
    <w:p>
      <w:pPr>
        <w:jc w:val="both"/>
        <w:ind w:firstLine="941"/>
        <w:spacing w:after="0" w:line="257" w:lineRule="auto"/>
        <w:rPr>
          <w:sz w:val="20"/>
          <w:szCs w:val="20"/>
          <w:color w:val="auto"/>
        </w:rPr>
      </w:pPr>
      <w:r>
        <w:rPr>
          <w:rFonts w:ascii="Times New Roman" w:cs="Times New Roman" w:eastAsia="Times New Roman" w:hAnsi="Times New Roman"/>
          <w:sz w:val="12"/>
          <w:szCs w:val="12"/>
          <w:color w:val="auto"/>
        </w:rPr>
        <w:t>In the event that withholding in and/or tendering Shares is problematic under applicable tax or securities law or has materially adverse accounting consequences, by your acceptance of the RSUs,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minimum or maximum rates applicable in your jurisdiction(s). In the event of over-withholding, you may receive a refund of any over-withheld amount in cash and will have no entitlement to the stock equivalent, or if not refunded, you may seek a refund from the local tax authorities. In the event of under-withholding, you may be required to pay any additional Tax-Related Items directly to the applicable tax authority or to the Company and/or your employer.</w:t>
      </w:r>
    </w:p>
    <w:p>
      <w:pPr>
        <w:spacing w:after="0" w:line="125"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Finally, you agree to pay to the Company, including through withholding from your wages or other cash compensation paid to you by MSCI and/or your employer, any amount of Tax-Related Items that the Company may be required to withhold or account for as a result of your participation in the Plan that cannot be satisfied by the means previously described. MSCI may refuse to issue or deliver the Shares or the proceeds of the sale of Shares if you fail to comply with your obligations in connection with the Tax-Related Items.</w:t>
      </w:r>
    </w:p>
    <w:p>
      <w:pPr>
        <w:spacing w:after="0" w:line="117" w:lineRule="exact"/>
        <w:rPr>
          <w:sz w:val="20"/>
          <w:szCs w:val="20"/>
          <w:color w:val="auto"/>
        </w:rPr>
      </w:pPr>
    </w:p>
    <w:p>
      <w:pPr>
        <w:ind w:left="1500" w:hanging="567"/>
        <w:spacing w:after="0"/>
        <w:tabs>
          <w:tab w:leader="none" w:pos="1500" w:val="left"/>
        </w:tabs>
        <w:numPr>
          <w:ilvl w:val="0"/>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Nature of Grant</w:t>
      </w:r>
      <w:r>
        <w:rPr>
          <w:rFonts w:ascii="Times New Roman" w:cs="Times New Roman" w:eastAsia="Times New Roman" w:hAnsi="Times New Roman"/>
          <w:sz w:val="12"/>
          <w:szCs w:val="12"/>
          <w:color w:val="auto"/>
        </w:rPr>
        <w:t>. In accepting the RSUs, you acknowledge, understand and agree that:</w:t>
      </w:r>
    </w:p>
    <w:p>
      <w:pPr>
        <w:spacing w:after="0" w:line="152" w:lineRule="exact"/>
        <w:rPr>
          <w:rFonts w:ascii="Times New Roman" w:cs="Times New Roman" w:eastAsia="Times New Roman" w:hAnsi="Times New Roman"/>
          <w:sz w:val="12"/>
          <w:szCs w:val="12"/>
          <w:color w:val="auto"/>
        </w:rPr>
      </w:pPr>
    </w:p>
    <w:p>
      <w:pPr>
        <w:ind w:left="2340" w:hanging="543"/>
        <w:spacing w:after="0"/>
        <w:tabs>
          <w:tab w:leader="none" w:pos="2340" w:val="left"/>
        </w:tabs>
        <w:numPr>
          <w:ilvl w:val="1"/>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is established voluntarily by MSCI, it is discretionary in nature and it may be modified, amended, suspended or terminated by MSCI at any time, to the extent permitted by the</w:t>
      </w:r>
    </w:p>
    <w:p>
      <w:pPr>
        <w:spacing w:after="0" w:line="1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1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98" w:name="page299"/>
    <w:bookmarkEnd w:id="298"/>
    <w:p>
      <w:pPr>
        <w:ind w:left="940" w:firstLine="857"/>
        <w:spacing w:after="0" w:line="279" w:lineRule="auto"/>
        <w:tabs>
          <w:tab w:leader="none" w:pos="2382"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RSU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11" w:lineRule="exact"/>
        <w:rPr>
          <w:rFonts w:ascii="Times New Roman" w:cs="Times New Roman" w:eastAsia="Times New Roman" w:hAnsi="Times New Roman"/>
          <w:sz w:val="12"/>
          <w:szCs w:val="12"/>
          <w:color w:val="auto"/>
        </w:rPr>
      </w:pPr>
    </w:p>
    <w:p>
      <w:pPr>
        <w:jc w:val="both"/>
        <w:ind w:left="940" w:firstLine="857"/>
        <w:spacing w:after="0" w:line="265" w:lineRule="auto"/>
        <w:tabs>
          <w:tab w:leader="none" w:pos="2415"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award, and all other awards of RSUs and other equity-based awards, are exceptional, discretionary, voluntary and occasional. This award does not confer on you any contractual or other right or entitlement to receive another award of RSUs, any other equity-based award or benefits in lieu of RSUs at any time in the future or in respect of any future period. You agree that any release required under Section 4 of this Award Agreement is in exchange for the grant of RSUs hereunder, for which you have no current entitlement;</w:t>
      </w:r>
    </w:p>
    <w:p>
      <w:pPr>
        <w:spacing w:after="0" w:line="118" w:lineRule="exact"/>
        <w:rPr>
          <w:rFonts w:ascii="Times New Roman" w:cs="Times New Roman" w:eastAsia="Times New Roman" w:hAnsi="Times New Roman"/>
          <w:sz w:val="12"/>
          <w:szCs w:val="12"/>
          <w:color w:val="auto"/>
        </w:rPr>
      </w:pPr>
    </w:p>
    <w:p>
      <w:pPr>
        <w:ind w:left="2400" w:hanging="603"/>
        <w:spacing w:after="0"/>
        <w:tabs>
          <w:tab w:leader="none" w:pos="2400"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has made this award to you in its sole discretion. All decisions with respect to future RSU or other grants, if any, will be at the sole discretion of MSCI;</w:t>
      </w:r>
    </w:p>
    <w:p>
      <w:pPr>
        <w:spacing w:after="0" w:line="150" w:lineRule="exact"/>
        <w:rPr>
          <w:rFonts w:ascii="Times New Roman" w:cs="Times New Roman" w:eastAsia="Times New Roman" w:hAnsi="Times New Roman"/>
          <w:sz w:val="12"/>
          <w:szCs w:val="12"/>
          <w:color w:val="auto"/>
        </w:rPr>
      </w:pPr>
    </w:p>
    <w:p>
      <w:pPr>
        <w:ind w:left="2360" w:hanging="563"/>
        <w:spacing w:after="0"/>
        <w:tabs>
          <w:tab w:leader="none" w:pos="2360"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voluntarily participating in the Plan;</w:t>
      </w:r>
    </w:p>
    <w:p>
      <w:pPr>
        <w:spacing w:after="0" w:line="150" w:lineRule="exact"/>
        <w:rPr>
          <w:rFonts w:ascii="Times New Roman" w:cs="Times New Roman" w:eastAsia="Times New Roman" w:hAnsi="Times New Roman"/>
          <w:sz w:val="12"/>
          <w:szCs w:val="12"/>
          <w:color w:val="auto"/>
        </w:rPr>
      </w:pPr>
    </w:p>
    <w:p>
      <w:pPr>
        <w:ind w:left="2400" w:hanging="603"/>
        <w:spacing w:after="0"/>
        <w:tabs>
          <w:tab w:leader="none" w:pos="2400"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of RSUs and the Shares subject to the RSUs, and the income from and value of the same, are not intended to replace any pension rights or compensation;</w:t>
      </w:r>
    </w:p>
    <w:p>
      <w:pPr>
        <w:spacing w:after="0" w:line="150" w:lineRule="exact"/>
        <w:rPr>
          <w:rFonts w:ascii="Times New Roman" w:cs="Times New Roman" w:eastAsia="Times New Roman" w:hAnsi="Times New Roman"/>
          <w:sz w:val="12"/>
          <w:szCs w:val="12"/>
          <w:color w:val="auto"/>
        </w:rPr>
      </w:pPr>
    </w:p>
    <w:p>
      <w:pPr>
        <w:jc w:val="both"/>
        <w:ind w:left="940" w:firstLine="857"/>
        <w:spacing w:after="0" w:line="260" w:lineRule="auto"/>
        <w:tabs>
          <w:tab w:leader="none" w:pos="2442"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award does not confer on you any right or entitlement to receive compensation in any specific amount. In addition, the RSUs and the Shares subject to the RSUs, and the income from and value of the same, are not part of normal or expected compensation for purposes of, including but not limited to, calculating any severance, resignation, termination, redundancy, dismissal, end-of-service payments, bonuses, long-service awards, holiday pay, leave pay, pension or retirement or welfare benefits or similar payments and in no event should be considered as compensation for, or relating in any way to, past services for the Company, the employer, or any Subsidiary;</w:t>
      </w:r>
    </w:p>
    <w:p>
      <w:pPr>
        <w:spacing w:after="0" w:line="122"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475"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agreed with MSCI in writing, the RSUs and the Shares subject to the RSUs, and the income from and value of the same, are not granted as consideration for, or in connection with, the service you may provide as a director of a Subsidiary;</w:t>
      </w:r>
    </w:p>
    <w:p>
      <w:pPr>
        <w:spacing w:after="0" w:line="111" w:lineRule="exact"/>
        <w:rPr>
          <w:rFonts w:ascii="Times New Roman" w:cs="Times New Roman" w:eastAsia="Times New Roman" w:hAnsi="Times New Roman"/>
          <w:sz w:val="12"/>
          <w:szCs w:val="12"/>
          <w:color w:val="auto"/>
        </w:rPr>
      </w:pPr>
    </w:p>
    <w:p>
      <w:pPr>
        <w:ind w:left="2400" w:hanging="603"/>
        <w:spacing w:after="0"/>
        <w:tabs>
          <w:tab w:leader="none" w:pos="2400"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value of the underlying Shares is unknown, indeterminable and cannot be predicted with certainty;</w:t>
      </w:r>
    </w:p>
    <w:p>
      <w:pPr>
        <w:spacing w:after="0" w:line="150" w:lineRule="exact"/>
        <w:rPr>
          <w:rFonts w:ascii="Times New Roman" w:cs="Times New Roman" w:eastAsia="Times New Roman" w:hAnsi="Times New Roman"/>
          <w:sz w:val="12"/>
          <w:szCs w:val="12"/>
          <w:color w:val="auto"/>
        </w:rPr>
      </w:pPr>
    </w:p>
    <w:p>
      <w:pPr>
        <w:ind w:left="940" w:firstLine="857"/>
        <w:spacing w:after="0" w:line="279" w:lineRule="auto"/>
        <w:tabs>
          <w:tab w:leader="none" w:pos="2375"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 or entitlement to compensation or damages shall arise from forfeiture of the RSUs resulting from the termination of your employment relationship (for any reason whatsoever, whether or not later found to be invalid or in breach of employment laws in the jurisdiction where you are employed or the terms of your employment agreement, if any); and</w:t>
      </w:r>
    </w:p>
    <w:p>
      <w:pPr>
        <w:spacing w:after="0" w:line="111" w:lineRule="exact"/>
        <w:rPr>
          <w:rFonts w:ascii="Times New Roman" w:cs="Times New Roman" w:eastAsia="Times New Roman" w:hAnsi="Times New Roman"/>
          <w:sz w:val="12"/>
          <w:szCs w:val="12"/>
          <w:color w:val="auto"/>
        </w:rPr>
      </w:pPr>
    </w:p>
    <w:p>
      <w:pPr>
        <w:ind w:left="940" w:firstLine="857"/>
        <w:spacing w:after="0" w:line="279" w:lineRule="auto"/>
        <w:tabs>
          <w:tab w:leader="none" w:pos="2408"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acknowledge and agree that the Company shall not be liable for any foreign exchange rate fluctuation between your local currency and the U.S. Dollar that may affect the value of the RSU or of any amounts due to you pursuant to the settlement of the RSU or the subsequent sale of any Shares acquired upon settlement.</w:t>
      </w:r>
    </w:p>
    <w:p>
      <w:pPr>
        <w:spacing w:after="0" w:line="109" w:lineRule="exact"/>
        <w:rPr>
          <w:rFonts w:ascii="Times New Roman" w:cs="Times New Roman" w:eastAsia="Times New Roman" w:hAnsi="Times New Roman"/>
          <w:sz w:val="12"/>
          <w:szCs w:val="12"/>
          <w:color w:val="auto"/>
        </w:rPr>
      </w:pPr>
    </w:p>
    <w:p>
      <w:pPr>
        <w:jc w:val="both"/>
        <w:ind w:firstLine="933"/>
        <w:spacing w:after="0" w:line="266" w:lineRule="auto"/>
        <w:tabs>
          <w:tab w:leader="none" w:pos="1513"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Retirement Treatment</w:t>
      </w:r>
      <w:r>
        <w:rPr>
          <w:rFonts w:ascii="Times New Roman" w:cs="Times New Roman" w:eastAsia="Times New Roman" w:hAnsi="Times New Roman"/>
          <w:sz w:val="12"/>
          <w:szCs w:val="12"/>
          <w:color w:val="auto"/>
        </w:rPr>
        <w:t>. Notwithstanding anything to the contrary in this Section 22(d) of this Award Agreement, if the Company receives a legal opinion that there has been a legal judgment and/or legal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development in your jurisdiction that likely would result in the favorable treatment that applies to the RSUs in the event of your retirement being deemed unlawful and/or discriminatory, the provisions of Section 4 of this Award Agreement regarding the treatment of the RSUs in the event of your retirement shall not be applicable to you.</w:t>
      </w:r>
    </w:p>
    <w:p>
      <w:pPr>
        <w:spacing w:after="0" w:line="115"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Data Privacy.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1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299" w:name="page300"/>
    <w:bookmarkEnd w:id="299"/>
    <w:p>
      <w:pPr>
        <w:ind w:left="940" w:right="20"/>
        <w:spacing w:after="0" w:line="279" w:lineRule="auto"/>
        <w:rPr>
          <w:sz w:val="20"/>
          <w:szCs w:val="20"/>
          <w:color w:val="auto"/>
        </w:rPr>
      </w:pPr>
      <w:r>
        <w:rPr>
          <w:rFonts w:ascii="Times New Roman" w:cs="Times New Roman" w:eastAsia="Times New Roman" w:hAnsi="Times New Roman"/>
          <w:sz w:val="12"/>
          <w:szCs w:val="12"/>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11" w:lineRule="exact"/>
        <w:rPr>
          <w:sz w:val="20"/>
          <w:szCs w:val="20"/>
          <w:color w:val="auto"/>
        </w:rPr>
      </w:pPr>
    </w:p>
    <w:p>
      <w:pPr>
        <w:ind w:left="940" w:firstLine="857"/>
        <w:spacing w:after="0" w:line="279" w:lineRule="auto"/>
        <w:tabs>
          <w:tab w:leader="none" w:pos="2348" w:val="left"/>
        </w:tabs>
        <w:numPr>
          <w:ilvl w:val="1"/>
          <w:numId w:val="4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11" w:lineRule="exact"/>
        <w:rPr>
          <w:rFonts w:ascii="Times New Roman" w:cs="Times New Roman" w:eastAsia="Times New Roman" w:hAnsi="Times New Roman"/>
          <w:sz w:val="12"/>
          <w:szCs w:val="12"/>
          <w:color w:val="auto"/>
        </w:rPr>
      </w:pPr>
    </w:p>
    <w:p>
      <w:pPr>
        <w:ind w:left="940" w:firstLine="857"/>
        <w:spacing w:after="0" w:line="279" w:lineRule="auto"/>
        <w:tabs>
          <w:tab w:leader="none" w:pos="2382" w:val="left"/>
        </w:tabs>
        <w:numPr>
          <w:ilvl w:val="1"/>
          <w:numId w:val="4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09" w:lineRule="exact"/>
        <w:rPr>
          <w:rFonts w:ascii="Times New Roman" w:cs="Times New Roman" w:eastAsia="Times New Roman" w:hAnsi="Times New Roman"/>
          <w:sz w:val="12"/>
          <w:szCs w:val="12"/>
          <w:color w:val="auto"/>
        </w:rPr>
      </w:pPr>
    </w:p>
    <w:p>
      <w:pPr>
        <w:jc w:val="both"/>
        <w:ind w:firstLine="933"/>
        <w:spacing w:after="0" w:line="261" w:lineRule="auto"/>
        <w:tabs>
          <w:tab w:leader="none" w:pos="1493"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Language</w:t>
      </w:r>
      <w:r>
        <w:rPr>
          <w:rFonts w:ascii="Times New Roman" w:cs="Times New Roman" w:eastAsia="Times New Roman" w:hAnsi="Times New Roman"/>
          <w:sz w:val="12"/>
          <w:szCs w:val="12"/>
          <w:color w:val="auto"/>
        </w:rPr>
        <w:t>. If you are a resident in a country where English is not an official language, you acknowledge that you are sufficiently proficient in English to understand the terms and conditions of the Award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Agreement or have had the ability to consult with an advisor who is sufficiently proficient in the English language. You further acknowledge and agree that it is your express intent that the Award Agreement,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and the Plan and all other documents, notices and legal proceedings entered into, given or instituted pursuant to the RSUs be written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19" w:lineRule="exact"/>
        <w:rPr>
          <w:rFonts w:ascii="Times New Roman" w:cs="Times New Roman" w:eastAsia="Times New Roman" w:hAnsi="Times New Roman"/>
          <w:sz w:val="12"/>
          <w:szCs w:val="12"/>
          <w:color w:val="auto"/>
        </w:rPr>
      </w:pPr>
    </w:p>
    <w:p>
      <w:pPr>
        <w:ind w:right="20" w:firstLine="933"/>
        <w:spacing w:after="0" w:line="283" w:lineRule="auto"/>
        <w:tabs>
          <w:tab w:leader="none" w:pos="1513"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Electronic Delivery and Participation</w:t>
      </w:r>
      <w:r>
        <w:rPr>
          <w:rFonts w:ascii="Times New Roman" w:cs="Times New Roman" w:eastAsia="Times New Roman" w:hAnsi="Times New Roman"/>
          <w:sz w:val="12"/>
          <w:szCs w:val="12"/>
          <w:color w:val="auto"/>
        </w:rPr>
        <w:t>. MSCI may, in its sole discretion, decide to deliver any documents related to current or future participation in the Plan by electronic means. You hereby consent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receive such documents by electronic delivery and agree to participate in the Plan through an online or electronic system established and maintained by MSCI or a third party designated by MSCI.</w:t>
      </w:r>
    </w:p>
    <w:p>
      <w:pPr>
        <w:spacing w:after="0" w:line="106" w:lineRule="exact"/>
        <w:rPr>
          <w:rFonts w:ascii="Times New Roman" w:cs="Times New Roman" w:eastAsia="Times New Roman" w:hAnsi="Times New Roman"/>
          <w:sz w:val="12"/>
          <w:szCs w:val="12"/>
          <w:color w:val="auto"/>
        </w:rPr>
      </w:pPr>
    </w:p>
    <w:p>
      <w:pPr>
        <w:jc w:val="both"/>
        <w:ind w:firstLine="933"/>
        <w:spacing w:after="0" w:line="266" w:lineRule="auto"/>
        <w:tabs>
          <w:tab w:leader="none" w:pos="1513"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 C</w:t>
      </w:r>
      <w:r>
        <w:rPr>
          <w:rFonts w:ascii="Times New Roman" w:cs="Times New Roman" w:eastAsia="Times New Roman" w:hAnsi="Times New Roman"/>
          <w:sz w:val="12"/>
          <w:szCs w:val="12"/>
          <w:color w:val="auto"/>
        </w:rPr>
        <w:t>. Notwithstanding any provisions in this Award Agreement, the RSUs shall be subject to any additional terms and conditions set forth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this Award Agreement for your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country. Moreover, if you relocate to one of the countries included in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the additional terms and conditions for such country will apply to you, to the extent MSCI determines that the application of such terms and conditions is necessary or advisable for legal or administrative reasons.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constitutes part of this Award Agreement.</w:t>
      </w:r>
    </w:p>
    <w:p>
      <w:pPr>
        <w:spacing w:after="0" w:line="117" w:lineRule="exact"/>
        <w:rPr>
          <w:rFonts w:ascii="Times New Roman" w:cs="Times New Roman" w:eastAsia="Times New Roman" w:hAnsi="Times New Roman"/>
          <w:sz w:val="12"/>
          <w:szCs w:val="12"/>
          <w:color w:val="auto"/>
        </w:rPr>
      </w:pPr>
    </w:p>
    <w:p>
      <w:pPr>
        <w:jc w:val="both"/>
        <w:ind w:firstLine="933"/>
        <w:spacing w:after="0" w:line="255" w:lineRule="auto"/>
        <w:tabs>
          <w:tab w:leader="none" w:pos="1487"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Insider Trading Restrictions/Market Abuse Laws</w:t>
      </w:r>
      <w:r>
        <w:rPr>
          <w:rFonts w:ascii="Times New Roman" w:cs="Times New Roman" w:eastAsia="Times New Roman" w:hAnsi="Times New Roman"/>
          <w:sz w:val="12"/>
          <w:szCs w:val="12"/>
          <w:color w:val="auto"/>
        </w:rPr>
        <w:t>. By accepting the RSUs, you acknowledge that you are bound by all the terms and conditions of any MSCI insider trading policy as may be in effect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time to time. You further acknowledge that, depending on your country of residence, you may be or may become subject to insider trading restrictions and/or market abuse laws, which may affect your ability to accept, acquire, sell, or otherwise dispose of Shares, rights to Shares (e.g., RSUs) or rights linked to the value of Shares (e.g.,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25" w:lineRule="exact"/>
        <w:rPr>
          <w:rFonts w:ascii="Times New Roman" w:cs="Times New Roman" w:eastAsia="Times New Roman" w:hAnsi="Times New Roman"/>
          <w:sz w:val="12"/>
          <w:szCs w:val="12"/>
          <w:color w:val="auto"/>
        </w:rPr>
      </w:pPr>
    </w:p>
    <w:p>
      <w:pPr>
        <w:jc w:val="both"/>
        <w:ind w:firstLine="933"/>
        <w:spacing w:after="0" w:line="266" w:lineRule="auto"/>
        <w:tabs>
          <w:tab w:leader="none" w:pos="1487"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Asset/Account, Exchange Control Reporting</w:t>
      </w:r>
      <w:r>
        <w:rPr>
          <w:rFonts w:ascii="Times New Roman" w:cs="Times New Roman" w:eastAsia="Times New Roman" w:hAnsi="Times New Roman"/>
          <w:sz w:val="12"/>
          <w:szCs w:val="12"/>
          <w:color w:val="auto"/>
        </w:rPr>
        <w:t>. Your country may have certain exchange control and/or foreign asset/account reporting requirements which may affect your ability to acquire or hold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1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300" w:name="page301"/>
    <w:bookmarkEnd w:id="300"/>
    <w:p>
      <w:pPr>
        <w:jc w:val="both"/>
        <w:spacing w:after="0" w:line="279" w:lineRule="auto"/>
        <w:rPr>
          <w:sz w:val="20"/>
          <w:szCs w:val="20"/>
          <w:color w:val="auto"/>
        </w:rPr>
      </w:pPr>
      <w:r>
        <w:rPr>
          <w:rFonts w:ascii="Times New Roman" w:cs="Times New Roman" w:eastAsia="Times New Roman" w:hAnsi="Times New Roman"/>
          <w:sz w:val="12"/>
          <w:szCs w:val="12"/>
          <w:color w:val="auto"/>
        </w:rPr>
        <w:t>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11"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23.</w:t>
      </w:r>
      <w:r>
        <w:rPr>
          <w:sz w:val="20"/>
          <w:szCs w:val="20"/>
          <w:color w:val="auto"/>
        </w:rPr>
        <w:tab/>
      </w:r>
      <w:r>
        <w:rPr>
          <w:rFonts w:ascii="Times New Roman" w:cs="Times New Roman" w:eastAsia="Times New Roman" w:hAnsi="Times New Roman"/>
          <w:sz w:val="12"/>
          <w:szCs w:val="12"/>
          <w:u w:val="single" w:color="auto"/>
          <w:color w:val="auto"/>
        </w:rPr>
        <w:t>Defined Terms</w:t>
      </w:r>
      <w:r>
        <w:rPr>
          <w:rFonts w:ascii="Times New Roman" w:cs="Times New Roman" w:eastAsia="Times New Roman" w:hAnsi="Times New Roman"/>
          <w:sz w:val="12"/>
          <w:szCs w:val="12"/>
          <w:color w:val="auto"/>
        </w:rPr>
        <w:t>. For purposes of this Award Agreement, the following terms shall have the meanings set forth below:</w:t>
      </w:r>
    </w:p>
    <w:p>
      <w:pPr>
        <w:spacing w:after="0" w:line="146" w:lineRule="exact"/>
        <w:rPr>
          <w:sz w:val="20"/>
          <w:szCs w:val="20"/>
          <w:color w:val="auto"/>
        </w:rPr>
      </w:pPr>
    </w:p>
    <w:p>
      <w:pPr>
        <w:jc w:val="both"/>
        <w:ind w:firstLine="941"/>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55/10 Retirement Eligibility</w:t>
      </w:r>
      <w:r>
        <w:rPr>
          <w:rFonts w:ascii="Times New Roman" w:cs="Times New Roman" w:eastAsia="Times New Roman" w:hAnsi="Times New Roman"/>
          <w:sz w:val="12"/>
          <w:szCs w:val="12"/>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17" w:lineRule="exact"/>
        <w:rPr>
          <w:sz w:val="20"/>
          <w:szCs w:val="20"/>
          <w:color w:val="auto"/>
        </w:rPr>
      </w:pPr>
    </w:p>
    <w:p>
      <w:pPr>
        <w:jc w:val="both"/>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55/10 Retirement Termination</w:t>
      </w:r>
      <w:r>
        <w:rPr>
          <w:rFonts w:ascii="Times New Roman" w:cs="Times New Roman" w:eastAsia="Times New Roman" w:hAnsi="Times New Roman"/>
          <w:sz w:val="12"/>
          <w:szCs w:val="12"/>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55/10 Retirement Eligibility.</w:t>
      </w:r>
    </w:p>
    <w:p>
      <w:pPr>
        <w:spacing w:after="0" w:line="103" w:lineRule="exact"/>
        <w:rPr>
          <w:sz w:val="20"/>
          <w:szCs w:val="20"/>
          <w:color w:val="auto"/>
        </w:rPr>
      </w:pPr>
    </w:p>
    <w:p>
      <w:pPr>
        <w:jc w:val="both"/>
        <w:ind w:firstLine="941"/>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62/10 Retirement Eligibility</w:t>
      </w:r>
      <w:r>
        <w:rPr>
          <w:rFonts w:ascii="Times New Roman" w:cs="Times New Roman" w:eastAsia="Times New Roman" w:hAnsi="Times New Roman"/>
          <w:sz w:val="12"/>
          <w:szCs w:val="12"/>
          <w:color w:val="auto"/>
        </w:rPr>
        <w:t>” means your attainment, at any time prior to the applicable Vesting Date, of age 62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17" w:lineRule="exact"/>
        <w:rPr>
          <w:sz w:val="20"/>
          <w:szCs w:val="20"/>
          <w:color w:val="auto"/>
        </w:rPr>
      </w:pPr>
    </w:p>
    <w:p>
      <w:pPr>
        <w:jc w:val="both"/>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62/10 Retirement Termination</w:t>
      </w:r>
      <w:r>
        <w:rPr>
          <w:rFonts w:ascii="Times New Roman" w:cs="Times New Roman" w:eastAsia="Times New Roman" w:hAnsi="Times New Roman"/>
          <w:sz w:val="12"/>
          <w:szCs w:val="12"/>
          <w:color w:val="auto"/>
        </w:rPr>
        <w:t>” means any termination of your employment with the Company (other than (x) under circumstances involving any Cancellation Event (other than the required notice periods), (y) due to your death or Disability or (z) under the circumstances set forth in Section 4(c)) on or after the date that you attain 62/10 Retirement Eligibility.</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Cancellation Event</w:t>
      </w:r>
      <w:r>
        <w:rPr>
          <w:rFonts w:ascii="Times New Roman" w:cs="Times New Roman" w:eastAsia="Times New Roman" w:hAnsi="Times New Roman"/>
          <w:sz w:val="12"/>
          <w:szCs w:val="12"/>
          <w:color w:val="auto"/>
        </w:rPr>
        <w:t>” will be deemed to have occurred under any one of the following circumstances:</w:t>
      </w:r>
    </w:p>
    <w:p>
      <w:pPr>
        <w:spacing w:after="0" w:line="154" w:lineRule="exact"/>
        <w:rPr>
          <w:sz w:val="20"/>
          <w:szCs w:val="20"/>
          <w:color w:val="auto"/>
        </w:rPr>
      </w:pPr>
    </w:p>
    <w:p>
      <w:pPr>
        <w:ind w:left="1500" w:hanging="567"/>
        <w:spacing w:after="0"/>
        <w:tabs>
          <w:tab w:leader="none" w:pos="150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misuse of Confidential Information (as defined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to this Award Agreement) or failure to comply with your obligations under MSCI’s Code of Conduct or otherwise with respect to Confidential</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as applicable;</w:t>
      </w:r>
    </w:p>
    <w:p>
      <w:pPr>
        <w:spacing w:after="0" w:line="139"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termination from the Company for Cause (or a later determination that you could have been terminated for Cause; provided that such determination is made within six months of termination);</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commission of a fraudulent act or participation in misconduct which leads to a material restatement of the Company’s financial statements;</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affirmatively accept the terms of this Award Agreement by [•];</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employees who are not (x) Retirement Eligible Participants or (y) Managing Directors as of the Grant Date, any of the following without the consent of MSCI:</w:t>
      </w:r>
    </w:p>
    <w:p>
      <w:pPr>
        <w:spacing w:after="0" w:line="150"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348" w:val="left"/>
        </w:tabs>
        <w:numPr>
          <w:ilvl w:val="1"/>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while employed by the Company, including during any notice period applicable to you in connection with your termination of employment with the Company, you directly or indirectly in any capacity (including through any person, corporation, partnership or other business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1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301" w:name="page302"/>
    <w:bookmarkEnd w:id="301"/>
    <w:p>
      <w:pPr>
        <w:ind w:left="940"/>
        <w:spacing w:after="0"/>
        <w:rPr>
          <w:sz w:val="20"/>
          <w:szCs w:val="20"/>
          <w:color w:val="auto"/>
        </w:rPr>
      </w:pPr>
      <w:r>
        <w:rPr>
          <w:rFonts w:ascii="Times New Roman" w:cs="Times New Roman" w:eastAsia="Times New Roman" w:hAnsi="Times New Roman"/>
          <w:sz w:val="12"/>
          <w:szCs w:val="12"/>
          <w:color w:val="auto"/>
        </w:rPr>
        <w:t>entity of any kind) hire or solicit, recruit, induce, entice, influence or encourage any Company employee to leave the Company or become hired or engaged by another company; or</w:t>
      </w:r>
    </w:p>
    <w:p>
      <w:pPr>
        <w:spacing w:after="0" w:line="150" w:lineRule="exact"/>
        <w:rPr>
          <w:sz w:val="20"/>
          <w:szCs w:val="20"/>
          <w:color w:val="auto"/>
        </w:rPr>
      </w:pPr>
    </w:p>
    <w:p>
      <w:pPr>
        <w:jc w:val="both"/>
        <w:ind w:left="940" w:firstLine="857"/>
        <w:spacing w:after="0" w:line="260" w:lineRule="auto"/>
        <w:tabs>
          <w:tab w:leader="none" w:pos="2382" w:val="left"/>
        </w:tabs>
        <w:numPr>
          <w:ilvl w:val="0"/>
          <w:numId w:val="4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while employed by the Company, including during any notice period applicable to you in connection with your termination of employment with the Company, you directly or indirectly in any capacity (including through any person, corporation, partnership or other business entity of any kind) solicit or entice away or in any manner attempt to persuade any client or customer, or prospective client or customer, of the Company (A) to discontinue or diminish his, her or its relationship or prospective relationship with the Company or (B) to otherwise provide his, her or its business to any person, corporation, partnership or other business entity which engages in any line of business in which the Company is engaged (other than the Company).</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Cause</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jc w:val="both"/>
        <w:ind w:firstLine="933"/>
        <w:spacing w:after="0" w:line="260" w:lineRule="auto"/>
        <w:tabs>
          <w:tab w:leader="none" w:pos="1507" w:val="left"/>
        </w:tabs>
        <w:numPr>
          <w:ilvl w:val="0"/>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no act or failure to act on your part shall be deemed willful unless done or omitted to be done by you not in good faith and without reasonable belief that your action or omission was in the best interest of the Company;</w:t>
      </w:r>
    </w:p>
    <w:p>
      <w:pPr>
        <w:spacing w:after="0" w:line="122" w:lineRule="exact"/>
        <w:rPr>
          <w:rFonts w:ascii="Times New Roman" w:cs="Times New Roman" w:eastAsia="Times New Roman" w:hAnsi="Times New Roman"/>
          <w:sz w:val="12"/>
          <w:szCs w:val="12"/>
          <w:color w:val="auto"/>
        </w:rPr>
      </w:pPr>
    </w:p>
    <w:p>
      <w:pPr>
        <w:ind w:firstLine="933"/>
        <w:spacing w:after="0" w:line="279" w:lineRule="auto"/>
        <w:tabs>
          <w:tab w:leader="none" w:pos="1513" w:val="left"/>
        </w:tabs>
        <w:numPr>
          <w:ilvl w:val="0"/>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109" w:lineRule="exact"/>
        <w:rPr>
          <w:rFonts w:ascii="Times New Roman" w:cs="Times New Roman" w:eastAsia="Times New Roman" w:hAnsi="Times New Roman"/>
          <w:sz w:val="12"/>
          <w:szCs w:val="12"/>
          <w:color w:val="auto"/>
        </w:rPr>
      </w:pPr>
    </w:p>
    <w:p>
      <w:pPr>
        <w:ind w:right="20" w:firstLine="933"/>
        <w:spacing w:after="0" w:line="283" w:lineRule="auto"/>
        <w:tabs>
          <w:tab w:leader="none" w:pos="1507" w:val="left"/>
        </w:tabs>
        <w:numPr>
          <w:ilvl w:val="0"/>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your plea of guilty or </w:t>
      </w:r>
      <w:r>
        <w:rPr>
          <w:rFonts w:ascii="Times New Roman" w:cs="Times New Roman" w:eastAsia="Times New Roman" w:hAnsi="Times New Roman"/>
          <w:sz w:val="12"/>
          <w:szCs w:val="12"/>
          <w:i w:val="1"/>
          <w:iCs w:val="1"/>
          <w:color w:val="auto"/>
        </w:rPr>
        <w:t>nolo contendere</w:t>
      </w:r>
      <w:r>
        <w:rPr>
          <w:rFonts w:ascii="Times New Roman" w:cs="Times New Roman" w:eastAsia="Times New Roman" w:hAnsi="Times New Roman"/>
          <w:sz w:val="12"/>
          <w:szCs w:val="12"/>
          <w:color w:val="auto"/>
        </w:rPr>
        <w:t xml:space="preserve"> to or conviction of a felony under the laws of the United States or any state thereof or any other plea or confession of a similar crime in a jurisdiction in which the Company conducts business; or</w:t>
      </w:r>
    </w:p>
    <w:p>
      <w:pPr>
        <w:spacing w:after="0" w:line="108"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commission of a fraudulent act or participation in misconduct which leads to a material restatement of the Company’s financial statements.</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Internal Revenue Code of 1986, as amended.</w:t>
      </w:r>
    </w:p>
    <w:p>
      <w:pPr>
        <w:spacing w:after="0" w:line="150" w:lineRule="exact"/>
        <w:rPr>
          <w:sz w:val="20"/>
          <w:szCs w:val="20"/>
          <w:color w:val="auto"/>
        </w:rPr>
      </w:pPr>
    </w:p>
    <w:p>
      <w:pPr>
        <w:jc w:val="both"/>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Committee</w:t>
      </w:r>
      <w:r>
        <w:rPr>
          <w:rFonts w:ascii="Times New Roman" w:cs="Times New Roman" w:eastAsia="Times New Roman" w:hAnsi="Times New Roman"/>
          <w:sz w:val="12"/>
          <w:szCs w:val="12"/>
          <w:color w:val="auto"/>
        </w:rPr>
        <w:t xml:space="preserve">” has the meaning ascribed to such term in the Plan;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 Head of Compensation and Benefits.</w:t>
      </w:r>
    </w:p>
    <w:p>
      <w:pPr>
        <w:spacing w:after="0" w:line="103" w:lineRule="exact"/>
        <w:rPr>
          <w:sz w:val="20"/>
          <w:szCs w:val="20"/>
          <w:color w:val="auto"/>
        </w:rPr>
      </w:pPr>
    </w:p>
    <w:p>
      <w:pPr>
        <w:jc w:val="both"/>
        <w:ind w:firstLine="941"/>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Disability</w:t>
      </w:r>
      <w:r>
        <w:rPr>
          <w:rFonts w:ascii="Times New Roman" w:cs="Times New Roman" w:eastAsia="Times New Roman" w:hAnsi="Times New Roman"/>
          <w:sz w:val="12"/>
          <w:szCs w:val="12"/>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Good Reason</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firstLine="933"/>
        <w:spacing w:after="0" w:line="279" w:lineRule="auto"/>
        <w:tabs>
          <w:tab w:leader="none" w:pos="1507" w:val="left"/>
        </w:tabs>
        <w:numPr>
          <w:ilvl w:val="0"/>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1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2"/>
          <w:szCs w:val="12"/>
          <w:color w:val="auto"/>
        </w:rPr>
        <w:t>(including any such diminution resulting from a transaction in which the Company is no longer a public company);</w:t>
      </w:r>
    </w:p>
    <w:p>
      <w:pPr>
        <w:spacing w:after="0" w:line="150" w:lineRule="exact"/>
        <w:rPr>
          <w:sz w:val="20"/>
          <w:szCs w:val="20"/>
          <w:color w:val="auto"/>
        </w:rPr>
      </w:pPr>
    </w:p>
    <w:p>
      <w:pPr>
        <w:jc w:val="both"/>
        <w:ind w:firstLine="933"/>
        <w:spacing w:after="0" w:line="255" w:lineRule="auto"/>
        <w:tabs>
          <w:tab w:leader="none" w:pos="1513"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Times New Roman" w:cs="Times New Roman" w:eastAsia="Times New Roman" w:hAnsi="Times New Roman"/>
          <w:sz w:val="12"/>
          <w:szCs w:val="12"/>
          <w:b w:val="1"/>
          <w:bCs w:val="1"/>
          <w:color w:val="auto"/>
        </w:rPr>
        <w:t>Equity Value</w:t>
      </w:r>
      <w:r>
        <w:rPr>
          <w:rFonts w:ascii="Times New Roman" w:cs="Times New Roman" w:eastAsia="Times New Roman" w:hAnsi="Times New Roman"/>
          <w:sz w:val="12"/>
          <w:szCs w:val="12"/>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pacing w:after="0" w:line="125"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relocation of more than 25 miles from the location of your principal job location or office prior to a Change in Control;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action or inaction that constitutes a material breach by the Company of any agreement pursuant to which you provide services to the Company;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you provide the Company with written notice of your intent to terminate your employment for Good Reason within 90 days of your becoming aware of any circumstances set forth above (with such notice indicating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specific termination provision above on which you are relying and describing in reasonable detail the facts and circumstances claimed to provide a basis for termination of your employment under the indicated provision) and that you provide the Company with at least 30 days following receipt of such notice to remedy such circumstances.</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HSR Act</w:t>
      </w:r>
      <w:r>
        <w:rPr>
          <w:rFonts w:ascii="Times New Roman" w:cs="Times New Roman" w:eastAsia="Times New Roman" w:hAnsi="Times New Roman"/>
          <w:sz w:val="12"/>
          <w:szCs w:val="12"/>
          <w:color w:val="auto"/>
        </w:rPr>
        <w:t>” means the Hart-Scott-Rodino Antitrust Improvements Act of 1976, as amended.</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Legacy Retirement Eligibility</w:t>
      </w:r>
      <w:r>
        <w:rPr>
          <w:rFonts w:ascii="Times New Roman" w:cs="Times New Roman" w:eastAsia="Times New Roman" w:hAnsi="Times New Roman"/>
          <w:sz w:val="12"/>
          <w:szCs w:val="12"/>
          <w:color w:val="auto"/>
        </w:rPr>
        <w:t>” means your attainment, at any time on or prior to December 31, 2014, of any of the following criteria:</w:t>
      </w:r>
    </w:p>
    <w:p>
      <w:pPr>
        <w:spacing w:after="0" w:line="154" w:lineRule="exact"/>
        <w:rPr>
          <w:sz w:val="20"/>
          <w:szCs w:val="20"/>
          <w:color w:val="auto"/>
        </w:rPr>
      </w:pPr>
    </w:p>
    <w:p>
      <w:pPr>
        <w:ind w:left="1500" w:hanging="567"/>
        <w:spacing w:after="0"/>
        <w:tabs>
          <w:tab w:leader="none" w:pos="1500"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 55 and 12 years of service with the Company as a Managing Director or comparable officer;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 50 and 15 years as an officer of the Company;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 55 with five years of service with the Company and age plus years of service equals or exceeds 65;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years of service with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provided </w:t>
      </w:r>
      <w:r>
        <w:rPr>
          <w:rFonts w:ascii="Times New Roman" w:cs="Times New Roman" w:eastAsia="Times New Roman" w:hAnsi="Times New Roman"/>
          <w:sz w:val="12"/>
          <w:szCs w:val="12"/>
          <w:color w:val="auto"/>
        </w:rPr>
        <w:t>that, for purposes of this definition, service with the Company will include any period of service with the following entities and any of their predecessors:</w:t>
      </w:r>
    </w:p>
    <w:p>
      <w:pPr>
        <w:spacing w:after="0" w:line="152" w:lineRule="exact"/>
        <w:rPr>
          <w:sz w:val="20"/>
          <w:szCs w:val="20"/>
          <w:color w:val="auto"/>
        </w:rPr>
      </w:pPr>
    </w:p>
    <w:p>
      <w:pPr>
        <w:ind w:left="1480" w:hanging="547"/>
        <w:spacing w:after="0"/>
        <w:tabs>
          <w:tab w:leader="none" w:pos="1480"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Barra Inc. and its subsidiaries, prior to the acquisition by the Company;</w:t>
      </w:r>
    </w:p>
    <w:p>
      <w:pPr>
        <w:spacing w:after="0" w:line="150" w:lineRule="exact"/>
        <w:rPr>
          <w:rFonts w:ascii="Times New Roman" w:cs="Times New Roman" w:eastAsia="Times New Roman" w:hAnsi="Times New Roman"/>
          <w:sz w:val="12"/>
          <w:szCs w:val="12"/>
          <w:color w:val="auto"/>
        </w:rPr>
      </w:pPr>
    </w:p>
    <w:p>
      <w:pPr>
        <w:ind w:left="1520" w:hanging="587"/>
        <w:spacing w:after="0"/>
        <w:tabs>
          <w:tab w:leader="none" w:pos="1520"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International Perspectives S.A., prior to the acquisition by the Company;</w:t>
      </w:r>
    </w:p>
    <w:p>
      <w:pPr>
        <w:spacing w:after="0" w:line="150" w:lineRule="exact"/>
        <w:rPr>
          <w:rFonts w:ascii="Times New Roman" w:cs="Times New Roman" w:eastAsia="Times New Roman" w:hAnsi="Times New Roman"/>
          <w:sz w:val="12"/>
          <w:szCs w:val="12"/>
          <w:color w:val="auto"/>
        </w:rPr>
      </w:pPr>
    </w:p>
    <w:p>
      <w:pPr>
        <w:ind w:left="1540" w:hanging="607"/>
        <w:spacing w:after="0"/>
        <w:tabs>
          <w:tab w:leader="none" w:pos="1540"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Morgan Stanley;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1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303" w:name="page304"/>
    <w:bookmarkEnd w:id="303"/>
    <w:p>
      <w:pPr>
        <w:ind w:left="1540" w:hanging="607"/>
        <w:spacing w:after="0"/>
        <w:tabs>
          <w:tab w:leader="none" w:pos="1540"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Morgan Stanley Group Inc. and its subsidiaries (“</w:t>
      </w:r>
      <w:r>
        <w:rPr>
          <w:rFonts w:ascii="Times New Roman" w:cs="Times New Roman" w:eastAsia="Times New Roman" w:hAnsi="Times New Roman"/>
          <w:sz w:val="12"/>
          <w:szCs w:val="12"/>
          <w:b w:val="1"/>
          <w:bCs w:val="1"/>
          <w:color w:val="auto"/>
        </w:rPr>
        <w:t>MS Group</w:t>
      </w:r>
      <w:r>
        <w:rPr>
          <w:rFonts w:ascii="Times New Roman" w:cs="Times New Roman" w:eastAsia="Times New Roman" w:hAnsi="Times New Roman"/>
          <w:sz w:val="12"/>
          <w:szCs w:val="12"/>
          <w:color w:val="auto"/>
        </w:rPr>
        <w:t>”) prior to the merger with and into Dean Witter, Discover &amp; Co.; and</w:t>
      </w:r>
    </w:p>
    <w:p>
      <w:pPr>
        <w:spacing w:after="0" w:line="150" w:lineRule="exact"/>
        <w:rPr>
          <w:rFonts w:ascii="Times New Roman" w:cs="Times New Roman" w:eastAsia="Times New Roman" w:hAnsi="Times New Roman"/>
          <w:sz w:val="12"/>
          <w:szCs w:val="12"/>
          <w:color w:val="auto"/>
        </w:rPr>
      </w:pPr>
    </w:p>
    <w:p>
      <w:pPr>
        <w:jc w:val="both"/>
        <w:ind w:firstLine="933"/>
        <w:spacing w:after="0" w:line="262" w:lineRule="auto"/>
        <w:tabs>
          <w:tab w:leader="none" w:pos="1513"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Dean Witter, Discover &amp; Co. and its subsidiaries (“</w:t>
      </w:r>
      <w:r>
        <w:rPr>
          <w:rFonts w:ascii="Times New Roman" w:cs="Times New Roman" w:eastAsia="Times New Roman" w:hAnsi="Times New Roman"/>
          <w:sz w:val="12"/>
          <w:szCs w:val="12"/>
          <w:b w:val="1"/>
          <w:bCs w:val="1"/>
          <w:color w:val="auto"/>
        </w:rPr>
        <w:t>DWD</w:t>
      </w:r>
      <w:r>
        <w:rPr>
          <w:rFonts w:ascii="Times New Roman" w:cs="Times New Roman" w:eastAsia="Times New Roman" w:hAnsi="Times New Roman"/>
          <w:sz w:val="12"/>
          <w:szCs w:val="12"/>
          <w:color w:val="auto"/>
        </w:rPr>
        <w:t xml:space="preserve">”) prior to the merger of Morgan Stanley Group Inc. with and into Dean Witter, Discover &amp; Co.;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121"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15" w:lineRule="exact"/>
        <w:rPr>
          <w:sz w:val="20"/>
          <w:szCs w:val="20"/>
          <w:color w:val="auto"/>
        </w:rPr>
      </w:pPr>
    </w:p>
    <w:p>
      <w:pPr>
        <w:jc w:val="both"/>
        <w:ind w:right="20"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Legacy Retirement Termination</w:t>
      </w:r>
      <w:r>
        <w:rPr>
          <w:rFonts w:ascii="Times New Roman" w:cs="Times New Roman" w:eastAsia="Times New Roman" w:hAnsi="Times New Roman"/>
          <w:sz w:val="12"/>
          <w:szCs w:val="12"/>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Legacy Retirement Eligibility.</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Notice Requirements</w:t>
      </w:r>
      <w:r>
        <w:rPr>
          <w:rFonts w:ascii="Times New Roman" w:cs="Times New Roman" w:eastAsia="Times New Roman" w:hAnsi="Times New Roman"/>
          <w:sz w:val="12"/>
          <w:szCs w:val="12"/>
          <w:color w:val="auto"/>
        </w:rPr>
        <w:t>” means prior written notice to MSCI of at least:</w:t>
      </w:r>
    </w:p>
    <w:p>
      <w:pPr>
        <w:spacing w:after="0" w:line="154" w:lineRule="exact"/>
        <w:rPr>
          <w:sz w:val="20"/>
          <w:szCs w:val="20"/>
          <w:color w:val="auto"/>
        </w:rPr>
      </w:pPr>
    </w:p>
    <w:p>
      <w:pPr>
        <w:ind w:left="1500" w:hanging="567"/>
        <w:spacing w:after="0"/>
        <w:tabs>
          <w:tab w:leader="none" w:pos="1500"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180 days if you are a member of the MSCI Executive Committee (or a successor or equivalent committee) at the time of notice of resignation;</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 days if you are a Managing Director of the Company (or equivalent title) at the time of notice of resignation;</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60 days if you are an Executive Director of the Company (or equivalent title) at the time of notice of resignation;</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 days if you are a Vice President of the Company (or equivalent title) at the time of notice of resignation;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 days for all other employees of the Company.</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07" w:lineRule="exact"/>
        <w:rPr>
          <w:sz w:val="20"/>
          <w:szCs w:val="20"/>
          <w:color w:val="auto"/>
        </w:rPr>
      </w:pPr>
    </w:p>
    <w:p>
      <w:pPr>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Retirement Eligible Participant</w:t>
      </w:r>
      <w:r>
        <w:rPr>
          <w:rFonts w:ascii="Times New Roman" w:cs="Times New Roman" w:eastAsia="Times New Roman" w:hAnsi="Times New Roman"/>
          <w:sz w:val="12"/>
          <w:szCs w:val="12"/>
          <w:color w:val="auto"/>
        </w:rPr>
        <w:t>” means any Participant who, as of the applicable date of determination, satisfies the requirements for Legacy Retirement Eligibility, 55/10 Retirement Eligibility or 62/10 Retirement Eligibility, as the case may be.</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Retirement Termination</w:t>
      </w:r>
      <w:r>
        <w:rPr>
          <w:rFonts w:ascii="Times New Roman" w:cs="Times New Roman" w:eastAsia="Times New Roman" w:hAnsi="Times New Roman"/>
          <w:sz w:val="12"/>
          <w:szCs w:val="12"/>
          <w:color w:val="auto"/>
        </w:rPr>
        <w:t>” means a Legacy Retirement Termination, a 55/10 Retirement Termination or a 62/10 Retirement Termination, as applicable.</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Section 409A</w:t>
      </w:r>
      <w:r>
        <w:rPr>
          <w:rFonts w:ascii="Times New Roman" w:cs="Times New Roman" w:eastAsia="Times New Roman" w:hAnsi="Times New Roman"/>
          <w:sz w:val="12"/>
          <w:szCs w:val="12"/>
          <w:color w:val="auto"/>
        </w:rPr>
        <w:t>” means Section 409A of the Code.</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RESTRICTIVE COVENANTS</w:t>
      </w:r>
    </w:p>
    <w:p>
      <w:pPr>
        <w:spacing w:after="0" w:line="154" w:lineRule="exact"/>
        <w:rPr>
          <w:sz w:val="20"/>
          <w:szCs w:val="20"/>
          <w:color w:val="auto"/>
        </w:rPr>
      </w:pPr>
    </w:p>
    <w:p>
      <w:pPr>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All Participants are subject to the provisions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as may be applicable to them pursuant to the Award Agreement. Capitalized terms used and not otherwise defined herein shall have the meanings ascribed to them in the Award Agreement.</w:t>
      </w:r>
    </w:p>
    <w:p>
      <w:pPr>
        <w:spacing w:after="0" w:line="255"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1.</w:t>
      </w:r>
      <w:r>
        <w:rPr>
          <w:sz w:val="20"/>
          <w:szCs w:val="20"/>
          <w:color w:val="auto"/>
        </w:rPr>
        <w:tab/>
      </w:r>
      <w:r>
        <w:rPr>
          <w:rFonts w:ascii="Times New Roman" w:cs="Times New Roman" w:eastAsia="Times New Roman" w:hAnsi="Times New Roman"/>
          <w:sz w:val="12"/>
          <w:szCs w:val="12"/>
          <w:u w:val="single" w:color="auto"/>
          <w:color w:val="auto"/>
        </w:rPr>
        <w:t>Confidential Information; Assignment of Inventions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1876"/>
        <w:spacing w:after="0" w:line="279" w:lineRule="auto"/>
        <w:tabs>
          <w:tab w:leader="none" w:pos="2449"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11" w:lineRule="exact"/>
        <w:rPr>
          <w:rFonts w:ascii="Times New Roman" w:cs="Times New Roman" w:eastAsia="Times New Roman" w:hAnsi="Times New Roman"/>
          <w:sz w:val="12"/>
          <w:szCs w:val="12"/>
          <w:color w:val="auto"/>
        </w:rPr>
      </w:pPr>
    </w:p>
    <w:p>
      <w:pPr>
        <w:jc w:val="both"/>
        <w:ind w:firstLine="1876"/>
        <w:spacing w:after="0" w:line="265" w:lineRule="auto"/>
        <w:tabs>
          <w:tab w:leader="none" w:pos="2456"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shall prohibit you from disclosing Confidential Information if such disclosure is required by law, governmental process or valid legal process.</w:t>
      </w:r>
    </w:p>
    <w:p>
      <w:pPr>
        <w:spacing w:after="0" w:line="118" w:lineRule="exact"/>
        <w:rPr>
          <w:rFonts w:ascii="Times New Roman" w:cs="Times New Roman" w:eastAsia="Times New Roman" w:hAnsi="Times New Roman"/>
          <w:sz w:val="12"/>
          <w:szCs w:val="12"/>
          <w:color w:val="auto"/>
        </w:rPr>
      </w:pPr>
    </w:p>
    <w:p>
      <w:pPr>
        <w:jc w:val="both"/>
        <w:ind w:firstLine="1876"/>
        <w:spacing w:after="0" w:line="256" w:lineRule="auto"/>
        <w:tabs>
          <w:tab w:leader="none" w:pos="2449"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24" w:lineRule="exact"/>
        <w:rPr>
          <w:rFonts w:ascii="Times New Roman" w:cs="Times New Roman" w:eastAsia="Times New Roman" w:hAnsi="Times New Roman"/>
          <w:sz w:val="12"/>
          <w:szCs w:val="12"/>
          <w:color w:val="auto"/>
        </w:rPr>
      </w:pPr>
    </w:p>
    <w:p>
      <w:pPr>
        <w:jc w:val="both"/>
        <w:ind w:firstLine="1876"/>
        <w:spacing w:after="0" w:line="260" w:lineRule="auto"/>
        <w:tabs>
          <w:tab w:leader="none" w:pos="2456"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22" w:lineRule="exact"/>
        <w:rPr>
          <w:sz w:val="20"/>
          <w:szCs w:val="20"/>
          <w:color w:val="auto"/>
        </w:rPr>
      </w:pPr>
    </w:p>
    <w:p>
      <w:pPr>
        <w:jc w:val="both"/>
        <w:ind w:firstLine="941"/>
        <w:spacing w:after="0" w:line="257" w:lineRule="auto"/>
        <w:rPr>
          <w:sz w:val="20"/>
          <w:szCs w:val="20"/>
          <w:color w:val="auto"/>
        </w:rPr>
      </w:pPr>
      <w:r>
        <w:rPr>
          <w:rFonts w:ascii="Times New Roman" w:cs="Times New Roman" w:eastAsia="Times New Roman" w:hAnsi="Times New Roman"/>
          <w:sz w:val="12"/>
          <w:szCs w:val="12"/>
          <w:color w:val="auto"/>
        </w:rPr>
        <w:t xml:space="preserve">Section 2. </w:t>
      </w:r>
      <w:r>
        <w:rPr>
          <w:rFonts w:ascii="Times New Roman" w:cs="Times New Roman" w:eastAsia="Times New Roman" w:hAnsi="Times New Roman"/>
          <w:sz w:val="12"/>
          <w:szCs w:val="12"/>
          <w:u w:val="single" w:color="auto"/>
          <w:color w:val="auto"/>
        </w:rPr>
        <w:t>Non-Compete</w:t>
      </w:r>
      <w:r>
        <w:rPr>
          <w:rFonts w:ascii="Times New Roman" w:cs="Times New Roman" w:eastAsia="Times New Roman" w:hAnsi="Times New Roman"/>
          <w:sz w:val="12"/>
          <w:szCs w:val="12"/>
          <w:color w:val="auto"/>
        </w:rPr>
        <w:t>. During your employment or service with the Company and for a period of one year following the termination of your employment or service with the Company for any reason (the “</w:t>
      </w:r>
      <w:r>
        <w:rPr>
          <w:rFonts w:ascii="Times New Roman" w:cs="Times New Roman" w:eastAsia="Times New Roman" w:hAnsi="Times New Roman"/>
          <w:sz w:val="12"/>
          <w:szCs w:val="12"/>
          <w:b w:val="1"/>
          <w:bCs w:val="1"/>
          <w:color w:val="auto"/>
        </w:rPr>
        <w:t>Non-Compete Restricted Period</w:t>
      </w:r>
      <w:r>
        <w:rPr>
          <w:rFonts w:ascii="Times New Roman" w:cs="Times New Roman" w:eastAsia="Times New Roman" w:hAnsi="Times New Roman"/>
          <w:sz w:val="12"/>
          <w:szCs w:val="12"/>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25"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Non-Solicit and No-Hire</w:t>
      </w:r>
      <w:r>
        <w:rPr>
          <w:rFonts w:ascii="Times New Roman" w:cs="Times New Roman" w:eastAsia="Times New Roman" w:hAnsi="Times New Roman"/>
          <w:sz w:val="12"/>
          <w:szCs w:val="12"/>
          <w:color w:val="auto"/>
        </w:rPr>
        <w:t>. During your employment or service with the Company and for a period of two years following the termination of your employment or service with the Company for any reason (the “</w:t>
      </w:r>
      <w:r>
        <w:rPr>
          <w:rFonts w:ascii="Times New Roman" w:cs="Times New Roman" w:eastAsia="Times New Roman" w:hAnsi="Times New Roman"/>
          <w:sz w:val="12"/>
          <w:szCs w:val="12"/>
          <w:b w:val="1"/>
          <w:bCs w:val="1"/>
          <w:color w:val="auto"/>
        </w:rPr>
        <w:t>Non-Solicit Restricted Period</w:t>
      </w:r>
      <w:r>
        <w:rPr>
          <w:rFonts w:ascii="Times New Roman" w:cs="Times New Roman" w:eastAsia="Times New Roman" w:hAnsi="Times New Roman"/>
          <w:sz w:val="12"/>
          <w:szCs w:val="12"/>
          <w:color w:val="auto"/>
        </w:rPr>
        <w:t>”), you shall not, directly or indirectly, (a) solicit or encourage any employee of the Company to terminate his or her employment with the Company, (b) hire any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1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05" w:name="page306"/>
    <w:bookmarkEnd w:id="305"/>
    <w:p>
      <w:pPr>
        <w:jc w:val="both"/>
        <w:spacing w:after="0" w:line="265" w:lineRule="auto"/>
        <w:rPr>
          <w:sz w:val="20"/>
          <w:szCs w:val="20"/>
          <w:color w:val="auto"/>
        </w:rPr>
      </w:pPr>
      <w:r>
        <w:rPr>
          <w:rFonts w:ascii="Times New Roman" w:cs="Times New Roman" w:eastAsia="Times New Roman" w:hAnsi="Times New Roman"/>
          <w:sz w:val="12"/>
          <w:szCs w:val="12"/>
          <w:color w:val="auto"/>
        </w:rPr>
        <w:t>employee of the Company prior to the date on which such person has not been employed by the Company or any of its Subsidiaries for a period of at least one year or (c) 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19"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Non-Disparagement</w:t>
      </w:r>
      <w:r>
        <w:rPr>
          <w:rFonts w:ascii="Times New Roman" w:cs="Times New Roman" w:eastAsia="Times New Roman" w:hAnsi="Times New Roman"/>
          <w:sz w:val="12"/>
          <w:szCs w:val="12"/>
          <w:color w:val="auto"/>
        </w:rPr>
        <w:t>. At all times during your employment or service 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263" w:lineRule="exact"/>
        <w:rPr>
          <w:sz w:val="20"/>
          <w:szCs w:val="20"/>
          <w:color w:val="auto"/>
        </w:rPr>
      </w:pPr>
    </w:p>
    <w:p>
      <w:pPr>
        <w:jc w:val="both"/>
        <w:ind w:firstLine="941"/>
        <w:spacing w:after="0" w:line="253" w:lineRule="auto"/>
        <w:rPr>
          <w:sz w:val="20"/>
          <w:szCs w:val="20"/>
          <w:color w:val="auto"/>
        </w:rPr>
      </w:pPr>
      <w:r>
        <w:rPr>
          <w:rFonts w:ascii="Times New Roman" w:cs="Times New Roman" w:eastAsia="Times New Roman" w:hAnsi="Times New Roman"/>
          <w:sz w:val="12"/>
          <w:szCs w:val="12"/>
          <w:color w:val="auto"/>
        </w:rPr>
        <w:t xml:space="preserve">Section 5. </w:t>
      </w:r>
      <w:r>
        <w:rPr>
          <w:rFonts w:ascii="Times New Roman" w:cs="Times New Roman" w:eastAsia="Times New Roman" w:hAnsi="Times New Roman"/>
          <w:sz w:val="12"/>
          <w:szCs w:val="12"/>
          <w:u w:val="single" w:color="auto"/>
          <w:color w:val="auto"/>
        </w:rPr>
        <w:t>Certain Remedies</w:t>
      </w:r>
      <w:r>
        <w:rPr>
          <w:rFonts w:ascii="Times New Roman" w:cs="Times New Roman" w:eastAsia="Times New Roman" w:hAnsi="Times New Roman"/>
          <w:sz w:val="12"/>
          <w:szCs w:val="12"/>
          <w:color w:val="auto"/>
        </w:rPr>
        <w:t xml:space="preserve">. You acknowledge that the terms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the Award Agreement shall be enforceable as so modified after the expiration of the time within which the judgment or decision may be appealed. You acknowledge that the Company and its shareholders would be irreparably harmed by any breach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that there would be no adequate remedy at law or in damages to compensate the Company and its shareholders for any such breach. You agree that MSCI shall be entitled to injunctive relief, without having to post bond or other security, requiring specific performance by you of your obligations in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in addition to 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6.</w:t>
      </w:r>
      <w:r>
        <w:rPr>
          <w:sz w:val="20"/>
          <w:szCs w:val="20"/>
          <w:color w:val="auto"/>
        </w:rPr>
        <w:tab/>
      </w:r>
      <w:r>
        <w:rPr>
          <w:rFonts w:ascii="Times New Roman" w:cs="Times New Roman" w:eastAsia="Times New Roman" w:hAnsi="Times New Roman"/>
          <w:sz w:val="11"/>
          <w:szCs w:val="11"/>
          <w:u w:val="single" w:color="auto"/>
          <w:color w:val="auto"/>
        </w:rPr>
        <w:t>Definitions</w:t>
      </w:r>
      <w:r>
        <w:rPr>
          <w:rFonts w:ascii="Times New Roman" w:cs="Times New Roman" w:eastAsia="Times New Roman" w:hAnsi="Times New Roman"/>
          <w:sz w:val="11"/>
          <w:szCs w:val="11"/>
          <w:color w:val="auto"/>
        </w:rPr>
        <w:t>. For purposes of this</w:t>
      </w:r>
      <w:r>
        <w:rPr>
          <w:rFonts w:ascii="Times New Roman" w:cs="Times New Roman" w:eastAsia="Times New Roman" w:hAnsi="Times New Roman"/>
          <w:sz w:val="11"/>
          <w:szCs w:val="11"/>
          <w:u w:val="single" w:color="auto"/>
          <w:color w:val="auto"/>
        </w:rPr>
        <w:t xml:space="preserve"> Exhibit B </w:t>
      </w:r>
      <w:r>
        <w:rPr>
          <w:rFonts w:ascii="Times New Roman" w:cs="Times New Roman" w:eastAsia="Times New Roman" w:hAnsi="Times New Roman"/>
          <w:sz w:val="11"/>
          <w:szCs w:val="11"/>
          <w:color w:val="auto"/>
        </w:rPr>
        <w:t>and the Award Agreement, the following terms shall have the following meanings: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Competitor</w:t>
      </w:r>
      <w:r>
        <w:rPr>
          <w:rFonts w:ascii="Times New Roman" w:cs="Times New Roman" w:eastAsia="Times New Roman" w:hAnsi="Times New Roman"/>
          <w:sz w:val="12"/>
          <w:szCs w:val="12"/>
          <w:color w:val="auto"/>
        </w:rPr>
        <w:t>” means any person, entity or business that is engaged in, or that owns a significant equity, voting, financial or other interest in an entity that is engaged in, one or more Competing Businesses.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Competing Business</w:t>
      </w:r>
      <w:r>
        <w:rPr>
          <w:rFonts w:ascii="Times New Roman" w:cs="Times New Roman" w:eastAsia="Times New Roman" w:hAnsi="Times New Roman"/>
          <w:sz w:val="12"/>
          <w:szCs w:val="12"/>
          <w:color w:val="auto"/>
        </w:rPr>
        <w:t>” means any business or activity that competes with the MSCI Business or is reasonably anticipated to compete with the MSCI Business.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06" w:name="page307"/>
    <w:bookmarkEnd w:id="306"/>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and techniques, whether or not patentable, relating to present or planned future activities or products or services; and public information that becomes proprietary as a result of the Company’s compilation of that information for use in its business;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Confidential Information shall in no event include (x) any Confidential Information which was generally available to the public at the 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Inventions</w:t>
      </w:r>
      <w:r>
        <w:rPr>
          <w:rFonts w:ascii="Times New Roman" w:cs="Times New Roman" w:eastAsia="Times New Roman" w:hAnsi="Times New Roman"/>
          <w:sz w:val="12"/>
          <w:szCs w:val="12"/>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MSCI Business</w:t>
      </w:r>
      <w:r>
        <w:rPr>
          <w:rFonts w:ascii="Times New Roman" w:cs="Times New Roman" w:eastAsia="Times New Roman" w:hAnsi="Times New Roman"/>
          <w:sz w:val="12"/>
          <w:szCs w:val="12"/>
          <w:color w:val="auto"/>
        </w:rPr>
        <w:t>” means any business, or part thereof, engaged in, contemplated or actively planned by the Company as of the date of your termination of employment that you were actively involved in, provided services to, or participated in the planning of, during your employment with the Company.</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Business</w:t>
      </w:r>
      <w:r>
        <w:rPr>
          <w:rFonts w:ascii="Times New Roman" w:cs="Times New Roman" w:eastAsia="Times New Roman" w:hAnsi="Times New Roman"/>
          <w:sz w:val="12"/>
          <w:szCs w:val="12"/>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Services</w:t>
      </w:r>
      <w:r>
        <w:rPr>
          <w:rFonts w:ascii="Times New Roman" w:cs="Times New Roman" w:eastAsia="Times New Roman" w:hAnsi="Times New Roman"/>
          <w:sz w:val="12"/>
          <w:szCs w:val="12"/>
          <w:color w:val="auto"/>
        </w:rPr>
        <w:t>” means employment, engagement or the provision of assistance or services that (i) are 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2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2"/>
          <w:szCs w:val="12"/>
          <w:b w:val="1"/>
          <w:bCs w:val="1"/>
          <w:color w:val="auto"/>
        </w:rPr>
        <w:t>EXHIBIT C</w:t>
      </w:r>
    </w:p>
    <w:p>
      <w:pPr>
        <w:spacing w:after="0" w:line="2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COUNTRY-SPECIFIC TERMS AND CONDITIONS</w:t>
      </w:r>
    </w:p>
    <w:p>
      <w:pPr>
        <w:spacing w:after="0" w:line="16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w:t>
      </w:r>
    </w:p>
    <w:p>
      <w:pPr>
        <w:spacing w:after="0" w:line="2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C-1</w:t>
      </w:r>
    </w:p>
    <w:p>
      <w:pPr>
        <w:sectPr>
          <w:pgSz w:w="11900" w:h="16838" w:orient="portrait"/>
          <w:cols w:equalWidth="0" w:num="1">
            <w:col w:w="10160"/>
          </w:cols>
          <w:pgMar w:left="1440" w:top="125" w:right="29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2"/>
          <w:szCs w:val="12"/>
          <w:b w:val="1"/>
          <w:bCs w:val="1"/>
          <w:color w:val="auto"/>
        </w:rPr>
        <w:t>Exhibit 10.233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ANNUAL PERFORMANCE AWARD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PERFORMANCE STOCK UNITS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MANAGING DIRECTORS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UNDER THE MSCI INC. 2016 OMNIBUS INCENTIVE PLAN</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MSCI Inc. (“</w:t>
      </w:r>
      <w:r>
        <w:rPr>
          <w:rFonts w:ascii="Times New Roman" w:cs="Times New Roman" w:eastAsia="Times New Roman" w:hAnsi="Times New Roman"/>
          <w:sz w:val="12"/>
          <w:szCs w:val="12"/>
          <w:b w:val="1"/>
          <w:bCs w:val="1"/>
          <w:color w:val="auto"/>
        </w:rPr>
        <w:t>MSCI</w:t>
      </w:r>
      <w:r>
        <w:rPr>
          <w:rFonts w:ascii="Times New Roman" w:cs="Times New Roman" w:eastAsia="Times New Roman" w:hAnsi="Times New Roman"/>
          <w:sz w:val="12"/>
          <w:szCs w:val="12"/>
          <w:color w:val="auto"/>
        </w:rPr>
        <w:t>,” and together with its Subsidiaries,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hereby grants to you Performance Stock Units (“</w:t>
      </w:r>
      <w:r>
        <w:rPr>
          <w:rFonts w:ascii="Times New Roman" w:cs="Times New Roman" w:eastAsia="Times New Roman" w:hAnsi="Times New Roman"/>
          <w:sz w:val="12"/>
          <w:szCs w:val="12"/>
          <w:b w:val="1"/>
          <w:bCs w:val="1"/>
          <w:color w:val="auto"/>
        </w:rPr>
        <w:t>PSUs</w:t>
      </w:r>
      <w:r>
        <w:rPr>
          <w:rFonts w:ascii="Times New Roman" w:cs="Times New Roman" w:eastAsia="Times New Roman" w:hAnsi="Times New Roman"/>
          <w:sz w:val="12"/>
          <w:szCs w:val="12"/>
          <w:color w:val="auto"/>
        </w:rPr>
        <w:t>”) as described below. The awards are being granted under the MSCI Inc. 2016 Omnibus Incentive Plan (as may be amended from time to time, the “</w:t>
      </w:r>
      <w:r>
        <w:rPr>
          <w:rFonts w:ascii="Times New Roman" w:cs="Times New Roman" w:eastAsia="Times New Roman" w:hAnsi="Times New Roman"/>
          <w:sz w:val="12"/>
          <w:szCs w:val="12"/>
          <w:b w:val="1"/>
          <w:bCs w:val="1"/>
          <w:color w:val="auto"/>
        </w:rPr>
        <w:t>Plan</w:t>
      </w:r>
      <w:r>
        <w:rPr>
          <w:rFonts w:ascii="Times New Roman" w:cs="Times New Roman" w:eastAsia="Times New Roman" w:hAnsi="Times New Roman"/>
          <w:sz w:val="12"/>
          <w:szCs w:val="12"/>
          <w:color w:val="auto"/>
        </w:rPr>
        <w:t>”).</w:t>
      </w:r>
    </w:p>
    <w:p>
      <w:pPr>
        <w:sectPr>
          <w:pgSz w:w="11900" w:h="16838" w:orient="portrait"/>
          <w:cols w:equalWidth="0" w:num="1">
            <w:col w:w="11300"/>
          </w:cols>
          <w:pgMar w:left="300" w:top="269" w:right="299" w:bottom="1440" w:gutter="0" w:footer="0" w:header="0"/>
        </w:sectPr>
      </w:pP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146" w:lineRule="exact"/>
        <w:rPr>
          <w:sz w:val="20"/>
          <w:szCs w:val="20"/>
          <w:color w:val="auto"/>
        </w:rPr>
      </w:pPr>
    </w:p>
    <w:p>
      <w:pPr>
        <w:sectPr>
          <w:pgSz w:w="11900" w:h="16838" w:orient="portrait"/>
          <w:cols w:equalWidth="0" w:num="2">
            <w:col w:w="3340" w:space="720"/>
            <w:col w:w="724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Number of PSUs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 PSUs (the “</w:t>
      </w:r>
      <w:r>
        <w:rPr>
          <w:rFonts w:ascii="Times New Roman" w:cs="Times New Roman" w:eastAsia="Times New Roman" w:hAnsi="Times New Roman"/>
          <w:sz w:val="11"/>
          <w:szCs w:val="11"/>
          <w:b w:val="1"/>
          <w:bCs w:val="1"/>
          <w:color w:val="auto"/>
        </w:rPr>
        <w:t>Target PSUs</w:t>
      </w:r>
      <w:r>
        <w:rPr>
          <w:rFonts w:ascii="Times New Roman" w:cs="Times New Roman" w:eastAsia="Times New Roman" w:hAnsi="Times New Roman"/>
          <w:sz w:val="11"/>
          <w:szCs w:val="11"/>
          <w:color w:val="auto"/>
        </w:rPr>
        <w:t>”)</w:t>
      </w:r>
    </w:p>
    <w:p>
      <w:pPr>
        <w:spacing w:after="0" w:line="162" w:lineRule="exact"/>
        <w:rPr>
          <w:sz w:val="20"/>
          <w:szCs w:val="20"/>
          <w:color w:val="auto"/>
        </w:rPr>
      </w:pPr>
    </w:p>
    <w:p>
      <w:pPr>
        <w:sectPr>
          <w:pgSz w:w="11900" w:h="16838" w:orient="portrait"/>
          <w:cols w:equalWidth="0" w:num="2">
            <w:col w:w="3340" w:space="720"/>
            <w:col w:w="724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Grant Date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ectPr>
          <w:pgSz w:w="11900" w:h="16838" w:orient="portrait"/>
          <w:cols w:equalWidth="0" w:num="2">
            <w:col w:w="3340" w:space="720"/>
            <w:col w:w="724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146" w:lineRule="exact"/>
        <w:rPr>
          <w:sz w:val="20"/>
          <w:szCs w:val="20"/>
          <w:color w:val="auto"/>
        </w:rPr>
      </w:pPr>
    </w:p>
    <w:p>
      <w:pPr>
        <w:sectPr>
          <w:pgSz w:w="11900" w:h="16838" w:orient="portrait"/>
          <w:cols w:equalWidth="0" w:num="2">
            <w:col w:w="3340" w:space="720"/>
            <w:col w:w="724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146" w:lineRule="exact"/>
        <w:rPr>
          <w:sz w:val="20"/>
          <w:szCs w:val="20"/>
          <w:color w:val="auto"/>
        </w:rPr>
      </w:pPr>
    </w:p>
    <w:p>
      <w:pPr>
        <w:sectPr>
          <w:pgSz w:w="11900" w:h="16838" w:orient="portrait"/>
          <w:cols w:equalWidth="0" w:num="2">
            <w:col w:w="3340" w:space="720"/>
            <w:col w:w="724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Post-Vest Holding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ectPr>
          <w:pgSz w:w="11900" w:h="16838" w:orient="portrait"/>
          <w:cols w:equalWidth="0" w:num="2">
            <w:col w:w="3340" w:space="720"/>
            <w:col w:w="7240"/>
          </w:cols>
          <w:pgMar w:left="300" w:top="269" w:right="299" w:bottom="1440" w:gutter="0" w:footer="0" w:header="0"/>
          <w:type w:val="continuous"/>
        </w:sectPr>
      </w:pPr>
    </w:p>
    <w:p>
      <w:pPr>
        <w:spacing w:after="0" w:line="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Your PSUs may be subject to forfeiture or recoupment if you terminate employment with the Company, fail to affirmatively accept the terms of this Award Agreement by [•] or do not comply with the Notice Requirements, as set forth in the Plan and this Performance Stock Unit Award Agreement (including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attached hereto, this “</w:t>
      </w:r>
      <w:r>
        <w:rPr>
          <w:rFonts w:ascii="Times New Roman" w:cs="Times New Roman" w:eastAsia="Times New Roman" w:hAnsi="Times New Roman"/>
          <w:sz w:val="12"/>
          <w:szCs w:val="12"/>
          <w:b w:val="1"/>
          <w:bCs w:val="1"/>
          <w:color w:val="auto"/>
        </w:rPr>
        <w:t>Award Agreement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You agree that this Award Agreement is granted under the Plan and governed by the terms and conditions of the Plan and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attached hereto. PSUs granted to you pursuant to this Award Agreement and any Shares issued in settlement or satisfaction thereof may be subject to the MSCI Inc. Clawback Policy and any stock ownership guidelines of MSCI, as may be in effect from time to time, if on or after the Grant Date you are or become covered by such policies, as determined in accordance with the terms of such policies. You will be able to access a prospectus and tax supplement that contains important information about this award via the MSCI website or your brokerage account. Unless defined in this Award Agreement, capitalized terms shall have the meanings ascribed to them in the Plan.</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IN WITNESS WHEREOF, MSCI has duly executed and delivered this Award Agreement as of the Grant Date.</w:t>
      </w: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MSCI Inc.</w:t>
      </w:r>
    </w:p>
    <w:p>
      <w:pPr>
        <w:spacing w:after="0" w:line="3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-85725</wp:posOffset>
            </wp:positionV>
            <wp:extent cx="358902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2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jc w:val="center"/>
        <w:ind w:right="-279"/>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575310</wp:posOffset>
            </wp:positionV>
            <wp:extent cx="7189470" cy="114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2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type w:val="continuous"/>
        </w:sectPr>
      </w:pPr>
    </w:p>
    <w:bookmarkStart w:id="309" w:name="page310"/>
    <w:bookmarkEnd w:id="309"/>
    <w:p>
      <w:pPr>
        <w:ind w:left="10660"/>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TERMS AND CONDITIONS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ANNUAL PERFORMANCE AWARD AGREEMENT</w:t>
      </w:r>
    </w:p>
    <w:p>
      <w:pPr>
        <w:spacing w:after="0" w:line="154"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1. </w:t>
      </w:r>
      <w:r>
        <w:rPr>
          <w:rFonts w:ascii="Times New Roman" w:cs="Times New Roman" w:eastAsia="Times New Roman" w:hAnsi="Times New Roman"/>
          <w:sz w:val="12"/>
          <w:szCs w:val="12"/>
          <w:u w:val="single" w:color="auto"/>
          <w:color w:val="auto"/>
        </w:rPr>
        <w:t>PSUs Generally</w:t>
      </w:r>
      <w:r>
        <w:rPr>
          <w:rFonts w:ascii="Times New Roman" w:cs="Times New Roman" w:eastAsia="Times New Roman" w:hAnsi="Times New Roman"/>
          <w:sz w:val="12"/>
          <w:szCs w:val="12"/>
          <w:color w:val="auto"/>
        </w:rPr>
        <w:t>. MSCI has awarded you PSUs as an incentive for you to continue to provide services to the Company and to align your interests with those of the Company. As such, you will earn your Adjusted PSUs (as defined below) only if you remain in continuous employment with the Company through the Vesting Date, or as otherwise set forth below. Each PSU corresponds to one share of MSCI common stock, par value $0.01 per share (each, a “</w:t>
      </w:r>
      <w:r>
        <w:rPr>
          <w:rFonts w:ascii="Times New Roman" w:cs="Times New Roman" w:eastAsia="Times New Roman" w:hAnsi="Times New Roman"/>
          <w:sz w:val="12"/>
          <w:szCs w:val="12"/>
          <w:b w:val="1"/>
          <w:bCs w:val="1"/>
          <w:color w:val="auto"/>
        </w:rPr>
        <w:t>Share</w:t>
      </w:r>
      <w:r>
        <w:rPr>
          <w:rFonts w:ascii="Times New Roman" w:cs="Times New Roman" w:eastAsia="Times New Roman" w:hAnsi="Times New Roman"/>
          <w:sz w:val="12"/>
          <w:szCs w:val="12"/>
          <w:color w:val="auto"/>
        </w:rPr>
        <w:t>”). Each PSU constitutes a contingent and unsecured promise by MSCI to deliver one Share on the conversion date for such PSU.</w:t>
      </w:r>
    </w:p>
    <w:p>
      <w:pPr>
        <w:spacing w:after="0" w:line="119"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2.</w:t>
      </w:r>
      <w:r>
        <w:rPr>
          <w:sz w:val="20"/>
          <w:szCs w:val="20"/>
          <w:color w:val="auto"/>
        </w:rPr>
        <w:tab/>
      </w:r>
      <w:r>
        <w:rPr>
          <w:rFonts w:ascii="Times New Roman" w:cs="Times New Roman" w:eastAsia="Times New Roman" w:hAnsi="Times New Roman"/>
          <w:sz w:val="11"/>
          <w:szCs w:val="11"/>
          <w:u w:val="single" w:color="auto"/>
          <w:color w:val="auto"/>
        </w:rPr>
        <w:t>Performance Adjustment, Vesting and Conversion Schedule and HSR Act</w:t>
      </w:r>
      <w:r>
        <w:rPr>
          <w:rFonts w:ascii="Times New Roman" w:cs="Times New Roman" w:eastAsia="Times New Roman" w:hAnsi="Times New Roman"/>
          <w:sz w:val="11"/>
          <w:szCs w:val="11"/>
          <w:color w:val="auto"/>
        </w:rPr>
        <w:t>.</w:t>
      </w:r>
    </w:p>
    <w:p>
      <w:pPr>
        <w:spacing w:after="0" w:line="148" w:lineRule="exact"/>
        <w:rPr>
          <w:sz w:val="20"/>
          <w:szCs w:val="20"/>
          <w:color w:val="auto"/>
        </w:rPr>
      </w:pPr>
    </w:p>
    <w:p>
      <w:pPr>
        <w:jc w:val="both"/>
        <w:ind w:firstLine="933"/>
        <w:spacing w:after="0" w:line="266" w:lineRule="auto"/>
        <w:tabs>
          <w:tab w:leader="none" w:pos="1507" w:val="left"/>
        </w:tabs>
        <w:numPr>
          <w:ilvl w:val="0"/>
          <w:numId w:val="4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Performance Adjustment. </w:t>
      </w:r>
      <w:r>
        <w:rPr>
          <w:rFonts w:ascii="Times New Roman" w:cs="Times New Roman" w:eastAsia="Times New Roman" w:hAnsi="Times New Roman"/>
          <w:sz w:val="12"/>
          <w:szCs w:val="12"/>
          <w:color w:val="auto"/>
        </w:rPr>
        <w:t>The number of Target PSUs awarded under this Award Agreement shall be adjusted, within a range of [•]% to [•]% of the number of Target PSUs, after the end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Performance Period based on the achievement of the [•] performance metric set forth in </w:t>
      </w:r>
      <w:r>
        <w:rPr>
          <w:rFonts w:ascii="Times New Roman" w:cs="Times New Roman" w:eastAsia="Times New Roman" w:hAnsi="Times New Roman"/>
          <w:sz w:val="12"/>
          <w:szCs w:val="12"/>
          <w:u w:val="single" w:color="auto"/>
          <w:color w:val="auto"/>
        </w:rPr>
        <w:t>Appendix 1</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b w:val="1"/>
          <w:bCs w:val="1"/>
          <w:color w:val="auto"/>
        </w:rPr>
        <w:t>Performance Metric</w:t>
      </w:r>
      <w:r>
        <w:rPr>
          <w:rFonts w:ascii="Times New Roman" w:cs="Times New Roman" w:eastAsia="Times New Roman" w:hAnsi="Times New Roman"/>
          <w:sz w:val="12"/>
          <w:szCs w:val="12"/>
          <w:color w:val="auto"/>
        </w:rPr>
        <w:t>”). Following the end of the Performance Period, management of MSCI shall provide its calculation of the Performance Metric to the Committee. The Committee will review the extent of the achievement of the Performance Metric and shall certify in writing such achievement.</w:t>
      </w:r>
    </w:p>
    <w:p>
      <w:pPr>
        <w:spacing w:after="0" w:line="115" w:lineRule="exact"/>
        <w:rPr>
          <w:sz w:val="20"/>
          <w:szCs w:val="20"/>
          <w:color w:val="auto"/>
        </w:rPr>
      </w:pPr>
    </w:p>
    <w:p>
      <w:pPr>
        <w:ind w:firstLine="941"/>
        <w:spacing w:after="0" w:line="286" w:lineRule="auto"/>
        <w:rPr>
          <w:sz w:val="20"/>
          <w:szCs w:val="20"/>
          <w:color w:val="auto"/>
        </w:rPr>
      </w:pPr>
      <w:r>
        <w:rPr>
          <w:rFonts w:ascii="Times New Roman" w:cs="Times New Roman" w:eastAsia="Times New Roman" w:hAnsi="Times New Roman"/>
          <w:sz w:val="12"/>
          <w:szCs w:val="12"/>
          <w:color w:val="auto"/>
        </w:rPr>
        <w:t>The number of PSUs that will be converted into Shares pursuant to Section 2(b), Section 4 or Section 5 (the “</w:t>
      </w:r>
      <w:r>
        <w:rPr>
          <w:rFonts w:ascii="Times New Roman" w:cs="Times New Roman" w:eastAsia="Times New Roman" w:hAnsi="Times New Roman"/>
          <w:sz w:val="12"/>
          <w:szCs w:val="12"/>
          <w:b w:val="1"/>
          <w:bCs w:val="1"/>
          <w:color w:val="auto"/>
        </w:rPr>
        <w:t>Adjusted PSUs</w:t>
      </w:r>
      <w:r>
        <w:rPr>
          <w:rFonts w:ascii="Times New Roman" w:cs="Times New Roman" w:eastAsia="Times New Roman" w:hAnsi="Times New Roman"/>
          <w:sz w:val="12"/>
          <w:szCs w:val="12"/>
          <w:color w:val="auto"/>
        </w:rPr>
        <w:t>”) will be determined based on the following formula on a date no later than [•] (such date, the “</w:t>
      </w:r>
      <w:r>
        <w:rPr>
          <w:rFonts w:ascii="Times New Roman" w:cs="Times New Roman" w:eastAsia="Times New Roman" w:hAnsi="Times New Roman"/>
          <w:sz w:val="12"/>
          <w:szCs w:val="12"/>
          <w:b w:val="1"/>
          <w:bCs w:val="1"/>
          <w:color w:val="auto"/>
        </w:rPr>
        <w:t>Adjustment Date</w:t>
      </w:r>
      <w:r>
        <w:rPr>
          <w:rFonts w:ascii="Times New Roman" w:cs="Times New Roman" w:eastAsia="Times New Roman" w:hAnsi="Times New Roman"/>
          <w:sz w:val="12"/>
          <w:szCs w:val="12"/>
          <w:color w:val="auto"/>
        </w:rPr>
        <w:t>”):</w:t>
      </w:r>
    </w:p>
    <w:p>
      <w:pPr>
        <w:spacing w:after="0" w:line="107"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1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Target PSUs</w:t>
            </w:r>
          </w:p>
        </w:tc>
        <w:tc>
          <w:tcPr>
            <w:tcW w:w="148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x</w:t>
            </w:r>
          </w:p>
        </w:tc>
        <w:tc>
          <w:tcPr>
            <w:tcW w:w="30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rPr>
              <w:t>Adjustment Percentage</w:t>
            </w:r>
          </w:p>
        </w:tc>
        <w:tc>
          <w:tcPr>
            <w:tcW w:w="1680" w:type="dxa"/>
            <w:vAlign w:val="bottom"/>
            <w:vMerge w:val="restart"/>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9"/>
              </w:rPr>
              <w:t>Number of</w:t>
            </w:r>
          </w:p>
        </w:tc>
        <w:tc>
          <w:tcPr>
            <w:tcW w:w="0" w:type="dxa"/>
            <w:vAlign w:val="bottom"/>
          </w:tcPr>
          <w:p>
            <w:pPr>
              <w:spacing w:after="0"/>
              <w:rPr>
                <w:sz w:val="1"/>
                <w:szCs w:val="1"/>
                <w:color w:val="auto"/>
              </w:rPr>
            </w:pPr>
          </w:p>
        </w:tc>
      </w:tr>
      <w:tr>
        <w:trPr>
          <w:trHeight w:val="83"/>
        </w:trPr>
        <w:tc>
          <w:tcPr>
            <w:tcW w:w="116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3040" w:type="dxa"/>
            <w:vAlign w:val="bottom"/>
            <w:gridSpan w:val="3"/>
            <w:vMerge w:val="restart"/>
          </w:tcPr>
          <w:p>
            <w:pPr>
              <w:jc w:val="center"/>
              <w:ind w:right="40"/>
              <w:spacing w:after="0" w:line="128" w:lineRule="exact"/>
              <w:rPr>
                <w:sz w:val="20"/>
                <w:szCs w:val="20"/>
                <w:color w:val="auto"/>
              </w:rPr>
            </w:pPr>
            <w:r>
              <w:rPr>
                <w:rFonts w:ascii="Times New Roman" w:cs="Times New Roman" w:eastAsia="Times New Roman" w:hAnsi="Times New Roman"/>
                <w:sz w:val="12"/>
                <w:szCs w:val="12"/>
                <w:color w:val="auto"/>
                <w:w w:val="99"/>
              </w:rPr>
              <w:t>(as defined in Appendix 1)</w:t>
            </w:r>
          </w:p>
        </w:tc>
        <w:tc>
          <w:tcPr>
            <w:tcW w:w="1680" w:type="dxa"/>
            <w:vAlign w:val="bottom"/>
            <w:vMerge w:val="continue"/>
          </w:tcPr>
          <w:p>
            <w:pPr>
              <w:spacing w:after="0"/>
              <w:rPr>
                <w:sz w:val="7"/>
                <w:szCs w:val="7"/>
                <w:color w:val="auto"/>
              </w:rPr>
            </w:pPr>
          </w:p>
        </w:tc>
        <w:tc>
          <w:tcPr>
            <w:tcW w:w="1460" w:type="dxa"/>
            <w:vAlign w:val="bottom"/>
            <w:vMerge w:val="restart"/>
          </w:tcPr>
          <w:p>
            <w:pPr>
              <w:jc w:val="center"/>
              <w:ind w:left="680"/>
              <w:spacing w:after="0" w:line="128" w:lineRule="exact"/>
              <w:rPr>
                <w:sz w:val="20"/>
                <w:szCs w:val="20"/>
                <w:color w:val="auto"/>
              </w:rPr>
            </w:pPr>
            <w:r>
              <w:rPr>
                <w:rFonts w:ascii="Times New Roman" w:cs="Times New Roman" w:eastAsia="Times New Roman" w:hAnsi="Times New Roman"/>
                <w:sz w:val="12"/>
                <w:szCs w:val="12"/>
                <w:color w:val="auto"/>
                <w:w w:val="98"/>
              </w:rPr>
              <w:t>Adjusted PSUs</w:t>
            </w:r>
          </w:p>
        </w:tc>
        <w:tc>
          <w:tcPr>
            <w:tcW w:w="0" w:type="dxa"/>
            <w:vAlign w:val="bottom"/>
          </w:tcPr>
          <w:p>
            <w:pPr>
              <w:spacing w:after="0"/>
              <w:rPr>
                <w:sz w:val="1"/>
                <w:szCs w:val="1"/>
                <w:color w:val="auto"/>
              </w:rPr>
            </w:pPr>
          </w:p>
        </w:tc>
      </w:tr>
      <w:tr>
        <w:trPr>
          <w:trHeight w:val="45"/>
        </w:trPr>
        <w:tc>
          <w:tcPr>
            <w:tcW w:w="1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40" w:type="dxa"/>
            <w:vAlign w:val="bottom"/>
            <w:gridSpan w:val="3"/>
            <w:vMerge w:val="continue"/>
          </w:tcPr>
          <w:p>
            <w:pPr>
              <w:spacing w:after="0"/>
              <w:rPr>
                <w:sz w:val="3"/>
                <w:szCs w:val="3"/>
                <w:color w:val="auto"/>
              </w:rPr>
            </w:pPr>
          </w:p>
        </w:tc>
        <w:tc>
          <w:tcPr>
            <w:tcW w:w="168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933"/>
        <w:spacing w:after="0" w:line="268" w:lineRule="auto"/>
        <w:tabs>
          <w:tab w:leader="none" w:pos="1513"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Vesting and Conversion</w:t>
      </w:r>
      <w:r>
        <w:rPr>
          <w:rFonts w:ascii="Times New Roman" w:cs="Times New Roman" w:eastAsia="Times New Roman" w:hAnsi="Times New Roman"/>
          <w:sz w:val="12"/>
          <w:szCs w:val="12"/>
          <w:color w:val="auto"/>
        </w:rPr>
        <w:t>. The Target PSUs will vest (as to service) on [•] (the “</w:t>
      </w:r>
      <w:r>
        <w:rPr>
          <w:rFonts w:ascii="Times New Roman" w:cs="Times New Roman" w:eastAsia="Times New Roman" w:hAnsi="Times New Roman"/>
          <w:sz w:val="12"/>
          <w:szCs w:val="12"/>
          <w:b w:val="1"/>
          <w:bCs w:val="1"/>
          <w:color w:val="auto"/>
        </w:rPr>
        <w:t>Vesting Date</w:t>
      </w:r>
      <w:r>
        <w:rPr>
          <w:rFonts w:ascii="Times New Roman" w:cs="Times New Roman" w:eastAsia="Times New Roman" w:hAnsi="Times New Roman"/>
          <w:sz w:val="12"/>
          <w:szCs w:val="12"/>
          <w:color w:val="auto"/>
        </w:rPr>
        <w:t>”), subject to adjustment in accordance with Section 2(a);</w:t>
      </w:r>
      <w:r>
        <w:rPr>
          <w:rFonts w:ascii="Times New Roman" w:cs="Times New Roman" w:eastAsia="Times New Roman" w:hAnsi="Times New Roman"/>
          <w:sz w:val="12"/>
          <w:szCs w:val="12"/>
          <w:i w:val="1"/>
          <w:iCs w:val="1"/>
          <w:color w:val="auto"/>
        </w:rPr>
        <w:t xml:space="preserve"> provided </w:t>
      </w:r>
      <w:r>
        <w:rPr>
          <w:rFonts w:ascii="Times New Roman" w:cs="Times New Roman" w:eastAsia="Times New Roman" w:hAnsi="Times New Roman"/>
          <w:sz w:val="12"/>
          <w:szCs w:val="12"/>
          <w:color w:val="auto"/>
        </w:rPr>
        <w:t>that, subject to Section 4 and Section 5, you</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continue to be employed by the Company on the Vesting Date;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that you have complied with all applicable provisions of the HSR Act. Vested Adjusted PSUs shall convert into Shares no earlier than [•], and no later than the Adjustment Date.</w:t>
      </w:r>
    </w:p>
    <w:p>
      <w:pPr>
        <w:spacing w:after="0" w:line="115" w:lineRule="exact"/>
        <w:rPr>
          <w:rFonts w:ascii="Times New Roman" w:cs="Times New Roman" w:eastAsia="Times New Roman" w:hAnsi="Times New Roman"/>
          <w:sz w:val="12"/>
          <w:szCs w:val="12"/>
          <w:color w:val="auto"/>
        </w:rPr>
      </w:pPr>
    </w:p>
    <w:p>
      <w:pPr>
        <w:ind w:firstLine="933"/>
        <w:spacing w:after="0" w:line="283" w:lineRule="auto"/>
        <w:tabs>
          <w:tab w:leader="none" w:pos="1507"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HSR Act</w:t>
      </w:r>
      <w:r>
        <w:rPr>
          <w:rFonts w:ascii="Times New Roman" w:cs="Times New Roman" w:eastAsia="Times New Roman" w:hAnsi="Times New Roman"/>
          <w:sz w:val="12"/>
          <w:szCs w:val="12"/>
          <w:color w:val="auto"/>
        </w:rPr>
        <w:t>. If Adjusted PSUs would have converted pursuant to this Section 2, Section 4 or Section 5(b), but did not convert solely because you were not in compliance with all applicable provisions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HSR Act, subject to Section 409A, the conversion date for such Adjusted PSUs shall occur on the first date following the date on which you have complied with all applicable provisions of the HSR Act.</w:t>
      </w:r>
    </w:p>
    <w:p>
      <w:pPr>
        <w:spacing w:after="0" w:line="106" w:lineRule="exact"/>
        <w:rPr>
          <w:rFonts w:ascii="Times New Roman" w:cs="Times New Roman" w:eastAsia="Times New Roman" w:hAnsi="Times New Roman"/>
          <w:sz w:val="12"/>
          <w:szCs w:val="12"/>
          <w:color w:val="auto"/>
        </w:rPr>
      </w:pPr>
    </w:p>
    <w:p>
      <w:pPr>
        <w:jc w:val="both"/>
        <w:ind w:firstLine="933"/>
        <w:spacing w:after="0" w:line="257" w:lineRule="auto"/>
        <w:tabs>
          <w:tab w:leader="none" w:pos="1513"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Post-Vest Holding Period. </w:t>
      </w:r>
      <w:r>
        <w:rPr>
          <w:rFonts w:ascii="Times New Roman" w:cs="Times New Roman" w:eastAsia="Times New Roman" w:hAnsi="Times New Roman"/>
          <w:sz w:val="12"/>
          <w:szCs w:val="12"/>
          <w:color w:val="auto"/>
        </w:rPr>
        <w:t>All Shares issued upon the conversion of the Adjusted PSUs pursuant to this Section 2 shall be subject to the Post-Vest Holding Period. During the Post-Vest Holding Period,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Shares (and your rights with respect to such Shares) may not be Transferred. Notwithstanding the foregoing, the Post-Vest Holding Period shall not apply with respect to any Shares (i) required to be withheld or tendered in satisfaction of any tax withholding obligations pursuant to Section 8, (ii) sold to satisfy tax obligations (assuming a tax rate of 50%) that are not met, in whole or in part, by MSCI withholding Shares pursuant to Section 8, if you are subject to tax rules or regulations that do not permit or limit tax withholding upon the conversion of the Adjusted PSUs pursuant to this Section 2, as may be permitted by the Committee in its sole discretion from time to time or (iii) transferred by you for estate planning purposes to any trust or other estate planning vehicle established and controlled by you, as may be permitted by the Committee in its sole discretion from time to time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trust or other estate planning vehicle shall remain subject to the terms and conditions of this Award Agreement, including the Post-Vest Holding Period).</w:t>
      </w:r>
    </w:p>
    <w:p>
      <w:pPr>
        <w:spacing w:after="0" w:line="123" w:lineRule="exact"/>
        <w:rPr>
          <w:sz w:val="20"/>
          <w:szCs w:val="20"/>
          <w:color w:val="auto"/>
        </w:rPr>
      </w:pPr>
    </w:p>
    <w:p>
      <w:pPr>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Dividend Equivalent Payments</w:t>
      </w:r>
      <w:r>
        <w:rPr>
          <w:rFonts w:ascii="Times New Roman" w:cs="Times New Roman" w:eastAsia="Times New Roman" w:hAnsi="Times New Roman"/>
          <w:sz w:val="12"/>
          <w:szCs w:val="12"/>
          <w:color w:val="auto"/>
        </w:rPr>
        <w:t>. Until your PSUs convert into Shares, if MSCI pays a dividend on Shares, you will be credited with a dividend equivalent payment in the same amount as the dividend you would have received if you held Shares for your vested and unvested PSUs immediately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2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10" w:name="page311"/>
    <w:bookmarkEnd w:id="310"/>
    <w:p>
      <w:pPr>
        <w:jc w:val="both"/>
        <w:spacing w:after="0" w:line="260" w:lineRule="auto"/>
        <w:rPr>
          <w:sz w:val="20"/>
          <w:szCs w:val="20"/>
          <w:color w:val="auto"/>
        </w:rPr>
      </w:pPr>
      <w:r>
        <w:rPr>
          <w:rFonts w:ascii="Times New Roman" w:cs="Times New Roman" w:eastAsia="Times New Roman" w:hAnsi="Times New Roman"/>
          <w:sz w:val="12"/>
          <w:szCs w:val="12"/>
          <w:color w:val="auto"/>
        </w:rPr>
        <w:t>prior to the record date (taking into account any adjustments pursuant to Section 2(a) and adjustments provided under the Plan). Assuming you hold PSUs on the record date, MSCI will credit the dividend equivalent payments when it pays the corresponding dividend on its Shares. Your dividend equivalents will vest and be paid at the same time as, and subject to the same vesting and cancellation provisions set forth in this Award Agreement with respect to, your PSUs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subject to Section 20, the dividend equivalents may be paid following the scheduled conversion date on the next regularly scheduled payroll date). No dividend equivalents will be paid to you with respect to any canceled or forfeited PSUs. MSCI will decide on the form of payment and may pay dividend equivalents in Shares, in cash or in a combination thereof, unless otherwise provided in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right="20"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Termination of Employment</w:t>
      </w:r>
      <w:r>
        <w:rPr>
          <w:rFonts w:ascii="Times New Roman" w:cs="Times New Roman" w:eastAsia="Times New Roman" w:hAnsi="Times New Roman"/>
          <w:sz w:val="12"/>
          <w:szCs w:val="12"/>
          <w:color w:val="auto"/>
        </w:rPr>
        <w:t>. Upon termination of employment with the Company prior to the Vesting Date pursuant to this Section 4, the following special vesting and payment terms will apply to your unvested PSUs:</w:t>
      </w:r>
    </w:p>
    <w:p>
      <w:pPr>
        <w:spacing w:after="0" w:line="109" w:lineRule="exact"/>
        <w:rPr>
          <w:sz w:val="20"/>
          <w:szCs w:val="20"/>
          <w:color w:val="auto"/>
        </w:rPr>
      </w:pPr>
    </w:p>
    <w:p>
      <w:pPr>
        <w:jc w:val="both"/>
        <w:ind w:right="20" w:firstLine="933"/>
        <w:spacing w:after="0" w:line="266" w:lineRule="auto"/>
        <w:tabs>
          <w:tab w:leader="none" w:pos="1507" w:val="left"/>
        </w:tabs>
        <w:numPr>
          <w:ilvl w:val="0"/>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Termination of Employment Due to Death or Disability</w:t>
      </w:r>
      <w:r>
        <w:rPr>
          <w:rFonts w:ascii="Times New Roman" w:cs="Times New Roman" w:eastAsia="Times New Roman" w:hAnsi="Times New Roman"/>
          <w:sz w:val="12"/>
          <w:szCs w:val="12"/>
          <w:color w:val="auto"/>
        </w:rPr>
        <w:t>. If your employment with the Company terminates due to death or Disability, in each case, prior to the Vesting Date, your Adjusted PSUs will vest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convert into Shares on the Adjustment Date (even though you are not employed by the Company on the Vesting Date). Upon a termination of employment due to death, the Adjusted PSUs shall be delivered in accordance with Section 10 and shall not be subject to the Post-Vest Holding Period.</w:t>
      </w:r>
    </w:p>
    <w:p>
      <w:pPr>
        <w:spacing w:after="0" w:line="117"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Involuntary Termination of Employment by the Company.</w:t>
      </w:r>
    </w:p>
    <w:p>
      <w:pPr>
        <w:spacing w:after="0" w:line="150" w:lineRule="exact"/>
        <w:rPr>
          <w:rFonts w:ascii="Times New Roman" w:cs="Times New Roman" w:eastAsia="Times New Roman" w:hAnsi="Times New Roman"/>
          <w:sz w:val="12"/>
          <w:szCs w:val="12"/>
          <w:color w:val="auto"/>
        </w:rPr>
      </w:pPr>
    </w:p>
    <w:p>
      <w:pPr>
        <w:jc w:val="both"/>
        <w:ind w:left="940" w:firstLine="857"/>
        <w:spacing w:after="0" w:line="255" w:lineRule="auto"/>
        <w:tabs>
          <w:tab w:leader="none" w:pos="2378" w:val="left"/>
        </w:tabs>
        <w:numPr>
          <w:ilvl w:val="1"/>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Prior to 62/10 Retirement Eligibility. </w:t>
      </w:r>
      <w:r>
        <w:rPr>
          <w:rFonts w:ascii="Times New Roman" w:cs="Times New Roman" w:eastAsia="Times New Roman" w:hAnsi="Times New Roman"/>
          <w:sz w:val="12"/>
          <w:szCs w:val="12"/>
          <w:color w:val="auto"/>
        </w:rPr>
        <w:t>In the event of an involuntary termination of your employment by the Company without Cause prior to 62/10 Retirement Eligibility, provided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within 60 days following termination of your employment, you will be entitled to receive a pro-rated portion of your Target PSUs equal to the product of (i) the total number of Target PSUs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quotient of (A) the total number of months you were employed with the Company during the Performance Period (rounding up partial months)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 36. Such pro-rated Target PSUs will vest and convert into Shares on the Adjustment Date in accordance with Section 2 and shall not be subject to the Post-Vest Holding Period. All other PSUs that do not vest and convert into Shares in accordance with this Section 4(b) shall be forfeited in their entirety. Notwithstanding anything to the contrary herein, in the event of a termination of your employment as described in this Section 4(b)(i), pursuant to Section 6, you may still be bound by, and must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as applicable.</w:t>
      </w:r>
    </w:p>
    <w:p>
      <w:pPr>
        <w:spacing w:after="0" w:line="125" w:lineRule="exact"/>
        <w:rPr>
          <w:rFonts w:ascii="Times New Roman" w:cs="Times New Roman" w:eastAsia="Times New Roman" w:hAnsi="Times New Roman"/>
          <w:sz w:val="12"/>
          <w:szCs w:val="12"/>
          <w:color w:val="auto"/>
        </w:rPr>
      </w:pPr>
    </w:p>
    <w:p>
      <w:pPr>
        <w:jc w:val="both"/>
        <w:ind w:left="940" w:firstLine="857"/>
        <w:spacing w:after="0" w:line="258" w:lineRule="auto"/>
        <w:tabs>
          <w:tab w:leader="none" w:pos="2382" w:val="left"/>
        </w:tabs>
        <w:numPr>
          <w:ilvl w:val="1"/>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Following 62/10 Retirement Eligibility. </w:t>
      </w:r>
      <w:r>
        <w:rPr>
          <w:rFonts w:ascii="Times New Roman" w:cs="Times New Roman" w:eastAsia="Times New Roman" w:hAnsi="Times New Roman"/>
          <w:sz w:val="12"/>
          <w:szCs w:val="12"/>
          <w:color w:val="auto"/>
        </w:rPr>
        <w:t>In the event of an involuntary termination of your employment by the Company without Cause following 62/10 Retirement Eligibility, provided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within 60 days following termination of your employment, your Adjusted PSUs will vest and convert into Shares on the Adjustment Date in accordance with Section 2 and shall not be subject to the Post-Vest Holding Period. Notwithstanding anything to the contrary herein, in the event of a termination of your employment as described in this Section 4(b)(ii), pursuant to Section 6, you may still be bound by, and must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as applicable.</w:t>
      </w:r>
    </w:p>
    <w:p>
      <w:pPr>
        <w:spacing w:after="0" w:line="122" w:lineRule="exact"/>
        <w:rPr>
          <w:rFonts w:ascii="Times New Roman" w:cs="Times New Roman" w:eastAsia="Times New Roman" w:hAnsi="Times New Roman"/>
          <w:sz w:val="12"/>
          <w:szCs w:val="12"/>
          <w:color w:val="auto"/>
        </w:rPr>
      </w:pPr>
    </w:p>
    <w:p>
      <w:pPr>
        <w:jc w:val="both"/>
        <w:ind w:firstLine="933"/>
        <w:spacing w:after="0" w:line="266" w:lineRule="auto"/>
        <w:tabs>
          <w:tab w:leader="none" w:pos="1507" w:val="left"/>
        </w:tabs>
        <w:numPr>
          <w:ilvl w:val="0"/>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Retirement Terminations. </w:t>
      </w:r>
      <w:r>
        <w:rPr>
          <w:rFonts w:ascii="Times New Roman" w:cs="Times New Roman" w:eastAsia="Times New Roman" w:hAnsi="Times New Roman"/>
          <w:sz w:val="12"/>
          <w:szCs w:val="12"/>
          <w:color w:val="auto"/>
        </w:rPr>
        <w:t>In the event of your applicable Retirement Termination, your Target PSUs shall be eligible for the treatment specified below;</w:t>
      </w:r>
      <w:r>
        <w:rPr>
          <w:rFonts w:ascii="Times New Roman" w:cs="Times New Roman" w:eastAsia="Times New Roman" w:hAnsi="Times New Roman"/>
          <w:sz w:val="12"/>
          <w:szCs w:val="12"/>
          <w:i w:val="1"/>
          <w:iCs w:val="1"/>
          <w:color w:val="auto"/>
        </w:rPr>
        <w:t xml:space="preserve"> provided </w:t>
      </w:r>
      <w:r>
        <w:rPr>
          <w:rFonts w:ascii="Times New Roman" w:cs="Times New Roman" w:eastAsia="Times New Roman" w:hAnsi="Times New Roman"/>
          <w:sz w:val="12"/>
          <w:szCs w:val="12"/>
          <w:color w:val="auto"/>
        </w:rPr>
        <w:t>that (x) you are in compliance with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Notice Requirements and all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in each case, as of the Vesting Date and (y) you execute and do not revoke an agreement and release of claims satisfactory to the Company, which will contain restrictive covenants substantially in the form as those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within 60 days following termination of your employment.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11" w:name="page312"/>
    <w:bookmarkEnd w:id="311"/>
    <w:p>
      <w:pPr>
        <w:jc w:val="both"/>
        <w:ind w:left="940" w:firstLine="857"/>
        <w:spacing w:after="0" w:line="259" w:lineRule="auto"/>
        <w:tabs>
          <w:tab w:leader="none" w:pos="2348" w:val="left"/>
        </w:tabs>
        <w:numPr>
          <w:ilvl w:val="1"/>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your Legacy Retirement Termination or 55/10 Retirement Termination, you will be entitled to receive a pro-rated portion of your Target PSUs equal to the product of (i) the total number of Target PSUs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quotient of (A) the total number of months you were employed with the Company during the Performance Period (rounding up partial months)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w:t>
      </w:r>
    </w:p>
    <w:p>
      <w:pPr>
        <w:spacing w:after="0" w:line="1" w:lineRule="exact"/>
        <w:rPr>
          <w:rFonts w:ascii="Times New Roman" w:cs="Times New Roman" w:eastAsia="Times New Roman" w:hAnsi="Times New Roman"/>
          <w:sz w:val="12"/>
          <w:szCs w:val="12"/>
          <w:color w:val="auto"/>
        </w:rPr>
      </w:pPr>
    </w:p>
    <w:p>
      <w:pPr>
        <w:ind w:left="940" w:hanging="7"/>
        <w:spacing w:after="0" w:line="260" w:lineRule="auto"/>
        <w:tabs>
          <w:tab w:leader="none" w:pos="1155" w:val="left"/>
        </w:tabs>
        <w:numPr>
          <w:ilvl w:val="0"/>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pro-rated Target PSUs will vest and convert into Shares on the Adjustment Date in accordance with Section 2 and shall not be subject to the Post-Vest Holding Period. All other PSUs that do not vest and convert into Shares in accordance with this Section 4(c)(i) shall be forfeited in their entirety.</w:t>
      </w:r>
    </w:p>
    <w:p>
      <w:pPr>
        <w:spacing w:after="0" w:line="122" w:lineRule="exact"/>
        <w:rPr>
          <w:rFonts w:ascii="Times New Roman" w:cs="Times New Roman" w:eastAsia="Times New Roman" w:hAnsi="Times New Roman"/>
          <w:sz w:val="12"/>
          <w:szCs w:val="12"/>
          <w:color w:val="auto"/>
        </w:rPr>
      </w:pPr>
    </w:p>
    <w:p>
      <w:pPr>
        <w:ind w:left="2380" w:hanging="583"/>
        <w:spacing w:after="0"/>
        <w:tabs>
          <w:tab w:leader="none" w:pos="2380"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your 62/10 Retirement Termination, your Target PSUs will vest and convert into Shares in accordance with Section 2 and shall not be subject to the Post-Vest Holding</w:t>
      </w:r>
    </w:p>
    <w:p>
      <w:pPr>
        <w:spacing w:after="0" w:line="1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w:t>
      </w:r>
    </w:p>
    <w:p>
      <w:pPr>
        <w:spacing w:after="0" w:line="139"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415"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consideration of the treatment of your Target PSUs upon your Retirement Termination as set forth in this Section 4(c), you agree to be bound by, and to comply with, all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to this Award Agreement.</w:t>
      </w:r>
    </w:p>
    <w:p>
      <w:pPr>
        <w:spacing w:after="0" w:line="111" w:lineRule="exact"/>
        <w:rPr>
          <w:rFonts w:ascii="Times New Roman" w:cs="Times New Roman" w:eastAsia="Times New Roman" w:hAnsi="Times New Roman"/>
          <w:sz w:val="12"/>
          <w:szCs w:val="12"/>
          <w:color w:val="auto"/>
        </w:rPr>
      </w:pPr>
    </w:p>
    <w:p>
      <w:pPr>
        <w:ind w:left="940" w:firstLine="857"/>
        <w:spacing w:after="0" w:line="279" w:lineRule="auto"/>
        <w:tabs>
          <w:tab w:leader="none" w:pos="2408"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chart provides a summary overview of the treatment of your awards upon a Retirement Termination, as set forth in Sections 4(c)(i) and (ii). This summary chart is qualified in its entirety by the terms of Sections 4(c)(i) and (ii). In the event of any inconsistency between the terms of the below chart and Sections 4(c)(i) and (ii), the terms of Sections 4(c)(i) and (ii) shall prevail.</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6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2"/>
                <w:szCs w:val="12"/>
                <w:b w:val="1"/>
                <w:bCs w:val="1"/>
                <w:color w:val="auto"/>
              </w:rPr>
              <w:t>Age and Service Requirements</w:t>
            </w:r>
          </w:p>
        </w:tc>
        <w:tc>
          <w:tcPr>
            <w:tcW w:w="36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 on Which Age and Service Requirements Must be Satisfied</w:t>
            </w:r>
          </w:p>
        </w:tc>
        <w:tc>
          <w:tcPr>
            <w:tcW w:w="4060" w:type="dxa"/>
            <w:vAlign w:val="bottom"/>
            <w:tcBorders>
              <w:top w:val="single" w:sz="8" w:color="auto"/>
              <w:bottom w:val="single" w:sz="8" w:color="auto"/>
              <w:right w:val="single" w:sz="8" w:color="auto"/>
            </w:tcBorders>
            <w:shd w:val="clear" w:color="auto" w:fill="D9D9D9"/>
          </w:tcPr>
          <w:p>
            <w:pPr>
              <w:ind w:left="1760"/>
              <w:spacing w:after="0"/>
              <w:rPr>
                <w:sz w:val="20"/>
                <w:szCs w:val="20"/>
                <w:color w:val="auto"/>
              </w:rPr>
            </w:pPr>
            <w:r>
              <w:rPr>
                <w:rFonts w:ascii="Times New Roman" w:cs="Times New Roman" w:eastAsia="Times New Roman" w:hAnsi="Times New Roman"/>
                <w:sz w:val="12"/>
                <w:szCs w:val="12"/>
                <w:b w:val="1"/>
                <w:bCs w:val="1"/>
                <w:color w:val="auto"/>
              </w:rPr>
              <w:t>Treatment</w:t>
            </w:r>
          </w:p>
        </w:tc>
        <w:tc>
          <w:tcPr>
            <w:tcW w:w="0" w:type="dxa"/>
            <w:vAlign w:val="bottom"/>
          </w:tcPr>
          <w:p>
            <w:pPr>
              <w:spacing w:after="0"/>
              <w:rPr>
                <w:sz w:val="1"/>
                <w:szCs w:val="1"/>
                <w:color w:val="auto"/>
              </w:rPr>
            </w:pPr>
          </w:p>
        </w:tc>
      </w:tr>
      <w:tr>
        <w:trPr>
          <w:trHeight w:val="120"/>
        </w:trPr>
        <w:tc>
          <w:tcPr>
            <w:tcW w:w="3620" w:type="dxa"/>
            <w:vAlign w:val="bottom"/>
            <w:tcBorders>
              <w:left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Legacy Retirement Eligibility</w:t>
            </w:r>
          </w:p>
        </w:tc>
        <w:tc>
          <w:tcPr>
            <w:tcW w:w="36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December 31, 2014</w:t>
            </w:r>
          </w:p>
        </w:tc>
        <w:tc>
          <w:tcPr>
            <w:tcW w:w="406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A pro-rated portion of your Target PSUs will vest as follows: the product of (i) the</w:t>
            </w:r>
          </w:p>
        </w:tc>
        <w:tc>
          <w:tcPr>
            <w:tcW w:w="0" w:type="dxa"/>
            <w:vAlign w:val="bottom"/>
          </w:tcPr>
          <w:p>
            <w:pPr>
              <w:spacing w:after="0"/>
              <w:rPr>
                <w:sz w:val="1"/>
                <w:szCs w:val="1"/>
                <w:color w:val="auto"/>
              </w:rPr>
            </w:pPr>
          </w:p>
        </w:tc>
      </w:tr>
      <w:tr>
        <w:trPr>
          <w:trHeight w:val="146"/>
        </w:trPr>
        <w:tc>
          <w:tcPr>
            <w:tcW w:w="3620" w:type="dxa"/>
            <w:vAlign w:val="bottom"/>
            <w:tcBorders>
              <w:left w:val="single" w:sz="8" w:color="auto"/>
              <w:right w:val="single" w:sz="8" w:color="auto"/>
            </w:tcBorders>
          </w:tcPr>
          <w:p>
            <w:pPr>
              <w:spacing w:after="0"/>
              <w:rPr>
                <w:sz w:val="12"/>
                <w:szCs w:val="12"/>
                <w:color w:val="auto"/>
              </w:rPr>
            </w:pPr>
          </w:p>
        </w:tc>
        <w:tc>
          <w:tcPr>
            <w:tcW w:w="362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total number of Target PSUs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quotient of (A) the total number</w:t>
            </w:r>
          </w:p>
        </w:tc>
        <w:tc>
          <w:tcPr>
            <w:tcW w:w="0" w:type="dxa"/>
            <w:vAlign w:val="bottom"/>
          </w:tcPr>
          <w:p>
            <w:pPr>
              <w:spacing w:after="0"/>
              <w:rPr>
                <w:sz w:val="1"/>
                <w:szCs w:val="1"/>
                <w:color w:val="auto"/>
              </w:rPr>
            </w:pPr>
          </w:p>
        </w:tc>
      </w:tr>
      <w:tr>
        <w:trPr>
          <w:trHeight w:val="142"/>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(see definition of “Legacy Retirement Eligibility”)</w:t>
            </w:r>
          </w:p>
        </w:tc>
        <w:tc>
          <w:tcPr>
            <w:tcW w:w="362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of months you were employed with the Company during the Performance Period</w:t>
            </w:r>
          </w:p>
        </w:tc>
        <w:tc>
          <w:tcPr>
            <w:tcW w:w="0" w:type="dxa"/>
            <w:vAlign w:val="bottom"/>
          </w:tcPr>
          <w:p>
            <w:pPr>
              <w:spacing w:after="0"/>
              <w:rPr>
                <w:sz w:val="1"/>
                <w:szCs w:val="1"/>
                <w:color w:val="auto"/>
              </w:rPr>
            </w:pPr>
          </w:p>
        </w:tc>
      </w:tr>
      <w:tr>
        <w:trPr>
          <w:trHeight w:val="146"/>
        </w:trPr>
        <w:tc>
          <w:tcPr>
            <w:tcW w:w="3620" w:type="dxa"/>
            <w:vAlign w:val="bottom"/>
            <w:tcBorders>
              <w:left w:val="single" w:sz="8" w:color="auto"/>
              <w:right w:val="single" w:sz="8" w:color="auto"/>
            </w:tcBorders>
          </w:tcPr>
          <w:p>
            <w:pPr>
              <w:spacing w:after="0"/>
              <w:rPr>
                <w:sz w:val="12"/>
                <w:szCs w:val="12"/>
                <w:color w:val="auto"/>
              </w:rPr>
            </w:pPr>
          </w:p>
        </w:tc>
        <w:tc>
          <w:tcPr>
            <w:tcW w:w="362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(rounding up partial months)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 36.  Such pro-rated Target PSUs will</w:t>
            </w:r>
          </w:p>
        </w:tc>
        <w:tc>
          <w:tcPr>
            <w:tcW w:w="0" w:type="dxa"/>
            <w:vAlign w:val="bottom"/>
          </w:tcPr>
          <w:p>
            <w:pPr>
              <w:spacing w:after="0"/>
              <w:rPr>
                <w:sz w:val="1"/>
                <w:szCs w:val="1"/>
                <w:color w:val="auto"/>
              </w:rPr>
            </w:pPr>
          </w:p>
        </w:tc>
      </w:tr>
      <w:tr>
        <w:trPr>
          <w:trHeight w:val="146"/>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vest and convert into Shares on the Adjustment Date in accordance with Section 2</w:t>
            </w:r>
          </w:p>
        </w:tc>
        <w:tc>
          <w:tcPr>
            <w:tcW w:w="0" w:type="dxa"/>
            <w:vAlign w:val="bottom"/>
          </w:tcPr>
          <w:p>
            <w:pPr>
              <w:spacing w:after="0"/>
              <w:rPr>
                <w:sz w:val="1"/>
                <w:szCs w:val="1"/>
                <w:color w:val="auto"/>
              </w:rPr>
            </w:pPr>
          </w:p>
        </w:tc>
      </w:tr>
      <w:tr>
        <w:trPr>
          <w:trHeight w:val="144"/>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Age 55 and 10 years of service</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December 31, 2019</w:t>
            </w:r>
          </w:p>
        </w:tc>
        <w:tc>
          <w:tcPr>
            <w:tcW w:w="40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and shall not be subject to the Post-Vest Holding Period.</w:t>
            </w:r>
          </w:p>
        </w:tc>
        <w:tc>
          <w:tcPr>
            <w:tcW w:w="0" w:type="dxa"/>
            <w:vAlign w:val="bottom"/>
          </w:tcPr>
          <w:p>
            <w:pPr>
              <w:spacing w:after="0"/>
              <w:rPr>
                <w:sz w:val="1"/>
                <w:szCs w:val="1"/>
                <w:color w:val="auto"/>
              </w:rPr>
            </w:pPr>
          </w:p>
        </w:tc>
      </w:tr>
      <w:tr>
        <w:trPr>
          <w:trHeight w:val="266"/>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(see definition of “55/10 Retirement Eligibility”)</w:t>
            </w:r>
          </w:p>
        </w:tc>
        <w:tc>
          <w:tcPr>
            <w:tcW w:w="3620" w:type="dxa"/>
            <w:vAlign w:val="bottom"/>
            <w:tcBorders>
              <w:right w:val="single" w:sz="8" w:color="auto"/>
            </w:tcBorders>
          </w:tcPr>
          <w:p>
            <w:pPr>
              <w:spacing w:after="0"/>
              <w:rPr>
                <w:sz w:val="23"/>
                <w:szCs w:val="23"/>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All other PSUs that do not vest and convert into Shares shall be forfeited in their</w:t>
            </w:r>
          </w:p>
        </w:tc>
        <w:tc>
          <w:tcPr>
            <w:tcW w:w="0" w:type="dxa"/>
            <w:vAlign w:val="bottom"/>
          </w:tcPr>
          <w:p>
            <w:pPr>
              <w:spacing w:after="0"/>
              <w:rPr>
                <w:sz w:val="1"/>
                <w:szCs w:val="1"/>
                <w:color w:val="auto"/>
              </w:rPr>
            </w:pPr>
          </w:p>
        </w:tc>
      </w:tr>
      <w:tr>
        <w:trPr>
          <w:trHeight w:val="155"/>
        </w:trPr>
        <w:tc>
          <w:tcPr>
            <w:tcW w:w="3620" w:type="dxa"/>
            <w:vAlign w:val="bottom"/>
            <w:tcBorders>
              <w:left w:val="single" w:sz="8" w:color="auto"/>
              <w:right w:val="single" w:sz="8" w:color="auto"/>
            </w:tcBorders>
          </w:tcPr>
          <w:p>
            <w:pPr>
              <w:spacing w:after="0"/>
              <w:rPr>
                <w:sz w:val="13"/>
                <w:szCs w:val="13"/>
                <w:color w:val="auto"/>
              </w:rPr>
            </w:pPr>
          </w:p>
        </w:tc>
        <w:tc>
          <w:tcPr>
            <w:tcW w:w="3620" w:type="dxa"/>
            <w:vAlign w:val="bottom"/>
            <w:tcBorders>
              <w:right w:val="single" w:sz="8" w:color="auto"/>
            </w:tcBorders>
          </w:tcPr>
          <w:p>
            <w:pPr>
              <w:spacing w:after="0"/>
              <w:rPr>
                <w:sz w:val="13"/>
                <w:szCs w:val="13"/>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entirety.</w:t>
            </w:r>
          </w:p>
        </w:tc>
        <w:tc>
          <w:tcPr>
            <w:tcW w:w="0" w:type="dxa"/>
            <w:vAlign w:val="bottom"/>
          </w:tcPr>
          <w:p>
            <w:pPr>
              <w:spacing w:after="0"/>
              <w:rPr>
                <w:sz w:val="1"/>
                <w:szCs w:val="1"/>
                <w:color w:val="auto"/>
              </w:rPr>
            </w:pPr>
          </w:p>
        </w:tc>
      </w:tr>
      <w:tr>
        <w:trPr>
          <w:trHeight w:val="144"/>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c>
          <w:tcPr>
            <w:tcW w:w="4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2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Age 62 and 10 years of service</w:t>
            </w:r>
          </w:p>
        </w:tc>
        <w:tc>
          <w:tcPr>
            <w:tcW w:w="36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8"/>
              </w:rPr>
              <w:t>Vesting Date</w:t>
            </w:r>
          </w:p>
        </w:tc>
        <w:tc>
          <w:tcPr>
            <w:tcW w:w="40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All of your Target PSUs will vest and convert into Shares in accordance with</w:t>
            </w:r>
          </w:p>
        </w:tc>
        <w:tc>
          <w:tcPr>
            <w:tcW w:w="0" w:type="dxa"/>
            <w:vAlign w:val="bottom"/>
          </w:tcPr>
          <w:p>
            <w:pPr>
              <w:spacing w:after="0"/>
              <w:rPr>
                <w:sz w:val="1"/>
                <w:szCs w:val="1"/>
                <w:color w:val="auto"/>
              </w:rPr>
            </w:pPr>
          </w:p>
        </w:tc>
      </w:tr>
      <w:tr>
        <w:trPr>
          <w:trHeight w:val="155"/>
        </w:trPr>
        <w:tc>
          <w:tcPr>
            <w:tcW w:w="36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(see definition of “62/10 Retirement Eligibility”)</w:t>
            </w:r>
          </w:p>
        </w:tc>
        <w:tc>
          <w:tcPr>
            <w:tcW w:w="3620" w:type="dxa"/>
            <w:vAlign w:val="bottom"/>
            <w:tcBorders>
              <w:right w:val="single" w:sz="8" w:color="auto"/>
            </w:tcBorders>
          </w:tcPr>
          <w:p>
            <w:pPr>
              <w:spacing w:after="0"/>
              <w:rPr>
                <w:sz w:val="13"/>
                <w:szCs w:val="13"/>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Section 2 and shall not be subject to the Post-Vest Holding Period.</w:t>
            </w:r>
          </w:p>
        </w:tc>
        <w:tc>
          <w:tcPr>
            <w:tcW w:w="0" w:type="dxa"/>
            <w:vAlign w:val="bottom"/>
          </w:tcPr>
          <w:p>
            <w:pPr>
              <w:spacing w:after="0"/>
              <w:rPr>
                <w:sz w:val="1"/>
                <w:szCs w:val="1"/>
                <w:color w:val="auto"/>
              </w:rPr>
            </w:pPr>
          </w:p>
        </w:tc>
      </w:tr>
      <w:tr>
        <w:trPr>
          <w:trHeight w:val="144"/>
        </w:trPr>
        <w:tc>
          <w:tcPr>
            <w:tcW w:w="362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c>
          <w:tcPr>
            <w:tcW w:w="4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5560" w:right="3820" w:hanging="4627"/>
        <w:spacing w:after="0" w:line="784" w:lineRule="auto"/>
        <w:tabs>
          <w:tab w:leader="none" w:pos="1514"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Other Resignations from Employment</w:t>
      </w:r>
      <w:r>
        <w:rPr>
          <w:rFonts w:ascii="Times New Roman" w:cs="Times New Roman" w:eastAsia="Times New Roman" w:hAnsi="Times New Roman"/>
          <w:sz w:val="12"/>
          <w:szCs w:val="12"/>
          <w:color w:val="auto"/>
        </w:rPr>
        <w:t>. All other resignations from employment must comply with the Notice Requirements.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89470" cy="114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12" w:name="page313"/>
    <w:bookmarkEnd w:id="312"/>
    <w:p>
      <w:pPr>
        <w:jc w:val="both"/>
        <w:ind w:left="940" w:right="20" w:firstLine="857"/>
        <w:spacing w:after="0" w:line="265" w:lineRule="auto"/>
        <w:tabs>
          <w:tab w:leader="none" w:pos="234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resign from your employment with the Company under circumstances which are not in accordance with the provisions above in this Section 4, you will forfeit any PSUs that have not vested as of your last day of employment with the Company. For the avoidance of doubt, any Shares underlying your PSUs (or rights thereto) that vested and converted prior to your resignation remain subject to the Post-Vest Holding Period following your last day of employment with the Company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and</w:t>
      </w:r>
    </w:p>
    <w:p>
      <w:pPr>
        <w:spacing w:after="0" w:line="118" w:lineRule="exact"/>
        <w:rPr>
          <w:rFonts w:ascii="Times New Roman" w:cs="Times New Roman" w:eastAsia="Times New Roman" w:hAnsi="Times New Roman"/>
          <w:sz w:val="12"/>
          <w:szCs w:val="12"/>
          <w:color w:val="auto"/>
        </w:rPr>
      </w:pPr>
    </w:p>
    <w:p>
      <w:pPr>
        <w:jc w:val="both"/>
        <w:ind w:left="940" w:right="20" w:firstLine="857"/>
        <w:spacing w:after="0" w:line="265" w:lineRule="auto"/>
        <w:tabs>
          <w:tab w:leader="none" w:pos="2382"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prior to the Vesting Date, you give MSCI notice of your intention to resign from your employment with the Company as of a date following the Vesting Date, your PSUs will vest and settle in accordance with Section 2 and will be subject to the Post-Vest Holding Period;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if you do not subsequently comply with the Notice Requirements or Post-Vest Holding Period, the Committee may, in its discretion, require that the gross cash value of the PSUs delivered to you in accordance with this Section 4(d)(ii) be subject to recoupment or payback.</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 the avoidance of doubt, (A) revocation of a notice of intention to resign may, in the Company’s sole discretion or if required to comply with Section 409A, be deemed to be noncompliant with the Notice Requirements and, in connection with such revocation, your PSUs may be forfeited and (B) if, after you have given notice of your intention to resign or retire, as applicable, from your employment with the Company, the Company involuntarily terminates your employment without Cause prior to the expiration of your notice period, your outstanding PSUs will be treated in accordance with Section 4(b) or Section 4(c), as applicable.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Notwithstanding anything to the contrary contained herein, the Adjusted PSUs shall only vest pursuant to this Section 4 provided that you have complied with all applicable provisions of the HSR Act.</w:t>
      </w:r>
    </w:p>
    <w:p>
      <w:pPr>
        <w:spacing w:after="0" w:line="148" w:lineRule="exact"/>
        <w:rPr>
          <w:sz w:val="20"/>
          <w:szCs w:val="20"/>
          <w:color w:val="auto"/>
        </w:rPr>
      </w:pPr>
    </w:p>
    <w:p>
      <w:pPr>
        <w:jc w:val="both"/>
        <w:ind w:firstLine="933"/>
        <w:spacing w:after="0" w:line="255" w:lineRule="auto"/>
        <w:tabs>
          <w:tab w:leader="none" w:pos="1507"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Termination of Employment</w:t>
      </w:r>
      <w:r>
        <w:rPr>
          <w:rFonts w:ascii="Times New Roman" w:cs="Times New Roman" w:eastAsia="Times New Roman" w:hAnsi="Times New Roman"/>
          <w:sz w:val="12"/>
          <w:szCs w:val="12"/>
          <w:color w:val="auto"/>
        </w:rPr>
        <w:t>. Unless otherwise provided in this Section 4 or Section 5(b), your employment relationship will be considered terminated as of the date you are no longer actively providing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services to the Company (whether or not later found to be invalid or in breach of employment laws in the jurisdiction where you are employed or the terms of your employment agreement, if any), and such date will not be extended by any notice period (i.e., your period of employment would not include any contractual notice period or any period of “garden leave” or similar period mandated under employment laws in the jurisdiction where you are employed or the terms of your employment agreement, if any). Notwithstanding anything to the contrary herein or in the Plan, the Committee shall have the exclusive discretion to determine whether and when you are no longer actively providing services for all purposes of your PSUs (including, without limitation, for purposes of this Section 4 and determining whether you are a Retirement Eligible Participant), including whether you may still be considered to be providing services (i) while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your employment for purposes of your PSUs).</w:t>
      </w:r>
    </w:p>
    <w:p>
      <w:pPr>
        <w:spacing w:after="0" w:line="125"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5.</w:t>
      </w:r>
      <w:r>
        <w:rPr>
          <w:sz w:val="20"/>
          <w:szCs w:val="20"/>
          <w:color w:val="auto"/>
        </w:rPr>
        <w:tab/>
      </w:r>
      <w:r>
        <w:rPr>
          <w:rFonts w:ascii="Times New Roman" w:cs="Times New Roman" w:eastAsia="Times New Roman" w:hAnsi="Times New Roman"/>
          <w:sz w:val="12"/>
          <w:szCs w:val="12"/>
          <w:u w:val="single" w:color="auto"/>
          <w:color w:val="auto"/>
        </w:rPr>
        <w:t>Change in Control</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firstLine="933"/>
        <w:spacing w:after="0" w:line="258" w:lineRule="auto"/>
        <w:tabs>
          <w:tab w:leader="none" w:pos="1507" w:val="left"/>
        </w:tabs>
        <w:numPr>
          <w:ilvl w:val="0"/>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w:t>
      </w:r>
      <w:r>
        <w:rPr>
          <w:rFonts w:ascii="Times New Roman" w:cs="Times New Roman" w:eastAsia="Times New Roman" w:hAnsi="Times New Roman"/>
          <w:sz w:val="12"/>
          <w:szCs w:val="12"/>
          <w:color w:val="auto"/>
        </w:rPr>
        <w:t>. In the event of a Change in Control, the Committee, in its sole discretion, may provide for (i) the continuation or assumption of your outstanding PSUs under the Plan by the Company (if it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the surviving corporation) or by the surviving corporation or its parent, in which case your PSUs will continue to be subject to the terms of this Award Agreement, or (ii) the lapse of restrictions relating to and the settlement of your outstanding PSUs immediately prior to such Change in Control in the event a buyer will not continue or assume the PSUs;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in each case, the Performance Metric targets relating to any outstanding Target PSUs will be deemed to have been achieved at the greater of (x) the actual achievement of the Performance Metrics for the period (A) commencing on the first day of the Performance Period and (B) ending on the date immediately prior to such Change in Control and (y) [•]%.</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2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2"/>
          <w:szCs w:val="12"/>
          <w:color w:val="auto"/>
        </w:rPr>
        <w:t>Following a Change in Control in which your outstanding PSUs are continued or assumed pursuant to clause (i) above, such PSUs may be settled in cash, Shares or a combination thereof.</w:t>
      </w:r>
    </w:p>
    <w:p>
      <w:pPr>
        <w:spacing w:after="0" w:line="148" w:lineRule="exact"/>
        <w:rPr>
          <w:sz w:val="20"/>
          <w:szCs w:val="20"/>
          <w:color w:val="auto"/>
        </w:rPr>
      </w:pPr>
    </w:p>
    <w:p>
      <w:pPr>
        <w:jc w:val="both"/>
        <w:ind w:firstLine="933"/>
        <w:spacing w:after="0" w:line="258" w:lineRule="auto"/>
        <w:tabs>
          <w:tab w:leader="none" w:pos="1513"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Qualifying Termination</w:t>
      </w:r>
      <w:r>
        <w:rPr>
          <w:rFonts w:ascii="Times New Roman" w:cs="Times New Roman" w:eastAsia="Times New Roman" w:hAnsi="Times New Roman"/>
          <w:sz w:val="12"/>
          <w:szCs w:val="12"/>
          <w:color w:val="auto"/>
        </w:rPr>
        <w:t>. In the event of a Qualifying Termination (as defined below), your PSUs will vest and convert into Shares within 60 days following such Qualifying Termination. If such 60-day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period begins in one taxable year and ends in a subsequent taxable year, such vesting and conversion shall occur in the second taxable year. “</w:t>
      </w:r>
      <w:r>
        <w:rPr>
          <w:rFonts w:ascii="Times New Roman" w:cs="Times New Roman" w:eastAsia="Times New Roman" w:hAnsi="Times New Roman"/>
          <w:sz w:val="12"/>
          <w:szCs w:val="12"/>
          <w:b w:val="1"/>
          <w:bCs w:val="1"/>
          <w:color w:val="auto"/>
        </w:rPr>
        <w:t>Qualifying Termination</w:t>
      </w:r>
      <w:r>
        <w:rPr>
          <w:rFonts w:ascii="Times New Roman" w:cs="Times New Roman" w:eastAsia="Times New Roman" w:hAnsi="Times New Roman"/>
          <w:sz w:val="12"/>
          <w:szCs w:val="12"/>
          <w:color w:val="auto"/>
        </w:rPr>
        <w:t>” means a termination of employment by the Company without Cause or by you for Good Reason (which shall be deemed an involuntary termination of employment by the Company without Cause), in each case within 24 months following the effective date of the Change in Control in which the PSUs are continued or assumed. Notwithstanding anything to the contrary contained herein, the PSUs shall only vest pursuant to this Section 5(b) provided that you have complied with all applicable provisions of the HSR Act and shall not be subject to the Post-Vest Holding Period.</w:t>
      </w:r>
    </w:p>
    <w:p>
      <w:pPr>
        <w:spacing w:after="0" w:line="124" w:lineRule="exact"/>
        <w:rPr>
          <w:sz w:val="20"/>
          <w:szCs w:val="20"/>
          <w:color w:val="auto"/>
        </w:rPr>
      </w:pPr>
    </w:p>
    <w:p>
      <w:pPr>
        <w:jc w:val="both"/>
        <w:ind w:firstLine="941"/>
        <w:spacing w:after="0" w:line="256" w:lineRule="auto"/>
        <w:rPr>
          <w:sz w:val="20"/>
          <w:szCs w:val="20"/>
          <w:color w:val="auto"/>
        </w:rPr>
      </w:pPr>
      <w:r>
        <w:rPr>
          <w:rFonts w:ascii="Times New Roman" w:cs="Times New Roman" w:eastAsia="Times New Roman" w:hAnsi="Times New Roman"/>
          <w:sz w:val="12"/>
          <w:szCs w:val="12"/>
          <w:color w:val="auto"/>
        </w:rPr>
        <w:t xml:space="preserve">Section 6. </w:t>
      </w:r>
      <w:r>
        <w:rPr>
          <w:rFonts w:ascii="Times New Roman" w:cs="Times New Roman" w:eastAsia="Times New Roman" w:hAnsi="Times New Roman"/>
          <w:sz w:val="12"/>
          <w:szCs w:val="12"/>
          <w:u w:val="single" w:color="auto"/>
          <w:color w:val="auto"/>
        </w:rPr>
        <w:t>Restrictive Covenants</w:t>
      </w:r>
      <w:r>
        <w:rPr>
          <w:rFonts w:ascii="Times New Roman" w:cs="Times New Roman" w:eastAsia="Times New Roman" w:hAnsi="Times New Roman"/>
          <w:sz w:val="12"/>
          <w:szCs w:val="12"/>
          <w:color w:val="auto"/>
        </w:rPr>
        <w:t xml:space="preserve">. In consideration of the grant of PSUs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to this Award Agreement. In the event you violate any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 prior to or on the Adjustment Date, you will forfeit the PSUs (whether or not they are Adjusted PSUs) outstanding as of the date of such violation or (b) after the Adjustment Date, but prior to or on the expiry date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you will promptly deliver to the Company all Shares acquired upon conversion of the Adjusted PSUs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941"/>
        <w:spacing w:after="0" w:line="260" w:lineRule="auto"/>
        <w:rPr>
          <w:sz w:val="20"/>
          <w:szCs w:val="20"/>
          <w:color w:val="auto"/>
        </w:rPr>
      </w:pPr>
      <w:r>
        <w:rPr>
          <w:rFonts w:ascii="Times New Roman" w:cs="Times New Roman" w:eastAsia="Times New Roman" w:hAnsi="Times New Roman"/>
          <w:sz w:val="12"/>
          <w:szCs w:val="12"/>
          <w:color w:val="auto"/>
        </w:rPr>
        <w:t xml:space="preserve">Section 7. </w:t>
      </w:r>
      <w:r>
        <w:rPr>
          <w:rFonts w:ascii="Times New Roman" w:cs="Times New Roman" w:eastAsia="Times New Roman" w:hAnsi="Times New Roman"/>
          <w:sz w:val="12"/>
          <w:szCs w:val="12"/>
          <w:u w:val="single" w:color="auto"/>
          <w:color w:val="auto"/>
        </w:rPr>
        <w:t>Cancellation of Awards</w:t>
      </w:r>
      <w:r>
        <w:rPr>
          <w:rFonts w:ascii="Times New Roman" w:cs="Times New Roman" w:eastAsia="Times New Roman" w:hAnsi="Times New Roman"/>
          <w:sz w:val="12"/>
          <w:szCs w:val="12"/>
          <w:color w:val="auto"/>
        </w:rPr>
        <w:t>. Notwithstanding any other terms of this Award Agreement, your PSUs will be canceled prior to conversion in the event of any Cancellation Event. You may be required to provide MSCI with a written certification or other evidence that it deems appropriate, in its sole discretion, to confirm that no Cancellation Event has occurred. If you fail to submit a timely certification or evidence, MSCI will cancel your award. Except as explicitly provided in Section 4 or Section 5(b), upon a termination of your employment by you or by the Company for any reason, any of your PSUs that have not vested pursuant to Section 2 as of the date of your termination of employment with the Company will be canceled and forfeited in full as of such date.</w:t>
      </w:r>
    </w:p>
    <w:p>
      <w:pPr>
        <w:spacing w:after="0" w:line="122" w:lineRule="exact"/>
        <w:rPr>
          <w:sz w:val="20"/>
          <w:szCs w:val="20"/>
          <w:color w:val="auto"/>
        </w:rPr>
      </w:pPr>
    </w:p>
    <w:p>
      <w:pPr>
        <w:jc w:val="both"/>
        <w:ind w:firstLine="941"/>
        <w:spacing w:after="0" w:line="256" w:lineRule="auto"/>
        <w:rPr>
          <w:sz w:val="20"/>
          <w:szCs w:val="20"/>
          <w:color w:val="auto"/>
        </w:rPr>
      </w:pPr>
      <w:r>
        <w:rPr>
          <w:rFonts w:ascii="Times New Roman" w:cs="Times New Roman" w:eastAsia="Times New Roman" w:hAnsi="Times New Roman"/>
          <w:sz w:val="12"/>
          <w:szCs w:val="12"/>
          <w:color w:val="auto"/>
        </w:rPr>
        <w:t xml:space="preserve">Section 8. </w:t>
      </w:r>
      <w:r>
        <w:rPr>
          <w:rFonts w:ascii="Times New Roman" w:cs="Times New Roman" w:eastAsia="Times New Roman" w:hAnsi="Times New Roman"/>
          <w:sz w:val="12"/>
          <w:szCs w:val="12"/>
          <w:u w:val="single" w:color="auto"/>
          <w:color w:val="auto"/>
        </w:rPr>
        <w:t>Tax and Other Withholding Obligations</w:t>
      </w:r>
      <w:r>
        <w:rPr>
          <w:rFonts w:ascii="Times New Roman" w:cs="Times New Roman" w:eastAsia="Times New Roman" w:hAnsi="Times New Roman"/>
          <w:sz w:val="12"/>
          <w:szCs w:val="12"/>
          <w:color w:val="auto"/>
        </w:rPr>
        <w:t>. Pursuant to Section 15(d) of the Plan and the rules and procedures that the Committee may establish from time to time, tax or other withholding obligations arising upon vesting and conversion (as applicable) of your PSUs and irrespective of any Post-Vest Holding Period may be satisfied, in the Committee’s sole discretion, by having MSCI withhold Shares, tendering Shares or by having MSCI withhold cash if MSCI provides for a cash withholding option, in each case in an amount necessary to satisfy the tax or other withholding obligations. Shares withheld or tendered will be valued using the Fair Market Value of the Shares on the date your PSUs convert. In order to comply with applicable accounting standards or the Company’s policies in effect from time to time, the Committee may limit the amount of Shares that you may have withheld or that you may tender. You acknowledge that, if you are subject to Tax-Related Items (as defined below) in more than one jurisdiction, the Company (including any former employer) may be required to withhold or account for Tax-Related Items in more than one jurisdiction.</w:t>
      </w:r>
    </w:p>
    <w:p>
      <w:pPr>
        <w:spacing w:after="0" w:line="125"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9. </w:t>
      </w:r>
      <w:r>
        <w:rPr>
          <w:rFonts w:ascii="Times New Roman" w:cs="Times New Roman" w:eastAsia="Times New Roman" w:hAnsi="Times New Roman"/>
          <w:sz w:val="12"/>
          <w:szCs w:val="12"/>
          <w:u w:val="single" w:color="auto"/>
          <w:color w:val="auto"/>
        </w:rPr>
        <w:t>Nontransferability</w:t>
      </w:r>
      <w:r>
        <w:rPr>
          <w:rFonts w:ascii="Times New Roman" w:cs="Times New Roman" w:eastAsia="Times New Roman" w:hAnsi="Times New Roman"/>
          <w:sz w:val="12"/>
          <w:szCs w:val="12"/>
          <w:color w:val="auto"/>
        </w:rPr>
        <w:t>. You may not Transfer your PSUs or the Shares underlying your PSUs (or your rights to the foregoing), including during the Post-Vest Holding Period, other than as provided in Section 2(d) or Section 10 or by will or the laws of descent and distribution or otherwise as provided for by the Committee.</w:t>
      </w:r>
    </w:p>
    <w:p>
      <w:pPr>
        <w:spacing w:after="0" w:line="111"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10.</w:t>
      </w:r>
      <w:r>
        <w:rPr>
          <w:sz w:val="20"/>
          <w:szCs w:val="20"/>
          <w:color w:val="auto"/>
        </w:rPr>
        <w:tab/>
      </w:r>
      <w:r>
        <w:rPr>
          <w:rFonts w:ascii="Times New Roman" w:cs="Times New Roman" w:eastAsia="Times New Roman" w:hAnsi="Times New Roman"/>
          <w:sz w:val="12"/>
          <w:szCs w:val="12"/>
          <w:u w:val="single" w:color="auto"/>
          <w:color w:val="auto"/>
        </w:rPr>
        <w:t>Designation of a Beneficiary</w:t>
      </w:r>
      <w:r>
        <w:rPr>
          <w:rFonts w:ascii="Times New Roman" w:cs="Times New Roman" w:eastAsia="Times New Roman" w:hAnsi="Times New Roman"/>
          <w:sz w:val="12"/>
          <w:szCs w:val="12"/>
          <w:color w:val="auto"/>
        </w:rPr>
        <w:t>. Any designation of a beneficiary or beneficiaries to receive all or part of the Shares to be paid under this Award Agreement in the event of your death will be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2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14" w:name="page315"/>
    <w:bookmarkEnd w:id="314"/>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governed by local law. To make a beneficiary designation, you must coordinate with your personal tax or estate planning representative. Any Shares that become payable upon your death will be distributed to your estate in accordance with local law rules. You may replace or revoke your beneficiary designation at any time. If there is any question as to the legal right of any beneficiary(ies)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119" w:lineRule="exact"/>
        <w:rPr>
          <w:sz w:val="20"/>
          <w:szCs w:val="20"/>
          <w:color w:val="auto"/>
        </w:rPr>
      </w:pPr>
    </w:p>
    <w:p>
      <w:pPr>
        <w:jc w:val="both"/>
        <w:ind w:right="20"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11. </w:t>
      </w:r>
      <w:r>
        <w:rPr>
          <w:rFonts w:ascii="Times New Roman" w:cs="Times New Roman" w:eastAsia="Times New Roman" w:hAnsi="Times New Roman"/>
          <w:sz w:val="12"/>
          <w:szCs w:val="12"/>
          <w:u w:val="single" w:color="auto"/>
          <w:color w:val="auto"/>
        </w:rPr>
        <w:t>Ownership and Possession</w:t>
      </w:r>
      <w:r>
        <w:rPr>
          <w:rFonts w:ascii="Times New Roman" w:cs="Times New Roman" w:eastAsia="Times New Roman" w:hAnsi="Times New Roman"/>
          <w:sz w:val="12"/>
          <w:szCs w:val="12"/>
          <w:color w:val="auto"/>
        </w:rPr>
        <w:t>. Except as set forth herein, you will not have any rights as a stockholder in the Shares corresponding to your PSUs prior to conversion of your PSUs. Following conversion of your PSUs, you will be subject to the Post-Vest Holding Period.</w:t>
      </w:r>
    </w:p>
    <w:p>
      <w:pPr>
        <w:spacing w:after="0" w:line="111" w:lineRule="exact"/>
        <w:rPr>
          <w:sz w:val="20"/>
          <w:szCs w:val="20"/>
          <w:color w:val="auto"/>
        </w:rPr>
      </w:pPr>
    </w:p>
    <w:p>
      <w:pPr>
        <w:jc w:val="both"/>
        <w:ind w:right="20"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12. </w:t>
      </w:r>
      <w:r>
        <w:rPr>
          <w:rFonts w:ascii="Times New Roman" w:cs="Times New Roman" w:eastAsia="Times New Roman" w:hAnsi="Times New Roman"/>
          <w:sz w:val="12"/>
          <w:szCs w:val="12"/>
          <w:u w:val="single" w:color="auto"/>
          <w:color w:val="auto"/>
        </w:rPr>
        <w:t>Securities Law Compliance Matters</w:t>
      </w:r>
      <w:r>
        <w:rPr>
          <w:rFonts w:ascii="Times New Roman" w:cs="Times New Roman" w:eastAsia="Times New Roman" w:hAnsi="Times New Roman"/>
          <w:sz w:val="12"/>
          <w:szCs w:val="12"/>
          <w:color w:val="auto"/>
        </w:rPr>
        <w:t>. MSCI may, if it determines it is appropriate, affix any legend to the stock certificates representing Shares issued upon conversion of your PSUs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11" w:lineRule="exact"/>
        <w:rPr>
          <w:sz w:val="20"/>
          <w:szCs w:val="20"/>
          <w:color w:val="auto"/>
        </w:rPr>
      </w:pPr>
    </w:p>
    <w:p>
      <w:pPr>
        <w:jc w:val="both"/>
        <w:ind w:firstLine="941"/>
        <w:spacing w:after="0" w:line="260" w:lineRule="auto"/>
        <w:rPr>
          <w:sz w:val="20"/>
          <w:szCs w:val="20"/>
          <w:color w:val="auto"/>
        </w:rPr>
      </w:pPr>
      <w:r>
        <w:rPr>
          <w:rFonts w:ascii="Times New Roman" w:cs="Times New Roman" w:eastAsia="Times New Roman" w:hAnsi="Times New Roman"/>
          <w:sz w:val="12"/>
          <w:szCs w:val="12"/>
          <w:color w:val="auto"/>
        </w:rPr>
        <w:t xml:space="preserve">Section 13. </w:t>
      </w:r>
      <w:r>
        <w:rPr>
          <w:rFonts w:ascii="Times New Roman" w:cs="Times New Roman" w:eastAsia="Times New Roman" w:hAnsi="Times New Roman"/>
          <w:sz w:val="12"/>
          <w:szCs w:val="12"/>
          <w:u w:val="single" w:color="auto"/>
          <w:color w:val="auto"/>
        </w:rPr>
        <w:t>Compliance with Laws and Regulations</w:t>
      </w:r>
      <w:r>
        <w:rPr>
          <w:rFonts w:ascii="Times New Roman" w:cs="Times New Roman" w:eastAsia="Times New Roman" w:hAnsi="Times New Roman"/>
          <w:sz w:val="12"/>
          <w:szCs w:val="12"/>
          <w:color w:val="auto"/>
        </w:rPr>
        <w:t>. Any sale, assignment, transfer, pledge, mortgage, encumbrance or other disposition of Shares issued upon conversion of your PSUs and following the expiration of the Post-Vest Holding Period (whether 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122"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14.</w:t>
      </w:r>
      <w:r>
        <w:rPr>
          <w:sz w:val="20"/>
          <w:szCs w:val="20"/>
          <w:color w:val="auto"/>
        </w:rPr>
        <w:tab/>
      </w:r>
      <w:r>
        <w:rPr>
          <w:rFonts w:ascii="Times New Roman" w:cs="Times New Roman" w:eastAsia="Times New Roman" w:hAnsi="Times New Roman"/>
          <w:sz w:val="12"/>
          <w:szCs w:val="12"/>
          <w:u w:val="single" w:color="auto"/>
          <w:color w:val="auto"/>
        </w:rPr>
        <w:t>No Entitlements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1500" w:hanging="567"/>
        <w:spacing w:after="0"/>
        <w:tabs>
          <w:tab w:leader="none" w:pos="1500"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Right to Continued Employment</w:t>
      </w:r>
      <w:r>
        <w:rPr>
          <w:rFonts w:ascii="Times New Roman" w:cs="Times New Roman" w:eastAsia="Times New Roman" w:hAnsi="Times New Roman"/>
          <w:sz w:val="12"/>
          <w:szCs w:val="12"/>
          <w:color w:val="auto"/>
        </w:rPr>
        <w:t>. This PSU award is not an employment agreement, and nothing in this Award Agreement or the Plan shall alter your status as an “at-will” employee of the Company.</w:t>
      </w:r>
    </w:p>
    <w:p>
      <w:pPr>
        <w:spacing w:after="0" w:line="150" w:lineRule="exact"/>
        <w:rPr>
          <w:rFonts w:ascii="Times New Roman" w:cs="Times New Roman" w:eastAsia="Times New Roman" w:hAnsi="Times New Roman"/>
          <w:sz w:val="12"/>
          <w:szCs w:val="12"/>
          <w:color w:val="auto"/>
        </w:rPr>
      </w:pPr>
    </w:p>
    <w:p>
      <w:pPr>
        <w:jc w:val="both"/>
        <w:ind w:firstLine="933"/>
        <w:spacing w:after="0" w:line="266" w:lineRule="auto"/>
        <w:tabs>
          <w:tab w:leader="none" w:pos="1513"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Right to Future Awards</w:t>
      </w:r>
      <w:r>
        <w:rPr>
          <w:rFonts w:ascii="Times New Roman" w:cs="Times New Roman" w:eastAsia="Times New Roman" w:hAnsi="Times New Roman"/>
          <w:sz w:val="12"/>
          <w:szCs w:val="12"/>
          <w:color w:val="auto"/>
        </w:rPr>
        <w:t>. This award, and all other awards of PSUs and other equity-based awards, are discretionary. This award does not confer on you any right or entitlement to receive another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award of PSUs or any other equity-based award at any time in the future or in respect of any future period. You agree that any release required under Section 4 of this Award Agreement is in exchange for the grant of PSUs hereunder, for which you have no current entitlement.</w:t>
      </w:r>
    </w:p>
    <w:p>
      <w:pPr>
        <w:spacing w:after="0" w:line="117" w:lineRule="exact"/>
        <w:rPr>
          <w:rFonts w:ascii="Times New Roman" w:cs="Times New Roman" w:eastAsia="Times New Roman" w:hAnsi="Times New Roman"/>
          <w:sz w:val="12"/>
          <w:szCs w:val="12"/>
          <w:color w:val="auto"/>
        </w:rPr>
      </w:pPr>
    </w:p>
    <w:p>
      <w:pPr>
        <w:ind w:firstLine="933"/>
        <w:spacing w:after="0" w:line="283" w:lineRule="auto"/>
        <w:tabs>
          <w:tab w:leader="none" w:pos="1507"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Effect on Future Employment Compensation</w:t>
      </w:r>
      <w:r>
        <w:rPr>
          <w:rFonts w:ascii="Times New Roman" w:cs="Times New Roman" w:eastAsia="Times New Roman" w:hAnsi="Times New Roman"/>
          <w:sz w:val="12"/>
          <w:szCs w:val="12"/>
          <w:color w:val="auto"/>
        </w:rPr>
        <w:t>. MSCI has made this award to you in its sole discretion. This award does not confer on you any right or entitlement to receive compensation in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specific amount. In addition, this award is not part of your base salary or wages and will not be taken into account in determining any other employment-related rights you may have, such as rights to pension or severance pay.</w:t>
      </w:r>
    </w:p>
    <w:p>
      <w:pPr>
        <w:spacing w:after="0" w:line="109" w:lineRule="exact"/>
        <w:rPr>
          <w:sz w:val="20"/>
          <w:szCs w:val="20"/>
          <w:color w:val="auto"/>
        </w:rPr>
      </w:pPr>
    </w:p>
    <w:p>
      <w:pPr>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15. </w:t>
      </w:r>
      <w:r>
        <w:rPr>
          <w:rFonts w:ascii="Times New Roman" w:cs="Times New Roman" w:eastAsia="Times New Roman" w:hAnsi="Times New Roman"/>
          <w:sz w:val="12"/>
          <w:szCs w:val="12"/>
          <w:u w:val="single" w:color="auto"/>
          <w:color w:val="auto"/>
        </w:rPr>
        <w:t>No Advice Regarding Grant</w:t>
      </w:r>
      <w:r>
        <w:rPr>
          <w:rFonts w:ascii="Times New Roman" w:cs="Times New Roman" w:eastAsia="Times New Roman" w:hAnsi="Times New Roman"/>
          <w:sz w:val="12"/>
          <w:szCs w:val="1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111"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16.</w:t>
      </w:r>
      <w:r>
        <w:rPr>
          <w:sz w:val="20"/>
          <w:szCs w:val="20"/>
          <w:color w:val="auto"/>
        </w:rPr>
        <w:tab/>
      </w:r>
      <w:r>
        <w:rPr>
          <w:rFonts w:ascii="Times New Roman" w:cs="Times New Roman" w:eastAsia="Times New Roman" w:hAnsi="Times New Roman"/>
          <w:sz w:val="12"/>
          <w:szCs w:val="12"/>
          <w:u w:val="single" w:color="auto"/>
          <w:color w:val="auto"/>
        </w:rPr>
        <w:t>Consents under Local Law</w:t>
      </w:r>
      <w:r>
        <w:rPr>
          <w:rFonts w:ascii="Times New Roman" w:cs="Times New Roman" w:eastAsia="Times New Roman" w:hAnsi="Times New Roman"/>
          <w:sz w:val="12"/>
          <w:szCs w:val="12"/>
          <w:color w:val="auto"/>
        </w:rPr>
        <w:t>. Your award is conditioned upon the making of all filings and the receipt of all consents or authorizations required to comply with, or to be obtained under, applicable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local law.</w:t>
      </w:r>
    </w:p>
    <w:p>
      <w:pPr>
        <w:spacing w:after="0" w:line="139"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17.</w:t>
      </w:r>
      <w:r>
        <w:rPr>
          <w:sz w:val="20"/>
          <w:szCs w:val="20"/>
          <w:color w:val="auto"/>
        </w:rPr>
        <w:tab/>
      </w:r>
      <w:r>
        <w:rPr>
          <w:rFonts w:ascii="Times New Roman" w:cs="Times New Roman" w:eastAsia="Times New Roman" w:hAnsi="Times New Roman"/>
          <w:sz w:val="11"/>
          <w:szCs w:val="11"/>
          <w:u w:val="single" w:color="auto"/>
          <w:color w:val="auto"/>
        </w:rPr>
        <w:t>Award Modification and Section 409A</w:t>
      </w:r>
      <w:r>
        <w:rPr>
          <w:rFonts w:ascii="Times New Roman" w:cs="Times New Roman" w:eastAsia="Times New Roman" w:hAnsi="Times New Roman"/>
          <w:sz w:val="11"/>
          <w:szCs w:val="11"/>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2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15" w:name="page316"/>
    <w:bookmarkEnd w:id="315"/>
    <w:p>
      <w:pPr>
        <w:jc w:val="both"/>
        <w:ind w:firstLine="933"/>
        <w:spacing w:after="0" w:line="257" w:lineRule="auto"/>
        <w:tabs>
          <w:tab w:leader="none" w:pos="1507" w:val="left"/>
        </w:tabs>
        <w:numPr>
          <w:ilvl w:val="0"/>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Modification. </w:t>
      </w:r>
      <w:r>
        <w:rPr>
          <w:rFonts w:ascii="Times New Roman" w:cs="Times New Roman" w:eastAsia="Times New Roman" w:hAnsi="Times New Roman"/>
          <w:sz w:val="12"/>
          <w:szCs w:val="12"/>
          <w:color w:val="auto"/>
        </w:rPr>
        <w:t>MSCI reserves the right to modify or amend unilaterally the terms and conditions of your PSUs, without first asking your consent, or to waive any terms and conditions that operate in favor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of MSCI. MSCI may not modify your PSUs in a manner that would materially impair your rights in your PSUs without your consent;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MSCI may, without your consent, amend or modify your PSUs in any manner that MSCI considers necessary or advisable to comply with applicable law, stock market or exchange rules and regulations or accounting or tax rules and regulations or to ensure that your PSUs are not subject to tax prior to payment. MSCI will notify you of any amendment of your PSUs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21"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Section 409A</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jc w:val="both"/>
        <w:ind w:left="940" w:firstLine="857"/>
        <w:spacing w:after="0" w:line="265" w:lineRule="auto"/>
        <w:tabs>
          <w:tab w:leader="none" w:pos="2348" w:val="left"/>
        </w:tabs>
        <w:numPr>
          <w:ilvl w:val="1"/>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understand and agree that all payments made pursuant to this Award Agreement are intended to be exempt and/or comply with Section 409A, 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w:t>
      </w:r>
    </w:p>
    <w:p>
      <w:pPr>
        <w:spacing w:after="0" w:line="118" w:lineRule="exact"/>
        <w:rPr>
          <w:rFonts w:ascii="Times New Roman" w:cs="Times New Roman" w:eastAsia="Times New Roman" w:hAnsi="Times New Roman"/>
          <w:sz w:val="12"/>
          <w:szCs w:val="12"/>
          <w:color w:val="auto"/>
        </w:rPr>
      </w:pPr>
    </w:p>
    <w:p>
      <w:pPr>
        <w:jc w:val="both"/>
        <w:ind w:left="940" w:firstLine="857"/>
        <w:spacing w:after="0" w:line="254" w:lineRule="auto"/>
        <w:tabs>
          <w:tab w:leader="none" w:pos="2382" w:val="left"/>
        </w:tabs>
        <w:numPr>
          <w:ilvl w:val="1"/>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other provisions of this Award Agreement, to the extent necessary to comply with Section 409A, no conversion specified hereunder shall occur unless permissible under Section 409A. If MSCI considers you to be one of its “specified employees” and you are a U.S. taxpayer, in each case, at the time of your “separation from service” (as such terms are defined in the Code) from the Company, no conversion specified hereunder shall occur prior to the expiration of the six-month period measured from the date of your separation from service from the Company (such period, the “</w:t>
      </w:r>
      <w:r>
        <w:rPr>
          <w:rFonts w:ascii="Times New Roman" w:cs="Times New Roman" w:eastAsia="Times New Roman" w:hAnsi="Times New Roman"/>
          <w:sz w:val="12"/>
          <w:szCs w:val="12"/>
          <w:b w:val="1"/>
          <w:bCs w:val="1"/>
          <w:color w:val="auto"/>
        </w:rPr>
        <w:t>Specified Employee Period</w:t>
      </w:r>
      <w:r>
        <w:rPr>
          <w:rFonts w:ascii="Times New Roman" w:cs="Times New Roman" w:eastAsia="Times New Roman" w:hAnsi="Times New Roman"/>
          <w:sz w:val="12"/>
          <w:szCs w:val="12"/>
          <w:color w:val="auto"/>
        </w:rPr>
        <w:t xml:space="preserve">”). Any conversion of Adjusted PSUs into Shares that would have occurred during the Specified Employee Period but for the fact that you are deemed to be a specified employee shall be satisfied either by (A) conversion of such Adjusted PSUs into Shares on the first business day following the Specified Employee Period or (B) a cash payment on the first business day following the Specified Employee Period equal to the value of such Adjusted PSUs on the scheduled conversion date (based on the value of the Shares on such date) plus accrued interest as determined by MSCI;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to the extent this Section 17(b)(ii) is applicable, in the event of your death after the date of your separation from service from the Company, any conversion or payment delayed pursuant to this Section 17(b)(ii) shall occur or be made immediately. For the avoidance of doubt, any determination as to form of payment provided in this Section 17(b)(ii) will be in the sole discretion of MSCI.</w:t>
      </w:r>
    </w:p>
    <w:p>
      <w:pPr>
        <w:spacing w:after="0" w:line="127" w:lineRule="exact"/>
        <w:rPr>
          <w:rFonts w:ascii="Times New Roman" w:cs="Times New Roman" w:eastAsia="Times New Roman" w:hAnsi="Times New Roman"/>
          <w:sz w:val="12"/>
          <w:szCs w:val="12"/>
          <w:color w:val="auto"/>
        </w:rPr>
      </w:pPr>
    </w:p>
    <w:p>
      <w:pPr>
        <w:ind w:left="940" w:firstLine="857"/>
        <w:spacing w:after="0" w:line="279" w:lineRule="auto"/>
        <w:tabs>
          <w:tab w:leader="none" w:pos="2415" w:val="left"/>
        </w:tabs>
        <w:numPr>
          <w:ilvl w:val="1"/>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any provision of this Award Agreement providing for the payment of any amounts of nonqualified deferred compensation upon or following a termination of employment from the Company, references to your “termination of employment” (and corollary terms) shall be construed to refer to your “separation from service” from the Company.</w:t>
      </w:r>
    </w:p>
    <w:p>
      <w:pPr>
        <w:spacing w:after="0" w:line="111" w:lineRule="exact"/>
        <w:rPr>
          <w:rFonts w:ascii="Times New Roman" w:cs="Times New Roman" w:eastAsia="Times New Roman" w:hAnsi="Times New Roman"/>
          <w:sz w:val="12"/>
          <w:szCs w:val="12"/>
          <w:color w:val="auto"/>
        </w:rPr>
      </w:pPr>
    </w:p>
    <w:p>
      <w:pPr>
        <w:ind w:left="940" w:firstLine="857"/>
        <w:spacing w:after="0" w:line="279" w:lineRule="auto"/>
        <w:tabs>
          <w:tab w:leader="none" w:pos="2408" w:val="left"/>
        </w:tabs>
        <w:numPr>
          <w:ilvl w:val="1"/>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reserves the right to modify the terms of this Award Agreement, including, without limitation, the payment provisions applicable to your PSUs, to the extent necessary or advisable to comply with Section 409A and reserves the right to make any changes to your PSU award so that it does not become subject to Section 409A or become subject to a Specified Employee Period.</w:t>
      </w:r>
    </w:p>
    <w:p>
      <w:pPr>
        <w:spacing w:after="0" w:line="111" w:lineRule="exact"/>
        <w:rPr>
          <w:sz w:val="20"/>
          <w:szCs w:val="20"/>
          <w:color w:val="auto"/>
        </w:rPr>
      </w:pPr>
    </w:p>
    <w:p>
      <w:pPr>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18.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In the event MSCI determines that any provision of this Award Agreement would cause you to be in constructive receipt for United States federal or state income tax purposes of any portion of your award, then such provision will be considered null and void, and this Award Agreement will be construed and enforced as if the provision had not been included in this Award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2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2"/>
          <w:szCs w:val="12"/>
          <w:color w:val="auto"/>
        </w:rPr>
        <w:t>Agreement as of the date such provision was determined to cause you to be in constructive receipt of any portion of your award.</w:t>
      </w:r>
    </w:p>
    <w:p>
      <w:pPr>
        <w:spacing w:after="0" w:line="150"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19. </w:t>
      </w:r>
      <w:r>
        <w:rPr>
          <w:rFonts w:ascii="Times New Roman" w:cs="Times New Roman" w:eastAsia="Times New Roman" w:hAnsi="Times New Roman"/>
          <w:sz w:val="12"/>
          <w:szCs w:val="12"/>
          <w:u w:val="single" w:color="auto"/>
          <w:color w:val="auto"/>
        </w:rPr>
        <w:t>Successors</w:t>
      </w:r>
      <w:r>
        <w:rPr>
          <w:rFonts w:ascii="Times New Roman" w:cs="Times New Roman" w:eastAsia="Times New Roman" w:hAnsi="Times New Roman"/>
          <w:sz w:val="12"/>
          <w:szCs w:val="12"/>
          <w:color w:val="auto"/>
        </w:rPr>
        <w:t>. This Award Agreement shall be binding upon and inure to the benefit of any successor or successors of the Company and any person or persons who shall, upon your death, acquire any rights hereunder in accordance with this Award Agreement or the Plan.</w:t>
      </w:r>
    </w:p>
    <w:p>
      <w:pPr>
        <w:spacing w:after="0" w:line="111" w:lineRule="exact"/>
        <w:rPr>
          <w:sz w:val="20"/>
          <w:szCs w:val="20"/>
          <w:color w:val="auto"/>
        </w:rPr>
      </w:pPr>
    </w:p>
    <w:p>
      <w:pPr>
        <w:jc w:val="both"/>
        <w:ind w:firstLine="941"/>
        <w:spacing w:after="0" w:line="260" w:lineRule="auto"/>
        <w:rPr>
          <w:sz w:val="20"/>
          <w:szCs w:val="20"/>
          <w:color w:val="auto"/>
        </w:rPr>
      </w:pPr>
      <w:r>
        <w:rPr>
          <w:rFonts w:ascii="Times New Roman" w:cs="Times New Roman" w:eastAsia="Times New Roman" w:hAnsi="Times New Roman"/>
          <w:sz w:val="12"/>
          <w:szCs w:val="12"/>
          <w:color w:val="auto"/>
        </w:rPr>
        <w:t xml:space="preserve">Section 20. </w:t>
      </w:r>
      <w:r>
        <w:rPr>
          <w:rFonts w:ascii="Times New Roman" w:cs="Times New Roman" w:eastAsia="Times New Roman" w:hAnsi="Times New Roman"/>
          <w:sz w:val="12"/>
          <w:szCs w:val="12"/>
          <w:u w:val="single" w:color="auto"/>
          <w:color w:val="auto"/>
        </w:rPr>
        <w:t>Rule of Construction for Timing of Conversion</w:t>
      </w:r>
      <w:r>
        <w:rPr>
          <w:rFonts w:ascii="Times New Roman" w:cs="Times New Roman" w:eastAsia="Times New Roman" w:hAnsi="Times New Roman"/>
          <w:sz w:val="12"/>
          <w:szCs w:val="12"/>
          <w:color w:val="auto"/>
        </w:rPr>
        <w:t>. With respect to each provision of this Award Agreement that provides for your PSUs to convert into Shares, or your dividend equivalents to be paid, on a specified event or date, such conversion or payment will be considered to have been timely made, and neither you nor any of your beneficiaries or your estate shall have any claim against the Company for damages based on a delay in conversion or payment, and the Company shall have no liability to you (or to any of your beneficiaries or your estate) in respect of any such delay, as long as payment is made by December 31 of the year in which the applicable Vesting Date or such other specified event or date occurs, or if later, by March 15</w:t>
      </w:r>
      <w:r>
        <w:rPr>
          <w:rFonts w:ascii="Times New Roman" w:cs="Times New Roman" w:eastAsia="Times New Roman" w:hAnsi="Times New Roman"/>
          <w:sz w:val="10"/>
          <w:szCs w:val="10"/>
          <w:color w:val="auto"/>
        </w:rPr>
        <w:t>th</w:t>
      </w:r>
      <w:r>
        <w:rPr>
          <w:rFonts w:ascii="Times New Roman" w:cs="Times New Roman" w:eastAsia="Times New Roman" w:hAnsi="Times New Roman"/>
          <w:sz w:val="12"/>
          <w:szCs w:val="12"/>
          <w:color w:val="auto"/>
        </w:rPr>
        <w:t xml:space="preserve"> of the year following such specified event or date.</w:t>
      </w:r>
    </w:p>
    <w:p>
      <w:pPr>
        <w:spacing w:after="0" w:line="122"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Non-U.S. Participants</w:t>
      </w:r>
      <w:r>
        <w:rPr>
          <w:rFonts w:ascii="Times New Roman" w:cs="Times New Roman" w:eastAsia="Times New Roman" w:hAnsi="Times New Roman"/>
          <w:sz w:val="12"/>
          <w:szCs w:val="12"/>
          <w:color w:val="auto"/>
        </w:rPr>
        <w:t>. The following provisions will apply to you if you reside or work outside of the United States. For the 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17" w:lineRule="exact"/>
        <w:rPr>
          <w:sz w:val="20"/>
          <w:szCs w:val="20"/>
          <w:color w:val="auto"/>
        </w:rPr>
      </w:pPr>
    </w:p>
    <w:p>
      <w:pPr>
        <w:jc w:val="both"/>
        <w:ind w:firstLine="933"/>
        <w:spacing w:after="0" w:line="257" w:lineRule="auto"/>
        <w:tabs>
          <w:tab w:leader="none" w:pos="1507" w:val="left"/>
        </w:tabs>
        <w:numPr>
          <w:ilvl w:val="0"/>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Tax and Other Withholding Obligations. </w:t>
      </w:r>
      <w:r>
        <w:rPr>
          <w:rFonts w:ascii="Times New Roman" w:cs="Times New Roman" w:eastAsia="Times New Roman" w:hAnsi="Times New Roman"/>
          <w:sz w:val="12"/>
          <w:szCs w:val="12"/>
          <w:color w:val="auto"/>
        </w:rPr>
        <w:t>You acknowledge that, regardless of any action taken by the Company, the ultimate liability for all income tax, social insurance, payroll tax, fringe benefits tax,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payment on account or other tax-related items related to your participation in the Plan and legally applicable or deemed applicable to you (“</w:t>
      </w:r>
      <w:r>
        <w:rPr>
          <w:rFonts w:ascii="Times New Roman" w:cs="Times New Roman" w:eastAsia="Times New Roman" w:hAnsi="Times New Roman"/>
          <w:sz w:val="12"/>
          <w:szCs w:val="12"/>
          <w:b w:val="1"/>
          <w:bCs w:val="1"/>
          <w:color w:val="auto"/>
        </w:rPr>
        <w:t>Tax-Related Items</w:t>
      </w:r>
      <w:r>
        <w:rPr>
          <w:rFonts w:ascii="Times New Roman" w:cs="Times New Roman" w:eastAsia="Times New Roman" w:hAnsi="Times New Roman"/>
          <w:sz w:val="12"/>
          <w:szCs w:val="12"/>
          <w:color w:val="auto"/>
        </w:rPr>
        <w:t>”) is and remains your responsibility and may exceed the amount, if any, actually withheld by the Company. You further acknowledge that the Company (i) makes no representations or undertaking regarding the treatment of any Tax-Related Items in connection with any aspect of the PSUs or the underlying Shares, including, but not limited to, the grant, vesting or settlement of the PSUs, the subsequent sale of Shares acquired pursuant to such settlement and the lapse of the Post-Vest Holding Period, and the receipt of any dividend equivalents and/or dividends; and (ii) does not commit to and is under no obligation to structure the terms of the grant or any aspect of the PSUs to reduce or eliminate your liability for Tax-Related Items or achieve any particular tax result.</w:t>
      </w:r>
    </w:p>
    <w:p>
      <w:pPr>
        <w:spacing w:after="0" w:line="123" w:lineRule="exact"/>
        <w:rPr>
          <w:sz w:val="20"/>
          <w:szCs w:val="20"/>
          <w:color w:val="auto"/>
        </w:rPr>
      </w:pPr>
    </w:p>
    <w:p>
      <w:pPr>
        <w:jc w:val="both"/>
        <w:ind w:right="20" w:firstLine="941"/>
        <w:spacing w:after="0" w:line="279" w:lineRule="auto"/>
        <w:rPr>
          <w:sz w:val="20"/>
          <w:szCs w:val="20"/>
          <w:color w:val="auto"/>
        </w:rPr>
      </w:pPr>
      <w:r>
        <w:rPr>
          <w:rFonts w:ascii="Times New Roman" w:cs="Times New Roman" w:eastAsia="Times New Roman" w:hAnsi="Times New Roman"/>
          <w:sz w:val="12"/>
          <w:szCs w:val="12"/>
          <w:color w:val="auto"/>
        </w:rPr>
        <w:t>If the obligation for Tax-Related Items is satisfied by withholding in Shares, for tax purposes, you are deemed to have been issued the full number of Shares subject to the vested PSUs, notwithstanding that a number of the Shares are held back solely for the purpose of paying the Tax-Related Items.</w:t>
      </w:r>
    </w:p>
    <w:p>
      <w:pPr>
        <w:spacing w:after="0" w:line="111" w:lineRule="exact"/>
        <w:rPr>
          <w:sz w:val="20"/>
          <w:szCs w:val="20"/>
          <w:color w:val="auto"/>
        </w:rPr>
      </w:pPr>
    </w:p>
    <w:p>
      <w:pPr>
        <w:jc w:val="both"/>
        <w:ind w:firstLine="941"/>
        <w:spacing w:after="0" w:line="257" w:lineRule="auto"/>
        <w:rPr>
          <w:sz w:val="20"/>
          <w:szCs w:val="20"/>
          <w:color w:val="auto"/>
        </w:rPr>
      </w:pPr>
      <w:r>
        <w:rPr>
          <w:rFonts w:ascii="Times New Roman" w:cs="Times New Roman" w:eastAsia="Times New Roman" w:hAnsi="Times New Roman"/>
          <w:sz w:val="12"/>
          <w:szCs w:val="12"/>
          <w:color w:val="auto"/>
        </w:rPr>
        <w:t>In the event that withholding in and/or tendering Shares is problematic under applicable tax or securities law or has materially adverse accounting consequences, by your acceptance of the PSUs,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minimum or maximum rates applicable in your jurisdiction(s). In the event of over-withholding, you may receive a refund of any over-withheld amount in cash and will have no entitlement to the stock equivalent, or if not refunded, you may seek a refund from the local authorities. In the event of under-withholding, you may be required to pay any additional Tax-Related Items directly to the applicable tax authority or to the Company and/or your employer.</w:t>
      </w:r>
    </w:p>
    <w:p>
      <w:pPr>
        <w:spacing w:after="0" w:line="125" w:lineRule="exact"/>
        <w:rPr>
          <w:sz w:val="20"/>
          <w:szCs w:val="20"/>
          <w:color w:val="auto"/>
        </w:rPr>
      </w:pPr>
    </w:p>
    <w:p>
      <w:pPr>
        <w:jc w:val="both"/>
        <w:ind w:right="20" w:firstLine="941"/>
        <w:spacing w:after="0" w:line="279" w:lineRule="auto"/>
        <w:rPr>
          <w:sz w:val="20"/>
          <w:szCs w:val="20"/>
          <w:color w:val="auto"/>
        </w:rPr>
      </w:pPr>
      <w:r>
        <w:rPr>
          <w:rFonts w:ascii="Times New Roman" w:cs="Times New Roman" w:eastAsia="Times New Roman" w:hAnsi="Times New Roman"/>
          <w:sz w:val="12"/>
          <w:szCs w:val="12"/>
          <w:color w:val="auto"/>
        </w:rPr>
        <w:t>Finally, you agree to pay to the Company, including through withholding from your wages or other cash compensation paid to you by MSCI and/or your employer, any amount of Tax-Related Items that the Company may be required to withhold or account for as a result of your participation in the Plan that cannot be satisfied by the means previously described. MSCI may refuse to issue or deliver the Shares or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3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2"/>
          <w:szCs w:val="12"/>
          <w:color w:val="auto"/>
        </w:rPr>
        <w:t>the proceeds of the sale of Shares if you fail to comply with your obligations in connection with the Tax-Related Items.</w:t>
      </w:r>
    </w:p>
    <w:p>
      <w:pPr>
        <w:spacing w:after="0" w:line="148" w:lineRule="exact"/>
        <w:rPr>
          <w:sz w:val="20"/>
          <w:szCs w:val="20"/>
          <w:color w:val="auto"/>
        </w:rPr>
      </w:pPr>
    </w:p>
    <w:p>
      <w:pPr>
        <w:ind w:left="1500" w:hanging="567"/>
        <w:spacing w:after="0"/>
        <w:tabs>
          <w:tab w:leader="none" w:pos="1500" w:val="left"/>
        </w:tabs>
        <w:numPr>
          <w:ilvl w:val="0"/>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Nature of Grant</w:t>
      </w:r>
      <w:r>
        <w:rPr>
          <w:rFonts w:ascii="Times New Roman" w:cs="Times New Roman" w:eastAsia="Times New Roman" w:hAnsi="Times New Roman"/>
          <w:sz w:val="12"/>
          <w:szCs w:val="12"/>
          <w:color w:val="auto"/>
        </w:rPr>
        <w:t>. In accepting the PSUs, you acknowledge, understand and agree that:</w:t>
      </w:r>
    </w:p>
    <w:p>
      <w:pPr>
        <w:spacing w:after="0" w:line="152" w:lineRule="exact"/>
        <w:rPr>
          <w:rFonts w:ascii="Times New Roman" w:cs="Times New Roman" w:eastAsia="Times New Roman" w:hAnsi="Times New Roman"/>
          <w:sz w:val="12"/>
          <w:szCs w:val="12"/>
          <w:color w:val="auto"/>
        </w:rPr>
      </w:pPr>
    </w:p>
    <w:p>
      <w:pPr>
        <w:ind w:left="2340" w:hanging="543"/>
        <w:spacing w:after="0"/>
        <w:tabs>
          <w:tab w:leader="none" w:pos="2340"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is established voluntarily by MSCI, it is discretionary in nature and it may be modified, amended, suspended or terminated by MSCI at any time, to the extent permitted by the</w:t>
      </w:r>
    </w:p>
    <w:p>
      <w:pPr>
        <w:spacing w:after="0" w:line="1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w:t>
      </w:r>
    </w:p>
    <w:p>
      <w:pPr>
        <w:spacing w:after="0" w:line="139" w:lineRule="exact"/>
        <w:rPr>
          <w:rFonts w:ascii="Times New Roman" w:cs="Times New Roman" w:eastAsia="Times New Roman" w:hAnsi="Times New Roman"/>
          <w:sz w:val="12"/>
          <w:szCs w:val="12"/>
          <w:color w:val="auto"/>
        </w:rPr>
      </w:pPr>
    </w:p>
    <w:p>
      <w:pPr>
        <w:ind w:left="940" w:firstLine="857"/>
        <w:spacing w:after="0" w:line="279" w:lineRule="auto"/>
        <w:tabs>
          <w:tab w:leader="none" w:pos="2382"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PSU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11" w:lineRule="exact"/>
        <w:rPr>
          <w:rFonts w:ascii="Times New Roman" w:cs="Times New Roman" w:eastAsia="Times New Roman" w:hAnsi="Times New Roman"/>
          <w:sz w:val="12"/>
          <w:szCs w:val="12"/>
          <w:color w:val="auto"/>
        </w:rPr>
      </w:pPr>
    </w:p>
    <w:p>
      <w:pPr>
        <w:jc w:val="both"/>
        <w:ind w:left="940" w:firstLine="857"/>
        <w:spacing w:after="0" w:line="265" w:lineRule="auto"/>
        <w:tabs>
          <w:tab w:leader="none" w:pos="2415"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award, and all other awards of PSUs and other equity-based awards, are exceptional, discretionary, voluntary and occasional. This award does not confer on you any contractual or other right or entitlement to receive another award of PSUs, any other equity-based award or benefits in lieu of PSUs at any time in the future or in respect of any future period. You agree that any release required under Section 4 of this Award Agreement is in exchange for the grant of PSUs hereunder, for which you have no current entitlement;</w:t>
      </w:r>
    </w:p>
    <w:p>
      <w:pPr>
        <w:spacing w:after="0" w:line="118" w:lineRule="exact"/>
        <w:rPr>
          <w:rFonts w:ascii="Times New Roman" w:cs="Times New Roman" w:eastAsia="Times New Roman" w:hAnsi="Times New Roman"/>
          <w:sz w:val="12"/>
          <w:szCs w:val="12"/>
          <w:color w:val="auto"/>
        </w:rPr>
      </w:pPr>
    </w:p>
    <w:p>
      <w:pPr>
        <w:ind w:left="2400" w:hanging="603"/>
        <w:spacing w:after="0"/>
        <w:tabs>
          <w:tab w:leader="none" w:pos="2400"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has made this award to you in its sole discretion. All decisions with respect to future PSU or other grants, if any, will be at the sole discretion of MSCI;</w:t>
      </w:r>
    </w:p>
    <w:p>
      <w:pPr>
        <w:spacing w:after="0" w:line="150" w:lineRule="exact"/>
        <w:rPr>
          <w:rFonts w:ascii="Times New Roman" w:cs="Times New Roman" w:eastAsia="Times New Roman" w:hAnsi="Times New Roman"/>
          <w:sz w:val="12"/>
          <w:szCs w:val="12"/>
          <w:color w:val="auto"/>
        </w:rPr>
      </w:pPr>
    </w:p>
    <w:p>
      <w:pPr>
        <w:ind w:left="2360" w:hanging="563"/>
        <w:spacing w:after="0"/>
        <w:tabs>
          <w:tab w:leader="none" w:pos="2360"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voluntarily participating in the Plan;</w:t>
      </w:r>
    </w:p>
    <w:p>
      <w:pPr>
        <w:spacing w:after="0" w:line="150" w:lineRule="exact"/>
        <w:rPr>
          <w:rFonts w:ascii="Times New Roman" w:cs="Times New Roman" w:eastAsia="Times New Roman" w:hAnsi="Times New Roman"/>
          <w:sz w:val="12"/>
          <w:szCs w:val="12"/>
          <w:color w:val="auto"/>
        </w:rPr>
      </w:pPr>
    </w:p>
    <w:p>
      <w:pPr>
        <w:ind w:left="2400" w:hanging="603"/>
        <w:spacing w:after="0"/>
        <w:tabs>
          <w:tab w:leader="none" w:pos="2400"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of PSUs and the Shares subject to the PSUs, and the income and value of the same, are not intended to replace any pension rights or compensation;</w:t>
      </w:r>
    </w:p>
    <w:p>
      <w:pPr>
        <w:spacing w:after="0" w:line="150" w:lineRule="exact"/>
        <w:rPr>
          <w:rFonts w:ascii="Times New Roman" w:cs="Times New Roman" w:eastAsia="Times New Roman" w:hAnsi="Times New Roman"/>
          <w:sz w:val="12"/>
          <w:szCs w:val="12"/>
          <w:color w:val="auto"/>
        </w:rPr>
      </w:pPr>
    </w:p>
    <w:p>
      <w:pPr>
        <w:jc w:val="both"/>
        <w:ind w:left="940" w:firstLine="857"/>
        <w:spacing w:after="0" w:line="260" w:lineRule="auto"/>
        <w:tabs>
          <w:tab w:leader="none" w:pos="2442"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award does not confer on you any right or entitlement to receive compensation in any specific amount. In addition, the PSUs and the Shares subject to the PSUs, and the income from and value of the same, are not part of normal or expected compensation for purposes of, including, but not limited to, calculating any severance, resignation, termination, redundancy, dismissal, end-of-service payments, bonuses, long-service awards, holiday pay, leave pay, pension or retirement or welfare benefits or similar payments, and in no event should be considered as compensation for, or relating in any way to, past services for the Company, the employer, or any Subsidiary;</w:t>
      </w:r>
    </w:p>
    <w:p>
      <w:pPr>
        <w:spacing w:after="0" w:line="122"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475"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agreed with MSCI in writing, the PSUs and the Shares subject to the PSUs, and the income from and value of the same, are not granted as consideration for, or in connection with, the service you may provide as a director of a Subsidiary;</w:t>
      </w:r>
    </w:p>
    <w:p>
      <w:pPr>
        <w:spacing w:after="0" w:line="111" w:lineRule="exact"/>
        <w:rPr>
          <w:rFonts w:ascii="Times New Roman" w:cs="Times New Roman" w:eastAsia="Times New Roman" w:hAnsi="Times New Roman"/>
          <w:sz w:val="12"/>
          <w:szCs w:val="12"/>
          <w:color w:val="auto"/>
        </w:rPr>
      </w:pPr>
    </w:p>
    <w:p>
      <w:pPr>
        <w:ind w:left="2400" w:hanging="603"/>
        <w:spacing w:after="0"/>
        <w:tabs>
          <w:tab w:leader="none" w:pos="2400"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value of the underlying Shares is unknown, indeterminable and cannot be predicted with certainty;</w:t>
      </w:r>
    </w:p>
    <w:p>
      <w:pPr>
        <w:spacing w:after="0" w:line="150"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375"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 or entitlement to compensation or damages shall arise from forfeiture of the PSUs resulting from the termination of your employment relationship (for any reason whatsoever, whether or not later found to be invalid or in breach of employment laws in the jurisdiction where you are employed or the terms of your employment agreement, if any); and</w:t>
      </w:r>
    </w:p>
    <w:p>
      <w:pPr>
        <w:spacing w:after="0" w:line="111" w:lineRule="exact"/>
        <w:rPr>
          <w:rFonts w:ascii="Times New Roman" w:cs="Times New Roman" w:eastAsia="Times New Roman" w:hAnsi="Times New Roman"/>
          <w:sz w:val="12"/>
          <w:szCs w:val="12"/>
          <w:color w:val="auto"/>
        </w:rPr>
      </w:pPr>
    </w:p>
    <w:p>
      <w:pPr>
        <w:ind w:left="940" w:firstLine="857"/>
        <w:spacing w:after="0" w:line="279" w:lineRule="auto"/>
        <w:tabs>
          <w:tab w:leader="none" w:pos="2408"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acknowledge and agree that the Company shall not be liable for any foreign exchange rate fluctuation between your local currency and the U.S. Dollar that may affect the value of the PSU or of any amounts due to you pursuant to the settlement of the PSU or the subsequent sale of any Shares acquired upon settlement.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18" w:name="page319"/>
    <w:bookmarkEnd w:id="318"/>
    <w:p>
      <w:pPr>
        <w:jc w:val="both"/>
        <w:ind w:firstLine="933"/>
        <w:spacing w:after="0" w:line="266" w:lineRule="auto"/>
        <w:tabs>
          <w:tab w:leader="none" w:pos="1507" w:val="left"/>
        </w:tabs>
        <w:numPr>
          <w:ilvl w:val="0"/>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Retirement Treatment</w:t>
      </w:r>
      <w:r>
        <w:rPr>
          <w:rFonts w:ascii="Times New Roman" w:cs="Times New Roman" w:eastAsia="Times New Roman" w:hAnsi="Times New Roman"/>
          <w:sz w:val="12"/>
          <w:szCs w:val="12"/>
          <w:color w:val="auto"/>
        </w:rPr>
        <w:t>. Notwithstanding anything to the contrary in this Section 21(c) of this Award Agreement, if the Company receives a legal opinion that there has been a legal judgment and/or legal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development in your jurisdiction that likely would result in the favorable treatment that applies to the PSUs in the event of your retirement being deemed unlawful and/or discriminatory, the provisions of Section 4 of this Award Agreement regarding the treatment of the PSUs in the event of your retirement shall not be applicable to you.</w:t>
      </w:r>
    </w:p>
    <w:p>
      <w:pPr>
        <w:spacing w:after="0" w:line="115"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Data Privacy.</w:t>
      </w:r>
    </w:p>
    <w:p>
      <w:pPr>
        <w:spacing w:after="0" w:line="150" w:lineRule="exact"/>
        <w:rPr>
          <w:sz w:val="20"/>
          <w:szCs w:val="20"/>
          <w:color w:val="auto"/>
        </w:rPr>
      </w:pPr>
    </w:p>
    <w:p>
      <w:pPr>
        <w:ind w:firstLine="941"/>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03" w:lineRule="exact"/>
        <w:rPr>
          <w:sz w:val="20"/>
          <w:szCs w:val="20"/>
          <w:color w:val="auto"/>
        </w:rPr>
      </w:pPr>
    </w:p>
    <w:p>
      <w:pPr>
        <w:ind w:left="940" w:right="20" w:firstLine="857"/>
        <w:spacing w:after="0" w:line="286" w:lineRule="auto"/>
        <w:tabs>
          <w:tab w:leader="none" w:pos="2348" w:val="left"/>
        </w:tabs>
        <w:numPr>
          <w:ilvl w:val="1"/>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03" w:lineRule="exact"/>
        <w:rPr>
          <w:rFonts w:ascii="Times New Roman" w:cs="Times New Roman" w:eastAsia="Times New Roman" w:hAnsi="Times New Roman"/>
          <w:sz w:val="12"/>
          <w:szCs w:val="12"/>
          <w:color w:val="auto"/>
        </w:rPr>
      </w:pPr>
    </w:p>
    <w:p>
      <w:pPr>
        <w:ind w:left="940" w:firstLine="857"/>
        <w:spacing w:after="0" w:line="286" w:lineRule="auto"/>
        <w:tabs>
          <w:tab w:leader="none" w:pos="2382" w:val="left"/>
        </w:tabs>
        <w:numPr>
          <w:ilvl w:val="1"/>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05" w:lineRule="exact"/>
        <w:rPr>
          <w:rFonts w:ascii="Times New Roman" w:cs="Times New Roman" w:eastAsia="Times New Roman" w:hAnsi="Times New Roman"/>
          <w:sz w:val="12"/>
          <w:szCs w:val="12"/>
          <w:color w:val="auto"/>
        </w:rPr>
      </w:pPr>
    </w:p>
    <w:p>
      <w:pPr>
        <w:jc w:val="both"/>
        <w:ind w:firstLine="933"/>
        <w:spacing w:after="0" w:line="261" w:lineRule="auto"/>
        <w:tabs>
          <w:tab w:leader="none" w:pos="1507" w:val="left"/>
        </w:tabs>
        <w:numPr>
          <w:ilvl w:val="0"/>
          <w:numId w:val="4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Language</w:t>
      </w:r>
      <w:r>
        <w:rPr>
          <w:rFonts w:ascii="Times New Roman" w:cs="Times New Roman" w:eastAsia="Times New Roman" w:hAnsi="Times New Roman"/>
          <w:sz w:val="12"/>
          <w:szCs w:val="12"/>
          <w:color w:val="auto"/>
        </w:rPr>
        <w:t>. If you are a resident in a country where English is not an official language, you acknowledge that you are sufficiently proficient in English to understand the terms and conditions of the Award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Agreement or have had the ability to consult with an advisor who is sufficiently proficient in the English language. You further acknowledge and agree that it is your express intent that the Award Agreement,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and the Plan and all other documents, notices and legal proceedings entered into, given or instituted pursuant to the PSUs be written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19" w:lineRule="exact"/>
        <w:rPr>
          <w:rFonts w:ascii="Times New Roman" w:cs="Times New Roman" w:eastAsia="Times New Roman" w:hAnsi="Times New Roman"/>
          <w:sz w:val="12"/>
          <w:szCs w:val="12"/>
          <w:color w:val="auto"/>
        </w:rPr>
      </w:pPr>
    </w:p>
    <w:p>
      <w:pPr>
        <w:ind w:firstLine="933"/>
        <w:spacing w:after="0" w:line="283" w:lineRule="auto"/>
        <w:tabs>
          <w:tab w:leader="none" w:pos="1493" w:val="left"/>
        </w:tabs>
        <w:numPr>
          <w:ilvl w:val="0"/>
          <w:numId w:val="4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Electronic Delivery and Participation</w:t>
      </w:r>
      <w:r>
        <w:rPr>
          <w:rFonts w:ascii="Times New Roman" w:cs="Times New Roman" w:eastAsia="Times New Roman" w:hAnsi="Times New Roman"/>
          <w:sz w:val="12"/>
          <w:szCs w:val="12"/>
          <w:color w:val="auto"/>
        </w:rPr>
        <w:t>. MSCI may, in its sole discretion, decide to deliver any documents related to current or future participation in the Plan by electronic means. You hereby consent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receive such documents by electronic delivery and agree to participate in the Plan through an online or electronic system established and maintained by MSCI or a third party designated by MSCI.</w:t>
      </w:r>
    </w:p>
    <w:p>
      <w:pPr>
        <w:spacing w:after="0" w:line="106" w:lineRule="exact"/>
        <w:rPr>
          <w:rFonts w:ascii="Times New Roman" w:cs="Times New Roman" w:eastAsia="Times New Roman" w:hAnsi="Times New Roman"/>
          <w:sz w:val="12"/>
          <w:szCs w:val="12"/>
          <w:color w:val="auto"/>
        </w:rPr>
      </w:pPr>
    </w:p>
    <w:p>
      <w:pPr>
        <w:jc w:val="both"/>
        <w:ind w:firstLine="933"/>
        <w:spacing w:after="0" w:line="266" w:lineRule="auto"/>
        <w:tabs>
          <w:tab w:leader="none" w:pos="1513" w:val="left"/>
        </w:tabs>
        <w:numPr>
          <w:ilvl w:val="0"/>
          <w:numId w:val="4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 C</w:t>
      </w:r>
      <w:r>
        <w:rPr>
          <w:rFonts w:ascii="Times New Roman" w:cs="Times New Roman" w:eastAsia="Times New Roman" w:hAnsi="Times New Roman"/>
          <w:sz w:val="12"/>
          <w:szCs w:val="12"/>
          <w:color w:val="auto"/>
        </w:rPr>
        <w:t>. Notwithstanding any provisions in this Award Agreement, the PSUs shall be subject to any additional terms and conditions set forth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this Award Agreement for your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country. Moreover, if you relocate to one of the countries included in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the additional terms and conditions for such country will apply to you, to the extent MSCI determines that the application of such terms and conditions is necessary or advisable for legal or administrative reasons.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constitutes part of this Award Agreement.</w:t>
      </w:r>
    </w:p>
    <w:p>
      <w:pPr>
        <w:spacing w:after="0" w:line="117" w:lineRule="exact"/>
        <w:rPr>
          <w:rFonts w:ascii="Times New Roman" w:cs="Times New Roman" w:eastAsia="Times New Roman" w:hAnsi="Times New Roman"/>
          <w:sz w:val="12"/>
          <w:szCs w:val="12"/>
          <w:color w:val="auto"/>
        </w:rPr>
      </w:pPr>
    </w:p>
    <w:p>
      <w:pPr>
        <w:jc w:val="both"/>
        <w:ind w:firstLine="933"/>
        <w:spacing w:after="0" w:line="257" w:lineRule="auto"/>
        <w:tabs>
          <w:tab w:leader="none" w:pos="1513" w:val="left"/>
        </w:tabs>
        <w:numPr>
          <w:ilvl w:val="0"/>
          <w:numId w:val="4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Insider Trading Restrictions/Market Abuse Laws</w:t>
      </w:r>
      <w:r>
        <w:rPr>
          <w:rFonts w:ascii="Times New Roman" w:cs="Times New Roman" w:eastAsia="Times New Roman" w:hAnsi="Times New Roman"/>
          <w:sz w:val="12"/>
          <w:szCs w:val="12"/>
          <w:color w:val="auto"/>
        </w:rPr>
        <w:t>. By accepting the PSUs, you acknowledge that you are bound by all the terms and conditions of any MSCI insider trading policy as may be in effect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time to time. You further acknowledge that, depending on your country of residence, you may be or may become subject to insider trading restrictions and/or market abuse laws, which may affect your ability to accept, acquire, sell, or otherwise dispose of Shares, rights to Shares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PSUs) or rights linked to the value of Shares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3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319" w:name="page320"/>
    <w:bookmarkEnd w:id="319"/>
    <w:p>
      <w:pPr>
        <w:ind w:right="20"/>
        <w:spacing w:after="0" w:line="279" w:lineRule="auto"/>
        <w:rPr>
          <w:sz w:val="20"/>
          <w:szCs w:val="20"/>
          <w:color w:val="auto"/>
        </w:rPr>
      </w:pPr>
      <w:r>
        <w:rPr>
          <w:rFonts w:ascii="Times New Roman" w:cs="Times New Roman" w:eastAsia="Times New Roman" w:hAnsi="Times New Roman"/>
          <w:sz w:val="12"/>
          <w:szCs w:val="12"/>
          <w:color w:val="auto"/>
        </w:rPr>
        <w:t>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09" w:lineRule="exact"/>
        <w:rPr>
          <w:sz w:val="20"/>
          <w:szCs w:val="20"/>
          <w:color w:val="auto"/>
        </w:rPr>
      </w:pPr>
    </w:p>
    <w:p>
      <w:pPr>
        <w:jc w:val="both"/>
        <w:ind w:firstLine="933"/>
        <w:spacing w:after="0" w:line="261" w:lineRule="auto"/>
        <w:tabs>
          <w:tab w:leader="none" w:pos="1487"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Foreign Asset/Account, Exchange Control Reporting. </w:t>
      </w:r>
      <w:r>
        <w:rPr>
          <w:rFonts w:ascii="Times New Roman" w:cs="Times New Roman" w:eastAsia="Times New Roman" w:hAnsi="Times New Roman"/>
          <w:sz w:val="12"/>
          <w:szCs w:val="12"/>
          <w:color w:val="auto"/>
        </w:rPr>
        <w:t>Your country may have certain exchange control and/or foreign asset/account reporting requirements which may affect your ability to acquire or hold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22" w:lineRule="exact"/>
        <w:rPr>
          <w:sz w:val="20"/>
          <w:szCs w:val="20"/>
          <w:color w:val="auto"/>
        </w:rPr>
      </w:pPr>
    </w:p>
    <w:p>
      <w:pPr>
        <w:jc w:val="both"/>
        <w:ind w:right="20"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22. </w:t>
      </w:r>
      <w:r>
        <w:rPr>
          <w:rFonts w:ascii="Times New Roman" w:cs="Times New Roman" w:eastAsia="Times New Roman" w:hAnsi="Times New Roman"/>
          <w:sz w:val="12"/>
          <w:szCs w:val="12"/>
          <w:u w:val="single" w:color="auto"/>
          <w:color w:val="auto"/>
        </w:rPr>
        <w:t>Governing Law and Venue</w:t>
      </w:r>
      <w:r>
        <w:rPr>
          <w:rFonts w:ascii="Times New Roman" w:cs="Times New Roman" w:eastAsia="Times New Roman" w:hAnsi="Times New Roman"/>
          <w:sz w:val="12"/>
          <w:szCs w:val="12"/>
          <w:color w:val="auto"/>
        </w:rPr>
        <w:t>. The PSU grant and provisions of this Award Agreement are governed by, and subject to, the laws of the State of Delaware, United States of America, without regard to the conflict of law provisions, as provided in the Plan. For purposes of litigating any dispute that arises under this grant or the Award, the parties hereby submit to 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19"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23.</w:t>
      </w:r>
      <w:r>
        <w:rPr>
          <w:sz w:val="20"/>
          <w:szCs w:val="20"/>
          <w:color w:val="auto"/>
        </w:rPr>
        <w:tab/>
      </w:r>
      <w:r>
        <w:rPr>
          <w:rFonts w:ascii="Times New Roman" w:cs="Times New Roman" w:eastAsia="Times New Roman" w:hAnsi="Times New Roman"/>
          <w:sz w:val="11"/>
          <w:szCs w:val="11"/>
          <w:u w:val="single" w:color="auto"/>
          <w:color w:val="auto"/>
        </w:rPr>
        <w:t>Defined Terms</w:t>
      </w:r>
      <w:r>
        <w:rPr>
          <w:rFonts w:ascii="Times New Roman" w:cs="Times New Roman" w:eastAsia="Times New Roman" w:hAnsi="Times New Roman"/>
          <w:sz w:val="11"/>
          <w:szCs w:val="11"/>
          <w:color w:val="auto"/>
        </w:rPr>
        <w:t>. For purposes of this Award Agreement, the following terms shall have the meanings set forth below:</w:t>
      </w:r>
    </w:p>
    <w:p>
      <w:pPr>
        <w:spacing w:after="0" w:line="146" w:lineRule="exact"/>
        <w:rPr>
          <w:sz w:val="20"/>
          <w:szCs w:val="20"/>
          <w:color w:val="auto"/>
        </w:rPr>
      </w:pPr>
    </w:p>
    <w:p>
      <w:pPr>
        <w:jc w:val="both"/>
        <w:ind w:firstLine="941"/>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55/10 Retirement Eligibility</w:t>
      </w:r>
      <w:r>
        <w:rPr>
          <w:rFonts w:ascii="Times New Roman" w:cs="Times New Roman" w:eastAsia="Times New Roman" w:hAnsi="Times New Roman"/>
          <w:sz w:val="12"/>
          <w:szCs w:val="12"/>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17" w:lineRule="exact"/>
        <w:rPr>
          <w:sz w:val="20"/>
          <w:szCs w:val="20"/>
          <w:color w:val="auto"/>
        </w:rPr>
      </w:pPr>
    </w:p>
    <w:p>
      <w:pPr>
        <w:jc w:val="both"/>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55/10 Retirement Termination</w:t>
      </w:r>
      <w:r>
        <w:rPr>
          <w:rFonts w:ascii="Times New Roman" w:cs="Times New Roman" w:eastAsia="Times New Roman" w:hAnsi="Times New Roman"/>
          <w:sz w:val="12"/>
          <w:szCs w:val="12"/>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55/10 Retirement Eligibility.</w:t>
      </w:r>
    </w:p>
    <w:p>
      <w:pPr>
        <w:spacing w:after="0" w:line="103" w:lineRule="exact"/>
        <w:rPr>
          <w:sz w:val="20"/>
          <w:szCs w:val="20"/>
          <w:color w:val="auto"/>
        </w:rPr>
      </w:pPr>
    </w:p>
    <w:p>
      <w:pPr>
        <w:jc w:val="both"/>
        <w:ind w:firstLine="941"/>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62/10 Retirement Eligibility</w:t>
      </w:r>
      <w:r>
        <w:rPr>
          <w:rFonts w:ascii="Times New Roman" w:cs="Times New Roman" w:eastAsia="Times New Roman" w:hAnsi="Times New Roman"/>
          <w:sz w:val="12"/>
          <w:szCs w:val="12"/>
          <w:color w:val="auto"/>
        </w:rPr>
        <w:t>” means your attainment, at any time prior to the applicable Vesting Date, of age 62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17" w:lineRule="exact"/>
        <w:rPr>
          <w:sz w:val="20"/>
          <w:szCs w:val="20"/>
          <w:color w:val="auto"/>
        </w:rPr>
      </w:pPr>
    </w:p>
    <w:p>
      <w:pPr>
        <w:jc w:val="both"/>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62/10 Retirement Termination</w:t>
      </w:r>
      <w:r>
        <w:rPr>
          <w:rFonts w:ascii="Times New Roman" w:cs="Times New Roman" w:eastAsia="Times New Roman" w:hAnsi="Times New Roman"/>
          <w:sz w:val="12"/>
          <w:szCs w:val="12"/>
          <w:color w:val="auto"/>
        </w:rPr>
        <w:t>” means any termination of your employment with the Company (other than (x) under circumstances involving any Cancellation Event (other than the required notice periods), (y) due to your death or Disability or (z) under the circumstances set forth in Section 4(b)(ii)) on or after the date that you attain 62/10 Retirement Eligibility.</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Cancellation Event</w:t>
      </w:r>
      <w:r>
        <w:rPr>
          <w:rFonts w:ascii="Times New Roman" w:cs="Times New Roman" w:eastAsia="Times New Roman" w:hAnsi="Times New Roman"/>
          <w:sz w:val="12"/>
          <w:szCs w:val="12"/>
          <w:color w:val="auto"/>
        </w:rPr>
        <w:t>” will be deemed to have occurred under any one of the following circumstances: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3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20" w:name="page321"/>
    <w:bookmarkEnd w:id="320"/>
    <w:p>
      <w:pPr>
        <w:ind w:left="1500" w:hanging="567"/>
        <w:spacing w:after="0"/>
        <w:tabs>
          <w:tab w:leader="none" w:pos="1500"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misuse of Confidential Information (as defined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to this Award Agreement) or the failure to comply with your obligations under MSCI’s Code of Conduct or otherwise with respect to</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Information;</w:t>
      </w:r>
    </w:p>
    <w:p>
      <w:pPr>
        <w:spacing w:after="0" w:line="137"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termination from the Company for Cause (or a later determination that you could have been terminated for Cause;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determination is made within six months of termination);</w:t>
      </w:r>
    </w:p>
    <w:p>
      <w:pPr>
        <w:spacing w:after="0" w:line="152"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commission of a fraudulent act or participation in misconduct which leads to a material restatement of the Company’s financial statements;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affirmatively accept the terms of this Award Agreement by [•].</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Cause</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jc w:val="both"/>
        <w:ind w:firstLine="933"/>
        <w:spacing w:after="0" w:line="260" w:lineRule="auto"/>
        <w:tabs>
          <w:tab w:leader="none" w:pos="1507"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no act or failure to act on your part shall be deemed willful unless done or omitted to be done by you not in good faith and without reasonable belief that your action or omission was in the best interest of the Company;</w:t>
      </w:r>
    </w:p>
    <w:p>
      <w:pPr>
        <w:spacing w:after="0" w:line="122" w:lineRule="exact"/>
        <w:rPr>
          <w:rFonts w:ascii="Times New Roman" w:cs="Times New Roman" w:eastAsia="Times New Roman" w:hAnsi="Times New Roman"/>
          <w:sz w:val="12"/>
          <w:szCs w:val="12"/>
          <w:color w:val="auto"/>
        </w:rPr>
      </w:pPr>
    </w:p>
    <w:p>
      <w:pPr>
        <w:ind w:firstLine="933"/>
        <w:spacing w:after="0" w:line="279" w:lineRule="auto"/>
        <w:tabs>
          <w:tab w:leader="none" w:pos="1513"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109" w:lineRule="exact"/>
        <w:rPr>
          <w:rFonts w:ascii="Times New Roman" w:cs="Times New Roman" w:eastAsia="Times New Roman" w:hAnsi="Times New Roman"/>
          <w:sz w:val="12"/>
          <w:szCs w:val="12"/>
          <w:color w:val="auto"/>
        </w:rPr>
      </w:pPr>
    </w:p>
    <w:p>
      <w:pPr>
        <w:ind w:right="20" w:firstLine="933"/>
        <w:spacing w:after="0" w:line="283" w:lineRule="auto"/>
        <w:tabs>
          <w:tab w:leader="none" w:pos="1507"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your plea of guilty or </w:t>
      </w:r>
      <w:r>
        <w:rPr>
          <w:rFonts w:ascii="Times New Roman" w:cs="Times New Roman" w:eastAsia="Times New Roman" w:hAnsi="Times New Roman"/>
          <w:sz w:val="12"/>
          <w:szCs w:val="12"/>
          <w:i w:val="1"/>
          <w:iCs w:val="1"/>
          <w:color w:val="auto"/>
        </w:rPr>
        <w:t>nolo contendere</w:t>
      </w:r>
      <w:r>
        <w:rPr>
          <w:rFonts w:ascii="Times New Roman" w:cs="Times New Roman" w:eastAsia="Times New Roman" w:hAnsi="Times New Roman"/>
          <w:sz w:val="12"/>
          <w:szCs w:val="12"/>
          <w:color w:val="auto"/>
        </w:rPr>
        <w:t xml:space="preserve"> to or conviction of a felony under the laws of the United States or any state thereof or any other plea or confession of a similar crime in a jurisdiction in which the Company conducts business; or</w:t>
      </w:r>
    </w:p>
    <w:p>
      <w:pPr>
        <w:spacing w:after="0" w:line="108"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commission of a fraudulent act or participation in misconduct which leads to a material restatement of the Company’s financial statements.</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Internal Revenue Code of 1986, as amended.</w:t>
      </w:r>
    </w:p>
    <w:p>
      <w:pPr>
        <w:spacing w:after="0" w:line="150" w:lineRule="exact"/>
        <w:rPr>
          <w:sz w:val="20"/>
          <w:szCs w:val="20"/>
          <w:color w:val="auto"/>
        </w:rPr>
      </w:pPr>
    </w:p>
    <w:p>
      <w:pPr>
        <w:jc w:val="both"/>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Committee</w:t>
      </w:r>
      <w:r>
        <w:rPr>
          <w:rFonts w:ascii="Times New Roman" w:cs="Times New Roman" w:eastAsia="Times New Roman" w:hAnsi="Times New Roman"/>
          <w:sz w:val="12"/>
          <w:szCs w:val="12"/>
          <w:color w:val="auto"/>
        </w:rPr>
        <w:t xml:space="preserve">” has the meaning ascribed to such term in the Plan;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 Head of Compensation and Benefits.</w:t>
      </w:r>
    </w:p>
    <w:p>
      <w:pPr>
        <w:spacing w:after="0" w:line="103" w:lineRule="exact"/>
        <w:rPr>
          <w:sz w:val="20"/>
          <w:szCs w:val="20"/>
          <w:color w:val="auto"/>
        </w:rPr>
      </w:pPr>
    </w:p>
    <w:p>
      <w:pPr>
        <w:jc w:val="both"/>
        <w:ind w:firstLine="941"/>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Disability</w:t>
      </w:r>
      <w:r>
        <w:rPr>
          <w:rFonts w:ascii="Times New Roman" w:cs="Times New Roman" w:eastAsia="Times New Roman" w:hAnsi="Times New Roman"/>
          <w:sz w:val="12"/>
          <w:szCs w:val="12"/>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Good Reason</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5520" w:right="640" w:hanging="4587"/>
        <w:spacing w:after="0" w:line="780" w:lineRule="auto"/>
        <w:tabs>
          <w:tab w:leader="none" w:pos="1498"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material diminution in your title, status, position, the scope of your assigned duties, responsibilities or authority, including the assignment to you of any duties, responsibilities or authority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7189470" cy="114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2"/>
          <w:szCs w:val="12"/>
          <w:color w:val="auto"/>
        </w:rPr>
        <w:t>inconsistent with the duties, responsibilities and authority assigned to you prior to a Change in Control (including any such diminution resulting from a transaction in which the Company is no longer a public company);</w:t>
      </w:r>
    </w:p>
    <w:p>
      <w:pPr>
        <w:spacing w:after="0" w:line="150" w:lineRule="exact"/>
        <w:rPr>
          <w:sz w:val="20"/>
          <w:szCs w:val="20"/>
          <w:color w:val="auto"/>
        </w:rPr>
      </w:pPr>
    </w:p>
    <w:p>
      <w:pPr>
        <w:jc w:val="both"/>
        <w:ind w:firstLine="933"/>
        <w:spacing w:after="0" w:line="255" w:lineRule="auto"/>
        <w:tabs>
          <w:tab w:leader="none" w:pos="1513" w:val="left"/>
        </w:tabs>
        <w:numPr>
          <w:ilvl w:val="0"/>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Times New Roman" w:cs="Times New Roman" w:eastAsia="Times New Roman" w:hAnsi="Times New Roman"/>
          <w:sz w:val="12"/>
          <w:szCs w:val="12"/>
          <w:b w:val="1"/>
          <w:bCs w:val="1"/>
          <w:color w:val="auto"/>
        </w:rPr>
        <w:t>Equity Value</w:t>
      </w:r>
      <w:r>
        <w:rPr>
          <w:rFonts w:ascii="Times New Roman" w:cs="Times New Roman" w:eastAsia="Times New Roman" w:hAnsi="Times New Roman"/>
          <w:sz w:val="12"/>
          <w:szCs w:val="12"/>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pacing w:after="0" w:line="125"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relocation of more than 25 miles from the location of your principal job location or office prior to a Change in Control;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action or inaction that constitutes a material breach by the Company of any agreement pursuant to which you provide services to the Company;</w:t>
      </w:r>
    </w:p>
    <w:p>
      <w:pPr>
        <w:spacing w:after="0" w:line="148" w:lineRule="exact"/>
        <w:rPr>
          <w:sz w:val="20"/>
          <w:szCs w:val="20"/>
          <w:color w:val="auto"/>
        </w:rPr>
      </w:pPr>
    </w:p>
    <w:p>
      <w:pPr>
        <w:jc w:val="both"/>
        <w:ind w:firstLine="941"/>
        <w:spacing w:after="0" w:line="266" w:lineRule="auto"/>
        <w:rPr>
          <w:sz w:val="20"/>
          <w:szCs w:val="20"/>
          <w:color w:val="auto"/>
        </w:rPr>
      </w:pP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you provide the Company with written notice of your intent to terminate your employment for Good Reason within 90 days of your becoming aware of any circumstances set forth above (with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notice indicating the specific termination provision above on which you are relying and describing in reasonable detail the facts and circumstances claimed to provide a basis for termination of your employment under the indicated provision) and that you provide the Company with at least 30 days following receipt of such notice to remedy such circumstances.</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HSR Act</w:t>
      </w:r>
      <w:r>
        <w:rPr>
          <w:rFonts w:ascii="Times New Roman" w:cs="Times New Roman" w:eastAsia="Times New Roman" w:hAnsi="Times New Roman"/>
          <w:sz w:val="12"/>
          <w:szCs w:val="12"/>
          <w:color w:val="auto"/>
        </w:rPr>
        <w:t>” means the Hart-Scott-Rodino Antitrust Improvements Act of 1976, as amended.</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Legacy Retirement Eligibility</w:t>
      </w:r>
      <w:r>
        <w:rPr>
          <w:rFonts w:ascii="Times New Roman" w:cs="Times New Roman" w:eastAsia="Times New Roman" w:hAnsi="Times New Roman"/>
          <w:sz w:val="12"/>
          <w:szCs w:val="12"/>
          <w:color w:val="auto"/>
        </w:rPr>
        <w:t>” means your attainment, at any time on or prior to December 31, 2014, of any of the following criteria:</w:t>
      </w:r>
    </w:p>
    <w:p>
      <w:pPr>
        <w:spacing w:after="0" w:line="154" w:lineRule="exact"/>
        <w:rPr>
          <w:sz w:val="20"/>
          <w:szCs w:val="20"/>
          <w:color w:val="auto"/>
        </w:rPr>
      </w:pPr>
    </w:p>
    <w:p>
      <w:pPr>
        <w:ind w:left="1500" w:hanging="567"/>
        <w:spacing w:after="0"/>
        <w:tabs>
          <w:tab w:leader="none" w:pos="1500"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 55 and 12 years of service with the Company as a Managing Director or comparable officer;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 50 and 15 years as an officer of the Company;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 55 with five years of service with the Company and age plus years of service equals or exceeds 65;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years of service with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provided </w:t>
      </w:r>
      <w:r>
        <w:rPr>
          <w:rFonts w:ascii="Times New Roman" w:cs="Times New Roman" w:eastAsia="Times New Roman" w:hAnsi="Times New Roman"/>
          <w:sz w:val="12"/>
          <w:szCs w:val="12"/>
          <w:color w:val="auto"/>
        </w:rPr>
        <w:t>that, for purposes of this definition, service with the Company will include any period of service with the following entities and any of their predecessors:</w:t>
      </w:r>
    </w:p>
    <w:p>
      <w:pPr>
        <w:spacing w:after="0" w:line="152" w:lineRule="exact"/>
        <w:rPr>
          <w:sz w:val="20"/>
          <w:szCs w:val="20"/>
          <w:color w:val="auto"/>
        </w:rPr>
      </w:pPr>
    </w:p>
    <w:p>
      <w:pPr>
        <w:ind w:left="2340" w:hanging="543"/>
        <w:spacing w:after="0"/>
        <w:tabs>
          <w:tab w:leader="none" w:pos="2340" w:val="left"/>
        </w:tabs>
        <w:numPr>
          <w:ilvl w:val="0"/>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Barra Inc. and its subsidiaries, prior to the acquisition by the Company;</w:t>
      </w:r>
    </w:p>
    <w:p>
      <w:pPr>
        <w:spacing w:after="0" w:line="150" w:lineRule="exact"/>
        <w:rPr>
          <w:rFonts w:ascii="Times New Roman" w:cs="Times New Roman" w:eastAsia="Times New Roman" w:hAnsi="Times New Roman"/>
          <w:sz w:val="12"/>
          <w:szCs w:val="12"/>
          <w:color w:val="auto"/>
        </w:rPr>
      </w:pPr>
    </w:p>
    <w:p>
      <w:pPr>
        <w:ind w:left="2380" w:hanging="583"/>
        <w:spacing w:after="0"/>
        <w:tabs>
          <w:tab w:leader="none" w:pos="2380" w:val="left"/>
        </w:tabs>
        <w:numPr>
          <w:ilvl w:val="0"/>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International Perspectives S.A., prior to the acquisition by the Company;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3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22" w:name="page323"/>
    <w:bookmarkEnd w:id="322"/>
    <w:p>
      <w:pPr>
        <w:ind w:left="2400" w:hanging="603"/>
        <w:spacing w:after="0"/>
        <w:tabs>
          <w:tab w:leader="none" w:pos="2400"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Morgan Stanley;</w:t>
      </w:r>
    </w:p>
    <w:p>
      <w:pPr>
        <w:spacing w:after="0" w:line="146" w:lineRule="exact"/>
        <w:rPr>
          <w:rFonts w:ascii="Times New Roman" w:cs="Times New Roman" w:eastAsia="Times New Roman" w:hAnsi="Times New Roman"/>
          <w:sz w:val="12"/>
          <w:szCs w:val="12"/>
          <w:color w:val="auto"/>
        </w:rPr>
      </w:pPr>
    </w:p>
    <w:p>
      <w:pPr>
        <w:ind w:left="2400" w:hanging="603"/>
        <w:spacing w:after="0"/>
        <w:tabs>
          <w:tab w:leader="none" w:pos="2400"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Morgan Stanley Group Inc. and its subsidiaries (“</w:t>
      </w:r>
      <w:r>
        <w:rPr>
          <w:rFonts w:ascii="Times New Roman" w:cs="Times New Roman" w:eastAsia="Times New Roman" w:hAnsi="Times New Roman"/>
          <w:sz w:val="12"/>
          <w:szCs w:val="12"/>
          <w:b w:val="1"/>
          <w:bCs w:val="1"/>
          <w:color w:val="auto"/>
        </w:rPr>
        <w:t>MS Group</w:t>
      </w:r>
      <w:r>
        <w:rPr>
          <w:rFonts w:ascii="Times New Roman" w:cs="Times New Roman" w:eastAsia="Times New Roman" w:hAnsi="Times New Roman"/>
          <w:sz w:val="12"/>
          <w:szCs w:val="12"/>
          <w:color w:val="auto"/>
        </w:rPr>
        <w:t>”) prior to the merger with and into Dean Witter, Discover &amp; Co.; and</w:t>
      </w:r>
    </w:p>
    <w:p>
      <w:pPr>
        <w:spacing w:after="0" w:line="150" w:lineRule="exact"/>
        <w:rPr>
          <w:rFonts w:ascii="Times New Roman" w:cs="Times New Roman" w:eastAsia="Times New Roman" w:hAnsi="Times New Roman"/>
          <w:sz w:val="12"/>
          <w:szCs w:val="12"/>
          <w:color w:val="auto"/>
        </w:rPr>
      </w:pPr>
    </w:p>
    <w:p>
      <w:pPr>
        <w:jc w:val="both"/>
        <w:ind w:left="940" w:firstLine="857"/>
        <w:spacing w:after="0" w:line="262" w:lineRule="auto"/>
        <w:tabs>
          <w:tab w:leader="none" w:pos="2375"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Dean Witter, Discover &amp; Co. and its subsidiaries (“</w:t>
      </w:r>
      <w:r>
        <w:rPr>
          <w:rFonts w:ascii="Times New Roman" w:cs="Times New Roman" w:eastAsia="Times New Roman" w:hAnsi="Times New Roman"/>
          <w:sz w:val="12"/>
          <w:szCs w:val="12"/>
          <w:b w:val="1"/>
          <w:bCs w:val="1"/>
          <w:color w:val="auto"/>
        </w:rPr>
        <w:t>DWD</w:t>
      </w:r>
      <w:r>
        <w:rPr>
          <w:rFonts w:ascii="Times New Roman" w:cs="Times New Roman" w:eastAsia="Times New Roman" w:hAnsi="Times New Roman"/>
          <w:sz w:val="12"/>
          <w:szCs w:val="12"/>
          <w:color w:val="auto"/>
        </w:rPr>
        <w:t xml:space="preserve">”) prior to the merger of Morgan Stanley Group Inc. with and into Dean Witter, Discover &amp; Co.;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121"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15" w:lineRule="exact"/>
        <w:rPr>
          <w:sz w:val="20"/>
          <w:szCs w:val="20"/>
          <w:color w:val="auto"/>
        </w:rPr>
      </w:pPr>
    </w:p>
    <w:p>
      <w:pPr>
        <w:jc w:val="both"/>
        <w:ind w:right="20"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Legacy Retirement Termination</w:t>
      </w:r>
      <w:r>
        <w:rPr>
          <w:rFonts w:ascii="Times New Roman" w:cs="Times New Roman" w:eastAsia="Times New Roman" w:hAnsi="Times New Roman"/>
          <w:sz w:val="12"/>
          <w:szCs w:val="12"/>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Legacy Retirement Eligibility.</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Notice Requirements</w:t>
      </w:r>
      <w:r>
        <w:rPr>
          <w:rFonts w:ascii="Times New Roman" w:cs="Times New Roman" w:eastAsia="Times New Roman" w:hAnsi="Times New Roman"/>
          <w:sz w:val="12"/>
          <w:szCs w:val="12"/>
          <w:color w:val="auto"/>
        </w:rPr>
        <w:t>” means prior written notice to MSCI of at least:</w:t>
      </w:r>
    </w:p>
    <w:p>
      <w:pPr>
        <w:spacing w:after="0" w:line="154" w:lineRule="exact"/>
        <w:rPr>
          <w:sz w:val="20"/>
          <w:szCs w:val="20"/>
          <w:color w:val="auto"/>
        </w:rPr>
      </w:pPr>
    </w:p>
    <w:p>
      <w:pPr>
        <w:ind w:left="1500" w:hanging="567"/>
        <w:spacing w:after="0"/>
        <w:tabs>
          <w:tab w:leader="none" w:pos="1500"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180 days if you are a member of the MSCI Executive Committee (or a successor or equivalent committee) at the time of notice of resignation;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 days if you are a Managing Director of the Company (or equivalent title) at the time of notice of resignation.</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07" w:lineRule="exact"/>
        <w:rPr>
          <w:sz w:val="20"/>
          <w:szCs w:val="20"/>
          <w:color w:val="auto"/>
        </w:rPr>
      </w:pPr>
    </w:p>
    <w:p>
      <w:pPr>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Retirement Eligible Participant</w:t>
      </w:r>
      <w:r>
        <w:rPr>
          <w:rFonts w:ascii="Times New Roman" w:cs="Times New Roman" w:eastAsia="Times New Roman" w:hAnsi="Times New Roman"/>
          <w:sz w:val="12"/>
          <w:szCs w:val="12"/>
          <w:color w:val="auto"/>
        </w:rPr>
        <w:t>” means any Participant who, as of the applicable date of determination, satisfies the requirements for Legacy Retirement Eligibility, 55/10 Retirement Eligibility or 62/10 Retirement Eligibility, as the case may be.</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Retirement Termination</w:t>
      </w:r>
      <w:r>
        <w:rPr>
          <w:rFonts w:ascii="Times New Roman" w:cs="Times New Roman" w:eastAsia="Times New Roman" w:hAnsi="Times New Roman"/>
          <w:sz w:val="12"/>
          <w:szCs w:val="12"/>
          <w:color w:val="auto"/>
        </w:rPr>
        <w:t>” means a Legacy Retirement Termination, a 55/10 Retirement Termination or a 62/10 Retirement Termination, as applicable.</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Section 409A</w:t>
      </w:r>
      <w:r>
        <w:rPr>
          <w:rFonts w:ascii="Times New Roman" w:cs="Times New Roman" w:eastAsia="Times New Roman" w:hAnsi="Times New Roman"/>
          <w:sz w:val="12"/>
          <w:szCs w:val="12"/>
          <w:color w:val="auto"/>
        </w:rPr>
        <w:t>” means Section 409A of the Code.</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3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2"/>
          <w:szCs w:val="12"/>
          <w:b w:val="1"/>
          <w:bCs w:val="1"/>
          <w:color w:val="auto"/>
        </w:rPr>
        <w:t>APPENDIX 1</w:t>
      </w:r>
    </w:p>
    <w:p>
      <w:pPr>
        <w:spacing w:after="0" w:line="2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u w:val="single" w:color="auto"/>
          <w:color w:val="auto"/>
        </w:rPr>
        <w:t>PERFORMANCE METRICS</w:t>
      </w:r>
    </w:p>
    <w:p>
      <w:pPr>
        <w:spacing w:after="0" w:line="15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APPENDIX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56515</wp:posOffset>
            </wp:positionV>
            <wp:extent cx="7189470" cy="114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3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RESTRICTIVE COVENANTS</w:t>
      </w:r>
    </w:p>
    <w:p>
      <w:pPr>
        <w:spacing w:after="0" w:line="2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All Participants are subject to the provisions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Capitalized terms used and not otherwise defined herein shall have the meanings ascribed to them in the Award Agreement.</w:t>
      </w:r>
    </w:p>
    <w:p>
      <w:pPr>
        <w:spacing w:after="0" w:line="150"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1.</w:t>
      </w:r>
      <w:r>
        <w:rPr>
          <w:sz w:val="20"/>
          <w:szCs w:val="20"/>
          <w:color w:val="auto"/>
        </w:rPr>
        <w:tab/>
      </w:r>
      <w:r>
        <w:rPr>
          <w:rFonts w:ascii="Times New Roman" w:cs="Times New Roman" w:eastAsia="Times New Roman" w:hAnsi="Times New Roman"/>
          <w:sz w:val="12"/>
          <w:szCs w:val="12"/>
          <w:u w:val="single" w:color="auto"/>
          <w:color w:val="auto"/>
        </w:rPr>
        <w:t>Confidential Information; Assignment of Inventions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933"/>
        <w:spacing w:after="0" w:line="279" w:lineRule="auto"/>
        <w:tabs>
          <w:tab w:leader="none" w:pos="1507" w:val="left"/>
        </w:tabs>
        <w:numPr>
          <w:ilvl w:val="0"/>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11" w:lineRule="exact"/>
        <w:rPr>
          <w:rFonts w:ascii="Times New Roman" w:cs="Times New Roman" w:eastAsia="Times New Roman" w:hAnsi="Times New Roman"/>
          <w:sz w:val="12"/>
          <w:szCs w:val="12"/>
          <w:color w:val="auto"/>
        </w:rPr>
      </w:pPr>
    </w:p>
    <w:p>
      <w:pPr>
        <w:jc w:val="both"/>
        <w:ind w:firstLine="933"/>
        <w:spacing w:after="0" w:line="265" w:lineRule="auto"/>
        <w:tabs>
          <w:tab w:leader="none" w:pos="1513" w:val="left"/>
        </w:tabs>
        <w:numPr>
          <w:ilvl w:val="0"/>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shall prohibit you from disclosing Confidential Information if such disclosure is required by law, governmental process or valid legal process.</w:t>
      </w:r>
    </w:p>
    <w:p>
      <w:pPr>
        <w:spacing w:after="0" w:line="118" w:lineRule="exact"/>
        <w:rPr>
          <w:rFonts w:ascii="Times New Roman" w:cs="Times New Roman" w:eastAsia="Times New Roman" w:hAnsi="Times New Roman"/>
          <w:sz w:val="12"/>
          <w:szCs w:val="12"/>
          <w:color w:val="auto"/>
        </w:rPr>
      </w:pPr>
    </w:p>
    <w:p>
      <w:pPr>
        <w:jc w:val="both"/>
        <w:ind w:firstLine="933"/>
        <w:spacing w:after="0" w:line="256" w:lineRule="auto"/>
        <w:tabs>
          <w:tab w:leader="none" w:pos="1507" w:val="left"/>
        </w:tabs>
        <w:numPr>
          <w:ilvl w:val="0"/>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24" w:lineRule="exact"/>
        <w:rPr>
          <w:rFonts w:ascii="Times New Roman" w:cs="Times New Roman" w:eastAsia="Times New Roman" w:hAnsi="Times New Roman"/>
          <w:sz w:val="12"/>
          <w:szCs w:val="12"/>
          <w:color w:val="auto"/>
        </w:rPr>
      </w:pPr>
    </w:p>
    <w:p>
      <w:pPr>
        <w:jc w:val="both"/>
        <w:ind w:firstLine="933"/>
        <w:spacing w:after="0" w:line="260" w:lineRule="auto"/>
        <w:tabs>
          <w:tab w:leader="none" w:pos="1513" w:val="left"/>
        </w:tabs>
        <w:numPr>
          <w:ilvl w:val="0"/>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22" w:lineRule="exact"/>
        <w:rPr>
          <w:sz w:val="20"/>
          <w:szCs w:val="20"/>
          <w:color w:val="auto"/>
        </w:rPr>
      </w:pPr>
    </w:p>
    <w:p>
      <w:pPr>
        <w:jc w:val="both"/>
        <w:ind w:firstLine="941"/>
        <w:spacing w:after="0" w:line="257" w:lineRule="auto"/>
        <w:rPr>
          <w:sz w:val="20"/>
          <w:szCs w:val="20"/>
          <w:color w:val="auto"/>
        </w:rPr>
      </w:pPr>
      <w:r>
        <w:rPr>
          <w:rFonts w:ascii="Times New Roman" w:cs="Times New Roman" w:eastAsia="Times New Roman" w:hAnsi="Times New Roman"/>
          <w:sz w:val="12"/>
          <w:szCs w:val="12"/>
          <w:color w:val="auto"/>
        </w:rPr>
        <w:t xml:space="preserve">Section 2. </w:t>
      </w:r>
      <w:r>
        <w:rPr>
          <w:rFonts w:ascii="Times New Roman" w:cs="Times New Roman" w:eastAsia="Times New Roman" w:hAnsi="Times New Roman"/>
          <w:sz w:val="12"/>
          <w:szCs w:val="12"/>
          <w:u w:val="single" w:color="auto"/>
          <w:color w:val="auto"/>
        </w:rPr>
        <w:t>Non-Compete</w:t>
      </w:r>
      <w:r>
        <w:rPr>
          <w:rFonts w:ascii="Times New Roman" w:cs="Times New Roman" w:eastAsia="Times New Roman" w:hAnsi="Times New Roman"/>
          <w:sz w:val="12"/>
          <w:szCs w:val="12"/>
          <w:color w:val="auto"/>
        </w:rPr>
        <w:t>. During your employment or service with the Company and for a period of one year following the termination of your employment or service with the Company for any reason (the “</w:t>
      </w:r>
      <w:r>
        <w:rPr>
          <w:rFonts w:ascii="Times New Roman" w:cs="Times New Roman" w:eastAsia="Times New Roman" w:hAnsi="Times New Roman"/>
          <w:sz w:val="12"/>
          <w:szCs w:val="12"/>
          <w:b w:val="1"/>
          <w:bCs w:val="1"/>
          <w:color w:val="auto"/>
        </w:rPr>
        <w:t>Non-Compete Restricted Period</w:t>
      </w:r>
      <w:r>
        <w:rPr>
          <w:rFonts w:ascii="Times New Roman" w:cs="Times New Roman" w:eastAsia="Times New Roman" w:hAnsi="Times New Roman"/>
          <w:sz w:val="12"/>
          <w:szCs w:val="12"/>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25"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Non-Solicit and No-Hire</w:t>
      </w:r>
      <w:r>
        <w:rPr>
          <w:rFonts w:ascii="Times New Roman" w:cs="Times New Roman" w:eastAsia="Times New Roman" w:hAnsi="Times New Roman"/>
          <w:sz w:val="12"/>
          <w:szCs w:val="12"/>
          <w:color w:val="auto"/>
        </w:rPr>
        <w:t>. During your employment or service with the Company and for a period of two years following the termination of your employment or service with the Company for any reason (the “</w:t>
      </w:r>
      <w:r>
        <w:rPr>
          <w:rFonts w:ascii="Times New Roman" w:cs="Times New Roman" w:eastAsia="Times New Roman" w:hAnsi="Times New Roman"/>
          <w:sz w:val="12"/>
          <w:szCs w:val="12"/>
          <w:b w:val="1"/>
          <w:bCs w:val="1"/>
          <w:color w:val="auto"/>
        </w:rPr>
        <w:t>Non-Solicit Restricted Period</w:t>
      </w:r>
      <w:r>
        <w:rPr>
          <w:rFonts w:ascii="Times New Roman" w:cs="Times New Roman" w:eastAsia="Times New Roman" w:hAnsi="Times New Roman"/>
          <w:sz w:val="12"/>
          <w:szCs w:val="12"/>
          <w:color w:val="auto"/>
        </w:rPr>
        <w:t>”), you shall not, directly or indirectly, (a) solicit or encourage any employee of the Company to terminate his or her employment with the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3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5" w:name="page326"/>
    <w:bookmarkEnd w:id="325"/>
    <w:p>
      <w:pPr>
        <w:jc w:val="both"/>
        <w:spacing w:after="0" w:line="265" w:lineRule="auto"/>
        <w:rPr>
          <w:sz w:val="20"/>
          <w:szCs w:val="20"/>
          <w:color w:val="auto"/>
        </w:rPr>
      </w:pPr>
      <w:r>
        <w:rPr>
          <w:rFonts w:ascii="Times New Roman" w:cs="Times New Roman" w:eastAsia="Times New Roman" w:hAnsi="Times New Roman"/>
          <w:sz w:val="12"/>
          <w:szCs w:val="12"/>
          <w:color w:val="auto"/>
        </w:rPr>
        <w:t>Company, (b) hire any employee of the Company prior to the date on which such person has not been employed by the Company or any of its Subsidiaries for a period of at least one year or (c) 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19"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Non-Disparagement</w:t>
      </w:r>
      <w:r>
        <w:rPr>
          <w:rFonts w:ascii="Times New Roman" w:cs="Times New Roman" w:eastAsia="Times New Roman" w:hAnsi="Times New Roman"/>
          <w:sz w:val="12"/>
          <w:szCs w:val="12"/>
          <w:color w:val="auto"/>
        </w:rPr>
        <w:t>. At all times during your employment or service 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263" w:lineRule="exact"/>
        <w:rPr>
          <w:sz w:val="20"/>
          <w:szCs w:val="20"/>
          <w:color w:val="auto"/>
        </w:rPr>
      </w:pPr>
    </w:p>
    <w:p>
      <w:pPr>
        <w:jc w:val="both"/>
        <w:ind w:firstLine="941"/>
        <w:spacing w:after="0" w:line="253" w:lineRule="auto"/>
        <w:rPr>
          <w:sz w:val="20"/>
          <w:szCs w:val="20"/>
          <w:color w:val="auto"/>
        </w:rPr>
      </w:pPr>
      <w:r>
        <w:rPr>
          <w:rFonts w:ascii="Times New Roman" w:cs="Times New Roman" w:eastAsia="Times New Roman" w:hAnsi="Times New Roman"/>
          <w:sz w:val="12"/>
          <w:szCs w:val="12"/>
          <w:color w:val="auto"/>
        </w:rPr>
        <w:t xml:space="preserve">Section 5. </w:t>
      </w:r>
      <w:r>
        <w:rPr>
          <w:rFonts w:ascii="Times New Roman" w:cs="Times New Roman" w:eastAsia="Times New Roman" w:hAnsi="Times New Roman"/>
          <w:sz w:val="12"/>
          <w:szCs w:val="12"/>
          <w:u w:val="single" w:color="auto"/>
          <w:color w:val="auto"/>
        </w:rPr>
        <w:t>Certain Remedies</w:t>
      </w:r>
      <w:r>
        <w:rPr>
          <w:rFonts w:ascii="Times New Roman" w:cs="Times New Roman" w:eastAsia="Times New Roman" w:hAnsi="Times New Roman"/>
          <w:sz w:val="12"/>
          <w:szCs w:val="12"/>
          <w:color w:val="auto"/>
        </w:rPr>
        <w:t xml:space="preserve">. You acknowledge that the terms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the Award Agreement shall be enforceable as so modified after the expiration of the time within which the judgment or decision may be appealed. You acknowledge that the Company and its shareholders would be irreparably harmed by any breach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that there would be no adequate remedy at law or in damages to compensate the Company and its shareholders for any such breach. You agree that MSCI shall be entitled to injunctive relief, without having to post bond or other security, requiring specific performance by you of your obligations in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in addition to 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6.</w:t>
      </w:r>
      <w:r>
        <w:rPr>
          <w:sz w:val="20"/>
          <w:szCs w:val="20"/>
          <w:color w:val="auto"/>
        </w:rPr>
        <w:tab/>
      </w:r>
      <w:r>
        <w:rPr>
          <w:rFonts w:ascii="Times New Roman" w:cs="Times New Roman" w:eastAsia="Times New Roman" w:hAnsi="Times New Roman"/>
          <w:sz w:val="11"/>
          <w:szCs w:val="11"/>
          <w:u w:val="single" w:color="auto"/>
          <w:color w:val="auto"/>
        </w:rPr>
        <w:t>Definitions</w:t>
      </w:r>
      <w:r>
        <w:rPr>
          <w:rFonts w:ascii="Times New Roman" w:cs="Times New Roman" w:eastAsia="Times New Roman" w:hAnsi="Times New Roman"/>
          <w:sz w:val="11"/>
          <w:szCs w:val="11"/>
          <w:color w:val="auto"/>
        </w:rPr>
        <w:t>. For purposes of this</w:t>
      </w:r>
      <w:r>
        <w:rPr>
          <w:rFonts w:ascii="Times New Roman" w:cs="Times New Roman" w:eastAsia="Times New Roman" w:hAnsi="Times New Roman"/>
          <w:sz w:val="11"/>
          <w:szCs w:val="11"/>
          <w:u w:val="single" w:color="auto"/>
          <w:color w:val="auto"/>
        </w:rPr>
        <w:t xml:space="preserve"> Exhibit B </w:t>
      </w:r>
      <w:r>
        <w:rPr>
          <w:rFonts w:ascii="Times New Roman" w:cs="Times New Roman" w:eastAsia="Times New Roman" w:hAnsi="Times New Roman"/>
          <w:sz w:val="11"/>
          <w:szCs w:val="11"/>
          <w:color w:val="auto"/>
        </w:rPr>
        <w:t>and the Award Agreement, the following terms shall have the following meanings: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Competitor</w:t>
      </w:r>
      <w:r>
        <w:rPr>
          <w:rFonts w:ascii="Times New Roman" w:cs="Times New Roman" w:eastAsia="Times New Roman" w:hAnsi="Times New Roman"/>
          <w:sz w:val="12"/>
          <w:szCs w:val="12"/>
          <w:color w:val="auto"/>
        </w:rPr>
        <w:t>” means any person, entity or business that is engaged in, or that owns a significant equity, voting, financial or other interest in an entity that is engaged in, one or more Competing Businesses.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Competing Business</w:t>
      </w:r>
      <w:r>
        <w:rPr>
          <w:rFonts w:ascii="Times New Roman" w:cs="Times New Roman" w:eastAsia="Times New Roman" w:hAnsi="Times New Roman"/>
          <w:sz w:val="12"/>
          <w:szCs w:val="12"/>
          <w:color w:val="auto"/>
        </w:rPr>
        <w:t>” means any business or activity that competes with the MSCI Business or is reasonably anticipated to compete with the MSCI Business.</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3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26" w:name="page327"/>
    <w:bookmarkEnd w:id="326"/>
    <w:p>
      <w:pPr>
        <w:ind w:left="8"/>
        <w:spacing w:after="0" w:line="259" w:lineRule="auto"/>
        <w:rPr>
          <w:sz w:val="20"/>
          <w:szCs w:val="20"/>
          <w:color w:val="auto"/>
        </w:rPr>
      </w:pPr>
      <w:r>
        <w:rPr>
          <w:rFonts w:ascii="Times New Roman" w:cs="Times New Roman" w:eastAsia="Times New Roman" w:hAnsi="Times New Roman"/>
          <w:sz w:val="12"/>
          <w:szCs w:val="12"/>
          <w:color w:val="auto"/>
        </w:rPr>
        <w:t xml:space="preserve">development; all data, concepts, ideas, findings, discoveries, developments, programs, designs, inventions, improvements, methods, practices and techniques, whether or not patentable, relating to present or planned future activities or products or services; and public information that becomes proprietary as a result of the Company’s compilation of that information for use in its business;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Confidential Information shall in no event include</w:t>
      </w:r>
    </w:p>
    <w:p>
      <w:pPr>
        <w:spacing w:after="0" w:line="1" w:lineRule="exact"/>
        <w:rPr>
          <w:sz w:val="20"/>
          <w:szCs w:val="20"/>
          <w:color w:val="auto"/>
        </w:rPr>
      </w:pPr>
    </w:p>
    <w:p>
      <w:pPr>
        <w:ind w:left="8" w:right="20" w:hanging="8"/>
        <w:spacing w:after="0" w:line="260" w:lineRule="auto"/>
        <w:tabs>
          <w:tab w:leader="none" w:pos="182" w:val="left"/>
        </w:tabs>
        <w:numPr>
          <w:ilvl w:val="0"/>
          <w:numId w:val="4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Confidential Information which was generally available to the public at the 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18"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Inventions</w:t>
      </w:r>
      <w:r>
        <w:rPr>
          <w:rFonts w:ascii="Times New Roman" w:cs="Times New Roman" w:eastAsia="Times New Roman" w:hAnsi="Times New Roman"/>
          <w:sz w:val="12"/>
          <w:szCs w:val="12"/>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14"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MSCI Business</w:t>
      </w:r>
      <w:r>
        <w:rPr>
          <w:rFonts w:ascii="Times New Roman" w:cs="Times New Roman" w:eastAsia="Times New Roman" w:hAnsi="Times New Roman"/>
          <w:sz w:val="12"/>
          <w:szCs w:val="12"/>
          <w:color w:val="auto"/>
        </w:rPr>
        <w:t>” means any business, or part thereof, engaged in, contemplated or actively planned by the Company as of the date of your termination of employment that you were actively involved in, provided services to, or participated in the planning of, during your employment with the Company.</w:t>
      </w:r>
    </w:p>
    <w:p>
      <w:pPr>
        <w:spacing w:after="0" w:line="103"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Business</w:t>
      </w:r>
      <w:r>
        <w:rPr>
          <w:rFonts w:ascii="Times New Roman" w:cs="Times New Roman" w:eastAsia="Times New Roman" w:hAnsi="Times New Roman"/>
          <w:sz w:val="12"/>
          <w:szCs w:val="12"/>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03"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Services</w:t>
      </w:r>
      <w:r>
        <w:rPr>
          <w:rFonts w:ascii="Times New Roman" w:cs="Times New Roman" w:eastAsia="Times New Roman" w:hAnsi="Times New Roman"/>
          <w:sz w:val="12"/>
          <w:szCs w:val="12"/>
          <w:color w:val="auto"/>
        </w:rPr>
        <w:t>” means employment, engagement or the provision of assistance or services that (i) are 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3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89470" cy="114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4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12"/>
          <w:szCs w:val="12"/>
          <w:b w:val="1"/>
          <w:bCs w:val="1"/>
          <w:color w:val="auto"/>
        </w:rPr>
        <w:t>EXHIBIT C</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COUNTRY-SPECIFIC TERMS AND CONDITIONS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C-1</w:t>
      </w:r>
    </w:p>
    <w:p>
      <w:pPr>
        <w:sectPr>
          <w:pgSz w:w="11900" w:h="16838" w:orient="portrait"/>
          <w:cols w:equalWidth="0" w:num="1">
            <w:col w:w="9019"/>
          </w:cols>
          <w:pgMar w:left="1440" w:top="125" w:right="1440"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2"/>
          <w:szCs w:val="12"/>
          <w:b w:val="1"/>
          <w:bCs w:val="1"/>
          <w:color w:val="auto"/>
        </w:rPr>
        <w:t>Exhibit 10.234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ANNUAL PERFORMANCE AWARD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PERFORMANCE STOCK UNITS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MANAGING DIRECTORS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UNDER THE MSCI INC. 2016 OMNIBUS INCENTIVE PLAN</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MSCI Inc. (“</w:t>
      </w:r>
      <w:r>
        <w:rPr>
          <w:rFonts w:ascii="Times New Roman" w:cs="Times New Roman" w:eastAsia="Times New Roman" w:hAnsi="Times New Roman"/>
          <w:sz w:val="12"/>
          <w:szCs w:val="12"/>
          <w:b w:val="1"/>
          <w:bCs w:val="1"/>
          <w:color w:val="auto"/>
        </w:rPr>
        <w:t>MSCI</w:t>
      </w:r>
      <w:r>
        <w:rPr>
          <w:rFonts w:ascii="Times New Roman" w:cs="Times New Roman" w:eastAsia="Times New Roman" w:hAnsi="Times New Roman"/>
          <w:sz w:val="12"/>
          <w:szCs w:val="12"/>
          <w:color w:val="auto"/>
        </w:rPr>
        <w:t>,” and together with its Subsidiaries,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hereby grants to you Performance Stock Units (“</w:t>
      </w:r>
      <w:r>
        <w:rPr>
          <w:rFonts w:ascii="Times New Roman" w:cs="Times New Roman" w:eastAsia="Times New Roman" w:hAnsi="Times New Roman"/>
          <w:sz w:val="12"/>
          <w:szCs w:val="12"/>
          <w:b w:val="1"/>
          <w:bCs w:val="1"/>
          <w:color w:val="auto"/>
        </w:rPr>
        <w:t>PSUs</w:t>
      </w:r>
      <w:r>
        <w:rPr>
          <w:rFonts w:ascii="Times New Roman" w:cs="Times New Roman" w:eastAsia="Times New Roman" w:hAnsi="Times New Roman"/>
          <w:sz w:val="12"/>
          <w:szCs w:val="12"/>
          <w:color w:val="auto"/>
        </w:rPr>
        <w:t>”) as described below. The awards are being granted under the MSCI Inc. 2016 Omnibus Incentive Plan (as may be amended from time to time, the “</w:t>
      </w:r>
      <w:r>
        <w:rPr>
          <w:rFonts w:ascii="Times New Roman" w:cs="Times New Roman" w:eastAsia="Times New Roman" w:hAnsi="Times New Roman"/>
          <w:sz w:val="12"/>
          <w:szCs w:val="12"/>
          <w:b w:val="1"/>
          <w:bCs w:val="1"/>
          <w:color w:val="auto"/>
        </w:rPr>
        <w:t>Plan</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2"/>
          <w:szCs w:val="12"/>
          <w:b w:val="1"/>
          <w:bCs w:val="1"/>
          <w:color w:val="auto"/>
        </w:rPr>
        <w:t>Participant:</w:t>
      </w:r>
      <w:r>
        <w:rPr>
          <w:sz w:val="20"/>
          <w:szCs w:val="20"/>
          <w:color w:val="auto"/>
        </w:rPr>
        <w:tab/>
      </w:r>
      <w:r>
        <w:rPr>
          <w:rFonts w:ascii="Times New Roman" w:cs="Times New Roman" w:eastAsia="Times New Roman" w:hAnsi="Times New Roman"/>
          <w:sz w:val="12"/>
          <w:szCs w:val="12"/>
          <w:color w:val="auto"/>
        </w:rPr>
        <w:t>[Name]</w:t>
      </w:r>
    </w:p>
    <w:p>
      <w:pPr>
        <w:spacing w:after="0" w:line="150"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2"/>
          <w:szCs w:val="12"/>
          <w:b w:val="1"/>
          <w:bCs w:val="1"/>
          <w:color w:val="auto"/>
        </w:rPr>
        <w:t>Number of PSUs Granted:</w:t>
      </w:r>
      <w:r>
        <w:rPr>
          <w:sz w:val="20"/>
          <w:szCs w:val="20"/>
          <w:color w:val="auto"/>
        </w:rPr>
        <w:tab/>
      </w:r>
      <w:r>
        <w:rPr>
          <w:rFonts w:ascii="Times New Roman" w:cs="Times New Roman" w:eastAsia="Times New Roman" w:hAnsi="Times New Roman"/>
          <w:sz w:val="11"/>
          <w:szCs w:val="11"/>
          <w:color w:val="auto"/>
        </w:rPr>
        <w:t>[#] PSUs (the “</w:t>
      </w:r>
      <w:r>
        <w:rPr>
          <w:rFonts w:ascii="Times New Roman" w:cs="Times New Roman" w:eastAsia="Times New Roman" w:hAnsi="Times New Roman"/>
          <w:sz w:val="11"/>
          <w:szCs w:val="11"/>
          <w:b w:val="1"/>
          <w:bCs w:val="1"/>
          <w:color w:val="auto"/>
        </w:rPr>
        <w:t>Target PSUs</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2"/>
          <w:szCs w:val="12"/>
          <w:b w:val="1"/>
          <w:bCs w:val="1"/>
          <w:color w:val="auto"/>
        </w:rPr>
        <w:t>Grant Date:</w:t>
      </w:r>
      <w:r>
        <w:rPr>
          <w:sz w:val="20"/>
          <w:szCs w:val="20"/>
          <w:color w:val="auto"/>
        </w:rPr>
        <w:tab/>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Grant Date</w:t>
      </w:r>
      <w:r>
        <w:rPr>
          <w:rFonts w:ascii="Times New Roman" w:cs="Times New Roman" w:eastAsia="Times New Roman" w:hAnsi="Times New Roman"/>
          <w:sz w:val="12"/>
          <w:szCs w:val="12"/>
          <w:color w:val="auto"/>
        </w:rPr>
        <w:t>”)</w:t>
      </w:r>
    </w:p>
    <w:p>
      <w:pPr>
        <w:sectPr>
          <w:pgSz w:w="11900" w:h="16838" w:orient="portrait"/>
          <w:cols w:equalWidth="0" w:num="1">
            <w:col w:w="11300"/>
          </w:cols>
          <w:pgMar w:left="300" w:top="125" w:right="299" w:bottom="1440" w:gutter="0" w:footer="0" w:header="0"/>
        </w:sectPr>
      </w:pP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Vesting Schedule: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46" w:lineRule="exact"/>
        <w:rPr>
          <w:sz w:val="20"/>
          <w:szCs w:val="20"/>
          <w:color w:val="auto"/>
        </w:rPr>
      </w:pPr>
    </w:p>
    <w:p>
      <w:pPr>
        <w:sectPr>
          <w:pgSz w:w="11900" w:h="16838" w:orient="portrait"/>
          <w:cols w:equalWidth="0" w:num="2">
            <w:col w:w="900" w:space="420"/>
            <w:col w:w="9980"/>
          </w:cols>
          <w:pgMar w:left="300" w:top="12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w:t>
      </w:r>
    </w:p>
    <w:p>
      <w:pPr>
        <w:spacing w:after="0" w:line="162" w:lineRule="exact"/>
        <w:rPr>
          <w:sz w:val="20"/>
          <w:szCs w:val="20"/>
          <w:color w:val="auto"/>
        </w:rPr>
      </w:pPr>
    </w:p>
    <w:p>
      <w:pPr>
        <w:sectPr>
          <w:pgSz w:w="11900" w:h="16838" w:orient="portrait"/>
          <w:cols w:equalWidth="0" w:num="2">
            <w:col w:w="1060" w:space="440"/>
            <w:col w:w="9800"/>
          </w:cols>
          <w:pgMar w:left="300" w:top="125" w:right="299" w:bottom="1440" w:gutter="0" w:footer="0" w:header="0"/>
          <w:type w:val="continuous"/>
        </w:sect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Your PSUs may be subject to forfeiture or recoupment if you terminate employment with the Company, fail to affirmatively accept the terms of this Award Agreement by [•] or do not comply with the Notice Requirements, as set forth in the Plan and this Performance Stock Unit Award Agreement (including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attached hereto, this “</w:t>
      </w:r>
      <w:r>
        <w:rPr>
          <w:rFonts w:ascii="Times New Roman" w:cs="Times New Roman" w:eastAsia="Times New Roman" w:hAnsi="Times New Roman"/>
          <w:sz w:val="12"/>
          <w:szCs w:val="12"/>
          <w:b w:val="1"/>
          <w:bCs w:val="1"/>
          <w:color w:val="auto"/>
        </w:rPr>
        <w:t>Award Agreement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You agree that this Award Agreement is granted under the Plan and governed by the terms and conditions of the Plan and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attached hereto. PSUs granted to you pursuant to this Award Agreement and any Shares issued in settlement or satisfaction thereof may be subject to the MSCI Inc. Clawback Policy and any stock ownership guidelines of MSCI, as may be in effect from time to time, if on or after the Grant Date you are or become covered by such policies, as determined in accordance with the terms of such policies. You will be able to access a prospectus and tax supplement that contains important information about this award via the MSCI website or your brokerage account. Unless defined in this Award Agreement, capitalized terms shall have the meanings ascribed to them in the Plan.</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IN WITNESS WHEREOF, MSCI has duly executed and delivered this Award Agreement as of the Grant Date.</w:t>
      </w:r>
    </w:p>
    <w:p>
      <w:pPr>
        <w:spacing w:after="0" w:line="29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MSCI Inc.</w:t>
      </w:r>
    </w:p>
    <w:p>
      <w:pPr>
        <w:spacing w:after="0" w:line="3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-85725</wp:posOffset>
            </wp:positionV>
            <wp:extent cx="358902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jc w:val="center"/>
        <w:ind w:right="-279"/>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89470" cy="114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type w:val="continuous"/>
        </w:sectPr>
      </w:pPr>
    </w:p>
    <w:bookmarkStart w:id="329" w:name="page330"/>
    <w:bookmarkEnd w:id="329"/>
    <w:p>
      <w:pPr>
        <w:jc w:val="right"/>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TERMS AND CONDITIONS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ANNUAL PERFORMANCE AWARD AGREEMENT</w:t>
      </w:r>
    </w:p>
    <w:p>
      <w:pPr>
        <w:spacing w:after="0" w:line="139"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1. </w:t>
      </w:r>
      <w:r>
        <w:rPr>
          <w:rFonts w:ascii="Times New Roman" w:cs="Times New Roman" w:eastAsia="Times New Roman" w:hAnsi="Times New Roman"/>
          <w:sz w:val="12"/>
          <w:szCs w:val="12"/>
          <w:u w:val="single" w:color="auto"/>
          <w:color w:val="auto"/>
        </w:rPr>
        <w:t>PSUs Generally</w:t>
      </w:r>
      <w:r>
        <w:rPr>
          <w:rFonts w:ascii="Times New Roman" w:cs="Times New Roman" w:eastAsia="Times New Roman" w:hAnsi="Times New Roman"/>
          <w:sz w:val="12"/>
          <w:szCs w:val="12"/>
          <w:color w:val="auto"/>
        </w:rPr>
        <w:t>. MSCI has awarded you PSUs as an incentive for you to continue to provide services to the Company and to align your interests with those of the Company. As such, you will earn your Adjusted PSUs (as defined below) only if you remain in continuous employment with the Company through the Vesting Date, or as otherwise set forth below. Each PSU corresponds to one share of MSCI common stock, par value $0.01 per share (each, a “</w:t>
      </w:r>
      <w:r>
        <w:rPr>
          <w:rFonts w:ascii="Times New Roman" w:cs="Times New Roman" w:eastAsia="Times New Roman" w:hAnsi="Times New Roman"/>
          <w:sz w:val="12"/>
          <w:szCs w:val="12"/>
          <w:b w:val="1"/>
          <w:bCs w:val="1"/>
          <w:color w:val="auto"/>
        </w:rPr>
        <w:t>Share</w:t>
      </w:r>
      <w:r>
        <w:rPr>
          <w:rFonts w:ascii="Times New Roman" w:cs="Times New Roman" w:eastAsia="Times New Roman" w:hAnsi="Times New Roman"/>
          <w:sz w:val="12"/>
          <w:szCs w:val="12"/>
          <w:color w:val="auto"/>
        </w:rPr>
        <w:t>”). Each PSU constitutes a contingent and unsecured promise by MSCI to deliver one Share on the conversion date for such PSU.</w:t>
      </w:r>
    </w:p>
    <w:p>
      <w:pPr>
        <w:spacing w:after="0" w:line="119"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2.</w:t>
      </w:r>
      <w:r>
        <w:rPr>
          <w:sz w:val="20"/>
          <w:szCs w:val="20"/>
          <w:color w:val="auto"/>
        </w:rPr>
        <w:tab/>
      </w:r>
      <w:r>
        <w:rPr>
          <w:rFonts w:ascii="Times New Roman" w:cs="Times New Roman" w:eastAsia="Times New Roman" w:hAnsi="Times New Roman"/>
          <w:sz w:val="11"/>
          <w:szCs w:val="11"/>
          <w:u w:val="single" w:color="auto"/>
          <w:color w:val="auto"/>
        </w:rPr>
        <w:t>Performance Adjustment, Vesting and Conversion Schedule and HSR Act</w:t>
      </w:r>
      <w:r>
        <w:rPr>
          <w:rFonts w:ascii="Times New Roman" w:cs="Times New Roman" w:eastAsia="Times New Roman" w:hAnsi="Times New Roman"/>
          <w:sz w:val="11"/>
          <w:szCs w:val="11"/>
          <w:color w:val="auto"/>
        </w:rPr>
        <w:t>.</w:t>
      </w:r>
    </w:p>
    <w:p>
      <w:pPr>
        <w:spacing w:after="0" w:line="148" w:lineRule="exact"/>
        <w:rPr>
          <w:sz w:val="20"/>
          <w:szCs w:val="20"/>
          <w:color w:val="auto"/>
        </w:rPr>
      </w:pPr>
    </w:p>
    <w:p>
      <w:pPr>
        <w:jc w:val="both"/>
        <w:ind w:firstLine="933"/>
        <w:spacing w:after="0" w:line="266" w:lineRule="auto"/>
        <w:tabs>
          <w:tab w:leader="none" w:pos="1507"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Performance Adjustment. </w:t>
      </w:r>
      <w:r>
        <w:rPr>
          <w:rFonts w:ascii="Times New Roman" w:cs="Times New Roman" w:eastAsia="Times New Roman" w:hAnsi="Times New Roman"/>
          <w:sz w:val="12"/>
          <w:szCs w:val="12"/>
          <w:color w:val="auto"/>
        </w:rPr>
        <w:t>The number of Target PSUs awarded under this Award Agreement shall be adjusted, within a range of [•]% to [•]% of the number of Target PSUs, after the end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Performance Period based on the achievement of the [•] performance metric set forth in </w:t>
      </w:r>
      <w:r>
        <w:rPr>
          <w:rFonts w:ascii="Times New Roman" w:cs="Times New Roman" w:eastAsia="Times New Roman" w:hAnsi="Times New Roman"/>
          <w:sz w:val="12"/>
          <w:szCs w:val="12"/>
          <w:u w:val="single" w:color="auto"/>
          <w:color w:val="auto"/>
        </w:rPr>
        <w:t>Appendix 1</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b w:val="1"/>
          <w:bCs w:val="1"/>
          <w:color w:val="auto"/>
        </w:rPr>
        <w:t>Performance Metric</w:t>
      </w:r>
      <w:r>
        <w:rPr>
          <w:rFonts w:ascii="Times New Roman" w:cs="Times New Roman" w:eastAsia="Times New Roman" w:hAnsi="Times New Roman"/>
          <w:sz w:val="12"/>
          <w:szCs w:val="12"/>
          <w:color w:val="auto"/>
        </w:rPr>
        <w:t>”). Following the end of the Performance Period, management of MSCI shall provide its calculation of the Performance Metric to the Committee. The Committee will review the extent of the achievement of the Performance Metric and shall certify in writing such achievement.</w:t>
      </w:r>
    </w:p>
    <w:p>
      <w:pPr>
        <w:spacing w:after="0" w:line="115" w:lineRule="exact"/>
        <w:rPr>
          <w:sz w:val="20"/>
          <w:szCs w:val="20"/>
          <w:color w:val="auto"/>
        </w:rPr>
      </w:pPr>
    </w:p>
    <w:p>
      <w:pPr>
        <w:ind w:firstLine="941"/>
        <w:spacing w:after="0" w:line="286" w:lineRule="auto"/>
        <w:rPr>
          <w:sz w:val="20"/>
          <w:szCs w:val="20"/>
          <w:color w:val="auto"/>
        </w:rPr>
      </w:pPr>
      <w:r>
        <w:rPr>
          <w:rFonts w:ascii="Times New Roman" w:cs="Times New Roman" w:eastAsia="Times New Roman" w:hAnsi="Times New Roman"/>
          <w:sz w:val="12"/>
          <w:szCs w:val="12"/>
          <w:color w:val="auto"/>
        </w:rPr>
        <w:t>The number of PSUs that will be converted into Shares pursuant to Section 2(b), Section 4 or Section 5 (the “</w:t>
      </w:r>
      <w:r>
        <w:rPr>
          <w:rFonts w:ascii="Times New Roman" w:cs="Times New Roman" w:eastAsia="Times New Roman" w:hAnsi="Times New Roman"/>
          <w:sz w:val="12"/>
          <w:szCs w:val="12"/>
          <w:b w:val="1"/>
          <w:bCs w:val="1"/>
          <w:color w:val="auto"/>
        </w:rPr>
        <w:t>Adjusted PSUs</w:t>
      </w:r>
      <w:r>
        <w:rPr>
          <w:rFonts w:ascii="Times New Roman" w:cs="Times New Roman" w:eastAsia="Times New Roman" w:hAnsi="Times New Roman"/>
          <w:sz w:val="12"/>
          <w:szCs w:val="12"/>
          <w:color w:val="auto"/>
        </w:rPr>
        <w:t>”) will be determined based on the following formula on a date no later than [•] (such date, the “</w:t>
      </w:r>
      <w:r>
        <w:rPr>
          <w:rFonts w:ascii="Times New Roman" w:cs="Times New Roman" w:eastAsia="Times New Roman" w:hAnsi="Times New Roman"/>
          <w:sz w:val="12"/>
          <w:szCs w:val="12"/>
          <w:b w:val="1"/>
          <w:bCs w:val="1"/>
          <w:color w:val="auto"/>
        </w:rPr>
        <w:t>Adjustment Date</w:t>
      </w:r>
      <w:r>
        <w:rPr>
          <w:rFonts w:ascii="Times New Roman" w:cs="Times New Roman" w:eastAsia="Times New Roman" w:hAnsi="Times New Roman"/>
          <w:sz w:val="12"/>
          <w:szCs w:val="12"/>
          <w:color w:val="auto"/>
        </w:rPr>
        <w:t>”):</w:t>
      </w:r>
    </w:p>
    <w:p>
      <w:pPr>
        <w:spacing w:after="0" w:line="107"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1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Target PSUs</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x</w:t>
            </w:r>
          </w:p>
        </w:tc>
        <w:tc>
          <w:tcPr>
            <w:tcW w:w="302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Adjustment Percentage</w:t>
            </w:r>
          </w:p>
        </w:tc>
        <w:tc>
          <w:tcPr>
            <w:tcW w:w="1680" w:type="dxa"/>
            <w:vAlign w:val="bottom"/>
            <w:vMerge w:val="restart"/>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9"/>
              </w:rPr>
              <w:t>Number of</w:t>
            </w:r>
          </w:p>
        </w:tc>
        <w:tc>
          <w:tcPr>
            <w:tcW w:w="0" w:type="dxa"/>
            <w:vAlign w:val="bottom"/>
          </w:tcPr>
          <w:p>
            <w:pPr>
              <w:spacing w:after="0"/>
              <w:rPr>
                <w:sz w:val="1"/>
                <w:szCs w:val="1"/>
                <w:color w:val="auto"/>
              </w:rPr>
            </w:pPr>
          </w:p>
        </w:tc>
      </w:tr>
      <w:tr>
        <w:trPr>
          <w:trHeight w:val="83"/>
        </w:trPr>
        <w:tc>
          <w:tcPr>
            <w:tcW w:w="11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3020" w:type="dxa"/>
            <w:vAlign w:val="bottom"/>
            <w:gridSpan w:val="3"/>
            <w:vMerge w:val="restart"/>
          </w:tcPr>
          <w:p>
            <w:pPr>
              <w:jc w:val="center"/>
              <w:ind w:right="40"/>
              <w:spacing w:after="0" w:line="128" w:lineRule="exact"/>
              <w:rPr>
                <w:sz w:val="20"/>
                <w:szCs w:val="20"/>
                <w:color w:val="auto"/>
              </w:rPr>
            </w:pPr>
            <w:r>
              <w:rPr>
                <w:rFonts w:ascii="Times New Roman" w:cs="Times New Roman" w:eastAsia="Times New Roman" w:hAnsi="Times New Roman"/>
                <w:sz w:val="12"/>
                <w:szCs w:val="12"/>
                <w:color w:val="auto"/>
              </w:rPr>
              <w:t>(as defined in Appendix 1)</w:t>
            </w:r>
          </w:p>
        </w:tc>
        <w:tc>
          <w:tcPr>
            <w:tcW w:w="1680" w:type="dxa"/>
            <w:vAlign w:val="bottom"/>
            <w:vMerge w:val="continue"/>
          </w:tcPr>
          <w:p>
            <w:pPr>
              <w:spacing w:after="0"/>
              <w:rPr>
                <w:sz w:val="7"/>
                <w:szCs w:val="7"/>
                <w:color w:val="auto"/>
              </w:rPr>
            </w:pPr>
          </w:p>
        </w:tc>
        <w:tc>
          <w:tcPr>
            <w:tcW w:w="1460" w:type="dxa"/>
            <w:vAlign w:val="bottom"/>
            <w:vMerge w:val="restart"/>
          </w:tcPr>
          <w:p>
            <w:pPr>
              <w:jc w:val="center"/>
              <w:ind w:left="660"/>
              <w:spacing w:after="0" w:line="128" w:lineRule="exact"/>
              <w:rPr>
                <w:sz w:val="20"/>
                <w:szCs w:val="20"/>
                <w:color w:val="auto"/>
              </w:rPr>
            </w:pPr>
            <w:r>
              <w:rPr>
                <w:rFonts w:ascii="Times New Roman" w:cs="Times New Roman" w:eastAsia="Times New Roman" w:hAnsi="Times New Roman"/>
                <w:sz w:val="12"/>
                <w:szCs w:val="12"/>
                <w:color w:val="auto"/>
              </w:rPr>
              <w:t>Adjusted PSUs</w:t>
            </w:r>
          </w:p>
        </w:tc>
        <w:tc>
          <w:tcPr>
            <w:tcW w:w="0" w:type="dxa"/>
            <w:vAlign w:val="bottom"/>
          </w:tcPr>
          <w:p>
            <w:pPr>
              <w:spacing w:after="0"/>
              <w:rPr>
                <w:sz w:val="1"/>
                <w:szCs w:val="1"/>
                <w:color w:val="auto"/>
              </w:rPr>
            </w:pPr>
          </w:p>
        </w:tc>
      </w:tr>
      <w:tr>
        <w:trPr>
          <w:trHeight w:val="45"/>
        </w:trPr>
        <w:tc>
          <w:tcPr>
            <w:tcW w:w="1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20" w:type="dxa"/>
            <w:vAlign w:val="bottom"/>
            <w:gridSpan w:val="3"/>
            <w:vMerge w:val="continue"/>
          </w:tcPr>
          <w:p>
            <w:pPr>
              <w:spacing w:after="0"/>
              <w:rPr>
                <w:sz w:val="3"/>
                <w:szCs w:val="3"/>
                <w:color w:val="auto"/>
              </w:rPr>
            </w:pPr>
          </w:p>
        </w:tc>
        <w:tc>
          <w:tcPr>
            <w:tcW w:w="168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933"/>
        <w:spacing w:after="0" w:line="268" w:lineRule="auto"/>
        <w:tabs>
          <w:tab w:leader="none" w:pos="1513" w:val="left"/>
        </w:tabs>
        <w:numPr>
          <w:ilvl w:val="0"/>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Vesting and Conversion</w:t>
      </w:r>
      <w:r>
        <w:rPr>
          <w:rFonts w:ascii="Times New Roman" w:cs="Times New Roman" w:eastAsia="Times New Roman" w:hAnsi="Times New Roman"/>
          <w:sz w:val="12"/>
          <w:szCs w:val="12"/>
          <w:color w:val="auto"/>
        </w:rPr>
        <w:t>. The Target PSUs will vest (as to service) on [•] (the “</w:t>
      </w:r>
      <w:r>
        <w:rPr>
          <w:rFonts w:ascii="Times New Roman" w:cs="Times New Roman" w:eastAsia="Times New Roman" w:hAnsi="Times New Roman"/>
          <w:sz w:val="12"/>
          <w:szCs w:val="12"/>
          <w:b w:val="1"/>
          <w:bCs w:val="1"/>
          <w:color w:val="auto"/>
        </w:rPr>
        <w:t>Vesting Date</w:t>
      </w:r>
      <w:r>
        <w:rPr>
          <w:rFonts w:ascii="Times New Roman" w:cs="Times New Roman" w:eastAsia="Times New Roman" w:hAnsi="Times New Roman"/>
          <w:sz w:val="12"/>
          <w:szCs w:val="12"/>
          <w:color w:val="auto"/>
        </w:rPr>
        <w:t>”), subject to adjustment in accordance with Section 2(a);</w:t>
      </w:r>
      <w:r>
        <w:rPr>
          <w:rFonts w:ascii="Times New Roman" w:cs="Times New Roman" w:eastAsia="Times New Roman" w:hAnsi="Times New Roman"/>
          <w:sz w:val="12"/>
          <w:szCs w:val="12"/>
          <w:i w:val="1"/>
          <w:iCs w:val="1"/>
          <w:color w:val="auto"/>
        </w:rPr>
        <w:t xml:space="preserve"> provided </w:t>
      </w:r>
      <w:r>
        <w:rPr>
          <w:rFonts w:ascii="Times New Roman" w:cs="Times New Roman" w:eastAsia="Times New Roman" w:hAnsi="Times New Roman"/>
          <w:sz w:val="12"/>
          <w:szCs w:val="12"/>
          <w:color w:val="auto"/>
        </w:rPr>
        <w:t>that, subject to Section 4 and Section 5, you</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continue to be employed by the Company on the Vesting Date;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that you have complied with all applicable provisions of the HSR Act. Vested Adjusted PSUs shall convert into Shares no earlier than [•], and no later than the Adjustment Date.</w:t>
      </w:r>
    </w:p>
    <w:p>
      <w:pPr>
        <w:spacing w:after="0" w:line="115" w:lineRule="exact"/>
        <w:rPr>
          <w:rFonts w:ascii="Times New Roman" w:cs="Times New Roman" w:eastAsia="Times New Roman" w:hAnsi="Times New Roman"/>
          <w:sz w:val="12"/>
          <w:szCs w:val="12"/>
          <w:color w:val="auto"/>
        </w:rPr>
      </w:pPr>
    </w:p>
    <w:p>
      <w:pPr>
        <w:ind w:firstLine="933"/>
        <w:spacing w:after="0" w:line="283" w:lineRule="auto"/>
        <w:tabs>
          <w:tab w:leader="none" w:pos="1507" w:val="left"/>
        </w:tabs>
        <w:numPr>
          <w:ilvl w:val="0"/>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HSR Act</w:t>
      </w:r>
      <w:r>
        <w:rPr>
          <w:rFonts w:ascii="Times New Roman" w:cs="Times New Roman" w:eastAsia="Times New Roman" w:hAnsi="Times New Roman"/>
          <w:sz w:val="12"/>
          <w:szCs w:val="12"/>
          <w:color w:val="auto"/>
        </w:rPr>
        <w:t>. If Adjusted PSUs would have converted pursuant to this Section 2, Section 4 or Section 5(b), but did not convert solely because you were not in compliance with all applicable provisions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HSR Act, subject to Section 409A, the conversion date for such Adjusted PSUs shall occur on the first date following the date on which you have complied with all applicable provisions of the HSR Act.</w:t>
      </w:r>
    </w:p>
    <w:p>
      <w:pPr>
        <w:spacing w:after="0" w:line="109" w:lineRule="exact"/>
        <w:rPr>
          <w:sz w:val="20"/>
          <w:szCs w:val="20"/>
          <w:color w:val="auto"/>
        </w:rPr>
      </w:pPr>
    </w:p>
    <w:p>
      <w:pPr>
        <w:jc w:val="both"/>
        <w:ind w:firstLine="941"/>
        <w:spacing w:after="0" w:line="256" w:lineRule="auto"/>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Dividend Equivalent Payments</w:t>
      </w:r>
      <w:r>
        <w:rPr>
          <w:rFonts w:ascii="Times New Roman" w:cs="Times New Roman" w:eastAsia="Times New Roman" w:hAnsi="Times New Roman"/>
          <w:sz w:val="12"/>
          <w:szCs w:val="12"/>
          <w:color w:val="auto"/>
        </w:rPr>
        <w:t>. Until your PSUs convert into Shares, if MSCI pays a dividend on Shares, you will be credited with a dividend equivalent payment in the same amount as the dividend you would have received if you held Shares for your vested and unvested PSUs immediately prior to the record date (taking into account any adjustments pursuant to Section 2(a) and adjustments provided under the Plan). Assuming you hold PSUs on the record date, MSCI will credit the dividend equivalent payments when it pays the corresponding dividend on its Shares. Your dividend equivalents will vest and be paid at the same time as, and subject to the same vesting and cancellation provisions set forth in this Award Agreement with respect to, your PSUs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subject to Section 20, the dividend equivalents may be paid following the scheduled conversion date on the next regularly scheduled payroll date). No dividend equivalents will be paid to you with respect to any canceled or forfeited PSUs. MSCI will decide on the form of payment and may pay dividend equivalents in Shares, in cash or in a combination thereof, unless otherwise provided in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right="20"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Termination of Employment</w:t>
      </w:r>
      <w:r>
        <w:rPr>
          <w:rFonts w:ascii="Times New Roman" w:cs="Times New Roman" w:eastAsia="Times New Roman" w:hAnsi="Times New Roman"/>
          <w:sz w:val="12"/>
          <w:szCs w:val="12"/>
          <w:color w:val="auto"/>
        </w:rPr>
        <w:t>. Upon termination of employment with the Company prior to the Vesting Date pursuant to this Section 4, the following special vesting and payment terms will apply to your unvested PSUs: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30" w:name="page331"/>
    <w:bookmarkEnd w:id="330"/>
    <w:p>
      <w:pPr>
        <w:jc w:val="both"/>
        <w:ind w:firstLine="933"/>
        <w:spacing w:after="0" w:line="266" w:lineRule="auto"/>
        <w:tabs>
          <w:tab w:leader="none" w:pos="1507"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Termination of Employment Due to Death or Disability</w:t>
      </w:r>
      <w:r>
        <w:rPr>
          <w:rFonts w:ascii="Times New Roman" w:cs="Times New Roman" w:eastAsia="Times New Roman" w:hAnsi="Times New Roman"/>
          <w:sz w:val="12"/>
          <w:szCs w:val="12"/>
          <w:color w:val="auto"/>
        </w:rPr>
        <w:t>. If your employment with the Company terminates due to death or Disability, in each case, prior to the Vesting Date, your Adjusted PSUs will vest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convert into Shares on the Adjustment Date (even though you are not employed by the Company on the Vesting Date). Upon a termination of employment due to death, the Adjusted PSUs shall be delivered in accordance with Section 10.</w:t>
      </w:r>
    </w:p>
    <w:p>
      <w:pPr>
        <w:spacing w:after="0" w:line="117"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Involuntary Termination of Employment by the Company.</w:t>
      </w:r>
    </w:p>
    <w:p>
      <w:pPr>
        <w:spacing w:after="0" w:line="150" w:lineRule="exact"/>
        <w:rPr>
          <w:rFonts w:ascii="Times New Roman" w:cs="Times New Roman" w:eastAsia="Times New Roman" w:hAnsi="Times New Roman"/>
          <w:sz w:val="12"/>
          <w:szCs w:val="12"/>
          <w:color w:val="auto"/>
        </w:rPr>
      </w:pPr>
    </w:p>
    <w:p>
      <w:pPr>
        <w:jc w:val="both"/>
        <w:ind w:left="940" w:firstLine="857"/>
        <w:spacing w:after="0" w:line="261" w:lineRule="auto"/>
        <w:tabs>
          <w:tab w:leader="none" w:pos="2348" w:val="left"/>
        </w:tabs>
        <w:numPr>
          <w:ilvl w:val="1"/>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Prior to the Second Anniversary of the Grant Date. </w:t>
      </w:r>
      <w:r>
        <w:rPr>
          <w:rFonts w:ascii="Times New Roman" w:cs="Times New Roman" w:eastAsia="Times New Roman" w:hAnsi="Times New Roman"/>
          <w:sz w:val="12"/>
          <w:szCs w:val="12"/>
          <w:color w:val="auto"/>
        </w:rPr>
        <w:t>In the event of an involuntary termination of your employment by the Company without Cause prior to the second anniversary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Grant Date, your PSUs shall be forfeited in their entirety. Notwithstanding anything to the contrary herein, in the event of a termination of your employment as described in this Section 4(b)(i), pursuant to Section 6, you may still be bound by, and must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as applicable and may be required to execute and not revoke an agreement and release of claims satisfactory to the Company, which will contain restrictive covenants substantially in the form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within 60 days following termination of your employment.</w:t>
      </w:r>
    </w:p>
    <w:p>
      <w:pPr>
        <w:spacing w:after="0" w:line="119" w:lineRule="exact"/>
        <w:rPr>
          <w:rFonts w:ascii="Times New Roman" w:cs="Times New Roman" w:eastAsia="Times New Roman" w:hAnsi="Times New Roman"/>
          <w:sz w:val="12"/>
          <w:szCs w:val="12"/>
          <w:color w:val="auto"/>
        </w:rPr>
      </w:pPr>
    </w:p>
    <w:p>
      <w:pPr>
        <w:jc w:val="both"/>
        <w:ind w:left="940" w:firstLine="857"/>
        <w:spacing w:after="0" w:line="255" w:lineRule="auto"/>
        <w:tabs>
          <w:tab w:leader="none" w:pos="2382" w:val="left"/>
        </w:tabs>
        <w:numPr>
          <w:ilvl w:val="1"/>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Following the Second Anniversary of the Grant Date, but Prior to 62/10 Retirement Eligibility. </w:t>
      </w:r>
      <w:r>
        <w:rPr>
          <w:rFonts w:ascii="Times New Roman" w:cs="Times New Roman" w:eastAsia="Times New Roman" w:hAnsi="Times New Roman"/>
          <w:sz w:val="12"/>
          <w:szCs w:val="12"/>
          <w:color w:val="auto"/>
        </w:rPr>
        <w:t>In the event of an involuntary termination of your employment by the Company without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Cause on or after the second anniversary of the Grant Date, but prior to 62/10 Retirement Eligibility, provided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within 60 days following termination of your employment, you will be entitled to receive a pro-rated portion of your Target PSUs equal to the product of (i) the total number of Target PSUs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quotient of (A) the total number of months you were employed with the Company during the Performance Period (rounding up partial months)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 60. Such pro-rated Target PSUs will vest and convert into Shares on the Adjustment Date in accordance with Section 2. All other PSUs that do not vest and convert into Shares in accordance with this Section 4(b) shall be forfeited in their entirety. Notwithstanding anything to the contrary herein, in the event of a termination of your employment as described in this Section 4(b)(ii), pursuant to Section 6, you may still be bound by, and must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as applicable.</w:t>
      </w:r>
    </w:p>
    <w:p>
      <w:pPr>
        <w:spacing w:after="0" w:line="125" w:lineRule="exact"/>
        <w:rPr>
          <w:rFonts w:ascii="Times New Roman" w:cs="Times New Roman" w:eastAsia="Times New Roman" w:hAnsi="Times New Roman"/>
          <w:sz w:val="12"/>
          <w:szCs w:val="12"/>
          <w:color w:val="auto"/>
        </w:rPr>
      </w:pPr>
    </w:p>
    <w:p>
      <w:pPr>
        <w:jc w:val="both"/>
        <w:ind w:left="940" w:firstLine="857"/>
        <w:spacing w:after="0" w:line="261" w:lineRule="auto"/>
        <w:tabs>
          <w:tab w:leader="none" w:pos="2415" w:val="left"/>
        </w:tabs>
        <w:numPr>
          <w:ilvl w:val="1"/>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Following 62/10 Retirement Eligibility. </w:t>
      </w:r>
      <w:r>
        <w:rPr>
          <w:rFonts w:ascii="Times New Roman" w:cs="Times New Roman" w:eastAsia="Times New Roman" w:hAnsi="Times New Roman"/>
          <w:sz w:val="12"/>
          <w:szCs w:val="12"/>
          <w:color w:val="auto"/>
        </w:rPr>
        <w:t>In the event of an involuntary termination of your employment by the Company without Cause following 62/10 Retirement Eligibility, provided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within 60 days following termination of your employment, your Adjusted PSUs will vest and convert into Shares on the Adjustment Date in accordance with Section 2. Notwithstanding anything to the contrary herein, in the event of a termination of your employment as described in this Section 4(b) (iii), pursuant to Section 6, you may still be bound by, and must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as applicable.</w:t>
      </w:r>
    </w:p>
    <w:p>
      <w:pPr>
        <w:spacing w:after="0" w:line="119" w:lineRule="exact"/>
        <w:rPr>
          <w:rFonts w:ascii="Times New Roman" w:cs="Times New Roman" w:eastAsia="Times New Roman" w:hAnsi="Times New Roman"/>
          <w:sz w:val="12"/>
          <w:szCs w:val="12"/>
          <w:color w:val="auto"/>
        </w:rPr>
      </w:pPr>
    </w:p>
    <w:p>
      <w:pPr>
        <w:jc w:val="both"/>
        <w:ind w:firstLine="933"/>
        <w:spacing w:after="0" w:line="266" w:lineRule="auto"/>
        <w:tabs>
          <w:tab w:leader="none" w:pos="1507"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Retirement Terminations. </w:t>
      </w:r>
      <w:r>
        <w:rPr>
          <w:rFonts w:ascii="Times New Roman" w:cs="Times New Roman" w:eastAsia="Times New Roman" w:hAnsi="Times New Roman"/>
          <w:sz w:val="12"/>
          <w:szCs w:val="12"/>
          <w:color w:val="auto"/>
        </w:rPr>
        <w:t>In the event of your applicable Retirement Termination, your Target PSUs shall be eligible for the treatment specified below;</w:t>
      </w:r>
      <w:r>
        <w:rPr>
          <w:rFonts w:ascii="Times New Roman" w:cs="Times New Roman" w:eastAsia="Times New Roman" w:hAnsi="Times New Roman"/>
          <w:sz w:val="12"/>
          <w:szCs w:val="12"/>
          <w:i w:val="1"/>
          <w:iCs w:val="1"/>
          <w:color w:val="auto"/>
        </w:rPr>
        <w:t xml:space="preserve"> provided </w:t>
      </w:r>
      <w:r>
        <w:rPr>
          <w:rFonts w:ascii="Times New Roman" w:cs="Times New Roman" w:eastAsia="Times New Roman" w:hAnsi="Times New Roman"/>
          <w:sz w:val="12"/>
          <w:szCs w:val="12"/>
          <w:color w:val="auto"/>
        </w:rPr>
        <w:t>that (x) you are in compliance with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Notice Requirements and all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in each case, as of the Vesting Date and (y) you execute and do not revoke an agreement and release of claims satisfactory to the Company, which will contain restrictive covenants substantially in the form as those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within 60 days following termination of your employment.</w:t>
      </w:r>
    </w:p>
    <w:p>
      <w:pPr>
        <w:spacing w:after="0" w:line="119" w:lineRule="exact"/>
        <w:rPr>
          <w:rFonts w:ascii="Times New Roman" w:cs="Times New Roman" w:eastAsia="Times New Roman" w:hAnsi="Times New Roman"/>
          <w:sz w:val="12"/>
          <w:szCs w:val="12"/>
          <w:color w:val="auto"/>
        </w:rPr>
      </w:pPr>
    </w:p>
    <w:p>
      <w:pPr>
        <w:jc w:val="both"/>
        <w:ind w:left="940" w:firstLine="857"/>
        <w:spacing w:after="0" w:line="265" w:lineRule="auto"/>
        <w:tabs>
          <w:tab w:leader="none" w:pos="2348" w:val="left"/>
        </w:tabs>
        <w:numPr>
          <w:ilvl w:val="1"/>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your Legacy Retirement Termination or 55/10 Retirement Termination, you will be entitled to receive a pro-rated portion of your Target PSUs equal to the product of (i) the total number of Target PSUs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quotient of (A) the total number of months you were employed with the Company during the Performance Period (rounding up partial months)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 60. Such pro-rated Target PSUs will vest and convert into Shares 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331" w:name="page332"/>
    <w:bookmarkEnd w:id="331"/>
    <w:p>
      <w:pPr>
        <w:ind w:left="940"/>
        <w:spacing w:after="0"/>
        <w:rPr>
          <w:sz w:val="20"/>
          <w:szCs w:val="20"/>
          <w:color w:val="auto"/>
        </w:rPr>
      </w:pPr>
      <w:r>
        <w:rPr>
          <w:rFonts w:ascii="Times New Roman" w:cs="Times New Roman" w:eastAsia="Times New Roman" w:hAnsi="Times New Roman"/>
          <w:sz w:val="12"/>
          <w:szCs w:val="12"/>
          <w:color w:val="auto"/>
        </w:rPr>
        <w:t>the Adjustment Date in accordance with Section 2. All other PSUs that do not vest and convert into Shares in accordance with this Section 4(c)(i) shall be forfeited in their entirety.</w:t>
      </w:r>
    </w:p>
    <w:p>
      <w:pPr>
        <w:spacing w:after="0" w:line="150" w:lineRule="exact"/>
        <w:rPr>
          <w:sz w:val="20"/>
          <w:szCs w:val="20"/>
          <w:color w:val="auto"/>
        </w:rPr>
      </w:pPr>
    </w:p>
    <w:p>
      <w:pPr>
        <w:ind w:left="2380" w:hanging="583"/>
        <w:spacing w:after="0"/>
        <w:tabs>
          <w:tab w:leader="none" w:pos="2380"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your 62/10 Retirement Termination, your Target PSUs will vest and convert into Shares in accordance with Section 2.</w:t>
      </w:r>
    </w:p>
    <w:p>
      <w:pPr>
        <w:spacing w:after="0" w:line="150"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415"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consideration of the treatment of your Target PSUs upon your Retirement Termination as set forth in this Section 4(c), you agree to be bound by, and to comply with, all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to this Award Agreement.</w:t>
      </w:r>
    </w:p>
    <w:p>
      <w:pPr>
        <w:spacing w:after="0" w:line="111" w:lineRule="exact"/>
        <w:rPr>
          <w:rFonts w:ascii="Times New Roman" w:cs="Times New Roman" w:eastAsia="Times New Roman" w:hAnsi="Times New Roman"/>
          <w:sz w:val="12"/>
          <w:szCs w:val="12"/>
          <w:color w:val="auto"/>
        </w:rPr>
      </w:pPr>
    </w:p>
    <w:p>
      <w:pPr>
        <w:ind w:left="940" w:firstLine="857"/>
        <w:spacing w:after="0" w:line="279" w:lineRule="auto"/>
        <w:tabs>
          <w:tab w:leader="none" w:pos="2408"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chart provides a summary overview of the treatment of your awards upon a Retirement Termination, as set forth in Sections 4(c)(i) and (ii). This summary chart is qualified in its entirety by the terms of Sections 4(c)(i) and (ii). In the event of any inconsistency between the terms of the below chart and Sections 4(c)(i) and (ii), the terms of Sections 4(c)(i) and (ii) shall prevail.</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3320" w:type="dxa"/>
            <w:vAlign w:val="bottom"/>
            <w:tcBorders>
              <w:top w:val="single" w:sz="8" w:color="auto"/>
              <w:left w:val="single" w:sz="8" w:color="auto"/>
              <w:right w:val="single" w:sz="8" w:color="auto"/>
            </w:tcBorders>
            <w:shd w:val="clear" w:color="auto" w:fill="D9D9D9"/>
          </w:tcPr>
          <w:p>
            <w:pPr>
              <w:spacing w:after="0"/>
              <w:rPr>
                <w:sz w:val="12"/>
                <w:szCs w:val="12"/>
                <w:color w:val="auto"/>
              </w:rPr>
            </w:pPr>
          </w:p>
        </w:tc>
        <w:tc>
          <w:tcPr>
            <w:tcW w:w="3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 on Which Age and Service Requirements Must be</w:t>
            </w:r>
          </w:p>
        </w:tc>
        <w:tc>
          <w:tcPr>
            <w:tcW w:w="4840" w:type="dxa"/>
            <w:vAlign w:val="bottom"/>
            <w:tcBorders>
              <w:top w:val="single" w:sz="8" w:color="auto"/>
              <w:right w:val="single" w:sz="8" w:color="auto"/>
            </w:tcBorders>
            <w:shd w:val="clear" w:color="auto" w:fill="D9D9D9"/>
          </w:tcPr>
          <w:p>
            <w:pPr>
              <w:spacing w:after="0"/>
              <w:rPr>
                <w:sz w:val="12"/>
                <w:szCs w:val="12"/>
                <w:color w:val="auto"/>
              </w:rPr>
            </w:pPr>
          </w:p>
        </w:tc>
      </w:tr>
      <w:tr>
        <w:trPr>
          <w:trHeight w:val="159"/>
        </w:trPr>
        <w:tc>
          <w:tcPr>
            <w:tcW w:w="3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2"/>
                <w:szCs w:val="12"/>
                <w:b w:val="1"/>
                <w:bCs w:val="1"/>
                <w:color w:val="auto"/>
              </w:rPr>
              <w:t>Age and Service Requirements</w:t>
            </w:r>
          </w:p>
        </w:tc>
        <w:tc>
          <w:tcPr>
            <w:tcW w:w="3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Satisfied</w:t>
            </w:r>
          </w:p>
        </w:tc>
        <w:tc>
          <w:tcPr>
            <w:tcW w:w="4840" w:type="dxa"/>
            <w:vAlign w:val="bottom"/>
            <w:tcBorders>
              <w:bottom w:val="single" w:sz="8" w:color="auto"/>
              <w:right w:val="single" w:sz="8" w:color="auto"/>
            </w:tcBorders>
            <w:shd w:val="clear" w:color="auto" w:fill="D9D9D9"/>
          </w:tcPr>
          <w:p>
            <w:pPr>
              <w:ind w:left="2140"/>
              <w:spacing w:after="0"/>
              <w:rPr>
                <w:sz w:val="20"/>
                <w:szCs w:val="20"/>
                <w:color w:val="auto"/>
              </w:rPr>
            </w:pPr>
            <w:r>
              <w:rPr>
                <w:rFonts w:ascii="Times New Roman" w:cs="Times New Roman" w:eastAsia="Times New Roman" w:hAnsi="Times New Roman"/>
                <w:sz w:val="12"/>
                <w:szCs w:val="12"/>
                <w:b w:val="1"/>
                <w:bCs w:val="1"/>
                <w:color w:val="auto"/>
              </w:rPr>
              <w:t>Treatment</w:t>
            </w:r>
          </w:p>
        </w:tc>
      </w:tr>
      <w:tr>
        <w:trPr>
          <w:trHeight w:val="120"/>
        </w:trPr>
        <w:tc>
          <w:tcPr>
            <w:tcW w:w="3320" w:type="dxa"/>
            <w:vAlign w:val="bottom"/>
            <w:tcBorders>
              <w:left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Legacy Retirement Eligibility</w:t>
            </w:r>
          </w:p>
        </w:tc>
        <w:tc>
          <w:tcPr>
            <w:tcW w:w="314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December 31, 2014</w:t>
            </w:r>
          </w:p>
        </w:tc>
        <w:tc>
          <w:tcPr>
            <w:tcW w:w="484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A pro-rated portion of your Target PSUs will vest as follows: the product of (i) the total number of</w:t>
            </w:r>
          </w:p>
        </w:tc>
      </w:tr>
      <w:tr>
        <w:trPr>
          <w:trHeight w:val="144"/>
        </w:trPr>
        <w:tc>
          <w:tcPr>
            <w:tcW w:w="3320" w:type="dxa"/>
            <w:vAlign w:val="bottom"/>
            <w:tcBorders>
              <w:left w:val="single" w:sz="8" w:color="auto"/>
              <w:right w:val="single" w:sz="8" w:color="auto"/>
            </w:tcBorders>
          </w:tcPr>
          <w:p>
            <w:pPr>
              <w:spacing w:after="0"/>
              <w:rPr>
                <w:sz w:val="12"/>
                <w:szCs w:val="12"/>
                <w:color w:val="auto"/>
              </w:rPr>
            </w:pPr>
          </w:p>
        </w:tc>
        <w:tc>
          <w:tcPr>
            <w:tcW w:w="3140" w:type="dxa"/>
            <w:vAlign w:val="bottom"/>
            <w:tcBorders>
              <w:right w:val="single" w:sz="8" w:color="auto"/>
            </w:tcBorders>
          </w:tcPr>
          <w:p>
            <w:pPr>
              <w:spacing w:after="0"/>
              <w:rPr>
                <w:sz w:val="12"/>
                <w:szCs w:val="12"/>
                <w:color w:val="auto"/>
              </w:rPr>
            </w:pP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Target PSUs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quotient of (A) the total number of months you were employed</w:t>
            </w:r>
          </w:p>
        </w:tc>
      </w:tr>
      <w:tr>
        <w:trPr>
          <w:trHeight w:val="146"/>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(see definition of “Legacy Retirement Eligibility”)</w:t>
            </w:r>
          </w:p>
        </w:tc>
        <w:tc>
          <w:tcPr>
            <w:tcW w:w="3140" w:type="dxa"/>
            <w:vAlign w:val="bottom"/>
            <w:tcBorders>
              <w:right w:val="single" w:sz="8" w:color="auto"/>
            </w:tcBorders>
          </w:tcPr>
          <w:p>
            <w:pPr>
              <w:spacing w:after="0"/>
              <w:rPr>
                <w:sz w:val="12"/>
                <w:szCs w:val="12"/>
                <w:color w:val="auto"/>
              </w:rPr>
            </w:pP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with the Company during the Performance Period (rounding up partial months)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w:t>
            </w:r>
          </w:p>
        </w:tc>
      </w:tr>
      <w:tr>
        <w:trPr>
          <w:trHeight w:val="146"/>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3140" w:type="dxa"/>
            <w:vAlign w:val="bottom"/>
            <w:tcBorders>
              <w:bottom w:val="single" w:sz="8" w:color="auto"/>
              <w:right w:val="single" w:sz="8" w:color="auto"/>
            </w:tcBorders>
          </w:tcPr>
          <w:p>
            <w:pPr>
              <w:spacing w:after="0"/>
              <w:rPr>
                <w:sz w:val="12"/>
                <w:szCs w:val="12"/>
                <w:color w:val="auto"/>
              </w:rPr>
            </w:pP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60.  Such pro-rated Target PSUs will vest and convert into Shares on the Adjustment Date in</w:t>
            </w:r>
          </w:p>
        </w:tc>
      </w:tr>
      <w:tr>
        <w:trPr>
          <w:trHeight w:val="144"/>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Age 55 and 10 years of service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December 31, 2019</w:t>
            </w:r>
          </w:p>
        </w:tc>
        <w:tc>
          <w:tcPr>
            <w:tcW w:w="48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accordance with Section 2.</w:t>
            </w:r>
          </w:p>
        </w:tc>
      </w:tr>
      <w:tr>
        <w:trPr>
          <w:trHeight w:val="277"/>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(see definition of “55/10 Retirement Eligibility”)</w:t>
            </w:r>
          </w:p>
        </w:tc>
        <w:tc>
          <w:tcPr>
            <w:tcW w:w="314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All other PSUs that do not vest and convert into Shares shall be forfeited in their entirety.</w:t>
            </w:r>
          </w:p>
        </w:tc>
      </w:tr>
      <w:tr>
        <w:trPr>
          <w:trHeight w:val="144"/>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3140" w:type="dxa"/>
            <w:vAlign w:val="bottom"/>
            <w:tcBorders>
              <w:bottom w:val="single" w:sz="8" w:color="auto"/>
              <w:right w:val="single" w:sz="8" w:color="auto"/>
            </w:tcBorders>
          </w:tcPr>
          <w:p>
            <w:pPr>
              <w:spacing w:after="0"/>
              <w:rPr>
                <w:sz w:val="12"/>
                <w:szCs w:val="12"/>
                <w:color w:val="auto"/>
              </w:rPr>
            </w:pPr>
          </w:p>
        </w:tc>
        <w:tc>
          <w:tcPr>
            <w:tcW w:w="4840" w:type="dxa"/>
            <w:vAlign w:val="bottom"/>
            <w:tcBorders>
              <w:bottom w:val="single" w:sz="8" w:color="auto"/>
              <w:right w:val="single" w:sz="8" w:color="auto"/>
            </w:tcBorders>
          </w:tcPr>
          <w:p>
            <w:pPr>
              <w:spacing w:after="0"/>
              <w:rPr>
                <w:sz w:val="12"/>
                <w:szCs w:val="12"/>
                <w:color w:val="auto"/>
              </w:rPr>
            </w:pPr>
          </w:p>
        </w:tc>
      </w:tr>
      <w:tr>
        <w:trPr>
          <w:trHeight w:val="144"/>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Age 62 and 10 years of service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Vesting Date</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All of your Target PSUs will vest and convert into Shares in accordance with Section 2.</w:t>
            </w:r>
          </w:p>
        </w:tc>
      </w:tr>
      <w:tr>
        <w:trPr>
          <w:trHeight w:val="277"/>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(see definition of “62/10 Retirement Eligibility”)</w:t>
            </w:r>
          </w:p>
        </w:tc>
        <w:tc>
          <w:tcPr>
            <w:tcW w:w="3140" w:type="dxa"/>
            <w:vAlign w:val="bottom"/>
            <w:tcBorders>
              <w:bottom w:val="single" w:sz="8" w:color="auto"/>
              <w:right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r>
    </w:tbl>
    <w:p>
      <w:pPr>
        <w:spacing w:after="0" w:line="131" w:lineRule="exact"/>
        <w:rPr>
          <w:sz w:val="20"/>
          <w:szCs w:val="20"/>
          <w:color w:val="auto"/>
        </w:rPr>
      </w:pPr>
    </w:p>
    <w:p>
      <w:pPr>
        <w:ind w:left="1500" w:hanging="567"/>
        <w:spacing w:after="0"/>
        <w:tabs>
          <w:tab w:leader="none" w:pos="1500" w:val="left"/>
        </w:tabs>
        <w:numPr>
          <w:ilvl w:val="0"/>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Other Resignations from Employment</w:t>
      </w:r>
      <w:r>
        <w:rPr>
          <w:rFonts w:ascii="Times New Roman" w:cs="Times New Roman" w:eastAsia="Times New Roman" w:hAnsi="Times New Roman"/>
          <w:sz w:val="12"/>
          <w:szCs w:val="12"/>
          <w:color w:val="auto"/>
        </w:rPr>
        <w:t>. All other resignations from employment must comply with the Notice Requirements.</w:t>
      </w:r>
    </w:p>
    <w:p>
      <w:pPr>
        <w:spacing w:after="0" w:line="152"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348" w:val="left"/>
        </w:tabs>
        <w:numPr>
          <w:ilvl w:val="1"/>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resign from your employment with the Company under circumstances which are not in accordance with the provisions above in this Section 4, you will forfeit any PSUs that have not vested as of your last day of employment with the Company; and</w:t>
      </w:r>
    </w:p>
    <w:p>
      <w:pPr>
        <w:spacing w:after="0" w:line="111" w:lineRule="exact"/>
        <w:rPr>
          <w:rFonts w:ascii="Times New Roman" w:cs="Times New Roman" w:eastAsia="Times New Roman" w:hAnsi="Times New Roman"/>
          <w:sz w:val="12"/>
          <w:szCs w:val="12"/>
          <w:color w:val="auto"/>
        </w:rPr>
      </w:pPr>
    </w:p>
    <w:p>
      <w:pPr>
        <w:jc w:val="both"/>
        <w:ind w:left="940" w:right="20" w:firstLine="857"/>
        <w:spacing w:after="0" w:line="265" w:lineRule="auto"/>
        <w:tabs>
          <w:tab w:leader="none" w:pos="2382" w:val="left"/>
        </w:tabs>
        <w:numPr>
          <w:ilvl w:val="1"/>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prior to the Vesting Date, you give MSCI notice of your intention to resign from your employment with the Company as of a date following the Vesting Date, your PSUs will vest and settle in accordance with Section 2;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if you do not subsequently comply with the Notice Requirements, the Committee may, in its discretion, require that the gross cash value of the PSUs delivered to you in accordance with this Section 4(d)(ii) be subject to recoupment or payback.</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32" w:name="page333"/>
    <w:bookmarkEnd w:id="332"/>
    <w:p>
      <w:pPr>
        <w:jc w:val="both"/>
        <w:spacing w:after="0" w:line="265" w:lineRule="auto"/>
        <w:rPr>
          <w:sz w:val="20"/>
          <w:szCs w:val="20"/>
          <w:color w:val="auto"/>
        </w:rPr>
      </w:pPr>
      <w:r>
        <w:rPr>
          <w:rFonts w:ascii="Times New Roman" w:cs="Times New Roman" w:eastAsia="Times New Roman" w:hAnsi="Times New Roman"/>
          <w:sz w:val="12"/>
          <w:szCs w:val="12"/>
          <w:color w:val="auto"/>
        </w:rPr>
        <w:t>For the avoidance of doubt, (A) revocation of a notice of intention to resign may, in the Company’s sole discretion or if required to comply with Section 409A, be deemed to be noncompliant with the Notice Requirements and, in connection with such revocation, your PSUs may be forfeited and (B) if, after you have given notice of your intention to resign or retire, as applicable, from your employment with the Company, the Company involuntarily terminates your employment without Cause prior to the expiration of your notice period, your outstanding PSUs will be treated in accordance with Section 4(b) or Section 4(c), as applicable.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Notwithstanding anything to the contrary contained herein, the Adjusted PSUs shall only vest pursuant to this Section 4 provided that you have complied with all applicable provisions of the HSR Act.</w:t>
      </w:r>
    </w:p>
    <w:p>
      <w:pPr>
        <w:spacing w:after="0" w:line="148" w:lineRule="exact"/>
        <w:rPr>
          <w:sz w:val="20"/>
          <w:szCs w:val="20"/>
          <w:color w:val="auto"/>
        </w:rPr>
      </w:pPr>
    </w:p>
    <w:p>
      <w:pPr>
        <w:jc w:val="both"/>
        <w:ind w:firstLine="933"/>
        <w:spacing w:after="0" w:line="255" w:lineRule="auto"/>
        <w:tabs>
          <w:tab w:leader="none" w:pos="1507" w:val="left"/>
        </w:tabs>
        <w:numPr>
          <w:ilvl w:val="0"/>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Termination of Employment</w:t>
      </w:r>
      <w:r>
        <w:rPr>
          <w:rFonts w:ascii="Times New Roman" w:cs="Times New Roman" w:eastAsia="Times New Roman" w:hAnsi="Times New Roman"/>
          <w:sz w:val="12"/>
          <w:szCs w:val="12"/>
          <w:color w:val="auto"/>
        </w:rPr>
        <w:t>. Unless otherwise provided in this Section 4 or Section 5(b), your employment relationship will be considered terminated as of the date you are no longer actively providing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services to the Company (whether or not later found to be invalid or in breach of employment laws in the jurisdiction where you are employed or the terms of your employment agreement, if any), and such date will not be extended by any notice period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xml:space="preserve"> your period of employment would not include any contractual notice period or any period of “garden leave” or similar period mandated under employment laws in the jurisdiction where you are employed or the terms of your employment agreement, if any). Notwithstanding anything to the contrary herein or in the Plan, the Committee shall have the exclusive discretion to determine whether and when you are no longer actively providing services for all purposes of your PSUs (including, without limitation, for purposes of this Section 4 and determining whether you are a Retirement Eligible Participant), including whether you may still be considered to be providing services (i) while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your employment for purposes of your PSUs).</w:t>
      </w:r>
    </w:p>
    <w:p>
      <w:pPr>
        <w:spacing w:after="0" w:line="125"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5.</w:t>
      </w:r>
      <w:r>
        <w:rPr>
          <w:sz w:val="20"/>
          <w:szCs w:val="20"/>
          <w:color w:val="auto"/>
        </w:rPr>
        <w:tab/>
      </w:r>
      <w:r>
        <w:rPr>
          <w:rFonts w:ascii="Times New Roman" w:cs="Times New Roman" w:eastAsia="Times New Roman" w:hAnsi="Times New Roman"/>
          <w:sz w:val="12"/>
          <w:szCs w:val="12"/>
          <w:u w:val="single" w:color="auto"/>
          <w:color w:val="auto"/>
        </w:rPr>
        <w:t>Change in Control</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firstLine="933"/>
        <w:spacing w:after="0" w:line="258" w:lineRule="auto"/>
        <w:tabs>
          <w:tab w:leader="none" w:pos="1507"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w:t>
      </w:r>
      <w:r>
        <w:rPr>
          <w:rFonts w:ascii="Times New Roman" w:cs="Times New Roman" w:eastAsia="Times New Roman" w:hAnsi="Times New Roman"/>
          <w:sz w:val="12"/>
          <w:szCs w:val="12"/>
          <w:color w:val="auto"/>
        </w:rPr>
        <w:t>. In the event of a Change in Control, the Committee, in its sole discretion, may provide for (i) the continuation or assumption of your outstanding PSUs under the Plan by the Company (if it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the surviving corporation) or by the surviving corporation or its parent, in which case your PSUs will continue to be subject to the terms of this Award Agreement, or (ii) the lapse of restrictions relating to and the settlement of your outstanding PSUs immediately prior to such Change in Control in the event a buyer will not continue or assume the PSUs;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in each case, the Performance Metric targets relating to any outstanding Target PSUs will be deemed to have been achieved at the greater of (x) the actual achievement of the Performance Metrics for the period (A) commencing on the first day of the Performance Period and (B) ending on the date immediately prior to such Change in Control and (y) [•]%. Following a Change in Control in which your outstanding PSUs are continued or assumed pursuant to clause (i) above, such PSUs may be settled in cash, Shares or a combination thereof.</w:t>
      </w:r>
    </w:p>
    <w:p>
      <w:pPr>
        <w:spacing w:after="0" w:line="122" w:lineRule="exact"/>
        <w:rPr>
          <w:rFonts w:ascii="Times New Roman" w:cs="Times New Roman" w:eastAsia="Times New Roman" w:hAnsi="Times New Roman"/>
          <w:sz w:val="12"/>
          <w:szCs w:val="12"/>
          <w:color w:val="auto"/>
        </w:rPr>
      </w:pPr>
    </w:p>
    <w:p>
      <w:pPr>
        <w:jc w:val="both"/>
        <w:ind w:firstLine="933"/>
        <w:spacing w:after="0" w:line="261" w:lineRule="auto"/>
        <w:tabs>
          <w:tab w:leader="none" w:pos="1513"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Qualifying Termination</w:t>
      </w:r>
      <w:r>
        <w:rPr>
          <w:rFonts w:ascii="Times New Roman" w:cs="Times New Roman" w:eastAsia="Times New Roman" w:hAnsi="Times New Roman"/>
          <w:sz w:val="12"/>
          <w:szCs w:val="12"/>
          <w:color w:val="auto"/>
        </w:rPr>
        <w:t>. In the event of a Qualifying Termination (as defined below), your PSUs will vest and convert into Shares within 60 days following such Qualifying Termination. If such 60-day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period begins in one taxable year and ends in a subsequent taxable year, such vesting and conversion shall occur in the second taxable year. “</w:t>
      </w:r>
      <w:r>
        <w:rPr>
          <w:rFonts w:ascii="Times New Roman" w:cs="Times New Roman" w:eastAsia="Times New Roman" w:hAnsi="Times New Roman"/>
          <w:sz w:val="12"/>
          <w:szCs w:val="12"/>
          <w:b w:val="1"/>
          <w:bCs w:val="1"/>
          <w:color w:val="auto"/>
        </w:rPr>
        <w:t>Qualifying Termination</w:t>
      </w:r>
      <w:r>
        <w:rPr>
          <w:rFonts w:ascii="Times New Roman" w:cs="Times New Roman" w:eastAsia="Times New Roman" w:hAnsi="Times New Roman"/>
          <w:sz w:val="12"/>
          <w:szCs w:val="12"/>
          <w:color w:val="auto"/>
        </w:rPr>
        <w:t>” means a termination of employment by the Company without Cause or by you for Good Reason (which shall be deemed an involuntary termination of employment by the Company without Cause), in each case within 24 months following the effective date of the Change in Control in which the PSUs are continued or assumed. Notwithstanding anything to the contrary contained herein, the PSUs shall only vest pursuant to this Section 5(b) provided that you have complied with all applicable provisions of the HSR Act.</w:t>
      </w:r>
    </w:p>
    <w:p>
      <w:pPr>
        <w:spacing w:after="0" w:line="122" w:lineRule="exact"/>
        <w:rPr>
          <w:sz w:val="20"/>
          <w:szCs w:val="20"/>
          <w:color w:val="auto"/>
        </w:rPr>
      </w:pPr>
    </w:p>
    <w:p>
      <w:pPr>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6. </w:t>
      </w:r>
      <w:r>
        <w:rPr>
          <w:rFonts w:ascii="Times New Roman" w:cs="Times New Roman" w:eastAsia="Times New Roman" w:hAnsi="Times New Roman"/>
          <w:sz w:val="12"/>
          <w:szCs w:val="12"/>
          <w:u w:val="single" w:color="auto"/>
          <w:color w:val="auto"/>
        </w:rPr>
        <w:t>Restrictive Covenants</w:t>
      </w:r>
      <w:r>
        <w:rPr>
          <w:rFonts w:ascii="Times New Roman" w:cs="Times New Roman" w:eastAsia="Times New Roman" w:hAnsi="Times New Roman"/>
          <w:sz w:val="12"/>
          <w:szCs w:val="12"/>
          <w:color w:val="auto"/>
        </w:rPr>
        <w:t xml:space="preserve">. In consideration of the grant of PSUs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to this Award Agreement. In the event you violate any of the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4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333" w:name="page334"/>
    <w:bookmarkEnd w:id="333"/>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 prior to or on the Adjustment Date, you will forfeit the PSUs (whether or not they are Adjusted PSUs) outstanding as of the date of such violation or (b) after the Adjustment Date, but prior to or on the expiry date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you will promptly deliver to the Company all Shares acquired upon conversion of the Adjusted PSUs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941"/>
        <w:spacing w:after="0" w:line="260" w:lineRule="auto"/>
        <w:rPr>
          <w:sz w:val="20"/>
          <w:szCs w:val="20"/>
          <w:color w:val="auto"/>
        </w:rPr>
      </w:pPr>
      <w:r>
        <w:rPr>
          <w:rFonts w:ascii="Times New Roman" w:cs="Times New Roman" w:eastAsia="Times New Roman" w:hAnsi="Times New Roman"/>
          <w:sz w:val="12"/>
          <w:szCs w:val="12"/>
          <w:color w:val="auto"/>
        </w:rPr>
        <w:t xml:space="preserve">Section 7. </w:t>
      </w:r>
      <w:r>
        <w:rPr>
          <w:rFonts w:ascii="Times New Roman" w:cs="Times New Roman" w:eastAsia="Times New Roman" w:hAnsi="Times New Roman"/>
          <w:sz w:val="12"/>
          <w:szCs w:val="12"/>
          <w:u w:val="single" w:color="auto"/>
          <w:color w:val="auto"/>
        </w:rPr>
        <w:t>Cancellation of Awards</w:t>
      </w:r>
      <w:r>
        <w:rPr>
          <w:rFonts w:ascii="Times New Roman" w:cs="Times New Roman" w:eastAsia="Times New Roman" w:hAnsi="Times New Roman"/>
          <w:sz w:val="12"/>
          <w:szCs w:val="12"/>
          <w:color w:val="auto"/>
        </w:rPr>
        <w:t>. Notwithstanding any other terms of this Award Agreement, your PSUs will be canceled prior to conversion in the event of any Cancellation Event. You may be required to provide MSCI with a written certification or other evidence that it deems appropriate, in its sole discretion, to confirm that no Cancellation Event has occurred. If you fail to submit a timely certification or evidence, MSCI will cancel your award. Except as explicitly provided in Section 4 or Section 5(b), upon a termination of your employment by you or by the Company for any reason, any of your PSUs that have not vested pursuant to Section 2 as of the date of your termination of employment with the Company will be canceled and forfeited in full as of such date.</w:t>
      </w:r>
    </w:p>
    <w:p>
      <w:pPr>
        <w:spacing w:after="0" w:line="122" w:lineRule="exact"/>
        <w:rPr>
          <w:sz w:val="20"/>
          <w:szCs w:val="20"/>
          <w:color w:val="auto"/>
        </w:rPr>
      </w:pPr>
    </w:p>
    <w:p>
      <w:pPr>
        <w:jc w:val="both"/>
        <w:ind w:firstLine="941"/>
        <w:spacing w:after="0" w:line="257" w:lineRule="auto"/>
        <w:rPr>
          <w:sz w:val="20"/>
          <w:szCs w:val="20"/>
          <w:color w:val="auto"/>
        </w:rPr>
      </w:pPr>
      <w:r>
        <w:rPr>
          <w:rFonts w:ascii="Times New Roman" w:cs="Times New Roman" w:eastAsia="Times New Roman" w:hAnsi="Times New Roman"/>
          <w:sz w:val="12"/>
          <w:szCs w:val="12"/>
          <w:color w:val="auto"/>
        </w:rPr>
        <w:t xml:space="preserve">Section 8. </w:t>
      </w:r>
      <w:r>
        <w:rPr>
          <w:rFonts w:ascii="Times New Roman" w:cs="Times New Roman" w:eastAsia="Times New Roman" w:hAnsi="Times New Roman"/>
          <w:sz w:val="12"/>
          <w:szCs w:val="12"/>
          <w:u w:val="single" w:color="auto"/>
          <w:color w:val="auto"/>
        </w:rPr>
        <w:t>Tax and Other Withholding Obligations</w:t>
      </w:r>
      <w:r>
        <w:rPr>
          <w:rFonts w:ascii="Times New Roman" w:cs="Times New Roman" w:eastAsia="Times New Roman" w:hAnsi="Times New Roman"/>
          <w:sz w:val="12"/>
          <w:szCs w:val="12"/>
          <w:color w:val="auto"/>
        </w:rPr>
        <w:t>. Pursuant to Section 15(d) of the Plan and the rules and procedures that the Committee may establish from time to time, tax or other withholding obligations arising upon vesting and conversion (as applicable) of your PSUs may be satisfied, in the Committee’s sole discretion, by having MSCI withhold Shares, tendering Shares or by having MSCI withhold cash if MSCI provides for a cash withholding option, in each case in an amount necessary to satisfy the tax or other withholding obligations. Shares withheld or tendered will be valued using the Fair Market Value of the Shares on the date your PSUs convert. In order to comply with applicable accounting standards or the Company’s policies in effect from time to time, the Committee may limit the amount of Shares that you may have withheld or that you may tender. You acknowledge that, if you are subject to Tax-Related Items (as defined below) in more than one jurisdiction, the Company (including any former employer) may be required to withhold or account for Tax-Related Items in more than one jurisdiction.</w:t>
      </w:r>
    </w:p>
    <w:p>
      <w:pPr>
        <w:spacing w:after="0" w:line="125"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9. </w:t>
      </w:r>
      <w:r>
        <w:rPr>
          <w:rFonts w:ascii="Times New Roman" w:cs="Times New Roman" w:eastAsia="Times New Roman" w:hAnsi="Times New Roman"/>
          <w:sz w:val="12"/>
          <w:szCs w:val="12"/>
          <w:u w:val="single" w:color="auto"/>
          <w:color w:val="auto"/>
        </w:rPr>
        <w:t>Nontransferability</w:t>
      </w:r>
      <w:r>
        <w:rPr>
          <w:rFonts w:ascii="Times New Roman" w:cs="Times New Roman" w:eastAsia="Times New Roman" w:hAnsi="Times New Roman"/>
          <w:sz w:val="12"/>
          <w:szCs w:val="12"/>
          <w:color w:val="auto"/>
        </w:rPr>
        <w:t>. You may not Transfer your PSUs or the Shares underlying your PSUs (or the rights to the foregoing), other than as provided in Section 10 or by will or the laws of descent and distribution or otherwise as provided for by the Committee.</w:t>
      </w:r>
    </w:p>
    <w:p>
      <w:pPr>
        <w:spacing w:after="0" w:line="111" w:lineRule="exact"/>
        <w:rPr>
          <w:sz w:val="20"/>
          <w:szCs w:val="20"/>
          <w:color w:val="auto"/>
        </w:rPr>
      </w:pPr>
    </w:p>
    <w:p>
      <w:pPr>
        <w:jc w:val="both"/>
        <w:ind w:firstLine="941"/>
        <w:spacing w:after="0" w:line="260" w:lineRule="auto"/>
        <w:rPr>
          <w:sz w:val="20"/>
          <w:szCs w:val="20"/>
          <w:color w:val="auto"/>
        </w:rPr>
      </w:pPr>
      <w:r>
        <w:rPr>
          <w:rFonts w:ascii="Times New Roman" w:cs="Times New Roman" w:eastAsia="Times New Roman" w:hAnsi="Times New Roman"/>
          <w:sz w:val="12"/>
          <w:szCs w:val="12"/>
          <w:color w:val="auto"/>
        </w:rPr>
        <w:t xml:space="preserve">Section 10. </w:t>
      </w:r>
      <w:r>
        <w:rPr>
          <w:rFonts w:ascii="Times New Roman" w:cs="Times New Roman" w:eastAsia="Times New Roman" w:hAnsi="Times New Roman"/>
          <w:sz w:val="12"/>
          <w:szCs w:val="12"/>
          <w:u w:val="single" w:color="auto"/>
          <w:color w:val="auto"/>
        </w:rPr>
        <w:t>Designation of a Beneficiary</w:t>
      </w:r>
      <w:r>
        <w:rPr>
          <w:rFonts w:ascii="Times New Roman" w:cs="Times New Roman" w:eastAsia="Times New Roman" w:hAnsi="Times New Roman"/>
          <w:sz w:val="12"/>
          <w:szCs w:val="12"/>
          <w:color w:val="auto"/>
        </w:rPr>
        <w:t>. Any designation of a beneficiary or beneficiaries to receive all or part of the Shares to be paid under this Award Agreement in the event of your death will be governed by local law. To make a beneficiary designation, you must coordinate with your personal tax or estate planning representative. Any Shares that become payable upon your death will be distributed to your estate in accordance with local law rules. You may replace or revoke your beneficiary designation at any time. If there is any question as to the legal right of any beneficiary(ies)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122"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11.</w:t>
      </w:r>
      <w:r>
        <w:rPr>
          <w:sz w:val="20"/>
          <w:szCs w:val="20"/>
          <w:color w:val="auto"/>
        </w:rPr>
        <w:tab/>
      </w:r>
      <w:r>
        <w:rPr>
          <w:rFonts w:ascii="Times New Roman" w:cs="Times New Roman" w:eastAsia="Times New Roman" w:hAnsi="Times New Roman"/>
          <w:sz w:val="12"/>
          <w:szCs w:val="12"/>
          <w:u w:val="single" w:color="auto"/>
          <w:color w:val="auto"/>
        </w:rPr>
        <w:t>Ownership and Possession</w:t>
      </w:r>
      <w:r>
        <w:rPr>
          <w:rFonts w:ascii="Times New Roman" w:cs="Times New Roman" w:eastAsia="Times New Roman" w:hAnsi="Times New Roman"/>
          <w:sz w:val="12"/>
          <w:szCs w:val="12"/>
          <w:color w:val="auto"/>
        </w:rPr>
        <w:t>. Except as set forth herein, you will not have any rights as a stockholder in the Shares corresponding to your PSUs prior to conversion of your PSUs.</w:t>
      </w:r>
    </w:p>
    <w:p>
      <w:pPr>
        <w:spacing w:after="0" w:line="150" w:lineRule="exact"/>
        <w:rPr>
          <w:sz w:val="20"/>
          <w:szCs w:val="20"/>
          <w:color w:val="auto"/>
        </w:rPr>
      </w:pPr>
    </w:p>
    <w:p>
      <w:pPr>
        <w:jc w:val="both"/>
        <w:ind w:right="20"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12. </w:t>
      </w:r>
      <w:r>
        <w:rPr>
          <w:rFonts w:ascii="Times New Roman" w:cs="Times New Roman" w:eastAsia="Times New Roman" w:hAnsi="Times New Roman"/>
          <w:sz w:val="12"/>
          <w:szCs w:val="12"/>
          <w:u w:val="single" w:color="auto"/>
          <w:color w:val="auto"/>
        </w:rPr>
        <w:t>Securities Law Compliance Matters</w:t>
      </w:r>
      <w:r>
        <w:rPr>
          <w:rFonts w:ascii="Times New Roman" w:cs="Times New Roman" w:eastAsia="Times New Roman" w:hAnsi="Times New Roman"/>
          <w:sz w:val="12"/>
          <w:szCs w:val="12"/>
          <w:color w:val="auto"/>
        </w:rPr>
        <w:t>. MSCI may, if it determines it is appropriate, affix any legend to the stock certificates representing Shares issued upon conversion of your PSUs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11"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13. </w:t>
      </w:r>
      <w:r>
        <w:rPr>
          <w:rFonts w:ascii="Times New Roman" w:cs="Times New Roman" w:eastAsia="Times New Roman" w:hAnsi="Times New Roman"/>
          <w:sz w:val="12"/>
          <w:szCs w:val="12"/>
          <w:u w:val="single" w:color="auto"/>
          <w:color w:val="auto"/>
        </w:rPr>
        <w:t>Compliance with Laws and Regulations</w:t>
      </w:r>
      <w:r>
        <w:rPr>
          <w:rFonts w:ascii="Times New Roman" w:cs="Times New Roman" w:eastAsia="Times New Roman" w:hAnsi="Times New Roman"/>
          <w:sz w:val="12"/>
          <w:szCs w:val="12"/>
          <w:color w:val="auto"/>
        </w:rPr>
        <w:t>. Any sale, assignment, transfer, pledge, mortgage, encumbrance or other disposition of Shares issued upon conversion of your PSUs (whether directly or indirectly, whether or not for value, and whether or not voluntary) must be made in compliance with 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4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34" w:name="page335"/>
    <w:bookmarkEnd w:id="334"/>
    <w:p>
      <w:pPr>
        <w:spacing w:after="0" w:line="279" w:lineRule="auto"/>
        <w:rPr>
          <w:sz w:val="20"/>
          <w:szCs w:val="20"/>
          <w:color w:val="auto"/>
        </w:rPr>
      </w:pPr>
      <w:r>
        <w:rPr>
          <w:rFonts w:ascii="Times New Roman" w:cs="Times New Roman" w:eastAsia="Times New Roman" w:hAnsi="Times New Roman"/>
          <w:sz w:val="12"/>
          <w:szCs w:val="12"/>
          <w:color w:val="auto"/>
        </w:rPr>
        <w:t>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111"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14.</w:t>
      </w:r>
      <w:r>
        <w:rPr>
          <w:sz w:val="20"/>
          <w:szCs w:val="20"/>
          <w:color w:val="auto"/>
        </w:rPr>
        <w:tab/>
      </w:r>
      <w:r>
        <w:rPr>
          <w:rFonts w:ascii="Times New Roman" w:cs="Times New Roman" w:eastAsia="Times New Roman" w:hAnsi="Times New Roman"/>
          <w:sz w:val="12"/>
          <w:szCs w:val="12"/>
          <w:u w:val="single" w:color="auto"/>
          <w:color w:val="auto"/>
        </w:rPr>
        <w:t>No Entitlements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1500" w:hanging="567"/>
        <w:spacing w:after="0"/>
        <w:tabs>
          <w:tab w:leader="none" w:pos="1500" w:val="left"/>
        </w:tabs>
        <w:numPr>
          <w:ilvl w:val="0"/>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Right to Continued Employment</w:t>
      </w:r>
      <w:r>
        <w:rPr>
          <w:rFonts w:ascii="Times New Roman" w:cs="Times New Roman" w:eastAsia="Times New Roman" w:hAnsi="Times New Roman"/>
          <w:sz w:val="12"/>
          <w:szCs w:val="12"/>
          <w:color w:val="auto"/>
        </w:rPr>
        <w:t>. This PSU award is not an employment agreement, and nothing in this Award Agreement or the Plan shall alter your status as an “at-will” employee of the Company.</w:t>
      </w:r>
    </w:p>
    <w:p>
      <w:pPr>
        <w:spacing w:after="0" w:line="150" w:lineRule="exact"/>
        <w:rPr>
          <w:rFonts w:ascii="Times New Roman" w:cs="Times New Roman" w:eastAsia="Times New Roman" w:hAnsi="Times New Roman"/>
          <w:sz w:val="12"/>
          <w:szCs w:val="12"/>
          <w:color w:val="auto"/>
        </w:rPr>
      </w:pPr>
    </w:p>
    <w:p>
      <w:pPr>
        <w:jc w:val="both"/>
        <w:ind w:firstLine="933"/>
        <w:spacing w:after="0" w:line="266" w:lineRule="auto"/>
        <w:tabs>
          <w:tab w:leader="none" w:pos="1513" w:val="left"/>
        </w:tabs>
        <w:numPr>
          <w:ilvl w:val="0"/>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Right to Future Awards</w:t>
      </w:r>
      <w:r>
        <w:rPr>
          <w:rFonts w:ascii="Times New Roman" w:cs="Times New Roman" w:eastAsia="Times New Roman" w:hAnsi="Times New Roman"/>
          <w:sz w:val="12"/>
          <w:szCs w:val="12"/>
          <w:color w:val="auto"/>
        </w:rPr>
        <w:t>. This award, and all other awards of PSUs and other equity-based awards, are discretionary. This award does not confer on you any right or entitlement to receive another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award of PSUs or any other equity-based award at any time in the future or in respect of any future period. You agree that any release required under Section 4 of this Award Agreement is in exchange for the grant of PSUs hereunder, for which you have no current entitlement.</w:t>
      </w:r>
    </w:p>
    <w:p>
      <w:pPr>
        <w:spacing w:after="0" w:line="117" w:lineRule="exact"/>
        <w:rPr>
          <w:rFonts w:ascii="Times New Roman" w:cs="Times New Roman" w:eastAsia="Times New Roman" w:hAnsi="Times New Roman"/>
          <w:sz w:val="12"/>
          <w:szCs w:val="12"/>
          <w:color w:val="auto"/>
        </w:rPr>
      </w:pPr>
    </w:p>
    <w:p>
      <w:pPr>
        <w:ind w:firstLine="933"/>
        <w:spacing w:after="0" w:line="283" w:lineRule="auto"/>
        <w:tabs>
          <w:tab w:leader="none" w:pos="1507" w:val="left"/>
        </w:tabs>
        <w:numPr>
          <w:ilvl w:val="0"/>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Effect on Future Employment Compensation</w:t>
      </w:r>
      <w:r>
        <w:rPr>
          <w:rFonts w:ascii="Times New Roman" w:cs="Times New Roman" w:eastAsia="Times New Roman" w:hAnsi="Times New Roman"/>
          <w:sz w:val="12"/>
          <w:szCs w:val="12"/>
          <w:color w:val="auto"/>
        </w:rPr>
        <w:t>. MSCI has made this award to you in its sole discretion. This award does not confer on you any right or entitlement to receive compensation in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specific amount. In addition, this award is not part of your base salary or wages and will not be taken into account in determining any other employment-related rights you may have, such as rights to pension or severance pay.</w:t>
      </w:r>
    </w:p>
    <w:p>
      <w:pPr>
        <w:spacing w:after="0" w:line="109" w:lineRule="exact"/>
        <w:rPr>
          <w:sz w:val="20"/>
          <w:szCs w:val="20"/>
          <w:color w:val="auto"/>
        </w:rPr>
      </w:pPr>
    </w:p>
    <w:p>
      <w:pPr>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15. </w:t>
      </w:r>
      <w:r>
        <w:rPr>
          <w:rFonts w:ascii="Times New Roman" w:cs="Times New Roman" w:eastAsia="Times New Roman" w:hAnsi="Times New Roman"/>
          <w:sz w:val="12"/>
          <w:szCs w:val="12"/>
          <w:u w:val="single" w:color="auto"/>
          <w:color w:val="auto"/>
        </w:rPr>
        <w:t>No Advice Regarding Grant</w:t>
      </w:r>
      <w:r>
        <w:rPr>
          <w:rFonts w:ascii="Times New Roman" w:cs="Times New Roman" w:eastAsia="Times New Roman" w:hAnsi="Times New Roman"/>
          <w:sz w:val="12"/>
          <w:szCs w:val="1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111"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16.</w:t>
      </w:r>
      <w:r>
        <w:rPr>
          <w:sz w:val="20"/>
          <w:szCs w:val="20"/>
          <w:color w:val="auto"/>
        </w:rPr>
        <w:tab/>
      </w:r>
      <w:r>
        <w:rPr>
          <w:rFonts w:ascii="Times New Roman" w:cs="Times New Roman" w:eastAsia="Times New Roman" w:hAnsi="Times New Roman"/>
          <w:sz w:val="12"/>
          <w:szCs w:val="12"/>
          <w:u w:val="single" w:color="auto"/>
          <w:color w:val="auto"/>
        </w:rPr>
        <w:t>Consents under Local Law</w:t>
      </w:r>
      <w:r>
        <w:rPr>
          <w:rFonts w:ascii="Times New Roman" w:cs="Times New Roman" w:eastAsia="Times New Roman" w:hAnsi="Times New Roman"/>
          <w:sz w:val="12"/>
          <w:szCs w:val="12"/>
          <w:color w:val="auto"/>
        </w:rPr>
        <w:t>. Your award is conditioned upon the making of all filings and the receipt of all consents or authorizations required to comply with, or to be obtained under, applicable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local law.</w:t>
      </w:r>
    </w:p>
    <w:p>
      <w:pPr>
        <w:spacing w:after="0" w:line="139"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17.</w:t>
      </w:r>
      <w:r>
        <w:rPr>
          <w:sz w:val="20"/>
          <w:szCs w:val="20"/>
          <w:color w:val="auto"/>
        </w:rPr>
        <w:tab/>
      </w:r>
      <w:r>
        <w:rPr>
          <w:rFonts w:ascii="Times New Roman" w:cs="Times New Roman" w:eastAsia="Times New Roman" w:hAnsi="Times New Roman"/>
          <w:sz w:val="11"/>
          <w:szCs w:val="11"/>
          <w:u w:val="single" w:color="auto"/>
          <w:color w:val="auto"/>
        </w:rPr>
        <w:t>Award Modification and Section 409A</w:t>
      </w:r>
      <w:r>
        <w:rPr>
          <w:rFonts w:ascii="Times New Roman" w:cs="Times New Roman" w:eastAsia="Times New Roman" w:hAnsi="Times New Roman"/>
          <w:sz w:val="11"/>
          <w:szCs w:val="11"/>
          <w:color w:val="auto"/>
        </w:rPr>
        <w:t>.</w:t>
      </w:r>
    </w:p>
    <w:p>
      <w:pPr>
        <w:spacing w:after="0" w:line="148" w:lineRule="exact"/>
        <w:rPr>
          <w:sz w:val="20"/>
          <w:szCs w:val="20"/>
          <w:color w:val="auto"/>
        </w:rPr>
      </w:pPr>
    </w:p>
    <w:p>
      <w:pPr>
        <w:jc w:val="both"/>
        <w:ind w:firstLine="933"/>
        <w:spacing w:after="0" w:line="257" w:lineRule="auto"/>
        <w:tabs>
          <w:tab w:leader="none" w:pos="1507"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Modification. </w:t>
      </w:r>
      <w:r>
        <w:rPr>
          <w:rFonts w:ascii="Times New Roman" w:cs="Times New Roman" w:eastAsia="Times New Roman" w:hAnsi="Times New Roman"/>
          <w:sz w:val="12"/>
          <w:szCs w:val="12"/>
          <w:color w:val="auto"/>
        </w:rPr>
        <w:t>MSCI reserves the right to modify or amend unilaterally the terms and conditions of your PSUs, without first asking your consent, or to waive any terms and conditions that operate in favor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of MSCI. MSCI may not modify your PSUs in a manner that would materially impair your rights in your PSUs without your consent;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MSCI may, without your consent, amend or modify your PSUs in any manner that MSCI considers necessary or advisable to comply with applicable law, stock market or exchange rules and regulations or accounting or tax rules and regulations or to ensure that your PSUs are not subject to tax prior to payment. MSCI will notify you of any amendment of your PSUs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21"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Section 409A</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jc w:val="both"/>
        <w:ind w:left="940" w:firstLine="857"/>
        <w:spacing w:after="0" w:line="265" w:lineRule="auto"/>
        <w:tabs>
          <w:tab w:leader="none" w:pos="2348" w:val="left"/>
        </w:tabs>
        <w:numPr>
          <w:ilvl w:val="1"/>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understand and agree that all payments made pursuant to this Award Agreement are intended to be exempt and/or comply with Section 409A, 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4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35" w:name="page336"/>
    <w:bookmarkEnd w:id="335"/>
    <w:p>
      <w:pPr>
        <w:jc w:val="both"/>
        <w:ind w:left="940" w:firstLine="857"/>
        <w:spacing w:after="0" w:line="254" w:lineRule="auto"/>
        <w:tabs>
          <w:tab w:leader="none" w:pos="2382"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other provisions of this Award Agreement, to the extent necessary to comply with Section 409A, no conversion specified hereunder shall occur unless permissible under Section 409A. If MSCI considers you to be one of its “specified employees” and you are a U.S. taxpayer, in each case, at the time of your “separation from service” (as such terms are defined in the Code) from the Company, no conversion specified hereunder shall occur prior to the expiration of the six-month period measured from the date of your separation from service from the Company (such period, the “</w:t>
      </w:r>
      <w:r>
        <w:rPr>
          <w:rFonts w:ascii="Times New Roman" w:cs="Times New Roman" w:eastAsia="Times New Roman" w:hAnsi="Times New Roman"/>
          <w:sz w:val="12"/>
          <w:szCs w:val="12"/>
          <w:b w:val="1"/>
          <w:bCs w:val="1"/>
          <w:color w:val="auto"/>
        </w:rPr>
        <w:t>Specified Employee Period</w:t>
      </w:r>
      <w:r>
        <w:rPr>
          <w:rFonts w:ascii="Times New Roman" w:cs="Times New Roman" w:eastAsia="Times New Roman" w:hAnsi="Times New Roman"/>
          <w:sz w:val="12"/>
          <w:szCs w:val="12"/>
          <w:color w:val="auto"/>
        </w:rPr>
        <w:t xml:space="preserve">”). Any conversion of Adjusted PSUs into Shares that would have occurred during the Specified Employee Period but for the fact that you are deemed to be a specified employee shall be satisfied either by (A) conversion of such Adjusted PSUs into Shares on the first business day following the Specified Employee Period or (B) a cash payment on the first business day following the Specified Employee Period equal to the value of such Adjusted PSUs on the scheduled conversion date (based on the value of the Shares on such date) plus accrued interest as determined by MSCI;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to the extent this Section 17(b)(ii) is applicable, in the event of your death after the date of your separation from service from the Company, any conversion or payment delayed pursuant to this Section 17(b)(ii) shall occur or be made immediately. For the avoidance of doubt, any determination as to form of payment provided in this Section 17(b)(ii) will be in the sole discretion of MSCI.</w:t>
      </w:r>
    </w:p>
    <w:p>
      <w:pPr>
        <w:spacing w:after="0" w:line="127" w:lineRule="exact"/>
        <w:rPr>
          <w:rFonts w:ascii="Times New Roman" w:cs="Times New Roman" w:eastAsia="Times New Roman" w:hAnsi="Times New Roman"/>
          <w:sz w:val="12"/>
          <w:szCs w:val="12"/>
          <w:color w:val="auto"/>
        </w:rPr>
      </w:pPr>
    </w:p>
    <w:p>
      <w:pPr>
        <w:ind w:left="940" w:firstLine="857"/>
        <w:spacing w:after="0" w:line="279" w:lineRule="auto"/>
        <w:tabs>
          <w:tab w:leader="none" w:pos="2415"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any provision of this Award Agreement providing for the payment of any amounts of nonqualified deferred compensation upon or following a termination of employment from the Company, references to your “termination of employment” (and corollary terms) shall be construed to refer to your “separation from service” from the Company.</w:t>
      </w:r>
    </w:p>
    <w:p>
      <w:pPr>
        <w:spacing w:after="0" w:line="111" w:lineRule="exact"/>
        <w:rPr>
          <w:rFonts w:ascii="Times New Roman" w:cs="Times New Roman" w:eastAsia="Times New Roman" w:hAnsi="Times New Roman"/>
          <w:sz w:val="12"/>
          <w:szCs w:val="12"/>
          <w:color w:val="auto"/>
        </w:rPr>
      </w:pPr>
    </w:p>
    <w:p>
      <w:pPr>
        <w:ind w:left="940" w:firstLine="857"/>
        <w:spacing w:after="0" w:line="279" w:lineRule="auto"/>
        <w:tabs>
          <w:tab w:leader="none" w:pos="2408"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reserves the right to modify the terms of this Award Agreement, including, without limitation, the payment provisions applicable to your PSUs, to the extent necessary or advisable to comply with Section 409A and reserves the right to make any changes to your PSU award so that it does not become subject to Section 409A or become subject to a Specified Employee Period.</w:t>
      </w:r>
    </w:p>
    <w:p>
      <w:pPr>
        <w:spacing w:after="0" w:line="111"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18.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In the event MSCI determines that any provision of this Award Agreement would cause you to be in constructive receipt for United States federal or state income tax purposes of any portion of your award, then such provision will be considered null and void, and this Award Agreement will be construed and enforced as if the provision had not been included in this Award Agreement as of the date such provision was determined to cause you to be in constructive receipt of any portion of your award.</w:t>
      </w:r>
    </w:p>
    <w:p>
      <w:pPr>
        <w:spacing w:after="0" w:line="119" w:lineRule="exact"/>
        <w:rPr>
          <w:sz w:val="20"/>
          <w:szCs w:val="20"/>
          <w:color w:val="auto"/>
        </w:rPr>
      </w:pPr>
    </w:p>
    <w:p>
      <w:pPr>
        <w:jc w:val="both"/>
        <w:ind w:firstLine="941"/>
        <w:spacing w:after="0" w:line="279" w:lineRule="auto"/>
        <w:rPr>
          <w:sz w:val="20"/>
          <w:szCs w:val="20"/>
          <w:color w:val="auto"/>
        </w:rPr>
      </w:pPr>
      <w:r>
        <w:rPr>
          <w:rFonts w:ascii="Times New Roman" w:cs="Times New Roman" w:eastAsia="Times New Roman" w:hAnsi="Times New Roman"/>
          <w:sz w:val="12"/>
          <w:szCs w:val="12"/>
          <w:color w:val="auto"/>
        </w:rPr>
        <w:t xml:space="preserve">Section 19. </w:t>
      </w:r>
      <w:r>
        <w:rPr>
          <w:rFonts w:ascii="Times New Roman" w:cs="Times New Roman" w:eastAsia="Times New Roman" w:hAnsi="Times New Roman"/>
          <w:sz w:val="12"/>
          <w:szCs w:val="12"/>
          <w:u w:val="single" w:color="auto"/>
          <w:color w:val="auto"/>
        </w:rPr>
        <w:t>Successors</w:t>
      </w:r>
      <w:r>
        <w:rPr>
          <w:rFonts w:ascii="Times New Roman" w:cs="Times New Roman" w:eastAsia="Times New Roman" w:hAnsi="Times New Roman"/>
          <w:sz w:val="12"/>
          <w:szCs w:val="12"/>
          <w:color w:val="auto"/>
        </w:rPr>
        <w:t>. This Award Agreement shall be binding upon and inure to the benefit of any successor or successors of the Company and any person or persons who shall, upon your death, acquire any rights hereunder in accordance with this Award Agreement or the Plan.</w:t>
      </w:r>
    </w:p>
    <w:p>
      <w:pPr>
        <w:spacing w:after="0" w:line="111" w:lineRule="exact"/>
        <w:rPr>
          <w:sz w:val="20"/>
          <w:szCs w:val="20"/>
          <w:color w:val="auto"/>
        </w:rPr>
      </w:pPr>
    </w:p>
    <w:p>
      <w:pPr>
        <w:jc w:val="both"/>
        <w:ind w:firstLine="941"/>
        <w:spacing w:after="0" w:line="260" w:lineRule="auto"/>
        <w:rPr>
          <w:sz w:val="20"/>
          <w:szCs w:val="20"/>
          <w:color w:val="auto"/>
        </w:rPr>
      </w:pPr>
      <w:r>
        <w:rPr>
          <w:rFonts w:ascii="Times New Roman" w:cs="Times New Roman" w:eastAsia="Times New Roman" w:hAnsi="Times New Roman"/>
          <w:sz w:val="12"/>
          <w:szCs w:val="12"/>
          <w:color w:val="auto"/>
        </w:rPr>
        <w:t xml:space="preserve">Section 20. </w:t>
      </w:r>
      <w:r>
        <w:rPr>
          <w:rFonts w:ascii="Times New Roman" w:cs="Times New Roman" w:eastAsia="Times New Roman" w:hAnsi="Times New Roman"/>
          <w:sz w:val="12"/>
          <w:szCs w:val="12"/>
          <w:u w:val="single" w:color="auto"/>
          <w:color w:val="auto"/>
        </w:rPr>
        <w:t>Rule of Construction for Timing of Conversion</w:t>
      </w:r>
      <w:r>
        <w:rPr>
          <w:rFonts w:ascii="Times New Roman" w:cs="Times New Roman" w:eastAsia="Times New Roman" w:hAnsi="Times New Roman"/>
          <w:sz w:val="12"/>
          <w:szCs w:val="12"/>
          <w:color w:val="auto"/>
        </w:rPr>
        <w:t>. With respect to each provision of this Award Agreement that provides for your PSUs to convert into Shares, or your dividend equivalents to be paid, on a specified event or date, such conversion or payment will be considered to have been timely made, and neither you nor any of your beneficiaries or your estate shall have any claim against the Company for damages based on a delay in conversion or payment, and the Company shall have no liability to you (or to any of your beneficiaries or your estate) in respect of any such delay, as long as payment is made by December 31 of the year in which the applicable Vesting Date or such other specified event or date occurs, or if later, by March 15</w:t>
      </w:r>
      <w:r>
        <w:rPr>
          <w:rFonts w:ascii="Times New Roman" w:cs="Times New Roman" w:eastAsia="Times New Roman" w:hAnsi="Times New Roman"/>
          <w:sz w:val="10"/>
          <w:szCs w:val="10"/>
          <w:color w:val="auto"/>
        </w:rPr>
        <w:t>th</w:t>
      </w:r>
      <w:r>
        <w:rPr>
          <w:rFonts w:ascii="Times New Roman" w:cs="Times New Roman" w:eastAsia="Times New Roman" w:hAnsi="Times New Roman"/>
          <w:sz w:val="12"/>
          <w:szCs w:val="12"/>
          <w:color w:val="auto"/>
        </w:rPr>
        <w:t xml:space="preserve"> of the year following such specified event or date.</w:t>
      </w:r>
    </w:p>
    <w:p>
      <w:pPr>
        <w:spacing w:after="0" w:line="122"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Non-U.S. Participants</w:t>
      </w:r>
      <w:r>
        <w:rPr>
          <w:rFonts w:ascii="Times New Roman" w:cs="Times New Roman" w:eastAsia="Times New Roman" w:hAnsi="Times New Roman"/>
          <w:sz w:val="12"/>
          <w:szCs w:val="12"/>
          <w:color w:val="auto"/>
        </w:rPr>
        <w:t>. The following provisions will apply to you if you reside or work outside of the United States. For the 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4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336" w:name="page337"/>
    <w:bookmarkEnd w:id="336"/>
    <w:p>
      <w:pPr>
        <w:ind w:left="1500" w:hanging="567"/>
        <w:spacing w:after="0"/>
        <w:tabs>
          <w:tab w:leader="none" w:pos="1500" w:val="left"/>
        </w:tabs>
        <w:numPr>
          <w:ilvl w:val="0"/>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[Reserved]</w:t>
      </w:r>
    </w:p>
    <w:p>
      <w:pPr>
        <w:spacing w:after="0" w:line="150" w:lineRule="exact"/>
        <w:rPr>
          <w:rFonts w:ascii="Times New Roman" w:cs="Times New Roman" w:eastAsia="Times New Roman" w:hAnsi="Times New Roman"/>
          <w:sz w:val="12"/>
          <w:szCs w:val="12"/>
          <w:color w:val="auto"/>
        </w:rPr>
      </w:pPr>
    </w:p>
    <w:p>
      <w:pPr>
        <w:jc w:val="both"/>
        <w:ind w:firstLine="933"/>
        <w:spacing w:after="0" w:line="258" w:lineRule="auto"/>
        <w:tabs>
          <w:tab w:leader="none" w:pos="1513" w:val="left"/>
        </w:tabs>
        <w:numPr>
          <w:ilvl w:val="0"/>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Tax and Other Withholding Obligations. </w:t>
      </w:r>
      <w:r>
        <w:rPr>
          <w:rFonts w:ascii="Times New Roman" w:cs="Times New Roman" w:eastAsia="Times New Roman" w:hAnsi="Times New Roman"/>
          <w:sz w:val="12"/>
          <w:szCs w:val="12"/>
          <w:color w:val="auto"/>
        </w:rPr>
        <w:t>You acknowledge that, regardless of any action taken by the Company, the ultimate liability for all income tax, social insurance, payroll tax, fringe benefits tax,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payment on account or other tax-related items related to your participation in the Plan and legally applicable or deemed applicable to you (“</w:t>
      </w:r>
      <w:r>
        <w:rPr>
          <w:rFonts w:ascii="Times New Roman" w:cs="Times New Roman" w:eastAsia="Times New Roman" w:hAnsi="Times New Roman"/>
          <w:sz w:val="12"/>
          <w:szCs w:val="12"/>
          <w:b w:val="1"/>
          <w:bCs w:val="1"/>
          <w:color w:val="auto"/>
        </w:rPr>
        <w:t>Tax-Related Items</w:t>
      </w:r>
      <w:r>
        <w:rPr>
          <w:rFonts w:ascii="Times New Roman" w:cs="Times New Roman" w:eastAsia="Times New Roman" w:hAnsi="Times New Roman"/>
          <w:sz w:val="12"/>
          <w:szCs w:val="12"/>
          <w:color w:val="auto"/>
        </w:rPr>
        <w:t>”) is and remains your responsibility and may exceed the amount, if any, actually withheld by the Company. You further acknowledge that the Company (i) makes no representations or undertaking regarding the treatment of any Tax-Related Items in connection with any aspect of the PSUs or the underlying Shares, including, but not limited to, the grant, vesting or settlement of the PSUs, the subsequent sale of Shares acquired pursuant to such settlement and the receipt of any dividend equivalents and/or dividends; and (ii) does not commit to and is under no obligation to structure the terms of the grant or any aspect of the PSUs to reduce or eliminate your liability for Tax-Related Items or achieve any particular tax result.</w:t>
      </w:r>
    </w:p>
    <w:p>
      <w:pPr>
        <w:spacing w:after="0" w:line="124" w:lineRule="exact"/>
        <w:rPr>
          <w:sz w:val="20"/>
          <w:szCs w:val="20"/>
          <w:color w:val="auto"/>
        </w:rPr>
      </w:pPr>
    </w:p>
    <w:p>
      <w:pPr>
        <w:jc w:val="both"/>
        <w:ind w:right="20" w:firstLine="941"/>
        <w:spacing w:after="0" w:line="279" w:lineRule="auto"/>
        <w:rPr>
          <w:sz w:val="20"/>
          <w:szCs w:val="20"/>
          <w:color w:val="auto"/>
        </w:rPr>
      </w:pPr>
      <w:r>
        <w:rPr>
          <w:rFonts w:ascii="Times New Roman" w:cs="Times New Roman" w:eastAsia="Times New Roman" w:hAnsi="Times New Roman"/>
          <w:sz w:val="12"/>
          <w:szCs w:val="12"/>
          <w:color w:val="auto"/>
        </w:rPr>
        <w:t>If the obligation for Tax-Related Items is satisfied by withholding in Shares, for tax purposes, you are deemed to have been issued the full number of Shares subject to the vested PSUs, notwithstanding that a number of the Shares are held back solely for the purpose of paying the Tax-Related Items.</w:t>
      </w:r>
    </w:p>
    <w:p>
      <w:pPr>
        <w:spacing w:after="0" w:line="111" w:lineRule="exact"/>
        <w:rPr>
          <w:sz w:val="20"/>
          <w:szCs w:val="20"/>
          <w:color w:val="auto"/>
        </w:rPr>
      </w:pPr>
    </w:p>
    <w:p>
      <w:pPr>
        <w:jc w:val="both"/>
        <w:ind w:firstLine="941"/>
        <w:spacing w:after="0" w:line="257" w:lineRule="auto"/>
        <w:rPr>
          <w:sz w:val="20"/>
          <w:szCs w:val="20"/>
          <w:color w:val="auto"/>
        </w:rPr>
      </w:pPr>
      <w:r>
        <w:rPr>
          <w:rFonts w:ascii="Times New Roman" w:cs="Times New Roman" w:eastAsia="Times New Roman" w:hAnsi="Times New Roman"/>
          <w:sz w:val="12"/>
          <w:szCs w:val="12"/>
          <w:color w:val="auto"/>
        </w:rPr>
        <w:t>In the event that withholding in and/or tendering Shares is problematic under applicable tax or securities law or has materially adverse accounting consequences, by your acceptance of the PSUs,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minimum or maximum rates applicable in your jurisdiction(s). In the event of over-withholding, you may receive a refund of any over-withheld amount in cash and will have no entitlement to the stock equivalent, or if not refunded, you may seek a refund from the local tax authorities. In the event of under-withholding, you may be required to pay any additional Tax-Related Items directly to the applicable tax authority or to the Company and/or your employer.</w:t>
      </w:r>
    </w:p>
    <w:p>
      <w:pPr>
        <w:spacing w:after="0" w:line="125"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Finally, you agree to pay to the Company, including through withholding from your wages or other cash compensation paid to you by MSCI and/or your employer, any amount of Tax-Related Items that the Company may be required to withhold or account for as a result of your participation in the Plan that cannot be satisfied by the means previously described. MSCI may refuse to issue or deliver the Shares or the proceeds of the sale of Shares if you fail to comply with your obligations in connection with the Tax-Related Items.</w:t>
      </w:r>
    </w:p>
    <w:p>
      <w:pPr>
        <w:spacing w:after="0" w:line="117" w:lineRule="exact"/>
        <w:rPr>
          <w:sz w:val="20"/>
          <w:szCs w:val="20"/>
          <w:color w:val="auto"/>
        </w:rPr>
      </w:pPr>
    </w:p>
    <w:p>
      <w:pPr>
        <w:ind w:left="1500" w:hanging="567"/>
        <w:spacing w:after="0"/>
        <w:tabs>
          <w:tab w:leader="none" w:pos="1500" w:val="left"/>
        </w:tabs>
        <w:numPr>
          <w:ilvl w:val="0"/>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Nature of Grant</w:t>
      </w:r>
      <w:r>
        <w:rPr>
          <w:rFonts w:ascii="Times New Roman" w:cs="Times New Roman" w:eastAsia="Times New Roman" w:hAnsi="Times New Roman"/>
          <w:sz w:val="12"/>
          <w:szCs w:val="12"/>
          <w:color w:val="auto"/>
        </w:rPr>
        <w:t>. In accepting the PSUs, you acknowledge, understand and agree that:</w:t>
      </w:r>
    </w:p>
    <w:p>
      <w:pPr>
        <w:spacing w:after="0" w:line="152" w:lineRule="exact"/>
        <w:rPr>
          <w:rFonts w:ascii="Times New Roman" w:cs="Times New Roman" w:eastAsia="Times New Roman" w:hAnsi="Times New Roman"/>
          <w:sz w:val="12"/>
          <w:szCs w:val="12"/>
          <w:color w:val="auto"/>
        </w:rPr>
      </w:pPr>
    </w:p>
    <w:p>
      <w:pPr>
        <w:ind w:left="2340" w:hanging="543"/>
        <w:spacing w:after="0"/>
        <w:tabs>
          <w:tab w:leader="none" w:pos="2340" w:val="left"/>
        </w:tabs>
        <w:numPr>
          <w:ilvl w:val="1"/>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is established voluntarily by MSCI, it is discretionary in nature and it may be modified, amended, suspended or terminated by MSCI at any time, to the extent permitted by the</w:t>
      </w:r>
    </w:p>
    <w:p>
      <w:pPr>
        <w:spacing w:after="0" w:line="1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w:t>
      </w:r>
    </w:p>
    <w:p>
      <w:pPr>
        <w:spacing w:after="0" w:line="139" w:lineRule="exact"/>
        <w:rPr>
          <w:rFonts w:ascii="Times New Roman" w:cs="Times New Roman" w:eastAsia="Times New Roman" w:hAnsi="Times New Roman"/>
          <w:sz w:val="12"/>
          <w:szCs w:val="12"/>
          <w:color w:val="auto"/>
        </w:rPr>
      </w:pPr>
    </w:p>
    <w:p>
      <w:pPr>
        <w:ind w:left="940" w:firstLine="857"/>
        <w:spacing w:after="0" w:line="279" w:lineRule="auto"/>
        <w:tabs>
          <w:tab w:leader="none" w:pos="2382" w:val="left"/>
        </w:tabs>
        <w:numPr>
          <w:ilvl w:val="1"/>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PSU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11" w:lineRule="exact"/>
        <w:rPr>
          <w:rFonts w:ascii="Times New Roman" w:cs="Times New Roman" w:eastAsia="Times New Roman" w:hAnsi="Times New Roman"/>
          <w:sz w:val="12"/>
          <w:szCs w:val="12"/>
          <w:color w:val="auto"/>
        </w:rPr>
      </w:pPr>
    </w:p>
    <w:p>
      <w:pPr>
        <w:jc w:val="both"/>
        <w:ind w:left="940" w:firstLine="857"/>
        <w:spacing w:after="0" w:line="265" w:lineRule="auto"/>
        <w:tabs>
          <w:tab w:leader="none" w:pos="2415" w:val="left"/>
        </w:tabs>
        <w:numPr>
          <w:ilvl w:val="1"/>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award, and all other awards of PSUs and other equity-based awards, are exceptional, discretionary, voluntary and occasional. This award does not confer on you any contractual or other right or entitlement to receive another award of PSUs, any other equity-based award or benefits in lieu of PSUs at any time in the future or in respect of any future period. You agree that any release required under Section 4 of this Award Agreement is in exchange for the grant of PSUs hereunder, for which you have no current entitlement;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5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337" w:name="page338"/>
    <w:bookmarkEnd w:id="337"/>
    <w:p>
      <w:pPr>
        <w:ind w:left="2400" w:hanging="603"/>
        <w:spacing w:after="0"/>
        <w:tabs>
          <w:tab w:leader="none" w:pos="2400" w:val="left"/>
        </w:tabs>
        <w:numPr>
          <w:ilvl w:val="1"/>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MSCI has made this award to you in its sole discretion. All decisions with respect to future PSU or other grants, if any, will be at the sole discretion of MSCI;</w:t>
      </w:r>
    </w:p>
    <w:p>
      <w:pPr>
        <w:spacing w:after="0" w:line="150" w:lineRule="exact"/>
        <w:rPr>
          <w:rFonts w:ascii="Times New Roman" w:cs="Times New Roman" w:eastAsia="Times New Roman" w:hAnsi="Times New Roman"/>
          <w:sz w:val="12"/>
          <w:szCs w:val="12"/>
          <w:color w:val="auto"/>
        </w:rPr>
      </w:pPr>
    </w:p>
    <w:p>
      <w:pPr>
        <w:ind w:left="2360" w:hanging="563"/>
        <w:spacing w:after="0"/>
        <w:tabs>
          <w:tab w:leader="none" w:pos="2360" w:val="left"/>
        </w:tabs>
        <w:numPr>
          <w:ilvl w:val="1"/>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voluntarily participating in the Plan;</w:t>
      </w:r>
    </w:p>
    <w:p>
      <w:pPr>
        <w:spacing w:after="0" w:line="150" w:lineRule="exact"/>
        <w:rPr>
          <w:rFonts w:ascii="Times New Roman" w:cs="Times New Roman" w:eastAsia="Times New Roman" w:hAnsi="Times New Roman"/>
          <w:sz w:val="12"/>
          <w:szCs w:val="12"/>
          <w:color w:val="auto"/>
        </w:rPr>
      </w:pPr>
    </w:p>
    <w:p>
      <w:pPr>
        <w:ind w:left="2400" w:hanging="603"/>
        <w:spacing w:after="0"/>
        <w:tabs>
          <w:tab w:leader="none" w:pos="2400" w:val="left"/>
        </w:tabs>
        <w:numPr>
          <w:ilvl w:val="1"/>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of PSUs and the Shares subject to the PSUs, and the income and value of the same, are not intended to replace any pension rights or compensation;</w:t>
      </w:r>
    </w:p>
    <w:p>
      <w:pPr>
        <w:spacing w:after="0" w:line="150" w:lineRule="exact"/>
        <w:rPr>
          <w:rFonts w:ascii="Times New Roman" w:cs="Times New Roman" w:eastAsia="Times New Roman" w:hAnsi="Times New Roman"/>
          <w:sz w:val="12"/>
          <w:szCs w:val="12"/>
          <w:color w:val="auto"/>
        </w:rPr>
      </w:pPr>
    </w:p>
    <w:p>
      <w:pPr>
        <w:jc w:val="both"/>
        <w:ind w:left="940" w:firstLine="857"/>
        <w:spacing w:after="0" w:line="260" w:lineRule="auto"/>
        <w:tabs>
          <w:tab w:leader="none" w:pos="2442" w:val="left"/>
        </w:tabs>
        <w:numPr>
          <w:ilvl w:val="1"/>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award does not confer on you any right or entitlement to receive compensation in any specific amount. In addition, the PSUs and the Shares subject to the PSUs, and the income from and value of the same, are not part of normal or expected compensation for purposes of, including but not limited to, calculating any severance, resignation, termination, redundancy, dismissal, end-of-service payments, bonuses, long-service awards, holiday pay, leave pay, pension or retirement or welfare benefits or similar payments, and in no event should be considered as compensation for, or relating in any way to, past services for the Company, the employer, or any Subsidiary;</w:t>
      </w:r>
    </w:p>
    <w:p>
      <w:pPr>
        <w:spacing w:after="0" w:line="122"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475" w:val="left"/>
        </w:tabs>
        <w:numPr>
          <w:ilvl w:val="1"/>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agreed with MSCI in writing, the PSUs and the Shares subject to the PSUs, and the income from and value of the same, are not granted as consideration for, or in connection with, the service you may provide as a director of a Subsidiary;</w:t>
      </w:r>
    </w:p>
    <w:p>
      <w:pPr>
        <w:spacing w:after="0" w:line="111" w:lineRule="exact"/>
        <w:rPr>
          <w:rFonts w:ascii="Times New Roman" w:cs="Times New Roman" w:eastAsia="Times New Roman" w:hAnsi="Times New Roman"/>
          <w:sz w:val="12"/>
          <w:szCs w:val="12"/>
          <w:color w:val="auto"/>
        </w:rPr>
      </w:pPr>
    </w:p>
    <w:p>
      <w:pPr>
        <w:ind w:left="2400" w:hanging="603"/>
        <w:spacing w:after="0"/>
        <w:tabs>
          <w:tab w:leader="none" w:pos="2400" w:val="left"/>
        </w:tabs>
        <w:numPr>
          <w:ilvl w:val="1"/>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value of the underlying Shares is unknown, indeterminable and cannot be predicted with certainty;</w:t>
      </w:r>
    </w:p>
    <w:p>
      <w:pPr>
        <w:spacing w:after="0" w:line="150" w:lineRule="exact"/>
        <w:rPr>
          <w:rFonts w:ascii="Times New Roman" w:cs="Times New Roman" w:eastAsia="Times New Roman" w:hAnsi="Times New Roman"/>
          <w:sz w:val="12"/>
          <w:szCs w:val="12"/>
          <w:color w:val="auto"/>
        </w:rPr>
      </w:pPr>
    </w:p>
    <w:p>
      <w:pPr>
        <w:ind w:left="940" w:right="20" w:firstLine="857"/>
        <w:spacing w:after="0" w:line="279" w:lineRule="auto"/>
        <w:tabs>
          <w:tab w:leader="none" w:pos="2375" w:val="left"/>
        </w:tabs>
        <w:numPr>
          <w:ilvl w:val="1"/>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 or entitlement to compensation or damages shall arise from forfeiture of the PSUs resulting from the termination of your employment relationship (for any reason whatsoever, whether or not later found to be invalid or in breach of employment laws in the jurisdiction where you are employed or the terms of your employment agreement, if any); and</w:t>
      </w:r>
    </w:p>
    <w:p>
      <w:pPr>
        <w:spacing w:after="0" w:line="111" w:lineRule="exact"/>
        <w:rPr>
          <w:rFonts w:ascii="Times New Roman" w:cs="Times New Roman" w:eastAsia="Times New Roman" w:hAnsi="Times New Roman"/>
          <w:sz w:val="12"/>
          <w:szCs w:val="12"/>
          <w:color w:val="auto"/>
        </w:rPr>
      </w:pPr>
    </w:p>
    <w:p>
      <w:pPr>
        <w:ind w:left="940" w:firstLine="857"/>
        <w:spacing w:after="0" w:line="279" w:lineRule="auto"/>
        <w:tabs>
          <w:tab w:leader="none" w:pos="2408" w:val="left"/>
        </w:tabs>
        <w:numPr>
          <w:ilvl w:val="1"/>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acknowledge and agree that the Company shall not be liable for any foreign exchange rate fluctuation between your local currency and the U.S. Dollar that may affect the value of the PSU or of any amounts due to you pursuant to the settlement of the PSU or the subsequent sale of any Shares acquired upon settlement.</w:t>
      </w:r>
    </w:p>
    <w:p>
      <w:pPr>
        <w:spacing w:after="0" w:line="109" w:lineRule="exact"/>
        <w:rPr>
          <w:rFonts w:ascii="Times New Roman" w:cs="Times New Roman" w:eastAsia="Times New Roman" w:hAnsi="Times New Roman"/>
          <w:sz w:val="12"/>
          <w:szCs w:val="12"/>
          <w:color w:val="auto"/>
        </w:rPr>
      </w:pPr>
    </w:p>
    <w:p>
      <w:pPr>
        <w:jc w:val="both"/>
        <w:ind w:firstLine="933"/>
        <w:spacing w:after="0" w:line="266" w:lineRule="auto"/>
        <w:tabs>
          <w:tab w:leader="none" w:pos="1513"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Retirement Treatment</w:t>
      </w:r>
      <w:r>
        <w:rPr>
          <w:rFonts w:ascii="Times New Roman" w:cs="Times New Roman" w:eastAsia="Times New Roman" w:hAnsi="Times New Roman"/>
          <w:sz w:val="12"/>
          <w:szCs w:val="12"/>
          <w:color w:val="auto"/>
        </w:rPr>
        <w:t>. Notwithstanding anything to the contrary in this Section 21(d) of this Award Agreement, if the Company receives a legal opinion that there has been a legal judgment and/or legal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development in your jurisdiction that likely would result in the favorable treatment that applies to the PSUs in the event of your retirement being deemed unlawful and/or discriminatory, the provisions of Section 4 of this Award Agreement regarding the treatment of the PSUs in the event of your retirement shall not be applicable to you.</w:t>
      </w:r>
    </w:p>
    <w:p>
      <w:pPr>
        <w:spacing w:after="0" w:line="115"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Data Privacy.</w:t>
      </w:r>
    </w:p>
    <w:p>
      <w:pPr>
        <w:spacing w:after="0" w:line="150" w:lineRule="exact"/>
        <w:rPr>
          <w:sz w:val="20"/>
          <w:szCs w:val="20"/>
          <w:color w:val="auto"/>
        </w:rPr>
      </w:pPr>
    </w:p>
    <w:p>
      <w:pPr>
        <w:ind w:firstLine="941"/>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03" w:lineRule="exact"/>
        <w:rPr>
          <w:sz w:val="20"/>
          <w:szCs w:val="20"/>
          <w:color w:val="auto"/>
        </w:rPr>
      </w:pPr>
    </w:p>
    <w:p>
      <w:pPr>
        <w:ind w:left="940" w:right="20" w:firstLine="857"/>
        <w:spacing w:after="0" w:line="286" w:lineRule="auto"/>
        <w:tabs>
          <w:tab w:leader="none" w:pos="2348" w:val="left"/>
        </w:tabs>
        <w:numPr>
          <w:ilvl w:val="0"/>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38" w:name="page339"/>
    <w:bookmarkEnd w:id="338"/>
    <w:p>
      <w:pPr>
        <w:ind w:left="940" w:firstLine="857"/>
        <w:spacing w:after="0" w:line="286" w:lineRule="auto"/>
        <w:tabs>
          <w:tab w:leader="none" w:pos="2382" w:val="left"/>
        </w:tabs>
        <w:numPr>
          <w:ilvl w:val="1"/>
          <w:numId w:val="4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05" w:lineRule="exact"/>
        <w:rPr>
          <w:rFonts w:ascii="Times New Roman" w:cs="Times New Roman" w:eastAsia="Times New Roman" w:hAnsi="Times New Roman"/>
          <w:sz w:val="12"/>
          <w:szCs w:val="12"/>
          <w:color w:val="auto"/>
        </w:rPr>
      </w:pPr>
    </w:p>
    <w:p>
      <w:pPr>
        <w:jc w:val="both"/>
        <w:ind w:firstLine="933"/>
        <w:spacing w:after="0" w:line="261" w:lineRule="auto"/>
        <w:tabs>
          <w:tab w:leader="none" w:pos="1493"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Language</w:t>
      </w:r>
      <w:r>
        <w:rPr>
          <w:rFonts w:ascii="Times New Roman" w:cs="Times New Roman" w:eastAsia="Times New Roman" w:hAnsi="Times New Roman"/>
          <w:sz w:val="12"/>
          <w:szCs w:val="12"/>
          <w:color w:val="auto"/>
        </w:rPr>
        <w:t>. If you are a resident in a country where English is not an official language, you acknowledge that you are sufficiently proficient in English to understand the terms and conditions of the Award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Agreement or have had the ability to consult with an advisor who is sufficiently proficient in the English language. You further acknowledge and agree that it is your express intent that the Award Agreement,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and the Plan and all other documents, notices and legal proceedings entered into, given or instituted pursuant to the PSUs be written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19" w:lineRule="exact"/>
        <w:rPr>
          <w:rFonts w:ascii="Times New Roman" w:cs="Times New Roman" w:eastAsia="Times New Roman" w:hAnsi="Times New Roman"/>
          <w:sz w:val="12"/>
          <w:szCs w:val="12"/>
          <w:color w:val="auto"/>
        </w:rPr>
      </w:pPr>
    </w:p>
    <w:p>
      <w:pPr>
        <w:ind w:right="20" w:firstLine="933"/>
        <w:spacing w:after="0" w:line="283" w:lineRule="auto"/>
        <w:tabs>
          <w:tab w:leader="none" w:pos="1513"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Electronic Delivery and Participation</w:t>
      </w:r>
      <w:r>
        <w:rPr>
          <w:rFonts w:ascii="Times New Roman" w:cs="Times New Roman" w:eastAsia="Times New Roman" w:hAnsi="Times New Roman"/>
          <w:sz w:val="12"/>
          <w:szCs w:val="12"/>
          <w:color w:val="auto"/>
        </w:rPr>
        <w:t>. MSCI may, in its sole discretion, decide to deliver any documents related to current or future participation in the Plan by electronic means. You hereby consent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receive such documents by electronic delivery and agree to participate in the Plan through an online or electronic system established and maintained by MSCI or a third party designated by MSCI.</w:t>
      </w:r>
    </w:p>
    <w:p>
      <w:pPr>
        <w:spacing w:after="0" w:line="106" w:lineRule="exact"/>
        <w:rPr>
          <w:rFonts w:ascii="Times New Roman" w:cs="Times New Roman" w:eastAsia="Times New Roman" w:hAnsi="Times New Roman"/>
          <w:sz w:val="12"/>
          <w:szCs w:val="12"/>
          <w:color w:val="auto"/>
        </w:rPr>
      </w:pPr>
    </w:p>
    <w:p>
      <w:pPr>
        <w:jc w:val="both"/>
        <w:ind w:firstLine="933"/>
        <w:spacing w:after="0" w:line="266" w:lineRule="auto"/>
        <w:tabs>
          <w:tab w:leader="none" w:pos="1513"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 C</w:t>
      </w:r>
      <w:r>
        <w:rPr>
          <w:rFonts w:ascii="Times New Roman" w:cs="Times New Roman" w:eastAsia="Times New Roman" w:hAnsi="Times New Roman"/>
          <w:sz w:val="12"/>
          <w:szCs w:val="12"/>
          <w:color w:val="auto"/>
        </w:rPr>
        <w:t>. Notwithstanding any provisions in this Award Agreement, the PSUs shall be subject to any additional terms and conditions set forth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this Award Agreement for your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country. Moreover, if you relocate to one of the countries included in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the additional terms and conditions for such country will apply to you, to the extent MSCI determines that the application of such terms and conditions is necessary or advisable for legal or administrative reasons.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constitutes part of this Award Agreement.</w:t>
      </w:r>
    </w:p>
    <w:p>
      <w:pPr>
        <w:spacing w:after="0" w:line="117" w:lineRule="exact"/>
        <w:rPr>
          <w:rFonts w:ascii="Times New Roman" w:cs="Times New Roman" w:eastAsia="Times New Roman" w:hAnsi="Times New Roman"/>
          <w:sz w:val="12"/>
          <w:szCs w:val="12"/>
          <w:color w:val="auto"/>
        </w:rPr>
      </w:pPr>
    </w:p>
    <w:p>
      <w:pPr>
        <w:jc w:val="both"/>
        <w:ind w:firstLine="933"/>
        <w:spacing w:after="0" w:line="255" w:lineRule="auto"/>
        <w:tabs>
          <w:tab w:leader="none" w:pos="1487"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Insider Trading Restrictions/Market Abuse Laws</w:t>
      </w:r>
      <w:r>
        <w:rPr>
          <w:rFonts w:ascii="Times New Roman" w:cs="Times New Roman" w:eastAsia="Times New Roman" w:hAnsi="Times New Roman"/>
          <w:sz w:val="12"/>
          <w:szCs w:val="12"/>
          <w:color w:val="auto"/>
        </w:rPr>
        <w:t>. By accepting the PSUs, you acknowledge that you are bound by all the terms and conditions of any MSCI insider trading policy as may be in effect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time to time. You further acknowledge that, depending on your country of residence, you may be or may become subject to insider trading restrictions and/or market abuse laws, which may affect your ability to accept, acquire, sell, or otherwise dispose of Shares, rights to Shares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PSUs) or rights linked to the value of Shares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25" w:lineRule="exact"/>
        <w:rPr>
          <w:rFonts w:ascii="Times New Roman" w:cs="Times New Roman" w:eastAsia="Times New Roman" w:hAnsi="Times New Roman"/>
          <w:sz w:val="12"/>
          <w:szCs w:val="12"/>
          <w:color w:val="auto"/>
        </w:rPr>
      </w:pPr>
    </w:p>
    <w:p>
      <w:pPr>
        <w:jc w:val="both"/>
        <w:ind w:firstLine="933"/>
        <w:spacing w:after="0" w:line="261" w:lineRule="auto"/>
        <w:tabs>
          <w:tab w:leader="none" w:pos="1487"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Foreign Asset/Account, Exchange Control Reporting. </w:t>
      </w:r>
      <w:r>
        <w:rPr>
          <w:rFonts w:ascii="Times New Roman" w:cs="Times New Roman" w:eastAsia="Times New Roman" w:hAnsi="Times New Roman"/>
          <w:sz w:val="12"/>
          <w:szCs w:val="12"/>
          <w:color w:val="auto"/>
        </w:rPr>
        <w:t>Your country may have certain exchange control and/or foreign asset/account reporting requirements which may affect your ability to acquire or hold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22"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22. </w:t>
      </w:r>
      <w:r>
        <w:rPr>
          <w:rFonts w:ascii="Times New Roman" w:cs="Times New Roman" w:eastAsia="Times New Roman" w:hAnsi="Times New Roman"/>
          <w:sz w:val="12"/>
          <w:szCs w:val="12"/>
          <w:u w:val="single" w:color="auto"/>
          <w:color w:val="auto"/>
        </w:rPr>
        <w:t>Governing Law and Venue</w:t>
      </w:r>
      <w:r>
        <w:rPr>
          <w:rFonts w:ascii="Times New Roman" w:cs="Times New Roman" w:eastAsia="Times New Roman" w:hAnsi="Times New Roman"/>
          <w:sz w:val="12"/>
          <w:szCs w:val="12"/>
          <w:color w:val="auto"/>
        </w:rPr>
        <w:t>. The PSU grant and the provisions of this Award Agreement are governed by, and subject to, the laws of the State of Delaware, United States of America, without regard to the conflict of law provisions, as provided in the Plan. For purposes of litigating any dispute that arises under this grant or the Award, the parties hereby submit to and consent to the jurisdiction of the State of New York, agree that such litigation shall be conducted in the courts of New York County, New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2"/>
          <w:szCs w:val="12"/>
          <w:color w:val="auto"/>
        </w:rPr>
        <w:t>York, or the federal courts for the United States for the Southern District of New York, where this grant is made and/or to be performed.</w:t>
      </w:r>
    </w:p>
    <w:p>
      <w:pPr>
        <w:spacing w:after="0" w:line="150"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2"/>
          <w:szCs w:val="12"/>
          <w:color w:val="auto"/>
        </w:rPr>
        <w:t>Section 23.</w:t>
      </w:r>
      <w:r>
        <w:rPr>
          <w:sz w:val="20"/>
          <w:szCs w:val="20"/>
          <w:color w:val="auto"/>
        </w:rPr>
        <w:tab/>
      </w:r>
      <w:r>
        <w:rPr>
          <w:rFonts w:ascii="Times New Roman" w:cs="Times New Roman" w:eastAsia="Times New Roman" w:hAnsi="Times New Roman"/>
          <w:sz w:val="11"/>
          <w:szCs w:val="11"/>
          <w:u w:val="single" w:color="auto"/>
          <w:color w:val="auto"/>
        </w:rPr>
        <w:t>Defined Terms</w:t>
      </w:r>
      <w:r>
        <w:rPr>
          <w:rFonts w:ascii="Times New Roman" w:cs="Times New Roman" w:eastAsia="Times New Roman" w:hAnsi="Times New Roman"/>
          <w:sz w:val="11"/>
          <w:szCs w:val="11"/>
          <w:color w:val="auto"/>
        </w:rPr>
        <w:t>. For purposes of this Award Agreement, the following terms shall have the meanings set forth below:</w:t>
      </w:r>
    </w:p>
    <w:p>
      <w:pPr>
        <w:spacing w:after="0" w:line="146" w:lineRule="exact"/>
        <w:rPr>
          <w:sz w:val="20"/>
          <w:szCs w:val="20"/>
          <w:color w:val="auto"/>
        </w:rPr>
      </w:pPr>
    </w:p>
    <w:p>
      <w:pPr>
        <w:jc w:val="both"/>
        <w:ind w:firstLine="941"/>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55/10 Retirement Eligibility</w:t>
      </w:r>
      <w:r>
        <w:rPr>
          <w:rFonts w:ascii="Times New Roman" w:cs="Times New Roman" w:eastAsia="Times New Roman" w:hAnsi="Times New Roman"/>
          <w:sz w:val="12"/>
          <w:szCs w:val="12"/>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17" w:lineRule="exact"/>
        <w:rPr>
          <w:sz w:val="20"/>
          <w:szCs w:val="20"/>
          <w:color w:val="auto"/>
        </w:rPr>
      </w:pPr>
    </w:p>
    <w:p>
      <w:pPr>
        <w:jc w:val="both"/>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55/10 Retirement Termination</w:t>
      </w:r>
      <w:r>
        <w:rPr>
          <w:rFonts w:ascii="Times New Roman" w:cs="Times New Roman" w:eastAsia="Times New Roman" w:hAnsi="Times New Roman"/>
          <w:sz w:val="12"/>
          <w:szCs w:val="12"/>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55/10 Retirement Eligibility.</w:t>
      </w:r>
    </w:p>
    <w:p>
      <w:pPr>
        <w:spacing w:after="0" w:line="103" w:lineRule="exact"/>
        <w:rPr>
          <w:sz w:val="20"/>
          <w:szCs w:val="20"/>
          <w:color w:val="auto"/>
        </w:rPr>
      </w:pPr>
    </w:p>
    <w:p>
      <w:pPr>
        <w:jc w:val="both"/>
        <w:ind w:firstLine="941"/>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62/10 Retirement Eligibility</w:t>
      </w:r>
      <w:r>
        <w:rPr>
          <w:rFonts w:ascii="Times New Roman" w:cs="Times New Roman" w:eastAsia="Times New Roman" w:hAnsi="Times New Roman"/>
          <w:sz w:val="12"/>
          <w:szCs w:val="12"/>
          <w:color w:val="auto"/>
        </w:rPr>
        <w:t>” means your attainment, at any time prior to the applicable Vesting Date, of age 62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17" w:lineRule="exact"/>
        <w:rPr>
          <w:sz w:val="20"/>
          <w:szCs w:val="20"/>
          <w:color w:val="auto"/>
        </w:rPr>
      </w:pPr>
    </w:p>
    <w:p>
      <w:pPr>
        <w:jc w:val="both"/>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62/10 Retirement Termination</w:t>
      </w:r>
      <w:r>
        <w:rPr>
          <w:rFonts w:ascii="Times New Roman" w:cs="Times New Roman" w:eastAsia="Times New Roman" w:hAnsi="Times New Roman"/>
          <w:sz w:val="12"/>
          <w:szCs w:val="12"/>
          <w:color w:val="auto"/>
        </w:rPr>
        <w:t>” means any termination of your employment with the Company (other than (x) under circumstances involving any Cancellation Event (other than the required notice periods), (y) due to your death or Disability or (z) under the circumstances set forth in Section 4(b)(iii)) on or after the date that you attain 62/10 Retirement Eligibility.</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Cancellation Event</w:t>
      </w:r>
      <w:r>
        <w:rPr>
          <w:rFonts w:ascii="Times New Roman" w:cs="Times New Roman" w:eastAsia="Times New Roman" w:hAnsi="Times New Roman"/>
          <w:sz w:val="12"/>
          <w:szCs w:val="12"/>
          <w:color w:val="auto"/>
        </w:rPr>
        <w:t>” will be deemed to have occurred under any one of the following circumstances:</w:t>
      </w:r>
    </w:p>
    <w:p>
      <w:pPr>
        <w:spacing w:after="0" w:line="154" w:lineRule="exact"/>
        <w:rPr>
          <w:sz w:val="20"/>
          <w:szCs w:val="20"/>
          <w:color w:val="auto"/>
        </w:rPr>
      </w:pPr>
    </w:p>
    <w:p>
      <w:pPr>
        <w:ind w:left="1500" w:hanging="567"/>
        <w:spacing w:after="0"/>
        <w:tabs>
          <w:tab w:leader="none" w:pos="1500"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misuse of Confidential Information (as defined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to this Award Agreement) or the failure to comply with your obligations under MSCI’s Code of Conduct or otherwise with respect to</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Information;</w:t>
      </w:r>
    </w:p>
    <w:p>
      <w:pPr>
        <w:spacing w:after="0" w:line="137"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termination from the Company for Cause (or a later determination that you could have been terminated for Cause;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determination is made within six months of termination);</w:t>
      </w:r>
    </w:p>
    <w:p>
      <w:pPr>
        <w:spacing w:after="0" w:line="152"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commission of a fraudulent act or participation in misconduct which leads to a material restatement of the Company’s financial statements;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affirmatively accept the terms of this Award Agreement by [•].</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Cause</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jc w:val="both"/>
        <w:ind w:firstLine="933"/>
        <w:spacing w:after="0" w:line="265" w:lineRule="auto"/>
        <w:tabs>
          <w:tab w:leader="none" w:pos="1507"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no act or failure to act on your part shall be deemed willful unless done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2"/>
          <w:szCs w:val="12"/>
          <w:color w:val="auto"/>
        </w:rPr>
        <w:t>omitted to be done by you not in good faith and without reasonable belief that your action or omission was in the best interest of the Company;</w:t>
      </w:r>
    </w:p>
    <w:p>
      <w:pPr>
        <w:spacing w:after="0" w:line="150" w:lineRule="exact"/>
        <w:rPr>
          <w:sz w:val="20"/>
          <w:szCs w:val="20"/>
          <w:color w:val="auto"/>
        </w:rPr>
      </w:pPr>
    </w:p>
    <w:p>
      <w:pPr>
        <w:ind w:firstLine="933"/>
        <w:spacing w:after="0" w:line="279" w:lineRule="auto"/>
        <w:tabs>
          <w:tab w:leader="none" w:pos="1513" w:val="left"/>
        </w:tabs>
        <w:numPr>
          <w:ilvl w:val="0"/>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109" w:lineRule="exact"/>
        <w:rPr>
          <w:rFonts w:ascii="Times New Roman" w:cs="Times New Roman" w:eastAsia="Times New Roman" w:hAnsi="Times New Roman"/>
          <w:sz w:val="12"/>
          <w:szCs w:val="12"/>
          <w:color w:val="auto"/>
        </w:rPr>
      </w:pPr>
    </w:p>
    <w:p>
      <w:pPr>
        <w:ind w:right="20" w:firstLine="933"/>
        <w:spacing w:after="0" w:line="283" w:lineRule="auto"/>
        <w:tabs>
          <w:tab w:leader="none" w:pos="1507" w:val="left"/>
        </w:tabs>
        <w:numPr>
          <w:ilvl w:val="0"/>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your plea of guilty or </w:t>
      </w:r>
      <w:r>
        <w:rPr>
          <w:rFonts w:ascii="Times New Roman" w:cs="Times New Roman" w:eastAsia="Times New Roman" w:hAnsi="Times New Roman"/>
          <w:sz w:val="12"/>
          <w:szCs w:val="12"/>
          <w:i w:val="1"/>
          <w:iCs w:val="1"/>
          <w:color w:val="auto"/>
        </w:rPr>
        <w:t>nolo contendere</w:t>
      </w:r>
      <w:r>
        <w:rPr>
          <w:rFonts w:ascii="Times New Roman" w:cs="Times New Roman" w:eastAsia="Times New Roman" w:hAnsi="Times New Roman"/>
          <w:sz w:val="12"/>
          <w:szCs w:val="12"/>
          <w:color w:val="auto"/>
        </w:rPr>
        <w:t xml:space="preserve"> to or conviction of a felony under the laws of the United States or any state thereof or any other plea or confession of a similar crime in a jurisdiction in which the Company conducts business; or</w:t>
      </w:r>
    </w:p>
    <w:p>
      <w:pPr>
        <w:spacing w:after="0" w:line="108"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commission of a fraudulent act or participation in misconduct which leads to a material restatement of the Company’s financial statements.</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Internal Revenue Code of 1986, as amended.</w:t>
      </w:r>
    </w:p>
    <w:p>
      <w:pPr>
        <w:spacing w:after="0" w:line="150" w:lineRule="exact"/>
        <w:rPr>
          <w:sz w:val="20"/>
          <w:szCs w:val="20"/>
          <w:color w:val="auto"/>
        </w:rPr>
      </w:pPr>
    </w:p>
    <w:p>
      <w:pPr>
        <w:jc w:val="both"/>
        <w:ind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Committee</w:t>
      </w:r>
      <w:r>
        <w:rPr>
          <w:rFonts w:ascii="Times New Roman" w:cs="Times New Roman" w:eastAsia="Times New Roman" w:hAnsi="Times New Roman"/>
          <w:sz w:val="12"/>
          <w:szCs w:val="12"/>
          <w:color w:val="auto"/>
        </w:rPr>
        <w:t xml:space="preserve">” has the meaning ascribed to such term in the Plan;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 Head of Compensation and Benefits.</w:t>
      </w:r>
    </w:p>
    <w:p>
      <w:pPr>
        <w:spacing w:after="0" w:line="103" w:lineRule="exact"/>
        <w:rPr>
          <w:sz w:val="20"/>
          <w:szCs w:val="20"/>
          <w:color w:val="auto"/>
        </w:rPr>
      </w:pPr>
    </w:p>
    <w:p>
      <w:pPr>
        <w:jc w:val="both"/>
        <w:ind w:firstLine="941"/>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Disability</w:t>
      </w:r>
      <w:r>
        <w:rPr>
          <w:rFonts w:ascii="Times New Roman" w:cs="Times New Roman" w:eastAsia="Times New Roman" w:hAnsi="Times New Roman"/>
          <w:sz w:val="12"/>
          <w:szCs w:val="12"/>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Good Reason</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firstLine="933"/>
        <w:spacing w:after="0" w:line="279" w:lineRule="auto"/>
        <w:tabs>
          <w:tab w:leader="none" w:pos="1507"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11" w:lineRule="exact"/>
        <w:rPr>
          <w:rFonts w:ascii="Times New Roman" w:cs="Times New Roman" w:eastAsia="Times New Roman" w:hAnsi="Times New Roman"/>
          <w:sz w:val="12"/>
          <w:szCs w:val="12"/>
          <w:color w:val="auto"/>
        </w:rPr>
      </w:pPr>
    </w:p>
    <w:p>
      <w:pPr>
        <w:jc w:val="both"/>
        <w:ind w:firstLine="933"/>
        <w:spacing w:after="0" w:line="255" w:lineRule="auto"/>
        <w:tabs>
          <w:tab w:leader="none" w:pos="1513"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Times New Roman" w:cs="Times New Roman" w:eastAsia="Times New Roman" w:hAnsi="Times New Roman"/>
          <w:sz w:val="12"/>
          <w:szCs w:val="12"/>
          <w:b w:val="1"/>
          <w:bCs w:val="1"/>
          <w:color w:val="auto"/>
        </w:rPr>
        <w:t>Equity Value</w:t>
      </w:r>
      <w:r>
        <w:rPr>
          <w:rFonts w:ascii="Times New Roman" w:cs="Times New Roman" w:eastAsia="Times New Roman" w:hAnsi="Times New Roman"/>
          <w:sz w:val="12"/>
          <w:szCs w:val="12"/>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pacing w:after="0" w:line="125"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relocation of more than 25 miles from the location of your principal job location or office prior to a Change in Control; or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41" w:name="page342"/>
    <w:bookmarkEnd w:id="341"/>
    <w:p>
      <w:pPr>
        <w:ind w:left="1500" w:hanging="567"/>
        <w:spacing w:after="0"/>
        <w:tabs>
          <w:tab w:leader="none" w:pos="1500" w:val="left"/>
        </w:tabs>
        <w:numPr>
          <w:ilvl w:val="0"/>
          <w:numId w:val="4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action or inaction that constitutes a material breach by the Company of any agreement pursuant to which you provide services to the Company;</w:t>
      </w:r>
    </w:p>
    <w:p>
      <w:pPr>
        <w:spacing w:after="0" w:line="148" w:lineRule="exact"/>
        <w:rPr>
          <w:sz w:val="20"/>
          <w:szCs w:val="20"/>
          <w:color w:val="auto"/>
        </w:rPr>
      </w:pPr>
    </w:p>
    <w:p>
      <w:pPr>
        <w:jc w:val="both"/>
        <w:ind w:firstLine="941"/>
        <w:spacing w:after="0" w:line="266" w:lineRule="auto"/>
        <w:rPr>
          <w:sz w:val="20"/>
          <w:szCs w:val="20"/>
          <w:color w:val="auto"/>
        </w:rPr>
      </w:pP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you provide the Company with written notice of your intent to terminate your employment for Good Reason within 90 days of your becoming aware of any circumstances set forth above (with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notice indicating the specific termination provision above on which you are relying and describing in reasonable detail the facts and circumstances claimed to provide a basis for termination of your employment under the indicated provision) and that you provide the Company with at least 30 days following receipt of such notice to remedy such circumstances.</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HSR Act</w:t>
      </w:r>
      <w:r>
        <w:rPr>
          <w:rFonts w:ascii="Times New Roman" w:cs="Times New Roman" w:eastAsia="Times New Roman" w:hAnsi="Times New Roman"/>
          <w:sz w:val="12"/>
          <w:szCs w:val="12"/>
          <w:color w:val="auto"/>
        </w:rPr>
        <w:t>” means the Hart-Scott-Rodino Antitrust Improvements Act of 1976, as amended.</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Legacy Retirement Eligibility</w:t>
      </w:r>
      <w:r>
        <w:rPr>
          <w:rFonts w:ascii="Times New Roman" w:cs="Times New Roman" w:eastAsia="Times New Roman" w:hAnsi="Times New Roman"/>
          <w:sz w:val="12"/>
          <w:szCs w:val="12"/>
          <w:color w:val="auto"/>
        </w:rPr>
        <w:t>” means your attainment, at any time on or prior to December 31, 2014, of any of the following criteria:</w:t>
      </w:r>
    </w:p>
    <w:p>
      <w:pPr>
        <w:spacing w:after="0" w:line="154" w:lineRule="exact"/>
        <w:rPr>
          <w:sz w:val="20"/>
          <w:szCs w:val="20"/>
          <w:color w:val="auto"/>
        </w:rPr>
      </w:pPr>
    </w:p>
    <w:p>
      <w:pPr>
        <w:ind w:left="1500" w:hanging="567"/>
        <w:spacing w:after="0"/>
        <w:tabs>
          <w:tab w:leader="none" w:pos="1500" w:val="left"/>
        </w:tabs>
        <w:numPr>
          <w:ilvl w:val="0"/>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 55 and 12 years of service with the Company as a Managing Director or comparable officer;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 50 and 15 years as an officer of the Company;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 55 with five years of service with the Company and age plus years of service equals or exceeds 65; or</w:t>
      </w:r>
    </w:p>
    <w:p>
      <w:pPr>
        <w:spacing w:after="0" w:line="150" w:lineRule="exact"/>
        <w:rPr>
          <w:rFonts w:ascii="Times New Roman" w:cs="Times New Roman" w:eastAsia="Times New Roman" w:hAnsi="Times New Roman"/>
          <w:sz w:val="12"/>
          <w:szCs w:val="12"/>
          <w:color w:val="auto"/>
        </w:rPr>
      </w:pPr>
    </w:p>
    <w:p>
      <w:pPr>
        <w:ind w:left="1500" w:hanging="567"/>
        <w:spacing w:after="0"/>
        <w:tabs>
          <w:tab w:leader="none" w:pos="1500" w:val="left"/>
        </w:tabs>
        <w:numPr>
          <w:ilvl w:val="0"/>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years of service with the Company;</w:t>
      </w:r>
    </w:p>
    <w:p>
      <w:pPr>
        <w:spacing w:after="0" w:line="1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i w:val="1"/>
          <w:iCs w:val="1"/>
          <w:color w:val="auto"/>
        </w:rPr>
        <w:t xml:space="preserve">provided </w:t>
      </w:r>
      <w:r>
        <w:rPr>
          <w:rFonts w:ascii="Times New Roman" w:cs="Times New Roman" w:eastAsia="Times New Roman" w:hAnsi="Times New Roman"/>
          <w:sz w:val="12"/>
          <w:szCs w:val="12"/>
          <w:color w:val="auto"/>
        </w:rPr>
        <w:t>that, for purposes of this definition, service with the Company will include any period of service with the following entities and any of their predecessors:</w:t>
      </w:r>
    </w:p>
    <w:p>
      <w:pPr>
        <w:spacing w:after="0" w:line="152" w:lineRule="exact"/>
        <w:rPr>
          <w:sz w:val="20"/>
          <w:szCs w:val="20"/>
          <w:color w:val="auto"/>
        </w:rPr>
      </w:pPr>
    </w:p>
    <w:p>
      <w:pPr>
        <w:ind w:left="2420" w:hanging="544"/>
        <w:spacing w:after="0"/>
        <w:tabs>
          <w:tab w:leader="none" w:pos="2420" w:val="left"/>
        </w:tabs>
        <w:numPr>
          <w:ilvl w:val="0"/>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Barra Inc. and its subsidiaries, prior to the acquisition by the Company;</w:t>
      </w:r>
    </w:p>
    <w:p>
      <w:pPr>
        <w:spacing w:after="0" w:line="150" w:lineRule="exact"/>
        <w:rPr>
          <w:rFonts w:ascii="Times New Roman" w:cs="Times New Roman" w:eastAsia="Times New Roman" w:hAnsi="Times New Roman"/>
          <w:sz w:val="12"/>
          <w:szCs w:val="12"/>
          <w:color w:val="auto"/>
        </w:rPr>
      </w:pPr>
    </w:p>
    <w:p>
      <w:pPr>
        <w:ind w:left="2460" w:hanging="584"/>
        <w:spacing w:after="0"/>
        <w:tabs>
          <w:tab w:leader="none" w:pos="2460" w:val="left"/>
        </w:tabs>
        <w:numPr>
          <w:ilvl w:val="0"/>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International Perspectives S.A., prior to the acquisition by the Company;</w:t>
      </w:r>
    </w:p>
    <w:p>
      <w:pPr>
        <w:spacing w:after="0" w:line="150" w:lineRule="exact"/>
        <w:rPr>
          <w:rFonts w:ascii="Times New Roman" w:cs="Times New Roman" w:eastAsia="Times New Roman" w:hAnsi="Times New Roman"/>
          <w:sz w:val="12"/>
          <w:szCs w:val="12"/>
          <w:color w:val="auto"/>
        </w:rPr>
      </w:pPr>
    </w:p>
    <w:p>
      <w:pPr>
        <w:ind w:left="2480" w:hanging="604"/>
        <w:spacing w:after="0"/>
        <w:tabs>
          <w:tab w:leader="none" w:pos="2480" w:val="left"/>
        </w:tabs>
        <w:numPr>
          <w:ilvl w:val="0"/>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Morgan Stanley;</w:t>
      </w:r>
    </w:p>
    <w:p>
      <w:pPr>
        <w:spacing w:after="0" w:line="150" w:lineRule="exact"/>
        <w:rPr>
          <w:rFonts w:ascii="Times New Roman" w:cs="Times New Roman" w:eastAsia="Times New Roman" w:hAnsi="Times New Roman"/>
          <w:sz w:val="12"/>
          <w:szCs w:val="12"/>
          <w:color w:val="auto"/>
        </w:rPr>
      </w:pPr>
    </w:p>
    <w:p>
      <w:pPr>
        <w:ind w:left="3260" w:hanging="599"/>
        <w:spacing w:after="0"/>
        <w:tabs>
          <w:tab w:leader="none" w:pos="3260" w:val="left"/>
        </w:tabs>
        <w:numPr>
          <w:ilvl w:val="1"/>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Morgan Stanley Group Inc. and its subsidiaries (“MS Group”) prior to the merger with and into Dean Witter, Discover &amp; Co.; and</w:t>
      </w:r>
    </w:p>
    <w:p>
      <w:pPr>
        <w:spacing w:after="0" w:line="148" w:lineRule="exact"/>
        <w:rPr>
          <w:rFonts w:ascii="Times New Roman" w:cs="Times New Roman" w:eastAsia="Times New Roman" w:hAnsi="Times New Roman"/>
          <w:sz w:val="12"/>
          <w:szCs w:val="12"/>
          <w:color w:val="auto"/>
        </w:rPr>
      </w:pPr>
    </w:p>
    <w:p>
      <w:pPr>
        <w:jc w:val="both"/>
        <w:ind w:left="940" w:firstLine="1721"/>
        <w:spacing w:after="0" w:line="261" w:lineRule="auto"/>
        <w:tabs>
          <w:tab w:leader="none" w:pos="3239" w:val="left"/>
        </w:tabs>
        <w:numPr>
          <w:ilvl w:val="1"/>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Dean Witter, Discover &amp; Co. and its subsidiaries (“DWD”) prior to the merger of Morgan Stanley Group Inc. with and into Dean Witter, Discover &amp; Co.;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122"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Legacy Retirement Termination</w:t>
      </w:r>
      <w:r>
        <w:rPr>
          <w:rFonts w:ascii="Times New Roman" w:cs="Times New Roman" w:eastAsia="Times New Roman" w:hAnsi="Times New Roman"/>
          <w:sz w:val="12"/>
          <w:szCs w:val="12"/>
          <w:color w:val="auto"/>
        </w:rPr>
        <w:t>” means any termination of your employment with the Company (other than (x) under circumstances involving any Cancellation Event (other than the required notice periods),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42" w:name="page343"/>
    <w:bookmarkEnd w:id="342"/>
    <w:p>
      <w:pPr>
        <w:ind w:left="948" w:right="3840" w:hanging="948"/>
        <w:spacing w:after="0" w:line="500" w:lineRule="auto"/>
        <w:tabs>
          <w:tab w:leader="none" w:pos="176" w:val="left"/>
        </w:tabs>
        <w:numPr>
          <w:ilvl w:val="0"/>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your death or Disability or (z) under the circumstances set forth in Section 4(b)) on or after the date that you attain Legacy Retirement Eligibility. “</w:t>
      </w:r>
      <w:r>
        <w:rPr>
          <w:rFonts w:ascii="Times New Roman" w:cs="Times New Roman" w:eastAsia="Times New Roman" w:hAnsi="Times New Roman"/>
          <w:sz w:val="12"/>
          <w:szCs w:val="12"/>
          <w:b w:val="1"/>
          <w:bCs w:val="1"/>
          <w:color w:val="auto"/>
        </w:rPr>
        <w:t>Notice Requirements</w:t>
      </w:r>
      <w:r>
        <w:rPr>
          <w:rFonts w:ascii="Times New Roman" w:cs="Times New Roman" w:eastAsia="Times New Roman" w:hAnsi="Times New Roman"/>
          <w:sz w:val="12"/>
          <w:szCs w:val="12"/>
          <w:color w:val="auto"/>
        </w:rPr>
        <w:t>” means prior written notice to MSCI of at least:</w:t>
      </w:r>
    </w:p>
    <w:p>
      <w:pPr>
        <w:spacing w:after="0" w:line="1" w:lineRule="exact"/>
        <w:rPr>
          <w:rFonts w:ascii="Times New Roman" w:cs="Times New Roman" w:eastAsia="Times New Roman" w:hAnsi="Times New Roman"/>
          <w:sz w:val="12"/>
          <w:szCs w:val="12"/>
          <w:color w:val="auto"/>
        </w:rPr>
      </w:pPr>
    </w:p>
    <w:p>
      <w:pPr>
        <w:ind w:left="1508" w:hanging="567"/>
        <w:spacing w:after="0"/>
        <w:tabs>
          <w:tab w:leader="none" w:pos="1508"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180 days if you are a member of the MSCI Executive Committee (or a successor or equivalent committee) at the time of notice of resignation; or</w:t>
      </w:r>
    </w:p>
    <w:p>
      <w:pPr>
        <w:spacing w:after="0" w:line="150" w:lineRule="exact"/>
        <w:rPr>
          <w:rFonts w:ascii="Times New Roman" w:cs="Times New Roman" w:eastAsia="Times New Roman" w:hAnsi="Times New Roman"/>
          <w:sz w:val="12"/>
          <w:szCs w:val="12"/>
          <w:color w:val="auto"/>
        </w:rPr>
      </w:pPr>
    </w:p>
    <w:p>
      <w:pPr>
        <w:ind w:left="1508" w:hanging="567"/>
        <w:spacing w:after="0"/>
        <w:tabs>
          <w:tab w:leader="none" w:pos="1508"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 days if you are a Managing Director of the Company (or equivalent title) at the time of notice of resignation.</w:t>
      </w:r>
    </w:p>
    <w:p>
      <w:pPr>
        <w:spacing w:after="0" w:line="150"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07" w:lineRule="exact"/>
        <w:rPr>
          <w:sz w:val="20"/>
          <w:szCs w:val="20"/>
          <w:color w:val="auto"/>
        </w:rPr>
      </w:pPr>
    </w:p>
    <w:p>
      <w:pPr>
        <w:ind w:left="8" w:firstLine="94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Retirement Eligible Participant</w:t>
      </w:r>
      <w:r>
        <w:rPr>
          <w:rFonts w:ascii="Times New Roman" w:cs="Times New Roman" w:eastAsia="Times New Roman" w:hAnsi="Times New Roman"/>
          <w:sz w:val="12"/>
          <w:szCs w:val="12"/>
          <w:color w:val="auto"/>
        </w:rPr>
        <w:t>” means any Participant who, as of the applicable date of determination, satisfies the requirements for Legacy Retirement Eligibility, 55/10 Retirement Eligibility or 62/10 Retirement Eligibility, as the case may be.</w:t>
      </w:r>
    </w:p>
    <w:p>
      <w:pPr>
        <w:spacing w:after="0" w:line="103"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Retirement Termination</w:t>
      </w:r>
      <w:r>
        <w:rPr>
          <w:rFonts w:ascii="Times New Roman" w:cs="Times New Roman" w:eastAsia="Times New Roman" w:hAnsi="Times New Roman"/>
          <w:sz w:val="12"/>
          <w:szCs w:val="12"/>
          <w:color w:val="auto"/>
        </w:rPr>
        <w:t>” means a Legacy Retirement Termination, a 55/10 Retirement Termination or a 62/10 Retirement Termination, as applicable.</w:t>
      </w:r>
    </w:p>
    <w:p>
      <w:pPr>
        <w:spacing w:after="0" w:line="150"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Section 409A</w:t>
      </w:r>
      <w:r>
        <w:rPr>
          <w:rFonts w:ascii="Times New Roman" w:cs="Times New Roman" w:eastAsia="Times New Roman" w:hAnsi="Times New Roman"/>
          <w:sz w:val="12"/>
          <w:szCs w:val="12"/>
          <w:color w:val="auto"/>
        </w:rPr>
        <w:t>” means Section 409A of the Code.</w:t>
      </w:r>
    </w:p>
    <w:p>
      <w:pPr>
        <w:spacing w:after="0" w:line="150"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9470" cy="114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5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2"/>
          <w:szCs w:val="12"/>
          <w:b w:val="1"/>
          <w:bCs w:val="1"/>
          <w:color w:val="auto"/>
        </w:rPr>
        <w:t>APPENDIX 1</w:t>
      </w:r>
    </w:p>
    <w:p>
      <w:pPr>
        <w:spacing w:after="0" w:line="2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u w:val="single" w:color="auto"/>
          <w:color w:val="auto"/>
        </w:rPr>
        <w:t>PERFORMANCE METRICS</w:t>
      </w:r>
    </w:p>
    <w:p>
      <w:pPr>
        <w:spacing w:after="0" w:line="1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APPENDIX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147955</wp:posOffset>
            </wp:positionV>
            <wp:extent cx="7189470" cy="114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5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RESTRICTIVE COVENANTS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All Participants are subject to the provisions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Capitalized terms used and not otherwise defined herein shall have the meanings ascribed to them in the Award Agreement.</w:t>
      </w:r>
    </w:p>
    <w:p>
      <w:pPr>
        <w:spacing w:after="0" w:line="150" w:lineRule="exact"/>
        <w:rPr>
          <w:sz w:val="20"/>
          <w:szCs w:val="20"/>
          <w:color w:val="auto"/>
        </w:rPr>
      </w:pPr>
    </w:p>
    <w:p>
      <w:pPr>
        <w:ind w:left="1880"/>
        <w:spacing w:after="0"/>
        <w:tabs>
          <w:tab w:leader="none" w:pos="2760" w:val="left"/>
        </w:tabs>
        <w:rPr>
          <w:sz w:val="20"/>
          <w:szCs w:val="20"/>
          <w:color w:val="auto"/>
        </w:rPr>
      </w:pPr>
      <w:r>
        <w:rPr>
          <w:rFonts w:ascii="Times New Roman" w:cs="Times New Roman" w:eastAsia="Times New Roman" w:hAnsi="Times New Roman"/>
          <w:sz w:val="12"/>
          <w:szCs w:val="12"/>
          <w:color w:val="auto"/>
        </w:rPr>
        <w:t>Section 1.</w:t>
      </w:r>
      <w:r>
        <w:rPr>
          <w:sz w:val="20"/>
          <w:szCs w:val="20"/>
          <w:color w:val="auto"/>
        </w:rPr>
        <w:tab/>
      </w:r>
      <w:r>
        <w:rPr>
          <w:rFonts w:ascii="Times New Roman" w:cs="Times New Roman" w:eastAsia="Times New Roman" w:hAnsi="Times New Roman"/>
          <w:sz w:val="12"/>
          <w:szCs w:val="12"/>
          <w:u w:val="single" w:color="auto"/>
          <w:color w:val="auto"/>
        </w:rPr>
        <w:t>Confidential Information; Assignment of Inventions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1876"/>
        <w:spacing w:after="0" w:line="279" w:lineRule="auto"/>
        <w:tabs>
          <w:tab w:leader="none" w:pos="2449"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11" w:lineRule="exact"/>
        <w:rPr>
          <w:rFonts w:ascii="Times New Roman" w:cs="Times New Roman" w:eastAsia="Times New Roman" w:hAnsi="Times New Roman"/>
          <w:sz w:val="12"/>
          <w:szCs w:val="12"/>
          <w:color w:val="auto"/>
        </w:rPr>
      </w:pPr>
    </w:p>
    <w:p>
      <w:pPr>
        <w:jc w:val="both"/>
        <w:ind w:firstLine="1876"/>
        <w:spacing w:after="0" w:line="265" w:lineRule="auto"/>
        <w:tabs>
          <w:tab w:leader="none" w:pos="2456"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shall prohibit you from disclosing Confidential Information if such disclosure is required by law, governmental process or valid legal process.</w:t>
      </w:r>
    </w:p>
    <w:p>
      <w:pPr>
        <w:spacing w:after="0" w:line="118" w:lineRule="exact"/>
        <w:rPr>
          <w:rFonts w:ascii="Times New Roman" w:cs="Times New Roman" w:eastAsia="Times New Roman" w:hAnsi="Times New Roman"/>
          <w:sz w:val="12"/>
          <w:szCs w:val="12"/>
          <w:color w:val="auto"/>
        </w:rPr>
      </w:pPr>
    </w:p>
    <w:p>
      <w:pPr>
        <w:jc w:val="both"/>
        <w:ind w:firstLine="1876"/>
        <w:spacing w:after="0" w:line="256" w:lineRule="auto"/>
        <w:tabs>
          <w:tab w:leader="none" w:pos="2449"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24" w:lineRule="exact"/>
        <w:rPr>
          <w:rFonts w:ascii="Times New Roman" w:cs="Times New Roman" w:eastAsia="Times New Roman" w:hAnsi="Times New Roman"/>
          <w:sz w:val="12"/>
          <w:szCs w:val="12"/>
          <w:color w:val="auto"/>
        </w:rPr>
      </w:pPr>
    </w:p>
    <w:p>
      <w:pPr>
        <w:jc w:val="both"/>
        <w:ind w:firstLine="1876"/>
        <w:spacing w:after="0" w:line="260" w:lineRule="auto"/>
        <w:tabs>
          <w:tab w:leader="none" w:pos="2456"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22" w:lineRule="exact"/>
        <w:rPr>
          <w:sz w:val="20"/>
          <w:szCs w:val="20"/>
          <w:color w:val="auto"/>
        </w:rPr>
      </w:pPr>
    </w:p>
    <w:p>
      <w:pPr>
        <w:jc w:val="both"/>
        <w:ind w:firstLine="941"/>
        <w:spacing w:after="0" w:line="257" w:lineRule="auto"/>
        <w:rPr>
          <w:sz w:val="20"/>
          <w:szCs w:val="20"/>
          <w:color w:val="auto"/>
        </w:rPr>
      </w:pPr>
      <w:r>
        <w:rPr>
          <w:rFonts w:ascii="Times New Roman" w:cs="Times New Roman" w:eastAsia="Times New Roman" w:hAnsi="Times New Roman"/>
          <w:sz w:val="12"/>
          <w:szCs w:val="12"/>
          <w:color w:val="auto"/>
        </w:rPr>
        <w:t xml:space="preserve">Section 2. </w:t>
      </w:r>
      <w:r>
        <w:rPr>
          <w:rFonts w:ascii="Times New Roman" w:cs="Times New Roman" w:eastAsia="Times New Roman" w:hAnsi="Times New Roman"/>
          <w:sz w:val="12"/>
          <w:szCs w:val="12"/>
          <w:u w:val="single" w:color="auto"/>
          <w:color w:val="auto"/>
        </w:rPr>
        <w:t>Non-Compete</w:t>
      </w:r>
      <w:r>
        <w:rPr>
          <w:rFonts w:ascii="Times New Roman" w:cs="Times New Roman" w:eastAsia="Times New Roman" w:hAnsi="Times New Roman"/>
          <w:sz w:val="12"/>
          <w:szCs w:val="12"/>
          <w:color w:val="auto"/>
        </w:rPr>
        <w:t>. During your employment or service with the Company and for a period of one year following the termination of your employment or service with the Company for any reason (the “</w:t>
      </w:r>
      <w:r>
        <w:rPr>
          <w:rFonts w:ascii="Times New Roman" w:cs="Times New Roman" w:eastAsia="Times New Roman" w:hAnsi="Times New Roman"/>
          <w:sz w:val="12"/>
          <w:szCs w:val="12"/>
          <w:b w:val="1"/>
          <w:bCs w:val="1"/>
          <w:color w:val="auto"/>
        </w:rPr>
        <w:t>Non-Compete Restricted Period</w:t>
      </w:r>
      <w:r>
        <w:rPr>
          <w:rFonts w:ascii="Times New Roman" w:cs="Times New Roman" w:eastAsia="Times New Roman" w:hAnsi="Times New Roman"/>
          <w:sz w:val="12"/>
          <w:szCs w:val="12"/>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25"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Non-Solicit and No-Hire</w:t>
      </w:r>
      <w:r>
        <w:rPr>
          <w:rFonts w:ascii="Times New Roman" w:cs="Times New Roman" w:eastAsia="Times New Roman" w:hAnsi="Times New Roman"/>
          <w:sz w:val="12"/>
          <w:szCs w:val="12"/>
          <w:color w:val="auto"/>
        </w:rPr>
        <w:t>. During your employment or service with the Company and for a period of two years following the termination of your employment or service with the Company for any reason (the “</w:t>
      </w:r>
      <w:r>
        <w:rPr>
          <w:rFonts w:ascii="Times New Roman" w:cs="Times New Roman" w:eastAsia="Times New Roman" w:hAnsi="Times New Roman"/>
          <w:sz w:val="12"/>
          <w:szCs w:val="12"/>
          <w:b w:val="1"/>
          <w:bCs w:val="1"/>
          <w:color w:val="auto"/>
        </w:rPr>
        <w:t>Non-Solicit Restricted Period</w:t>
      </w:r>
      <w:r>
        <w:rPr>
          <w:rFonts w:ascii="Times New Roman" w:cs="Times New Roman" w:eastAsia="Times New Roman" w:hAnsi="Times New Roman"/>
          <w:sz w:val="12"/>
          <w:szCs w:val="12"/>
          <w:color w:val="auto"/>
        </w:rPr>
        <w:t>”), you shall not, directly or indirectly, (a) solicit or encourage any employee of the Company to terminate his or her employment with the Company, (b) hire any employee of the Company prior to the date on which such person has not been employed by the Company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5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5" w:name="page346"/>
    <w:bookmarkEnd w:id="345"/>
    <w:p>
      <w:pPr>
        <w:jc w:val="both"/>
        <w:spacing w:after="0" w:line="279" w:lineRule="auto"/>
        <w:rPr>
          <w:sz w:val="20"/>
          <w:szCs w:val="20"/>
          <w:color w:val="auto"/>
        </w:rPr>
      </w:pPr>
      <w:r>
        <w:rPr>
          <w:rFonts w:ascii="Times New Roman" w:cs="Times New Roman" w:eastAsia="Times New Roman" w:hAnsi="Times New Roman"/>
          <w:sz w:val="12"/>
          <w:szCs w:val="12"/>
          <w:color w:val="auto"/>
        </w:rPr>
        <w:t>any of its Subsidiaries for a period of at least one year or (c) 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11" w:lineRule="exact"/>
        <w:rPr>
          <w:sz w:val="20"/>
          <w:szCs w:val="20"/>
          <w:color w:val="auto"/>
        </w:rPr>
      </w:pPr>
    </w:p>
    <w:p>
      <w:pPr>
        <w:jc w:val="both"/>
        <w:ind w:firstLine="941"/>
        <w:spacing w:after="0" w:line="265"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Non-Disparagement</w:t>
      </w:r>
      <w:r>
        <w:rPr>
          <w:rFonts w:ascii="Times New Roman" w:cs="Times New Roman" w:eastAsia="Times New Roman" w:hAnsi="Times New Roman"/>
          <w:sz w:val="12"/>
          <w:szCs w:val="12"/>
          <w:color w:val="auto"/>
        </w:rPr>
        <w:t>. At all times during your employment or service 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119" w:lineRule="exact"/>
        <w:rPr>
          <w:sz w:val="20"/>
          <w:szCs w:val="20"/>
          <w:color w:val="auto"/>
        </w:rPr>
      </w:pPr>
    </w:p>
    <w:p>
      <w:pPr>
        <w:jc w:val="both"/>
        <w:ind w:firstLine="941"/>
        <w:spacing w:after="0" w:line="253" w:lineRule="auto"/>
        <w:rPr>
          <w:sz w:val="20"/>
          <w:szCs w:val="20"/>
          <w:color w:val="auto"/>
        </w:rPr>
      </w:pPr>
      <w:r>
        <w:rPr>
          <w:rFonts w:ascii="Times New Roman" w:cs="Times New Roman" w:eastAsia="Times New Roman" w:hAnsi="Times New Roman"/>
          <w:sz w:val="12"/>
          <w:szCs w:val="12"/>
          <w:color w:val="auto"/>
        </w:rPr>
        <w:t xml:space="preserve">Section 5. </w:t>
      </w:r>
      <w:r>
        <w:rPr>
          <w:rFonts w:ascii="Times New Roman" w:cs="Times New Roman" w:eastAsia="Times New Roman" w:hAnsi="Times New Roman"/>
          <w:sz w:val="12"/>
          <w:szCs w:val="12"/>
          <w:u w:val="single" w:color="auto"/>
          <w:color w:val="auto"/>
        </w:rPr>
        <w:t>Certain Remedies</w:t>
      </w:r>
      <w:r>
        <w:rPr>
          <w:rFonts w:ascii="Times New Roman" w:cs="Times New Roman" w:eastAsia="Times New Roman" w:hAnsi="Times New Roman"/>
          <w:sz w:val="12"/>
          <w:szCs w:val="12"/>
          <w:color w:val="auto"/>
        </w:rPr>
        <w:t xml:space="preserve">. You acknowledge that the terms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the Award Agreement shall be enforceable as so modified after the expiration of the time within which the judgment or decision may be appealed. You acknowledge that the Company and its shareholders would be irreparably harmed by any breach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that there would be no adequate remedy at law or in damages to compensate the Company and its shareholders for any such breach. You agree that MSCI shall be entitled to injunctive relief, without having to post bond or other security, requiring specific performance by you of your obligations in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in addition to 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ind w:left="940"/>
        <w:spacing w:after="0"/>
        <w:tabs>
          <w:tab w:leader="none" w:pos="1820" w:val="left"/>
        </w:tabs>
        <w:rPr>
          <w:sz w:val="20"/>
          <w:szCs w:val="20"/>
          <w:color w:val="auto"/>
        </w:rPr>
      </w:pPr>
      <w:r>
        <w:rPr>
          <w:rFonts w:ascii="Times New Roman" w:cs="Times New Roman" w:eastAsia="Times New Roman" w:hAnsi="Times New Roman"/>
          <w:sz w:val="12"/>
          <w:szCs w:val="12"/>
          <w:color w:val="auto"/>
        </w:rPr>
        <w:t>Section 6.</w:t>
      </w:r>
      <w:r>
        <w:rPr>
          <w:sz w:val="20"/>
          <w:szCs w:val="20"/>
          <w:color w:val="auto"/>
        </w:rPr>
        <w:tab/>
      </w:r>
      <w:r>
        <w:rPr>
          <w:rFonts w:ascii="Times New Roman" w:cs="Times New Roman" w:eastAsia="Times New Roman" w:hAnsi="Times New Roman"/>
          <w:sz w:val="11"/>
          <w:szCs w:val="11"/>
          <w:u w:val="single" w:color="auto"/>
          <w:color w:val="auto"/>
        </w:rPr>
        <w:t>Definitions</w:t>
      </w:r>
      <w:r>
        <w:rPr>
          <w:rFonts w:ascii="Times New Roman" w:cs="Times New Roman" w:eastAsia="Times New Roman" w:hAnsi="Times New Roman"/>
          <w:sz w:val="11"/>
          <w:szCs w:val="11"/>
          <w:color w:val="auto"/>
        </w:rPr>
        <w:t>. For purposes of this</w:t>
      </w:r>
      <w:r>
        <w:rPr>
          <w:rFonts w:ascii="Times New Roman" w:cs="Times New Roman" w:eastAsia="Times New Roman" w:hAnsi="Times New Roman"/>
          <w:sz w:val="11"/>
          <w:szCs w:val="11"/>
          <w:u w:val="single" w:color="auto"/>
          <w:color w:val="auto"/>
        </w:rPr>
        <w:t xml:space="preserve"> Exhibit B </w:t>
      </w:r>
      <w:r>
        <w:rPr>
          <w:rFonts w:ascii="Times New Roman" w:cs="Times New Roman" w:eastAsia="Times New Roman" w:hAnsi="Times New Roman"/>
          <w:sz w:val="11"/>
          <w:szCs w:val="11"/>
          <w:color w:val="auto"/>
        </w:rPr>
        <w:t>and the Award Agreement, the following terms shall have the following meanings: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Competitor</w:t>
      </w:r>
      <w:r>
        <w:rPr>
          <w:rFonts w:ascii="Times New Roman" w:cs="Times New Roman" w:eastAsia="Times New Roman" w:hAnsi="Times New Roman"/>
          <w:sz w:val="12"/>
          <w:szCs w:val="12"/>
          <w:color w:val="auto"/>
        </w:rPr>
        <w:t>” means any person, entity or business that is engaged in, or that owns a significant equity, voting, financial or other interest in an entity that is engaged in, one or more Competing Businesses.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Competing Business</w:t>
      </w:r>
      <w:r>
        <w:rPr>
          <w:rFonts w:ascii="Times New Roman" w:cs="Times New Roman" w:eastAsia="Times New Roman" w:hAnsi="Times New Roman"/>
          <w:sz w:val="12"/>
          <w:szCs w:val="12"/>
          <w:color w:val="auto"/>
        </w:rPr>
        <w:t>” means any business or activity that competes with the MSCI Business or is reasonably anticipated to compete with the MSCI Business.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 planned future activities or products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5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46" w:name="page347"/>
    <w:bookmarkEnd w:id="346"/>
    <w:p>
      <w:pPr>
        <w:jc w:val="both"/>
        <w:spacing w:after="0" w:line="266" w:lineRule="auto"/>
        <w:rPr>
          <w:sz w:val="20"/>
          <w:szCs w:val="20"/>
          <w:color w:val="auto"/>
        </w:rPr>
      </w:pPr>
      <w:r>
        <w:rPr>
          <w:rFonts w:ascii="Times New Roman" w:cs="Times New Roman" w:eastAsia="Times New Roman" w:hAnsi="Times New Roman"/>
          <w:sz w:val="12"/>
          <w:szCs w:val="12"/>
          <w:color w:val="auto"/>
        </w:rPr>
        <w:t xml:space="preserve">services; and public information that becomes proprietary as a result of the Company’s compilation of that information for use in its business;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Confidential Information shall in no event include (x) any Confidential Information which was generally available to the public at the 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Inventions</w:t>
      </w:r>
      <w:r>
        <w:rPr>
          <w:rFonts w:ascii="Times New Roman" w:cs="Times New Roman" w:eastAsia="Times New Roman" w:hAnsi="Times New Roman"/>
          <w:sz w:val="12"/>
          <w:szCs w:val="12"/>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MSCI Business</w:t>
      </w:r>
      <w:r>
        <w:rPr>
          <w:rFonts w:ascii="Times New Roman" w:cs="Times New Roman" w:eastAsia="Times New Roman" w:hAnsi="Times New Roman"/>
          <w:sz w:val="12"/>
          <w:szCs w:val="12"/>
          <w:color w:val="auto"/>
        </w:rPr>
        <w:t>” means any business, or part thereof, engaged in, contemplated or actively planned by the Company as of the date of your termination of employment that you were actively involved in, provided services to, or participated in the planning of, during your employment with the Company.</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Business</w:t>
      </w:r>
      <w:r>
        <w:rPr>
          <w:rFonts w:ascii="Times New Roman" w:cs="Times New Roman" w:eastAsia="Times New Roman" w:hAnsi="Times New Roman"/>
          <w:sz w:val="12"/>
          <w:szCs w:val="12"/>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Services</w:t>
      </w:r>
      <w:r>
        <w:rPr>
          <w:rFonts w:ascii="Times New Roman" w:cs="Times New Roman" w:eastAsia="Times New Roman" w:hAnsi="Times New Roman"/>
          <w:sz w:val="12"/>
          <w:szCs w:val="12"/>
          <w:color w:val="auto"/>
        </w:rPr>
        <w:t>” means employment, engagement or the provision of assistance or services that (i) are 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9470" cy="114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6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2"/>
          <w:szCs w:val="12"/>
          <w:b w:val="1"/>
          <w:bCs w:val="1"/>
          <w:color w:val="auto"/>
        </w:rPr>
        <w:t>EXHIBIT C</w:t>
      </w:r>
    </w:p>
    <w:p>
      <w:pPr>
        <w:spacing w:after="0" w:line="2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COUNTRY-SPECIFIC TERMS AND CONDITIONS</w:t>
      </w:r>
    </w:p>
    <w:p>
      <w:pPr>
        <w:spacing w:after="0" w:line="16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C-1</w:t>
      </w:r>
    </w:p>
    <w:p>
      <w:pPr>
        <w:sectPr>
          <w:pgSz w:w="11900" w:h="16838" w:orient="portrait"/>
          <w:cols w:equalWidth="0" w:num="1">
            <w:col w:w="10160"/>
          </w:cols>
          <w:pgMar w:left="1440" w:top="125" w:right="29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78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Subsidiaries of MSCI Inc.</w:t>
            </w:r>
          </w:p>
        </w:tc>
        <w:tc>
          <w:tcPr>
            <w:tcW w:w="0" w:type="dxa"/>
            <w:vAlign w:val="bottom"/>
          </w:tcPr>
          <w:p>
            <w:pPr>
              <w:spacing w:after="0"/>
              <w:rPr>
                <w:sz w:val="1"/>
                <w:szCs w:val="1"/>
                <w:color w:val="auto"/>
              </w:rPr>
            </w:pPr>
          </w:p>
        </w:tc>
      </w:tr>
      <w:tr>
        <w:trPr>
          <w:trHeight w:val="266"/>
        </w:trPr>
        <w:tc>
          <w:tcPr>
            <w:tcW w:w="3960" w:type="dxa"/>
            <w:vAlign w:val="bottom"/>
          </w:tcPr>
          <w:p>
            <w:pPr>
              <w:spacing w:after="0"/>
              <w:rPr>
                <w:sz w:val="23"/>
                <w:szCs w:val="23"/>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420" w:type="dxa"/>
            <w:vAlign w:val="bottom"/>
            <w:vMerge w:val="restart"/>
          </w:tcPr>
          <w:p>
            <w:pPr>
              <w:spacing w:after="0"/>
              <w:rPr>
                <w:sz w:val="23"/>
                <w:szCs w:val="23"/>
                <w:color w:val="auto"/>
              </w:rPr>
            </w:pPr>
          </w:p>
        </w:tc>
        <w:tc>
          <w:tcPr>
            <w:tcW w:w="4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Jurisdiction of</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4360" w:type="dxa"/>
            <w:vAlign w:val="bottom"/>
          </w:tcPr>
          <w:p>
            <w:pPr>
              <w:spacing w:after="0"/>
              <w:rPr>
                <w:sz w:val="10"/>
                <w:szCs w:val="10"/>
                <w:color w:val="auto"/>
              </w:rPr>
            </w:pPr>
          </w:p>
        </w:tc>
        <w:tc>
          <w:tcPr>
            <w:tcW w:w="1420" w:type="dxa"/>
            <w:vAlign w:val="bottom"/>
            <w:tcBorders>
              <w:bottom w:val="single" w:sz="8" w:color="auto"/>
            </w:tcBorders>
            <w:gridSpan w:val="3"/>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Incorporation/Organization</w:t>
            </w:r>
          </w:p>
        </w:tc>
        <w:tc>
          <w:tcPr>
            <w:tcW w:w="0" w:type="dxa"/>
            <w:vAlign w:val="bottom"/>
          </w:tcPr>
          <w:p>
            <w:pPr>
              <w:spacing w:after="0"/>
              <w:rPr>
                <w:sz w:val="1"/>
                <w:szCs w:val="1"/>
                <w:color w:val="auto"/>
              </w:rPr>
            </w:pPr>
          </w:p>
        </w:tc>
      </w:tr>
      <w:tr>
        <w:trPr>
          <w:trHeight w:val="302"/>
        </w:trPr>
        <w:tc>
          <w:tcPr>
            <w:tcW w:w="4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MSCI Inc.</w:t>
            </w:r>
          </w:p>
        </w:tc>
        <w:tc>
          <w:tcPr>
            <w:tcW w:w="4360" w:type="dxa"/>
            <w:vAlign w:val="bottom"/>
          </w:tcPr>
          <w:p>
            <w:pPr>
              <w:spacing w:after="0"/>
              <w:rPr>
                <w:sz w:val="24"/>
                <w:szCs w:val="24"/>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Barra,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Investment Property Databank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Illinois,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MSCI Barra Financial Information Consultancy (Shanghai)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China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MSCI ESG Research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KLD Research and Analytics, Inc.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Massachusetts,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MSCI ESG Research (Australia) Pty Ltd.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Australia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MSCI Kft.</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Hungary</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MSCI Holdings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MSCI Scot 1 LP (general partner)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Scotland</w:t>
            </w:r>
          </w:p>
        </w:tc>
        <w:tc>
          <w:tcPr>
            <w:tcW w:w="0" w:type="dxa"/>
            <w:vAlign w:val="bottom"/>
          </w:tcPr>
          <w:p>
            <w:pPr>
              <w:spacing w:after="0"/>
              <w:rPr>
                <w:sz w:val="1"/>
                <w:szCs w:val="1"/>
                <w:color w:val="auto"/>
              </w:rPr>
            </w:pPr>
          </w:p>
        </w:tc>
      </w:tr>
      <w:tr>
        <w:trPr>
          <w:trHeight w:val="153"/>
        </w:trPr>
        <w:tc>
          <w:tcPr>
            <w:tcW w:w="46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MSCI S. de R.L. de C.V. (minority owner)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Mexico</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MSCI S. de R.L. de C.V. (majority owner)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Mexico</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MSCI Scot 1 LP (limited partner)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Scotland</w:t>
            </w:r>
          </w:p>
        </w:tc>
        <w:tc>
          <w:tcPr>
            <w:tcW w:w="0" w:type="dxa"/>
            <w:vAlign w:val="bottom"/>
          </w:tcPr>
          <w:p>
            <w:pPr>
              <w:spacing w:after="0"/>
              <w:rPr>
                <w:sz w:val="1"/>
                <w:szCs w:val="1"/>
                <w:color w:val="auto"/>
              </w:rPr>
            </w:pPr>
          </w:p>
        </w:tc>
      </w:tr>
      <w:tr>
        <w:trPr>
          <w:trHeight w:val="153"/>
        </w:trPr>
        <w:tc>
          <w:tcPr>
            <w:tcW w:w="46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MSCI GP I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440"/>
              <w:spacing w:after="0"/>
              <w:rPr>
                <w:sz w:val="20"/>
                <w:szCs w:val="20"/>
                <w:color w:val="auto"/>
              </w:rPr>
            </w:pPr>
            <w:r>
              <w:rPr>
                <w:rFonts w:ascii="Times New Roman" w:cs="Times New Roman" w:eastAsia="Times New Roman" w:hAnsi="Times New Roman"/>
                <w:sz w:val="12"/>
                <w:szCs w:val="12"/>
                <w:color w:val="auto"/>
              </w:rPr>
              <w:t>MSCI Scot 2 LP (general partner)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Scotland</w:t>
            </w:r>
          </w:p>
        </w:tc>
        <w:tc>
          <w:tcPr>
            <w:tcW w:w="0" w:type="dxa"/>
            <w:vAlign w:val="bottom"/>
          </w:tcPr>
          <w:p>
            <w:pPr>
              <w:spacing w:after="0"/>
              <w:rPr>
                <w:sz w:val="1"/>
                <w:szCs w:val="1"/>
                <w:color w:val="auto"/>
              </w:rPr>
            </w:pPr>
          </w:p>
        </w:tc>
      </w:tr>
      <w:tr>
        <w:trPr>
          <w:trHeight w:val="153"/>
        </w:trPr>
        <w:tc>
          <w:tcPr>
            <w:tcW w:w="46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MSCI Scot 2 LP (limited partner)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Scotland</w:t>
            </w:r>
          </w:p>
        </w:tc>
        <w:tc>
          <w:tcPr>
            <w:tcW w:w="0" w:type="dxa"/>
            <w:vAlign w:val="bottom"/>
          </w:tcPr>
          <w:p>
            <w:pPr>
              <w:spacing w:after="0"/>
              <w:rPr>
                <w:sz w:val="1"/>
                <w:szCs w:val="1"/>
                <w:color w:val="auto"/>
              </w:rPr>
            </w:pPr>
          </w:p>
        </w:tc>
      </w:tr>
      <w:tr>
        <w:trPr>
          <w:trHeight w:val="153"/>
        </w:trPr>
        <w:tc>
          <w:tcPr>
            <w:tcW w:w="4680" w:type="dxa"/>
            <w:vAlign w:val="bottom"/>
            <w:gridSpan w:val="3"/>
          </w:tcPr>
          <w:p>
            <w:pPr>
              <w:ind w:left="440"/>
              <w:spacing w:after="0"/>
              <w:rPr>
                <w:sz w:val="20"/>
                <w:szCs w:val="20"/>
                <w:color w:val="auto"/>
              </w:rPr>
            </w:pPr>
            <w:r>
              <w:rPr>
                <w:rFonts w:ascii="Times New Roman" w:cs="Times New Roman" w:eastAsia="Times New Roman" w:hAnsi="Times New Roman"/>
                <w:sz w:val="12"/>
                <w:szCs w:val="12"/>
                <w:color w:val="auto"/>
              </w:rPr>
              <w:t>MSCI Grand Cayman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Cayman Islands</w:t>
            </w:r>
          </w:p>
        </w:tc>
        <w:tc>
          <w:tcPr>
            <w:tcW w:w="0" w:type="dxa"/>
            <w:vAlign w:val="bottom"/>
          </w:tcPr>
          <w:p>
            <w:pPr>
              <w:spacing w:after="0"/>
              <w:rPr>
                <w:sz w:val="1"/>
                <w:szCs w:val="1"/>
                <w:color w:val="auto"/>
              </w:rPr>
            </w:pPr>
          </w:p>
        </w:tc>
      </w:tr>
      <w:tr>
        <w:trPr>
          <w:trHeight w:val="153"/>
        </w:trPr>
        <w:tc>
          <w:tcPr>
            <w:tcW w:w="4680" w:type="dxa"/>
            <w:vAlign w:val="bottom"/>
            <w:gridSpan w:val="3"/>
          </w:tcPr>
          <w:p>
            <w:pPr>
              <w:ind w:left="440"/>
              <w:spacing w:after="0"/>
              <w:rPr>
                <w:sz w:val="20"/>
                <w:szCs w:val="20"/>
                <w:color w:val="auto"/>
              </w:rPr>
            </w:pPr>
            <w:r>
              <w:rPr>
                <w:rFonts w:ascii="Times New Roman" w:cs="Times New Roman" w:eastAsia="Times New Roman" w:hAnsi="Times New Roman"/>
                <w:sz w:val="12"/>
                <w:szCs w:val="12"/>
                <w:color w:val="auto"/>
              </w:rPr>
              <w:t>MSCI UK Holdings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United Kingdom</w:t>
            </w:r>
          </w:p>
        </w:tc>
        <w:tc>
          <w:tcPr>
            <w:tcW w:w="0" w:type="dxa"/>
            <w:vAlign w:val="bottom"/>
          </w:tcPr>
          <w:p>
            <w:pPr>
              <w:spacing w:after="0"/>
              <w:rPr>
                <w:sz w:val="1"/>
                <w:szCs w:val="1"/>
                <w:color w:val="auto"/>
              </w:rPr>
            </w:pPr>
          </w:p>
        </w:tc>
      </w:tr>
      <w:tr>
        <w:trPr>
          <w:trHeight w:val="153"/>
        </w:trPr>
        <w:tc>
          <w:tcPr>
            <w:tcW w:w="468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MSCI Barra (Suisse) Sàrl</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Switzerland</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BarraConsult Ltda. (minority owner)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Brazil</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Carbon Delta AG</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Switzerland</w:t>
            </w:r>
          </w:p>
        </w:tc>
        <w:tc>
          <w:tcPr>
            <w:tcW w:w="0" w:type="dxa"/>
            <w:vAlign w:val="bottom"/>
          </w:tcPr>
          <w:p>
            <w:pPr>
              <w:spacing w:after="0"/>
              <w:rPr>
                <w:sz w:val="1"/>
                <w:szCs w:val="1"/>
                <w:color w:val="auto"/>
              </w:rPr>
            </w:pPr>
          </w:p>
        </w:tc>
      </w:tr>
      <w:tr>
        <w:trPr>
          <w:trHeight w:val="153"/>
        </w:trPr>
        <w:tc>
          <w:tcPr>
            <w:tcW w:w="4680" w:type="dxa"/>
            <w:vAlign w:val="bottom"/>
            <w:gridSpan w:val="3"/>
          </w:tcPr>
          <w:p>
            <w:pPr>
              <w:ind w:left="900"/>
              <w:spacing w:after="0"/>
              <w:rPr>
                <w:sz w:val="20"/>
                <w:szCs w:val="20"/>
                <w:color w:val="auto"/>
              </w:rPr>
            </w:pPr>
            <w:r>
              <w:rPr>
                <w:rFonts w:ascii="Times New Roman" w:cs="Times New Roman" w:eastAsia="Times New Roman" w:hAnsi="Times New Roman"/>
                <w:sz w:val="12"/>
                <w:szCs w:val="12"/>
                <w:color w:val="auto"/>
              </w:rPr>
              <w:t>Carbon Delta Germany GmbH*</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Germany</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MSCI India Holdings No. 1 Sàrl</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Switzerland</w:t>
            </w:r>
          </w:p>
        </w:tc>
        <w:tc>
          <w:tcPr>
            <w:tcW w:w="0" w:type="dxa"/>
            <w:vAlign w:val="bottom"/>
          </w:tcPr>
          <w:p>
            <w:pPr>
              <w:spacing w:after="0"/>
              <w:rPr>
                <w:sz w:val="1"/>
                <w:szCs w:val="1"/>
                <w:color w:val="auto"/>
              </w:rPr>
            </w:pPr>
          </w:p>
        </w:tc>
      </w:tr>
      <w:tr>
        <w:trPr>
          <w:trHeight w:val="153"/>
        </w:trPr>
        <w:tc>
          <w:tcPr>
            <w:tcW w:w="4680" w:type="dxa"/>
            <w:vAlign w:val="bottom"/>
            <w:gridSpan w:val="3"/>
          </w:tcPr>
          <w:p>
            <w:pPr>
              <w:ind w:left="900"/>
              <w:spacing w:after="0"/>
              <w:rPr>
                <w:sz w:val="20"/>
                <w:szCs w:val="20"/>
                <w:color w:val="auto"/>
              </w:rPr>
            </w:pPr>
            <w:r>
              <w:rPr>
                <w:rFonts w:ascii="Times New Roman" w:cs="Times New Roman" w:eastAsia="Times New Roman" w:hAnsi="Times New Roman"/>
                <w:sz w:val="12"/>
                <w:szCs w:val="12"/>
                <w:color w:val="auto"/>
              </w:rPr>
              <w:t>MSCI Services Private Limited (minority owner)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India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900"/>
              <w:spacing w:after="0"/>
              <w:rPr>
                <w:sz w:val="20"/>
                <w:szCs w:val="20"/>
                <w:color w:val="auto"/>
              </w:rPr>
            </w:pPr>
            <w:r>
              <w:rPr>
                <w:rFonts w:ascii="Times New Roman" w:cs="Times New Roman" w:eastAsia="Times New Roman" w:hAnsi="Times New Roman"/>
                <w:sz w:val="12"/>
                <w:szCs w:val="12"/>
                <w:color w:val="auto"/>
              </w:rPr>
              <w:t>MSCI India Holdings No. 2 Sàrl</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Switzerland</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MSCI Services Private Limited (majority owner)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India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MSCI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United Kingdom</w:t>
            </w:r>
          </w:p>
        </w:tc>
        <w:tc>
          <w:tcPr>
            <w:tcW w:w="0" w:type="dxa"/>
            <w:vAlign w:val="bottom"/>
          </w:tcPr>
          <w:p>
            <w:pPr>
              <w:spacing w:after="0"/>
              <w:rPr>
                <w:sz w:val="1"/>
                <w:szCs w:val="1"/>
                <w:color w:val="auto"/>
              </w:rPr>
            </w:pPr>
          </w:p>
        </w:tc>
      </w:tr>
      <w:tr>
        <w:trPr>
          <w:trHeight w:val="153"/>
        </w:trPr>
        <w:tc>
          <w:tcPr>
            <w:tcW w:w="4680" w:type="dxa"/>
            <w:vAlign w:val="bottom"/>
            <w:gridSpan w:val="3"/>
          </w:tcPr>
          <w:p>
            <w:pPr>
              <w:ind w:left="900"/>
              <w:spacing w:after="0"/>
              <w:rPr>
                <w:sz w:val="20"/>
                <w:szCs w:val="20"/>
                <w:color w:val="auto"/>
              </w:rPr>
            </w:pPr>
            <w:r>
              <w:rPr>
                <w:rFonts w:ascii="Times New Roman" w:cs="Times New Roman" w:eastAsia="Times New Roman" w:hAnsi="Times New Roman"/>
                <w:sz w:val="12"/>
                <w:szCs w:val="12"/>
                <w:color w:val="auto"/>
              </w:rPr>
              <w:t>Barra International,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BarraConsult Ltda. (majority owner)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Brazil</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MSCI G.K.</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Japan</w:t>
            </w:r>
          </w:p>
        </w:tc>
        <w:tc>
          <w:tcPr>
            <w:tcW w:w="0" w:type="dxa"/>
            <w:vAlign w:val="bottom"/>
          </w:tcPr>
          <w:p>
            <w:pPr>
              <w:spacing w:after="0"/>
              <w:rPr>
                <w:sz w:val="1"/>
                <w:szCs w:val="1"/>
                <w:color w:val="auto"/>
              </w:rPr>
            </w:pPr>
          </w:p>
        </w:tc>
      </w:tr>
      <w:tr>
        <w:trPr>
          <w:trHeight w:val="153"/>
        </w:trPr>
        <w:tc>
          <w:tcPr>
            <w:tcW w:w="4680" w:type="dxa"/>
            <w:vAlign w:val="bottom"/>
            <w:gridSpan w:val="3"/>
          </w:tcPr>
          <w:p>
            <w:pPr>
              <w:ind w:left="900"/>
              <w:spacing w:after="0"/>
              <w:rPr>
                <w:sz w:val="20"/>
                <w:szCs w:val="20"/>
                <w:color w:val="auto"/>
              </w:rPr>
            </w:pPr>
            <w:r>
              <w:rPr>
                <w:rFonts w:ascii="Times New Roman" w:cs="Times New Roman" w:eastAsia="Times New Roman" w:hAnsi="Times New Roman"/>
                <w:sz w:val="12"/>
                <w:szCs w:val="12"/>
                <w:color w:val="auto"/>
              </w:rPr>
              <w:t>MSCI France</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France</w:t>
            </w:r>
          </w:p>
        </w:tc>
        <w:tc>
          <w:tcPr>
            <w:tcW w:w="0" w:type="dxa"/>
            <w:vAlign w:val="bottom"/>
          </w:tcPr>
          <w:p>
            <w:pPr>
              <w:spacing w:after="0"/>
              <w:rPr>
                <w:sz w:val="1"/>
                <w:szCs w:val="1"/>
                <w:color w:val="auto"/>
              </w:rPr>
            </w:pPr>
          </w:p>
        </w:tc>
      </w:tr>
      <w:tr>
        <w:trPr>
          <w:trHeight w:val="153"/>
        </w:trPr>
        <w:tc>
          <w:tcPr>
            <w:tcW w:w="4680" w:type="dxa"/>
            <w:vAlign w:val="bottom"/>
            <w:gridSpan w:val="3"/>
          </w:tcPr>
          <w:p>
            <w:pPr>
              <w:ind w:left="900"/>
              <w:spacing w:after="0"/>
              <w:rPr>
                <w:sz w:val="20"/>
                <w:szCs w:val="20"/>
                <w:color w:val="auto"/>
              </w:rPr>
            </w:pPr>
            <w:r>
              <w:rPr>
                <w:rFonts w:ascii="Times New Roman" w:cs="Times New Roman" w:eastAsia="Times New Roman" w:hAnsi="Times New Roman"/>
                <w:sz w:val="12"/>
                <w:szCs w:val="12"/>
                <w:color w:val="auto"/>
              </w:rPr>
              <w:t>IPD Group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United Kingdom</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KK IPD Japan</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Japan</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Investment Property Databank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United Kingdom</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Investment Property Databank Pty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Australia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IPD Investment Property Databank GmbH</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Germany</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Investment Property Databank South Africa (Proprietary)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South Africa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IPD France</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France</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IPD Norden AB</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Sweden</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2"/>
                <w:szCs w:val="12"/>
                <w:color w:val="auto"/>
              </w:rPr>
              <w:t>IPD Nederland B.V.</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Netherlands</w:t>
            </w:r>
          </w:p>
        </w:tc>
        <w:tc>
          <w:tcPr>
            <w:tcW w:w="0" w:type="dxa"/>
            <w:vAlign w:val="bottom"/>
          </w:tcPr>
          <w:p>
            <w:pPr>
              <w:spacing w:after="0"/>
              <w:rPr>
                <w:sz w:val="1"/>
                <w:szCs w:val="1"/>
                <w:color w:val="auto"/>
              </w:rPr>
            </w:pPr>
          </w:p>
        </w:tc>
      </w:tr>
      <w:tr>
        <w:trPr>
          <w:trHeight w:val="153"/>
        </w:trPr>
        <w:tc>
          <w:tcPr>
            <w:tcW w:w="468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MSCI Holdings 2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MSCI Australia Pty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Australia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MSCI Canada ULC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Canada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MSCI Hong Kong Management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Hong Kong</w:t>
            </w:r>
          </w:p>
        </w:tc>
        <w:tc>
          <w:tcPr>
            <w:tcW w:w="0" w:type="dxa"/>
            <w:vAlign w:val="bottom"/>
          </w:tcPr>
          <w:p>
            <w:pPr>
              <w:spacing w:after="0"/>
              <w:rPr>
                <w:sz w:val="1"/>
                <w:szCs w:val="1"/>
                <w:color w:val="auto"/>
              </w:rPr>
            </w:pPr>
          </w:p>
        </w:tc>
      </w:tr>
      <w:tr>
        <w:trPr>
          <w:trHeight w:val="153"/>
        </w:trPr>
        <w:tc>
          <w:tcPr>
            <w:tcW w:w="4680" w:type="dxa"/>
            <w:vAlign w:val="bottom"/>
            <w:gridSpan w:val="3"/>
          </w:tcPr>
          <w:p>
            <w:pPr>
              <w:ind w:left="900"/>
              <w:spacing w:after="0"/>
              <w:rPr>
                <w:sz w:val="20"/>
                <w:szCs w:val="20"/>
                <w:color w:val="auto"/>
              </w:rPr>
            </w:pPr>
            <w:r>
              <w:rPr>
                <w:rFonts w:ascii="Times New Roman" w:cs="Times New Roman" w:eastAsia="Times New Roman" w:hAnsi="Times New Roman"/>
                <w:sz w:val="12"/>
                <w:szCs w:val="12"/>
                <w:color w:val="auto"/>
              </w:rPr>
              <w:t>MSCI Hong Kong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Hong Kong</w:t>
            </w:r>
          </w:p>
        </w:tc>
        <w:tc>
          <w:tcPr>
            <w:tcW w:w="0" w:type="dxa"/>
            <w:vAlign w:val="bottom"/>
          </w:tcPr>
          <w:p>
            <w:pPr>
              <w:spacing w:after="0"/>
              <w:rPr>
                <w:sz w:val="1"/>
                <w:szCs w:val="1"/>
                <w:color w:val="auto"/>
              </w:rPr>
            </w:pPr>
          </w:p>
        </w:tc>
      </w:tr>
      <w:tr>
        <w:trPr>
          <w:trHeight w:val="153"/>
        </w:trPr>
        <w:tc>
          <w:tcPr>
            <w:tcW w:w="4680" w:type="dxa"/>
            <w:vAlign w:val="bottom"/>
            <w:gridSpan w:val="3"/>
          </w:tcPr>
          <w:p>
            <w:pPr>
              <w:ind w:left="900"/>
              <w:spacing w:after="0"/>
              <w:rPr>
                <w:sz w:val="20"/>
                <w:szCs w:val="20"/>
                <w:color w:val="auto"/>
              </w:rPr>
            </w:pPr>
            <w:r>
              <w:rPr>
                <w:rFonts w:ascii="Times New Roman" w:cs="Times New Roman" w:eastAsia="Times New Roman" w:hAnsi="Times New Roman"/>
                <w:sz w:val="12"/>
                <w:szCs w:val="12"/>
                <w:color w:val="auto"/>
              </w:rPr>
              <w:t>MSCI Taiwan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Taiwan</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MSCI (Singapore) Private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Singapore</w:t>
            </w:r>
          </w:p>
        </w:tc>
        <w:tc>
          <w:tcPr>
            <w:tcW w:w="0" w:type="dxa"/>
            <w:vAlign w:val="bottom"/>
          </w:tcPr>
          <w:p>
            <w:pPr>
              <w:spacing w:after="0"/>
              <w:rPr>
                <w:sz w:val="1"/>
                <w:szCs w:val="1"/>
                <w:color w:val="auto"/>
              </w:rPr>
            </w:pPr>
          </w:p>
        </w:tc>
      </w:tr>
      <w:tr>
        <w:trPr>
          <w:trHeight w:val="153"/>
        </w:trPr>
        <w:tc>
          <w:tcPr>
            <w:tcW w:w="468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MSCI Holdings 3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MSCI ESG Research (UK)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United Kingdom</w:t>
            </w:r>
          </w:p>
        </w:tc>
        <w:tc>
          <w:tcPr>
            <w:tcW w:w="0" w:type="dxa"/>
            <w:vAlign w:val="bottom"/>
          </w:tcPr>
          <w:p>
            <w:pPr>
              <w:spacing w:after="0"/>
              <w:rPr>
                <w:sz w:val="1"/>
                <w:szCs w:val="1"/>
                <w:color w:val="auto"/>
              </w:rPr>
            </w:pPr>
          </w:p>
        </w:tc>
      </w:tr>
      <w:tr>
        <w:trPr>
          <w:trHeight w:val="153"/>
        </w:trPr>
        <w:tc>
          <w:tcPr>
            <w:tcW w:w="468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MSCI ESG Research (France)</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France</w:t>
            </w:r>
          </w:p>
        </w:tc>
        <w:tc>
          <w:tcPr>
            <w:tcW w:w="0" w:type="dxa"/>
            <w:vAlign w:val="bottom"/>
          </w:tcPr>
          <w:p>
            <w:pPr>
              <w:spacing w:after="0"/>
              <w:rPr>
                <w:sz w:val="1"/>
                <w:szCs w:val="1"/>
                <w:color w:val="auto"/>
              </w:rPr>
            </w:pPr>
          </w:p>
        </w:tc>
      </w:tr>
      <w:tr>
        <w:trPr>
          <w:trHeight w:val="153"/>
        </w:trPr>
        <w:tc>
          <w:tcPr>
            <w:tcW w:w="468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MSCI Korea Limited</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Korea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RiskMetrics Group,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RiskMetrics Group Holdings,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440"/>
              <w:spacing w:after="0"/>
              <w:rPr>
                <w:sz w:val="20"/>
                <w:szCs w:val="20"/>
                <w:color w:val="auto"/>
              </w:rPr>
            </w:pPr>
            <w:r>
              <w:rPr>
                <w:rFonts w:ascii="Times New Roman" w:cs="Times New Roman" w:eastAsia="Times New Roman" w:hAnsi="Times New Roman"/>
                <w:sz w:val="12"/>
                <w:szCs w:val="12"/>
                <w:color w:val="auto"/>
              </w:rPr>
              <w:t>RiskMetrics Solutions,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3"/>
        </w:trPr>
        <w:tc>
          <w:tcPr>
            <w:tcW w:w="468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Measurisk, LLC</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Delaware, U.S.A.</w:t>
            </w:r>
          </w:p>
        </w:tc>
        <w:tc>
          <w:tcPr>
            <w:tcW w:w="0" w:type="dxa"/>
            <w:vAlign w:val="bottom"/>
          </w:tcPr>
          <w:p>
            <w:pPr>
              <w:spacing w:after="0"/>
              <w:rPr>
                <w:sz w:val="1"/>
                <w:szCs w:val="1"/>
                <w:color w:val="auto"/>
              </w:rPr>
            </w:pPr>
          </w:p>
        </w:tc>
      </w:tr>
      <w:tr>
        <w:trPr>
          <w:trHeight w:val="155"/>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The Burgiss Group, LLC (minority owner)</w:t>
            </w:r>
          </w:p>
        </w:tc>
        <w:tc>
          <w:tcPr>
            <w:tcW w:w="4360" w:type="dxa"/>
            <w:vAlign w:val="bottom"/>
          </w:tcPr>
          <w:p>
            <w:pPr>
              <w:spacing w:after="0"/>
              <w:rPr>
                <w:sz w:val="13"/>
                <w:szCs w:val="13"/>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New Jersey, U.S.A.</w:t>
            </w:r>
          </w:p>
        </w:tc>
        <w:tc>
          <w:tcPr>
            <w:tcW w:w="0" w:type="dxa"/>
            <w:vAlign w:val="bottom"/>
          </w:tcPr>
          <w:p>
            <w:pPr>
              <w:spacing w:after="0"/>
              <w:rPr>
                <w:sz w:val="1"/>
                <w:szCs w:val="1"/>
                <w:color w:val="auto"/>
              </w:rPr>
            </w:pPr>
          </w:p>
        </w:tc>
      </w:tr>
      <w:tr>
        <w:trPr>
          <w:trHeight w:val="306"/>
        </w:trPr>
        <w:tc>
          <w:tcPr>
            <w:tcW w:w="4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Carbon Delta Germany GmbH is currently under liquidation process as of January 1, 2021.</w:t>
            </w: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We hereby consent to the incorporation by reference in the Registration Statements on Form S-8 (No. 333-210987) and Form S-3 (No. 333-226557) of MSCI Inc. of our report dated February 12, 2021 relating to the financial statements and the effectiveness of internal control over financial reporting, which appears in this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12, 2021</w:t>
      </w:r>
    </w:p>
    <w:p>
      <w:pPr>
        <w:sectPr>
          <w:pgSz w:w="11900" w:h="16838" w:orient="portrait"/>
          <w:cols w:equalWidth="0" w:num="1">
            <w:col w:w="11300"/>
          </w:cols>
          <w:pgMar w:left="300" w:top="701" w:right="29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302 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Henry A. Fernandez, certify that:</w:t>
      </w:r>
    </w:p>
    <w:p>
      <w:pPr>
        <w:spacing w:after="0" w:line="78" w:lineRule="exact"/>
        <w:rPr>
          <w:sz w:val="20"/>
          <w:szCs w:val="20"/>
          <w:color w:val="auto"/>
        </w:rPr>
      </w:pPr>
    </w:p>
    <w:p>
      <w:pPr>
        <w:ind w:left="588" w:hanging="588"/>
        <w:spacing w:after="0"/>
        <w:tabs>
          <w:tab w:leader="none" w:pos="588" w:val="left"/>
        </w:tabs>
        <w:numPr>
          <w:ilvl w:val="0"/>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MSCI Inc.;</w:t>
      </w:r>
    </w:p>
    <w:p>
      <w:pPr>
        <w:spacing w:after="0" w:line="78" w:lineRule="exact"/>
        <w:rPr>
          <w:rFonts w:ascii="Times New Roman" w:cs="Times New Roman" w:eastAsia="Times New Roman" w:hAnsi="Times New Roman"/>
          <w:sz w:val="12"/>
          <w:szCs w:val="12"/>
          <w:color w:val="auto"/>
        </w:rPr>
      </w:pPr>
    </w:p>
    <w:p>
      <w:pPr>
        <w:ind w:left="588" w:right="80" w:hanging="588"/>
        <w:spacing w:after="0" w:line="279" w:lineRule="auto"/>
        <w:tabs>
          <w:tab w:leader="none" w:pos="588" w:val="left"/>
        </w:tabs>
        <w:numPr>
          <w:ilvl w:val="0"/>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588" w:right="100" w:hanging="588"/>
        <w:spacing w:after="0" w:line="279" w:lineRule="auto"/>
        <w:tabs>
          <w:tab w:leader="none" w:pos="588" w:val="left"/>
        </w:tabs>
        <w:numPr>
          <w:ilvl w:val="0"/>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588" w:right="280" w:hanging="588"/>
        <w:spacing w:after="0" w:line="279" w:lineRule="auto"/>
        <w:tabs>
          <w:tab w:leader="none" w:pos="588" w:val="left"/>
        </w:tabs>
        <w:numPr>
          <w:ilvl w:val="0"/>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168" w:right="60" w:hanging="583"/>
        <w:spacing w:after="0" w:line="279" w:lineRule="auto"/>
        <w:tabs>
          <w:tab w:leader="none" w:pos="1168" w:val="left"/>
        </w:tabs>
        <w:numPr>
          <w:ilvl w:val="1"/>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168" w:right="140" w:hanging="583"/>
        <w:spacing w:after="0" w:line="279" w:lineRule="auto"/>
        <w:tabs>
          <w:tab w:leader="none" w:pos="1168" w:val="left"/>
        </w:tabs>
        <w:numPr>
          <w:ilvl w:val="1"/>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168" w:right="40" w:hanging="583"/>
        <w:spacing w:after="0" w:line="279" w:lineRule="auto"/>
        <w:tabs>
          <w:tab w:leader="none" w:pos="1168" w:val="left"/>
        </w:tabs>
        <w:numPr>
          <w:ilvl w:val="1"/>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168" w:right="100" w:hanging="583"/>
        <w:spacing w:after="0" w:line="279" w:lineRule="auto"/>
        <w:tabs>
          <w:tab w:leader="none" w:pos="1168" w:val="left"/>
        </w:tabs>
        <w:numPr>
          <w:ilvl w:val="1"/>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588" w:right="80" w:hanging="588"/>
        <w:spacing w:after="0" w:line="279" w:lineRule="auto"/>
        <w:tabs>
          <w:tab w:leader="none" w:pos="588" w:val="left"/>
        </w:tabs>
        <w:numPr>
          <w:ilvl w:val="0"/>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168" w:right="60" w:hanging="583"/>
        <w:spacing w:after="0" w:line="279" w:lineRule="auto"/>
        <w:tabs>
          <w:tab w:leader="none" w:pos="1168" w:val="left"/>
        </w:tabs>
        <w:numPr>
          <w:ilvl w:val="1"/>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168" w:hanging="583"/>
        <w:spacing w:after="0"/>
        <w:tabs>
          <w:tab w:leader="none" w:pos="1168" w:val="left"/>
        </w:tabs>
        <w:numPr>
          <w:ilvl w:val="1"/>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February 12, 2021</w:t>
      </w:r>
    </w:p>
    <w:p>
      <w:pPr>
        <w:spacing w:after="0" w:line="159"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2"/>
          <w:szCs w:val="12"/>
          <w:color w:val="auto"/>
        </w:rPr>
        <w:t>/s/ 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6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648"/>
        <w:spacing w:after="0"/>
        <w:rPr>
          <w:sz w:val="20"/>
          <w:szCs w:val="20"/>
          <w:color w:val="auto"/>
        </w:rPr>
      </w:pPr>
      <w:r>
        <w:rPr>
          <w:rFonts w:ascii="Times New Roman" w:cs="Times New Roman" w:eastAsia="Times New Roman" w:hAnsi="Times New Roman"/>
          <w:sz w:val="12"/>
          <w:szCs w:val="12"/>
          <w:color w:val="auto"/>
        </w:rPr>
        <w:t>Henry A. Fernandez</w:t>
      </w:r>
    </w:p>
    <w:p>
      <w:pPr>
        <w:spacing w:after="0" w:line="15"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2"/>
          <w:szCs w:val="12"/>
          <w:color w:val="auto"/>
        </w:rPr>
        <w:t>Chairman and Chief Executive Officer</w:t>
      </w:r>
    </w:p>
    <w:p>
      <w:pPr>
        <w:spacing w:after="0" w:line="6"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308"/>
          </w:cols>
          <w:pgMar w:left="292" w:top="755" w:right="29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302 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Andrew C. Wiechmann, certify that:</w:t>
      </w:r>
    </w:p>
    <w:p>
      <w:pPr>
        <w:spacing w:after="0" w:line="78" w:lineRule="exact"/>
        <w:rPr>
          <w:sz w:val="20"/>
          <w:szCs w:val="20"/>
          <w:color w:val="auto"/>
        </w:rPr>
      </w:pPr>
    </w:p>
    <w:p>
      <w:pPr>
        <w:ind w:left="588" w:hanging="588"/>
        <w:spacing w:after="0"/>
        <w:tabs>
          <w:tab w:leader="none" w:pos="58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MSCI Inc.;</w:t>
      </w:r>
    </w:p>
    <w:p>
      <w:pPr>
        <w:spacing w:after="0" w:line="78" w:lineRule="exact"/>
        <w:rPr>
          <w:rFonts w:ascii="Times New Roman" w:cs="Times New Roman" w:eastAsia="Times New Roman" w:hAnsi="Times New Roman"/>
          <w:sz w:val="12"/>
          <w:szCs w:val="12"/>
          <w:color w:val="auto"/>
        </w:rPr>
      </w:pPr>
    </w:p>
    <w:p>
      <w:pPr>
        <w:ind w:left="588" w:right="80" w:hanging="588"/>
        <w:spacing w:after="0" w:line="279" w:lineRule="auto"/>
        <w:tabs>
          <w:tab w:leader="none" w:pos="58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588" w:right="100" w:hanging="588"/>
        <w:spacing w:after="0" w:line="279" w:lineRule="auto"/>
        <w:tabs>
          <w:tab w:leader="none" w:pos="58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588" w:right="280" w:hanging="588"/>
        <w:spacing w:after="0" w:line="279" w:lineRule="auto"/>
        <w:tabs>
          <w:tab w:leader="none" w:pos="58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168" w:right="60" w:hanging="583"/>
        <w:spacing w:after="0" w:line="279" w:lineRule="auto"/>
        <w:tabs>
          <w:tab w:leader="none" w:pos="1168" w:val="left"/>
        </w:tabs>
        <w:numPr>
          <w:ilvl w:val="1"/>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168" w:right="140" w:hanging="583"/>
        <w:spacing w:after="0" w:line="279" w:lineRule="auto"/>
        <w:tabs>
          <w:tab w:leader="none" w:pos="1168" w:val="left"/>
        </w:tabs>
        <w:numPr>
          <w:ilvl w:val="1"/>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168" w:right="40" w:hanging="583"/>
        <w:spacing w:after="0" w:line="279" w:lineRule="auto"/>
        <w:tabs>
          <w:tab w:leader="none" w:pos="1168" w:val="left"/>
        </w:tabs>
        <w:numPr>
          <w:ilvl w:val="1"/>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168" w:right="100" w:hanging="583"/>
        <w:spacing w:after="0" w:line="279" w:lineRule="auto"/>
        <w:tabs>
          <w:tab w:leader="none" w:pos="1168" w:val="left"/>
        </w:tabs>
        <w:numPr>
          <w:ilvl w:val="1"/>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588" w:right="80" w:hanging="588"/>
        <w:spacing w:after="0" w:line="279" w:lineRule="auto"/>
        <w:tabs>
          <w:tab w:leader="none" w:pos="58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168" w:right="60" w:hanging="583"/>
        <w:spacing w:after="0" w:line="279" w:lineRule="auto"/>
        <w:tabs>
          <w:tab w:leader="none" w:pos="1168" w:val="left"/>
        </w:tabs>
        <w:numPr>
          <w:ilvl w:val="1"/>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168" w:hanging="583"/>
        <w:spacing w:after="0"/>
        <w:tabs>
          <w:tab w:leader="none" w:pos="1168" w:val="left"/>
        </w:tabs>
        <w:numPr>
          <w:ilvl w:val="1"/>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February 12, 2021</w:t>
      </w:r>
    </w:p>
    <w:p>
      <w:pPr>
        <w:spacing w:after="0" w:line="168"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2"/>
          <w:szCs w:val="12"/>
          <w:color w:val="auto"/>
        </w:rPr>
        <w:t>/s/ Andrew C. Wiechmann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6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648"/>
        <w:spacing w:after="0"/>
        <w:rPr>
          <w:sz w:val="20"/>
          <w:szCs w:val="20"/>
          <w:color w:val="auto"/>
        </w:rPr>
      </w:pPr>
      <w:r>
        <w:rPr>
          <w:rFonts w:ascii="Times New Roman" w:cs="Times New Roman" w:eastAsia="Times New Roman" w:hAnsi="Times New Roman"/>
          <w:sz w:val="12"/>
          <w:szCs w:val="12"/>
          <w:color w:val="auto"/>
        </w:rPr>
        <w:t>Andrew C. Wiechmann</w:t>
      </w:r>
    </w:p>
    <w:p>
      <w:pPr>
        <w:spacing w:after="0" w:line="15"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2"/>
          <w:szCs w:val="12"/>
          <w:color w:val="auto"/>
        </w:rPr>
        <w:t>(Principal Financial Officer)</w:t>
      </w:r>
    </w:p>
    <w:p>
      <w:pPr>
        <w:sectPr>
          <w:pgSz w:w="11900" w:h="16838" w:orient="portrait"/>
          <w:cols w:equalWidth="0" w:num="1">
            <w:col w:w="11308"/>
          </w:cols>
          <w:pgMar w:left="292" w:top="755" w:right="29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In accordance with 18 U.S.C. 1350, as adopted pursuant to Section 906 of the Sarbanes-Oxley Act of 2002, Henry A. Fernandez, Chairman and Chief Executive Officer of MSCI Inc. (the “Registrant”) and Andrew 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Wiechmann, Chief Financial Officer of the Registrant, each hereby certifies that, to the best of his/her knowledge:</w:t>
      </w:r>
    </w:p>
    <w:p>
      <w:pPr>
        <w:spacing w:after="0" w:line="67" w:lineRule="exact"/>
        <w:rPr>
          <w:sz w:val="20"/>
          <w:szCs w:val="20"/>
          <w:color w:val="auto"/>
        </w:rPr>
      </w:pPr>
    </w:p>
    <w:p>
      <w:pPr>
        <w:ind w:left="1160" w:right="200" w:hanging="583"/>
        <w:spacing w:after="0" w:line="279" w:lineRule="auto"/>
        <w:tabs>
          <w:tab w:leader="none" w:pos="1160" w:val="left"/>
        </w:tabs>
        <w:numPr>
          <w:ilvl w:val="0"/>
          <w:numId w:val="4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Annual Report on Form 10-K for the period ended December 31, 2020 (the “Periodic Report”), to which this Certification is attached as Exhibit 32.1, fully complies with the requirements of Section 13(a) or Section 15(d) of the Securities Exchange Act of 1934, as amended; and</w:t>
      </w:r>
    </w:p>
    <w:p>
      <w:pPr>
        <w:spacing w:after="0" w:line="39" w:lineRule="exact"/>
        <w:rPr>
          <w:rFonts w:ascii="Times New Roman" w:cs="Times New Roman" w:eastAsia="Times New Roman" w:hAnsi="Times New Roman"/>
          <w:sz w:val="12"/>
          <w:szCs w:val="12"/>
          <w:color w:val="auto"/>
        </w:rPr>
      </w:pPr>
    </w:p>
    <w:p>
      <w:pPr>
        <w:ind w:left="1160" w:right="80" w:hanging="583"/>
        <w:spacing w:after="0" w:line="279" w:lineRule="auto"/>
        <w:tabs>
          <w:tab w:leader="none" w:pos="1160" w:val="left"/>
        </w:tabs>
        <w:numPr>
          <w:ilvl w:val="0"/>
          <w:numId w:val="4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Periodic Report fairly presents, in all material respects, the financial condition of the Registrant at the end of the period covered by the Periodic Report and results of operations of the Registrant for the periods covered by the Periodic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Date: February 12, 2021</w:t>
            </w:r>
          </w:p>
        </w:tc>
        <w:tc>
          <w:tcPr>
            <w:tcW w:w="5540" w:type="dxa"/>
            <w:vAlign w:val="bottom"/>
          </w:tcPr>
          <w:p>
            <w:pPr>
              <w:spacing w:after="0"/>
              <w:rPr>
                <w:sz w:val="13"/>
                <w:szCs w:val="13"/>
                <w:color w:val="auto"/>
              </w:rPr>
            </w:pPr>
          </w:p>
        </w:tc>
      </w:tr>
      <w:tr>
        <w:trPr>
          <w:trHeight w:val="306"/>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Henry A. Fernandez</w:t>
            </w:r>
          </w:p>
        </w:tc>
        <w:tc>
          <w:tcPr>
            <w:tcW w:w="100" w:type="dxa"/>
            <w:vAlign w:val="bottom"/>
          </w:tcPr>
          <w:p>
            <w:pPr>
              <w:spacing w:after="0"/>
              <w:rPr>
                <w:sz w:val="24"/>
                <w:szCs w:val="24"/>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Andrew C. Wiechmann</w:t>
            </w:r>
          </w:p>
        </w:tc>
      </w:tr>
      <w:tr>
        <w:trPr>
          <w:trHeight w:val="151"/>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Henry A. Fernandez</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Andrew C. Wiechmann</w:t>
            </w:r>
          </w:p>
        </w:tc>
      </w:tr>
      <w:tr>
        <w:trPr>
          <w:trHeight w:val="162"/>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Chairman and Chief Executive Officer</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62"/>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bl>
    <w:p>
      <w:pPr>
        <w:spacing w:after="0" w:line="1" w:lineRule="exact"/>
        <w:rPr>
          <w:sz w:val="20"/>
          <w:szCs w:val="20"/>
          <w:color w:val="auto"/>
        </w:rPr>
      </w:pPr>
    </w:p>
    <w:sectPr>
      <w:pgSz w:w="11900" w:h="16838" w:orient="portrait"/>
      <w:cols w:equalWidth="0" w:num="1">
        <w:col w:w="11300"/>
      </w:cols>
      <w:pgMar w:left="300" w:top="27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836196"/>
    <w:multiLevelType w:val="hybridMultilevel"/>
    <w:lvl w:ilvl="0">
      <w:lvlJc w:val="left"/>
      <w:lvlText w:val="•"/>
      <w:numFmt w:val="bullet"/>
      <w:start w:val="1"/>
    </w:lvl>
  </w:abstractNum>
  <w:abstractNum w:abstractNumId="1">
    <w:nsid w:val="539F7F12"/>
    <w:multiLevelType w:val="hybridMultilevel"/>
    <w:lvl w:ilvl="0">
      <w:lvlJc w:val="left"/>
      <w:lvlText w:val="•"/>
      <w:numFmt w:val="bullet"/>
      <w:start w:val="1"/>
    </w:lvl>
  </w:abstractNum>
  <w:abstractNum w:abstractNumId="2">
    <w:nsid w:val="2817E7EC"/>
    <w:multiLevelType w:val="hybridMultilevel"/>
    <w:lvl w:ilvl="0">
      <w:lvlJc w:val="left"/>
      <w:lvlText w:val="•"/>
      <w:numFmt w:val="bullet"/>
      <w:start w:val="1"/>
    </w:lvl>
  </w:abstractNum>
  <w:abstractNum w:abstractNumId="3">
    <w:nsid w:val="71482545"/>
    <w:multiLevelType w:val="hybridMultilevel"/>
    <w:lvl w:ilvl="0">
      <w:lvlJc w:val="left"/>
      <w:lvlText w:val="•"/>
      <w:numFmt w:val="bullet"/>
      <w:start w:val="1"/>
    </w:lvl>
  </w:abstractNum>
  <w:abstractNum w:abstractNumId="4">
    <w:nsid w:val="17D78639"/>
    <w:multiLevelType w:val="hybridMultilevel"/>
    <w:lvl w:ilvl="0">
      <w:lvlJc w:val="left"/>
      <w:lvlText w:val="•"/>
      <w:numFmt w:val="bullet"/>
      <w:start w:val="1"/>
    </w:lvl>
  </w:abstractNum>
  <w:abstractNum w:abstractNumId="5">
    <w:nsid w:val="141D2302"/>
    <w:multiLevelType w:val="hybridMultilevel"/>
    <w:lvl w:ilvl="0">
      <w:lvlJc w:val="left"/>
      <w:lvlText w:val="2"/>
      <w:numFmt w:val="bullet"/>
      <w:start w:val="1"/>
    </w:lvl>
  </w:abstractNum>
  <w:abstractNum w:abstractNumId="6">
    <w:nsid w:val="407168D8"/>
    <w:multiLevelType w:val="hybridMultilevel"/>
    <w:lvl w:ilvl="0">
      <w:lvlJc w:val="left"/>
      <w:lvlText w:val="•"/>
      <w:numFmt w:val="bullet"/>
      <w:start w:val="1"/>
    </w:lvl>
  </w:abstractNum>
  <w:abstractNum w:abstractNumId="7">
    <w:nsid w:val="6A1B45E5"/>
    <w:multiLevelType w:val="hybridMultilevel"/>
    <w:lvl w:ilvl="0">
      <w:lvlJc w:val="left"/>
      <w:lvlText w:val="•"/>
      <w:numFmt w:val="bullet"/>
      <w:start w:val="1"/>
    </w:lvl>
  </w:abstractNum>
  <w:abstractNum w:abstractNumId="8">
    <w:nsid w:val="567BD50A"/>
    <w:multiLevelType w:val="hybridMultilevel"/>
    <w:lvl w:ilvl="0">
      <w:lvlJc w:val="left"/>
      <w:lvlText w:val="•"/>
      <w:numFmt w:val="bullet"/>
      <w:start w:val="1"/>
    </w:lvl>
  </w:abstractNum>
  <w:abstractNum w:abstractNumId="9">
    <w:nsid w:val="73BBD7F8"/>
    <w:multiLevelType w:val="hybridMultilevel"/>
    <w:lvl w:ilvl="0">
      <w:lvlJc w:val="left"/>
      <w:lvlText w:val="3"/>
      <w:numFmt w:val="bullet"/>
      <w:start w:val="1"/>
    </w:lvl>
  </w:abstractNum>
  <w:abstractNum w:abstractNumId="10">
    <w:nsid w:val="1876589D"/>
    <w:multiLevelType w:val="hybridMultilevel"/>
    <w:lvl w:ilvl="0">
      <w:lvlJc w:val="left"/>
      <w:lvlText w:val="4"/>
      <w:numFmt w:val="bullet"/>
      <w:start w:val="1"/>
    </w:lvl>
  </w:abstractNum>
  <w:abstractNum w:abstractNumId="11">
    <w:nsid w:val="327FAC77"/>
    <w:multiLevelType w:val="hybridMultilevel"/>
    <w:lvl w:ilvl="0">
      <w:lvlJc w:val="left"/>
      <w:lvlText w:val="•"/>
      <w:numFmt w:val="bullet"/>
      <w:start w:val="1"/>
    </w:lvl>
  </w:abstractNum>
  <w:abstractNum w:abstractNumId="12">
    <w:nsid w:val="5A606509"/>
    <w:multiLevelType w:val="hybridMultilevel"/>
    <w:lvl w:ilvl="0">
      <w:lvlJc w:val="left"/>
      <w:lvlText w:val="•"/>
      <w:numFmt w:val="bullet"/>
      <w:start w:val="1"/>
    </w:lvl>
  </w:abstractNum>
  <w:abstractNum w:abstractNumId="13">
    <w:nsid w:val="6F38E6D1"/>
    <w:multiLevelType w:val="hybridMultilevel"/>
    <w:lvl w:ilvl="0">
      <w:lvlJc w:val="left"/>
      <w:lvlText w:val="•"/>
      <w:numFmt w:val="bullet"/>
      <w:start w:val="1"/>
    </w:lvl>
  </w:abstractNum>
  <w:abstractNum w:abstractNumId="14">
    <w:nsid w:val="46111BA5"/>
    <w:multiLevelType w:val="hybridMultilevel"/>
    <w:lvl w:ilvl="0">
      <w:lvlJc w:val="left"/>
      <w:lvlText w:val="•"/>
      <w:numFmt w:val="bullet"/>
      <w:start w:val="1"/>
    </w:lvl>
  </w:abstractNum>
  <w:abstractNum w:abstractNumId="15">
    <w:nsid w:val="5E963896"/>
    <w:multiLevelType w:val="hybridMultilevel"/>
    <w:lvl w:ilvl="0">
      <w:lvlJc w:val="left"/>
      <w:lvlText w:val="•"/>
      <w:numFmt w:val="bullet"/>
      <w:start w:val="1"/>
    </w:lvl>
  </w:abstractNum>
  <w:abstractNum w:abstractNumId="16">
    <w:nsid w:val="775BA7C1"/>
    <w:multiLevelType w:val="hybridMultilevel"/>
    <w:lvl w:ilvl="0">
      <w:lvlJc w:val="left"/>
      <w:lvlText w:val="•"/>
      <w:numFmt w:val="bullet"/>
      <w:start w:val="1"/>
    </w:lvl>
  </w:abstractNum>
  <w:abstractNum w:abstractNumId="17">
    <w:nsid w:val="1DD6D6F4"/>
    <w:multiLevelType w:val="hybridMultilevel"/>
    <w:lvl w:ilvl="0">
      <w:lvlJc w:val="left"/>
      <w:lvlText w:val="•"/>
      <w:numFmt w:val="bullet"/>
      <w:start w:val="1"/>
    </w:lvl>
  </w:abstractNum>
  <w:abstractNum w:abstractNumId="18">
    <w:nsid w:val="769A091F"/>
    <w:multiLevelType w:val="hybridMultilevel"/>
    <w:lvl w:ilvl="0">
      <w:lvlJc w:val="left"/>
      <w:lvlText w:val="•"/>
      <w:numFmt w:val="bullet"/>
      <w:start w:val="1"/>
    </w:lvl>
  </w:abstractNum>
  <w:abstractNum w:abstractNumId="19">
    <w:nsid w:val="4695AE95"/>
    <w:multiLevelType w:val="hybridMultilevel"/>
    <w:lvl w:ilvl="0">
      <w:lvlJc w:val="left"/>
      <w:lvlText w:val="•"/>
      <w:numFmt w:val="bullet"/>
      <w:start w:val="1"/>
    </w:lvl>
  </w:abstractNum>
  <w:abstractNum w:abstractNumId="20">
    <w:nsid w:val="777A4EAA"/>
    <w:multiLevelType w:val="hybridMultilevel"/>
    <w:lvl w:ilvl="0">
      <w:lvlJc w:val="left"/>
      <w:lvlText w:val="(%1)"/>
      <w:numFmt w:val="decimal"/>
      <w:start w:val="1"/>
    </w:lvl>
  </w:abstractNum>
  <w:abstractNum w:abstractNumId="21">
    <w:nsid w:val="3F48B982"/>
    <w:multiLevelType w:val="hybridMultilevel"/>
    <w:lvl w:ilvl="0">
      <w:lvlJc w:val="left"/>
      <w:lvlText w:val="(%1)"/>
      <w:numFmt w:val="decimal"/>
      <w:start w:val="1"/>
    </w:lvl>
  </w:abstractNum>
  <w:abstractNum w:abstractNumId="22">
    <w:nsid w:val="46BA8FCA"/>
    <w:multiLevelType w:val="hybridMultilevel"/>
    <w:lvl w:ilvl="0">
      <w:lvlJc w:val="left"/>
      <w:lvlText w:val="•"/>
      <w:numFmt w:val="bullet"/>
      <w:start w:val="1"/>
    </w:lvl>
  </w:abstractNum>
  <w:abstractNum w:abstractNumId="23">
    <w:nsid w:val="7835626C"/>
    <w:multiLevelType w:val="hybridMultilevel"/>
    <w:lvl w:ilvl="0">
      <w:lvlJc w:val="left"/>
      <w:lvlText w:val="•"/>
      <w:numFmt w:val="bullet"/>
      <w:start w:val="1"/>
    </w:lvl>
  </w:abstractNum>
  <w:abstractNum w:abstractNumId="24">
    <w:nsid w:val="665ACA49"/>
    <w:multiLevelType w:val="hybridMultilevel"/>
    <w:lvl w:ilvl="0">
      <w:lvlJc w:val="left"/>
      <w:lvlText w:val="(%1)"/>
      <w:numFmt w:val="decimal"/>
      <w:start w:val="1"/>
    </w:lvl>
  </w:abstractNum>
  <w:abstractNum w:abstractNumId="25">
    <w:nsid w:val="6835B2AE"/>
    <w:multiLevelType w:val="hybridMultilevel"/>
    <w:lvl w:ilvl="0">
      <w:lvlJc w:val="left"/>
      <w:lvlText w:val="•"/>
      <w:numFmt w:val="bullet"/>
      <w:start w:val="1"/>
    </w:lvl>
  </w:abstractNum>
  <w:abstractNum w:abstractNumId="26">
    <w:nsid w:val="4C187C90"/>
    <w:multiLevelType w:val="hybridMultilevel"/>
    <w:lvl w:ilvl="0">
      <w:lvlJc w:val="left"/>
      <w:lvlText w:val="•"/>
      <w:numFmt w:val="bullet"/>
      <w:start w:val="1"/>
    </w:lvl>
  </w:abstractNum>
  <w:abstractNum w:abstractNumId="27">
    <w:nsid w:val="541F28CD"/>
    <w:multiLevelType w:val="hybridMultilevel"/>
    <w:lvl w:ilvl="0">
      <w:lvlJc w:val="left"/>
      <w:lvlText w:val="•"/>
      <w:numFmt w:val="bullet"/>
      <w:start w:val="1"/>
    </w:lvl>
  </w:abstractNum>
  <w:abstractNum w:abstractNumId="28">
    <w:nsid w:val="7F65FD16"/>
    <w:multiLevelType w:val="hybridMultilevel"/>
    <w:lvl w:ilvl="0">
      <w:lvlJc w:val="left"/>
      <w:lvlText w:val="(%1)"/>
      <w:numFmt w:val="decimal"/>
      <w:start w:val="1"/>
    </w:lvl>
  </w:abstractNum>
  <w:abstractNum w:abstractNumId="29">
    <w:nsid w:val="77C9FD68"/>
    <w:multiLevelType w:val="hybridMultilevel"/>
    <w:lvl w:ilvl="0">
      <w:lvlJc w:val="left"/>
      <w:lvlText w:val="%1."/>
      <w:numFmt w:val="decimal"/>
      <w:start w:val="1"/>
    </w:lvl>
  </w:abstractNum>
  <w:abstractNum w:abstractNumId="30">
    <w:nsid w:val="298A92BA"/>
    <w:multiLevelType w:val="hybridMultilevel"/>
    <w:lvl w:ilvl="0">
      <w:lvlJc w:val="left"/>
      <w:lvlText w:val="$"/>
      <w:numFmt w:val="bullet"/>
      <w:start w:val="1"/>
    </w:lvl>
  </w:abstractNum>
  <w:abstractNum w:abstractNumId="31">
    <w:nsid w:val="6FE95EAC"/>
    <w:multiLevelType w:val="hybridMultilevel"/>
    <w:lvl w:ilvl="0">
      <w:lvlJc w:val="left"/>
      <w:lvlText w:val="$"/>
      <w:numFmt w:val="bullet"/>
      <w:start w:val="1"/>
    </w:lvl>
  </w:abstractNum>
  <w:abstractNum w:abstractNumId="32">
    <w:nsid w:val="4B697C7A"/>
    <w:multiLevelType w:val="hybridMultilevel"/>
    <w:lvl w:ilvl="0">
      <w:lvlJc w:val="left"/>
      <w:lvlText w:val="$"/>
      <w:numFmt w:val="bullet"/>
      <w:start w:val="1"/>
    </w:lvl>
  </w:abstractNum>
  <w:abstractNum w:abstractNumId="33">
    <w:nsid w:val="51A27AA6"/>
    <w:multiLevelType w:val="hybridMultilevel"/>
    <w:lvl w:ilvl="0">
      <w:lvlJc w:val="left"/>
      <w:lvlText w:val="$"/>
      <w:numFmt w:val="bullet"/>
      <w:start w:val="1"/>
    </w:lvl>
  </w:abstractNum>
  <w:abstractNum w:abstractNumId="34">
    <w:nsid w:val="613183F2"/>
    <w:multiLevelType w:val="hybridMultilevel"/>
    <w:lvl w:ilvl="0">
      <w:lvlJc w:val="left"/>
      <w:lvlText w:val="$"/>
      <w:numFmt w:val="bullet"/>
      <w:start w:val="1"/>
    </w:lvl>
  </w:abstractNum>
  <w:abstractNum w:abstractNumId="35">
    <w:nsid w:val="634102B4"/>
    <w:multiLevelType w:val="hybridMultilevel"/>
    <w:lvl w:ilvl="0">
      <w:lvlJc w:val="left"/>
      <w:lvlText w:val="$"/>
      <w:numFmt w:val="bullet"/>
      <w:start w:val="1"/>
    </w:lvl>
  </w:abstractNum>
  <w:abstractNum w:abstractNumId="36">
    <w:nsid w:val="65BF9DA8"/>
    <w:multiLevelType w:val="hybridMultilevel"/>
    <w:lvl w:ilvl="0">
      <w:lvlJc w:val="left"/>
      <w:lvlText w:val="%1."/>
      <w:numFmt w:val="decimal"/>
      <w:start w:val="8"/>
    </w:lvl>
  </w:abstractNum>
  <w:abstractNum w:abstractNumId="37">
    <w:nsid w:val="21A2ECCA"/>
    <w:multiLevelType w:val="hybridMultilevel"/>
    <w:lvl w:ilvl="0">
      <w:lvlJc w:val="left"/>
      <w:lvlText w:val="(%1)"/>
      <w:numFmt w:val="decimal"/>
      <w:start w:val="1"/>
    </w:lvl>
  </w:abstractNum>
  <w:abstractNum w:abstractNumId="38">
    <w:nsid w:val="4D5C4899"/>
    <w:multiLevelType w:val="hybridMultilevel"/>
    <w:lvl w:ilvl="0">
      <w:lvlJc w:val="left"/>
      <w:lvlText w:val="(%1)"/>
      <w:numFmt w:val="decimal"/>
      <w:start w:val="1"/>
    </w:lvl>
  </w:abstractNum>
  <w:abstractNum w:abstractNumId="39">
    <w:nsid w:val="3C3B72B2"/>
    <w:multiLevelType w:val="hybridMultilevel"/>
    <w:lvl w:ilvl="0">
      <w:lvlJc w:val="left"/>
      <w:lvlText w:val="(%1)"/>
      <w:numFmt w:val="decimal"/>
      <w:start w:val="1"/>
    </w:lvl>
  </w:abstractNum>
  <w:abstractNum w:abstractNumId="40">
    <w:nsid w:val="155EC4C2"/>
    <w:multiLevelType w:val="hybridMultilevel"/>
    <w:lvl w:ilvl="0">
      <w:lvlJc w:val="left"/>
      <w:lvlText w:val="(%1)"/>
      <w:numFmt w:val="decimal"/>
      <w:start w:val="1"/>
    </w:lvl>
  </w:abstractNum>
  <w:abstractNum w:abstractNumId="41">
    <w:nsid w:val="65D2A137"/>
    <w:multiLevelType w:val="hybridMultilevel"/>
    <w:lvl w:ilvl="0">
      <w:lvlJc w:val="left"/>
      <w:lvlText w:val="%1."/>
      <w:numFmt w:val="decimal"/>
      <w:start w:val="12"/>
    </w:lvl>
  </w:abstractNum>
  <w:abstractNum w:abstractNumId="42">
    <w:nsid w:val="6EBB1F2A"/>
    <w:multiLevelType w:val="hybridMultilevel"/>
    <w:lvl w:ilvl="0">
      <w:lvlJc w:val="left"/>
      <w:lvlText w:val="•"/>
      <w:numFmt w:val="bullet"/>
      <w:start w:val="1"/>
    </w:lvl>
  </w:abstractNum>
  <w:abstractNum w:abstractNumId="43">
    <w:nsid w:val="6FBF29CB"/>
    <w:multiLevelType w:val="hybridMultilevel"/>
    <w:lvl w:ilvl="0">
      <w:lvlJc w:val="left"/>
      <w:lvlText w:val="*"/>
      <w:numFmt w:val="bullet"/>
      <w:start w:val="1"/>
    </w:lvl>
  </w:abstractNum>
  <w:abstractNum w:abstractNumId="44">
    <w:nsid w:val="550B8808"/>
    <w:multiLevelType w:val="hybridMultilevel"/>
    <w:lvl w:ilvl="0">
      <w:lvlJc w:val="left"/>
      <w:lvlText w:val="†"/>
      <w:numFmt w:val="bullet"/>
      <w:start w:val="1"/>
    </w:lvl>
  </w:abstractNum>
  <w:abstractNum w:abstractNumId="45">
    <w:nsid w:val="34CC3ACF"/>
    <w:multiLevelType w:val="hybridMultilevel"/>
    <w:lvl w:ilvl="0">
      <w:lvlJc w:val="left"/>
      <w:lvlText w:val="††"/>
      <w:numFmt w:val="bullet"/>
      <w:start w:val="1"/>
    </w:lvl>
  </w:abstractNum>
  <w:abstractNum w:abstractNumId="46">
    <w:nsid w:val="4E556261"/>
    <w:multiLevelType w:val="hybridMultilevel"/>
    <w:lvl w:ilvl="0">
      <w:lvlJc w:val="left"/>
      <w:lvlText w:val="#"/>
      <w:numFmt w:val="bullet"/>
      <w:start w:val="1"/>
    </w:lvl>
  </w:abstractNum>
  <w:abstractNum w:abstractNumId="47">
    <w:nsid w:val="4C672FC9"/>
    <w:multiLevelType w:val="hybridMultilevel"/>
    <w:lvl w:ilvl="0">
      <w:lvlJc w:val="left"/>
      <w:lvlText w:val="%1."/>
      <w:numFmt w:val="lowerRoman"/>
      <w:start w:val="1"/>
    </w:lvl>
  </w:abstractNum>
  <w:abstractNum w:abstractNumId="48">
    <w:nsid w:val="52A311C3"/>
    <w:multiLevelType w:val="hybridMultilevel"/>
    <w:lvl w:ilvl="0">
      <w:lvlJc w:val="left"/>
      <w:lvlText w:val="***"/>
      <w:numFmt w:val="bullet"/>
      <w:start w:val="1"/>
    </w:lvl>
  </w:abstractNum>
  <w:abstractNum w:abstractNumId="49">
    <w:nsid w:val="44EF6B80"/>
    <w:multiLevelType w:val="hybridMultilevel"/>
    <w:lvl w:ilvl="0">
      <w:lvlJc w:val="left"/>
      <w:lvlText w:val="%1."/>
      <w:numFmt w:val="decimal"/>
      <w:start w:val="1"/>
    </w:lvl>
    <w:lvl w:ilvl="1">
      <w:lvlJc w:val="left"/>
      <w:lvlText w:val="(%2)"/>
      <w:numFmt w:val="lowerLetter"/>
      <w:start w:val="1"/>
    </w:lvl>
  </w:abstractNum>
  <w:abstractNum w:abstractNumId="50">
    <w:nsid w:val="12FCDE5E"/>
    <w:multiLevelType w:val="hybridMultilevel"/>
    <w:lvl w:ilvl="0">
      <w:lvlJc w:val="left"/>
      <w:lvlText w:val="%1"/>
      <w:numFmt w:val="decimal"/>
      <w:start w:val="1"/>
    </w:lvl>
    <w:lvl w:ilvl="1">
      <w:lvlJc w:val="left"/>
      <w:lvlText w:val="(%2)"/>
      <w:numFmt w:val="lowerLetter"/>
      <w:start w:val="2"/>
    </w:lvl>
  </w:abstractNum>
  <w:abstractNum w:abstractNumId="51">
    <w:nsid w:val="4A1D606E"/>
    <w:multiLevelType w:val="hybridMultilevel"/>
    <w:lvl w:ilvl="0">
      <w:lvlJc w:val="left"/>
      <w:lvlText w:val="%1."/>
      <w:numFmt w:val="decimal"/>
      <w:start w:val="2"/>
    </w:lvl>
    <w:lvl w:ilvl="1">
      <w:lvlJc w:val="left"/>
      <w:lvlText w:val="%2"/>
      <w:numFmt w:val="lowerLetter"/>
      <w:start w:val="1"/>
    </w:lvl>
  </w:abstractNum>
  <w:abstractNum w:abstractNumId="52">
    <w:nsid w:val="4382503"/>
    <w:multiLevelType w:val="hybridMultilevel"/>
    <w:lvl w:ilvl="0">
      <w:lvlJc w:val="left"/>
      <w:lvlText w:val="%1."/>
      <w:numFmt w:val="decimal"/>
      <w:start w:val="3"/>
    </w:lvl>
  </w:abstractNum>
  <w:abstractNum w:abstractNumId="53">
    <w:nsid w:val="59B76E28"/>
    <w:multiLevelType w:val="hybridMultilevel"/>
    <w:lvl w:ilvl="0">
      <w:lvlJc w:val="left"/>
      <w:lvlText w:val="%1."/>
      <w:numFmt w:val="decimal"/>
      <w:start w:val="4"/>
    </w:lvl>
    <w:lvl w:ilvl="1">
      <w:lvlJc w:val="left"/>
      <w:lvlText w:val="(%2)"/>
      <w:numFmt w:val="lowerLetter"/>
      <w:start w:val="1"/>
    </w:lvl>
  </w:abstractNum>
  <w:abstractNum w:abstractNumId="54">
    <w:nsid w:val="4252C2DA"/>
    <w:multiLevelType w:val="hybridMultilevel"/>
    <w:lvl w:ilvl="0">
      <w:lvlJc w:val="left"/>
      <w:lvlText w:val="%1."/>
      <w:numFmt w:val="decimal"/>
      <w:start w:val="5"/>
    </w:lvl>
  </w:abstractNum>
  <w:abstractNum w:abstractNumId="55">
    <w:nsid w:val="6A92EF4C"/>
    <w:multiLevelType w:val="hybridMultilevel"/>
    <w:lvl w:ilvl="0">
      <w:lvlJc w:val="left"/>
      <w:lvlText w:val="%1."/>
      <w:numFmt w:val="decimal"/>
      <w:start w:val="6"/>
    </w:lvl>
    <w:lvl w:ilvl="1">
      <w:lvlJc w:val="left"/>
      <w:lvlText w:val="(%2)"/>
      <w:numFmt w:val="lowerLetter"/>
      <w:start w:val="1"/>
    </w:lvl>
  </w:abstractNum>
  <w:abstractNum w:abstractNumId="56">
    <w:nsid w:val="41ED20D7"/>
    <w:multiLevelType w:val="hybridMultilevel"/>
    <w:lvl w:ilvl="0">
      <w:lvlJc w:val="left"/>
      <w:lvlText w:val="%1"/>
      <w:numFmt w:val="decimal"/>
      <w:start w:val="1"/>
    </w:lvl>
    <w:lvl w:ilvl="1">
      <w:lvlJc w:val="left"/>
      <w:lvlText w:val="(%2)"/>
      <w:numFmt w:val="lowerLetter"/>
      <w:start w:val="2"/>
    </w:lvl>
  </w:abstractNum>
  <w:abstractNum w:abstractNumId="57">
    <w:nsid w:val="E6B3F6A"/>
    <w:multiLevelType w:val="hybridMultilevel"/>
    <w:lvl w:ilvl="0">
      <w:lvlJc w:val="left"/>
      <w:lvlText w:val="%1."/>
      <w:numFmt w:val="decimal"/>
      <w:start w:val="8"/>
    </w:lvl>
    <w:lvl w:ilvl="1">
      <w:lvlJc w:val="left"/>
      <w:lvlText w:val="(%2)"/>
      <w:numFmt w:val="lowerLetter"/>
      <w:start w:val="1"/>
    </w:lvl>
  </w:abstractNum>
  <w:abstractNum w:abstractNumId="58">
    <w:nsid w:val="3EB21819"/>
    <w:multiLevelType w:val="hybridMultilevel"/>
    <w:lvl w:ilvl="0">
      <w:lvlJc w:val="left"/>
      <w:lvlText w:val="(%1)"/>
      <w:numFmt w:val="lowerLetter"/>
      <w:start w:val="3"/>
    </w:lvl>
  </w:abstractNum>
  <w:abstractNum w:abstractNumId="59">
    <w:nsid w:val="41531DED"/>
    <w:multiLevelType w:val="hybridMultilevel"/>
    <w:lvl w:ilvl="0">
      <w:lvlJc w:val="left"/>
      <w:lvlText w:val="%1."/>
      <w:numFmt w:val="decimal"/>
      <w:start w:val="10"/>
    </w:lvl>
  </w:abstractNum>
  <w:abstractNum w:abstractNumId="60">
    <w:nsid w:val="6353CD2"/>
    <w:multiLevelType w:val="hybridMultilevel"/>
    <w:lvl w:ilvl="0">
      <w:lvlJc w:val="left"/>
      <w:lvlText w:val="(%1)"/>
      <w:numFmt w:val="lowerLetter"/>
      <w:start w:val="1"/>
    </w:lvl>
  </w:abstractNum>
  <w:abstractNum w:abstractNumId="61">
    <w:nsid w:val="683CAAD3"/>
    <w:multiLevelType w:val="hybridMultilevel"/>
    <w:lvl w:ilvl="0">
      <w:lvlJc w:val="left"/>
      <w:lvlText w:val="(%1)"/>
      <w:numFmt w:val="lowerLetter"/>
      <w:start w:val="3"/>
    </w:lvl>
  </w:abstractNum>
  <w:abstractNum w:abstractNumId="62">
    <w:nsid w:val="313C7C9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3">
    <w:nsid w:val="519EB94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64">
    <w:nsid w:val="39DF257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65">
    <w:nsid w:val="126E008B"/>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1"/>
    </w:lvl>
  </w:abstractNum>
  <w:abstractNum w:abstractNumId="66">
    <w:nsid w:val="34DFBC00"/>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67">
    <w:nsid w:val="1F9EC322"/>
    <w:multiLevelType w:val="hybridMultilevel"/>
    <w:lvl w:ilvl="0">
      <w:lvlJc w:val="left"/>
      <w:lvlText w:val="%1."/>
      <w:numFmt w:val="decimal"/>
      <w:start w:val="12"/>
    </w:lvl>
  </w:abstractNum>
  <w:abstractNum w:abstractNumId="68">
    <w:nsid w:val="3410ED56"/>
    <w:multiLevelType w:val="hybridMultilevel"/>
    <w:lvl w:ilvl="0">
      <w:lvlJc w:val="left"/>
      <w:lvlText w:val="%1."/>
      <w:numFmt w:val="decimal"/>
      <w:start w:val="13"/>
    </w:lvl>
  </w:abstractNum>
  <w:abstractNum w:abstractNumId="69">
    <w:nsid w:val="23C049A"/>
    <w:multiLevelType w:val="hybridMultilevel"/>
    <w:lvl w:ilvl="0">
      <w:lvlJc w:val="left"/>
      <w:lvlText w:val="(%1)"/>
      <w:numFmt w:val="lowerLetter"/>
      <w:start w:val="1"/>
    </w:lvl>
  </w:abstractNum>
  <w:abstractNum w:abstractNumId="70">
    <w:nsid w:val="5BDA35D4"/>
    <w:multiLevelType w:val="hybridMultilevel"/>
    <w:lvl w:ilvl="0">
      <w:lvlJc w:val="left"/>
      <w:lvlText w:val="(%1)"/>
      <w:numFmt w:val="lowerLetter"/>
      <w:start w:val="6"/>
    </w:lvl>
  </w:abstractNum>
  <w:abstractNum w:abstractNumId="71">
    <w:nsid w:val="496FB218"/>
    <w:multiLevelType w:val="hybridMultilevel"/>
    <w:lvl w:ilvl="0">
      <w:lvlJc w:val="left"/>
      <w:lvlText w:val="***"/>
      <w:numFmt w:val="bullet"/>
      <w:start w:val="1"/>
    </w:lvl>
  </w:abstractNum>
  <w:abstractNum w:abstractNumId="72">
    <w:nsid w:val="680EA5D1"/>
    <w:multiLevelType w:val="hybridMultilevel"/>
    <w:lvl w:ilvl="0">
      <w:lvlJc w:val="left"/>
      <w:lvlText w:val="%1."/>
      <w:numFmt w:val="decimal"/>
      <w:start w:val="1"/>
    </w:lvl>
    <w:lvl w:ilvl="1">
      <w:lvlJc w:val="left"/>
      <w:lvlText w:val="•"/>
      <w:numFmt w:val="bullet"/>
      <w:start w:val="1"/>
    </w:lvl>
  </w:abstractNum>
  <w:abstractNum w:abstractNumId="73">
    <w:nsid w:val="4A9554FE"/>
    <w:multiLevelType w:val="hybridMultilevel"/>
    <w:lvl w:ilvl="0">
      <w:lvlJc w:val="left"/>
      <w:lvlText w:val="***"/>
      <w:numFmt w:val="bullet"/>
      <w:start w:val="1"/>
    </w:lvl>
  </w:abstractNum>
  <w:abstractNum w:abstractNumId="74">
    <w:nsid w:val="392EDBE4"/>
    <w:multiLevelType w:val="hybridMultilevel"/>
    <w:lvl w:ilvl="0">
      <w:lvlJc w:val="left"/>
      <w:lvlText w:val="%1."/>
      <w:numFmt w:val="decimal"/>
      <w:start w:val="1"/>
    </w:lvl>
  </w:abstractNum>
  <w:abstractNum w:abstractNumId="75">
    <w:nsid w:val="3D1A2DD9"/>
    <w:multiLevelType w:val="hybridMultilevel"/>
    <w:lvl w:ilvl="0">
      <w:lvlJc w:val="left"/>
      <w:lvlText w:val="***"/>
      <w:numFmt w:val="bullet"/>
      <w:start w:val="1"/>
    </w:lvl>
  </w:abstractNum>
  <w:abstractNum w:abstractNumId="76">
    <w:nsid w:val="7F618FCD"/>
    <w:multiLevelType w:val="hybridMultilevel"/>
    <w:lvl w:ilvl="0">
      <w:lvlJc w:val="left"/>
      <w:lvlText w:val="%1."/>
      <w:numFmt w:val="decimal"/>
      <w:start w:val="1"/>
    </w:lvl>
  </w:abstractNum>
  <w:abstractNum w:abstractNumId="77">
    <w:nsid w:val="7843E45"/>
    <w:multiLevelType w:val="hybridMultilevel"/>
    <w:lvl w:ilvl="0">
      <w:lvlJc w:val="left"/>
      <w:lvlText w:val="%1."/>
      <w:numFmt w:val="decimal"/>
      <w:start w:val="2"/>
    </w:lvl>
  </w:abstractNum>
  <w:abstractNum w:abstractNumId="78">
    <w:nsid w:val="9815DA3"/>
    <w:multiLevelType w:val="hybridMultilevel"/>
    <w:lvl w:ilvl="0">
      <w:lvlJc w:val="left"/>
      <w:lvlText w:val="%1."/>
      <w:numFmt w:val="decimal"/>
      <w:start w:val="3"/>
    </w:lvl>
  </w:abstractNum>
  <w:abstractNum w:abstractNumId="79">
    <w:nsid w:val="5204A191"/>
    <w:multiLevelType w:val="hybridMultilevel"/>
    <w:lvl w:ilvl="0">
      <w:lvlJc w:val="left"/>
      <w:lvlText w:val="%1."/>
      <w:numFmt w:val="decimal"/>
      <w:start w:val="4"/>
    </w:lvl>
  </w:abstractNum>
  <w:abstractNum w:abstractNumId="80">
    <w:nsid w:val="4C73A9C6"/>
    <w:multiLevelType w:val="hybridMultilevel"/>
    <w:lvl w:ilvl="0">
      <w:lvlJc w:val="left"/>
      <w:lvlText w:val="%1."/>
      <w:numFmt w:val="decimal"/>
      <w:start w:val="5"/>
    </w:lvl>
  </w:abstractNum>
  <w:abstractNum w:abstractNumId="81">
    <w:nsid w:val="1C7E3C01"/>
    <w:multiLevelType w:val="hybridMultilevel"/>
    <w:lvl w:ilvl="0">
      <w:lvlJc w:val="left"/>
      <w:lvlText w:val="***"/>
      <w:numFmt w:val="bullet"/>
      <w:start w:val="1"/>
    </w:lvl>
  </w:abstractNum>
  <w:abstractNum w:abstractNumId="82">
    <w:nsid w:val="1C2201FF"/>
    <w:multiLevelType w:val="hybridMultilevel"/>
    <w:lvl w:ilvl="0">
      <w:lvlJc w:val="left"/>
      <w:lvlText w:val="%1."/>
      <w:numFmt w:val="decimal"/>
      <w:start w:val="1"/>
    </w:lvl>
    <w:lvl w:ilvl="1">
      <w:lvlJc w:val="left"/>
      <w:lvlText w:val="(%2)"/>
      <w:numFmt w:val="lowerLetter"/>
      <w:start w:val="1"/>
    </w:lvl>
  </w:abstractNum>
  <w:abstractNum w:abstractNumId="83">
    <w:nsid w:val="50ABCEC9"/>
    <w:multiLevelType w:val="hybridMultilevel"/>
    <w:lvl w:ilvl="0">
      <w:lvlJc w:val="left"/>
      <w:lvlText w:val="%1"/>
      <w:numFmt w:val="decimal"/>
      <w:start w:val="1"/>
    </w:lvl>
    <w:lvl w:ilvl="1">
      <w:lvlJc w:val="left"/>
      <w:lvlText w:val="(%2)"/>
      <w:numFmt w:val="lowerLetter"/>
      <w:start w:val="2"/>
    </w:lvl>
  </w:abstractNum>
  <w:abstractNum w:abstractNumId="84">
    <w:nsid w:val="7635AA2A"/>
    <w:multiLevelType w:val="hybridMultilevel"/>
    <w:lvl w:ilvl="0">
      <w:lvlJc w:val="left"/>
      <w:lvlText w:val="%1."/>
      <w:numFmt w:val="decimal"/>
      <w:start w:val="3"/>
    </w:lvl>
    <w:lvl w:ilvl="1">
      <w:lvlJc w:val="left"/>
      <w:lvlText w:val="(%2)"/>
      <w:numFmt w:val="lowerLetter"/>
      <w:start w:val="1"/>
    </w:lvl>
  </w:abstractNum>
  <w:abstractNum w:abstractNumId="85">
    <w:nsid w:val="5E74C4D9"/>
    <w:multiLevelType w:val="hybridMultilevel"/>
    <w:lvl w:ilvl="0">
      <w:lvlJc w:val="left"/>
      <w:lvlText w:val="*"/>
      <w:numFmt w:val="bullet"/>
      <w:start w:val="1"/>
    </w:lvl>
  </w:abstractNum>
  <w:abstractNum w:abstractNumId="86">
    <w:nsid w:val="3B3EBE15"/>
    <w:multiLevelType w:val="hybridMultilevel"/>
    <w:lvl w:ilvl="0">
      <w:lvlJc w:val="left"/>
      <w:lvlText w:val="(%1)"/>
      <w:numFmt w:val="lowerLetter"/>
      <w:start w:val="2"/>
    </w:lvl>
  </w:abstractNum>
  <w:abstractNum w:abstractNumId="87">
    <w:nsid w:val="3822CB01"/>
    <w:multiLevelType w:val="hybridMultilevel"/>
    <w:lvl w:ilvl="0">
      <w:lvlJc w:val="left"/>
      <w:lvlText w:val="(%1)"/>
      <w:numFmt w:val="lowerLetter"/>
      <w:start w:val="3"/>
    </w:lvl>
  </w:abstractNum>
  <w:abstractNum w:abstractNumId="88">
    <w:nsid w:val="6CE00443"/>
    <w:multiLevelType w:val="hybridMultilevel"/>
    <w:lvl w:ilvl="0">
      <w:lvlJc w:val="left"/>
      <w:lvlText w:val="%1."/>
      <w:numFmt w:val="decimal"/>
      <w:start w:val="4"/>
    </w:lvl>
  </w:abstractNum>
  <w:abstractNum w:abstractNumId="89">
    <w:nsid w:val="79F0D62F"/>
    <w:multiLevelType w:val="hybridMultilevel"/>
    <w:lvl w:ilvl="0">
      <w:lvlJc w:val="left"/>
      <w:lvlText w:val="***"/>
      <w:numFmt w:val="bullet"/>
      <w:start w:val="1"/>
    </w:lvl>
  </w:abstractNum>
  <w:abstractNum w:abstractNumId="90">
    <w:nsid w:val="7975E8EE"/>
    <w:multiLevelType w:val="hybridMultilevel"/>
    <w:lvl w:ilvl="0">
      <w:lvlJc w:val="left"/>
      <w:lvlText w:val="%1."/>
      <w:numFmt w:val="decimal"/>
      <w:start w:val="1"/>
    </w:lvl>
    <w:lvl w:ilvl="1">
      <w:lvlJc w:val="left"/>
      <w:lvlText w:val="•"/>
      <w:numFmt w:val="bullet"/>
      <w:start w:val="1"/>
    </w:lvl>
  </w:abstractNum>
  <w:abstractNum w:abstractNumId="91">
    <w:nsid w:val="73154115"/>
    <w:multiLevelType w:val="hybridMultilevel"/>
    <w:lvl w:ilvl="0">
      <w:lvlJc w:val="left"/>
      <w:lvlText w:val="%1."/>
      <w:numFmt w:val="decimal"/>
      <w:start w:val="3"/>
    </w:lvl>
  </w:abstractNum>
  <w:abstractNum w:abstractNumId="92">
    <w:nsid w:val="622D8102"/>
    <w:multiLevelType w:val="hybridMultilevel"/>
    <w:lvl w:ilvl="0">
      <w:lvlJc w:val="left"/>
      <w:lvlText w:val="***"/>
      <w:numFmt w:val="bullet"/>
      <w:start w:val="1"/>
    </w:lvl>
  </w:abstractNum>
  <w:abstractNum w:abstractNumId="93">
    <w:nsid w:val="2AB26587"/>
    <w:multiLevelType w:val="hybridMultilevel"/>
    <w:lvl w:ilvl="0">
      <w:lvlJc w:val="left"/>
      <w:lvlText w:val="%1."/>
      <w:numFmt w:val="decimal"/>
      <w:start w:val="1"/>
    </w:lvl>
    <w:lvl w:ilvl="1">
      <w:lvlJc w:val="left"/>
      <w:lvlText w:val="%2"/>
      <w:numFmt w:val="lowerLetter"/>
      <w:start w:val="1"/>
    </w:lvl>
  </w:abstractNum>
  <w:abstractNum w:abstractNumId="94">
    <w:nsid w:val="44B3FA61"/>
    <w:multiLevelType w:val="hybridMultilevel"/>
    <w:lvl w:ilvl="0">
      <w:lvlJc w:val="left"/>
      <w:lvlText w:val="%1."/>
      <w:numFmt w:val="lowerLetter"/>
      <w:start w:val="2"/>
    </w:lvl>
  </w:abstractNum>
  <w:abstractNum w:abstractNumId="95">
    <w:nsid w:val="1C0CA67C"/>
    <w:multiLevelType w:val="hybridMultilevel"/>
    <w:lvl w:ilvl="0">
      <w:lvlJc w:val="left"/>
      <w:lvlText w:val="%1"/>
      <w:numFmt w:val="decimal"/>
      <w:start w:val="1"/>
    </w:lvl>
    <w:lvl w:ilvl="1">
      <w:lvlJc w:val="left"/>
      <w:lvlText w:val="%2."/>
      <w:numFmt w:val="lowerLetter"/>
      <w:start w:val="3"/>
    </w:lvl>
  </w:abstractNum>
  <w:abstractNum w:abstractNumId="96">
    <w:nsid w:val="3D206613"/>
    <w:multiLevelType w:val="hybridMultilevel"/>
    <w:lvl w:ilvl="0">
      <w:lvlJc w:val="left"/>
      <w:lvlText w:val="%1."/>
      <w:numFmt w:val="decimal"/>
      <w:start w:val="3"/>
    </w:lvl>
    <w:lvl w:ilvl="1">
      <w:lvlJc w:val="left"/>
      <w:lvlText w:val="%2."/>
      <w:numFmt w:val="lowerLetter"/>
      <w:start w:val="1"/>
    </w:lvl>
  </w:abstractNum>
  <w:abstractNum w:abstractNumId="97">
    <w:nsid w:val="7993B662"/>
    <w:multiLevelType w:val="hybridMultilevel"/>
    <w:lvl w:ilvl="0">
      <w:lvlJc w:val="left"/>
      <w:lvlText w:val="%1."/>
      <w:numFmt w:val="lowerLetter"/>
      <w:start w:val="2"/>
    </w:lvl>
    <w:lvl w:ilvl="1">
      <w:lvlJc w:val="left"/>
      <w:lvlText w:val="(%2)"/>
      <w:numFmt w:val="lowerRoman"/>
      <w:start w:val="10"/>
    </w:lvl>
    <w:lvl w:ilvl="2">
      <w:lvlJc w:val="left"/>
      <w:lvlText w:val="%3."/>
      <w:numFmt w:val="lowerRoman"/>
      <w:start w:val="1"/>
    </w:lvl>
  </w:abstractNum>
  <w:abstractNum w:abstractNumId="98">
    <w:nsid w:val="3BAB699E"/>
    <w:multiLevelType w:val="hybridMultilevel"/>
    <w:lvl w:ilvl="0">
      <w:lvlJc w:val="left"/>
      <w:lvlText w:val="%1."/>
      <w:numFmt w:val="decimal"/>
      <w:start w:val="4"/>
    </w:lvl>
    <w:lvl w:ilvl="1">
      <w:lvlJc w:val="left"/>
      <w:lvlText w:val="%2."/>
      <w:numFmt w:val="lowerLetter"/>
      <w:start w:val="1"/>
    </w:lvl>
  </w:abstractNum>
  <w:abstractNum w:abstractNumId="99">
    <w:nsid w:val="71315369"/>
    <w:multiLevelType w:val="hybridMultilevel"/>
    <w:lvl w:ilvl="0">
      <w:lvlJc w:val="left"/>
      <w:lvlText w:val="%1."/>
      <w:numFmt w:val="decimal"/>
      <w:start w:val="6"/>
    </w:lvl>
  </w:abstractNum>
  <w:abstractNum w:abstractNumId="100">
    <w:nsid w:val="7BCFBAFC"/>
    <w:multiLevelType w:val="hybridMultilevel"/>
    <w:lvl w:ilvl="0">
      <w:lvlJc w:val="left"/>
      <w:lvlText w:val="***"/>
      <w:numFmt w:val="bullet"/>
      <w:start w:val="1"/>
    </w:lvl>
  </w:abstractNum>
  <w:abstractNum w:abstractNumId="101">
    <w:nsid w:val="17859F72"/>
    <w:multiLevelType w:val="hybridMultilevel"/>
    <w:lvl w:ilvl="0">
      <w:lvlJc w:val="left"/>
      <w:lvlText w:val="%1."/>
      <w:numFmt w:val="decimal"/>
      <w:start w:val="1"/>
    </w:lvl>
  </w:abstractNum>
  <w:abstractNum w:abstractNumId="102">
    <w:nsid w:val="3AA10581"/>
    <w:multiLevelType w:val="hybridMultilevel"/>
    <w:lvl w:ilvl="0">
      <w:lvlJc w:val="left"/>
      <w:lvlText w:val="***"/>
      <w:numFmt w:val="bullet"/>
      <w:start w:val="1"/>
    </w:lvl>
  </w:abstractNum>
  <w:abstractNum w:abstractNumId="103">
    <w:nsid w:val="63DE60CD"/>
    <w:multiLevelType w:val="hybridMultilevel"/>
    <w:lvl w:ilvl="0">
      <w:lvlJc w:val="left"/>
      <w:lvlText w:val="%1."/>
      <w:numFmt w:val="decimal"/>
      <w:start w:val="1"/>
    </w:lvl>
  </w:abstractNum>
  <w:abstractNum w:abstractNumId="104">
    <w:nsid w:val="621AF471"/>
    <w:multiLevelType w:val="hybridMultilevel"/>
    <w:lvl w:ilvl="0">
      <w:lvlJc w:val="left"/>
      <w:lvlText w:val="%1."/>
      <w:numFmt w:val="decimal"/>
      <w:start w:val="1"/>
    </w:lvl>
    <w:lvl w:ilvl="1">
      <w:lvlJc w:val="left"/>
      <w:lvlText w:val="•"/>
      <w:numFmt w:val="bullet"/>
      <w:start w:val="1"/>
    </w:lvl>
  </w:abstractNum>
  <w:abstractNum w:abstractNumId="105">
    <w:nsid w:val="73CFE165"/>
    <w:multiLevelType w:val="hybridMultilevel"/>
    <w:lvl w:ilvl="0">
      <w:lvlJc w:val="left"/>
      <w:lvlText w:val="***"/>
      <w:numFmt w:val="bullet"/>
      <w:start w:val="1"/>
    </w:lvl>
  </w:abstractNum>
  <w:abstractNum w:abstractNumId="106">
    <w:nsid w:val="20F88EA6"/>
    <w:multiLevelType w:val="hybridMultilevel"/>
    <w:lvl w:ilvl="0">
      <w:lvlJc w:val="left"/>
      <w:lvlText w:val="%1."/>
      <w:numFmt w:val="decimal"/>
      <w:start w:val="1"/>
    </w:lvl>
  </w:abstractNum>
  <w:abstractNum w:abstractNumId="107">
    <w:nsid w:val="617C843E"/>
    <w:multiLevelType w:val="hybridMultilevel"/>
    <w:lvl w:ilvl="0">
      <w:lvlJc w:val="left"/>
      <w:lvlText w:val="•"/>
      <w:numFmt w:val="bullet"/>
      <w:start w:val="1"/>
    </w:lvl>
  </w:abstractNum>
  <w:abstractNum w:abstractNumId="108">
    <w:nsid w:val="7B541FAB"/>
    <w:multiLevelType w:val="hybridMultilevel"/>
    <w:lvl w:ilvl="0">
      <w:lvlJc w:val="left"/>
      <w:lvlText w:val="%1."/>
      <w:numFmt w:val="decimal"/>
      <w:start w:val="2"/>
    </w:lvl>
  </w:abstractNum>
  <w:abstractNum w:abstractNumId="109">
    <w:nsid w:val="2A79EC49"/>
    <w:multiLevelType w:val="hybridMultilevel"/>
    <w:lvl w:ilvl="0">
      <w:lvlJc w:val="left"/>
      <w:lvlText w:val="***"/>
      <w:numFmt w:val="bullet"/>
      <w:start w:val="1"/>
    </w:lvl>
  </w:abstractNum>
  <w:abstractNum w:abstractNumId="110">
    <w:nsid w:val="338125CF"/>
    <w:multiLevelType w:val="hybridMultilevel"/>
    <w:lvl w:ilvl="0">
      <w:lvlJc w:val="left"/>
      <w:lvlText w:val="%1."/>
      <w:numFmt w:val="decimal"/>
      <w:start w:val="1"/>
    </w:lvl>
    <w:lvl w:ilvl="1">
      <w:lvlJc w:val="left"/>
      <w:lvlText w:val="•"/>
      <w:numFmt w:val="bullet"/>
      <w:start w:val="1"/>
    </w:lvl>
  </w:abstractNum>
  <w:abstractNum w:abstractNumId="111">
    <w:nsid w:val="47C7C971"/>
    <w:multiLevelType w:val="hybridMultilevel"/>
    <w:lvl w:ilvl="0">
      <w:lvlJc w:val="left"/>
      <w:lvlText w:val="***"/>
      <w:numFmt w:val="bullet"/>
      <w:start w:val="1"/>
    </w:lvl>
  </w:abstractNum>
  <w:abstractNum w:abstractNumId="112">
    <w:nsid w:val="46F8284B"/>
    <w:multiLevelType w:val="hybridMultilevel"/>
    <w:lvl w:ilvl="0">
      <w:lvlJc w:val="left"/>
      <w:lvlText w:val="%1."/>
      <w:numFmt w:val="upperLetter"/>
      <w:start w:val="9"/>
    </w:lvl>
  </w:abstractNum>
  <w:abstractNum w:abstractNumId="113">
    <w:nsid w:val="4FA327CE"/>
    <w:multiLevelType w:val="hybridMultilevel"/>
    <w:lvl w:ilvl="0">
      <w:lvlJc w:val="left"/>
      <w:lvlText w:val="%1."/>
      <w:numFmt w:val="upperLetter"/>
      <w:start w:val="35"/>
    </w:lvl>
  </w:abstractNum>
  <w:abstractNum w:abstractNumId="114">
    <w:nsid w:val="1873983A"/>
    <w:multiLevelType w:val="hybridMultilevel"/>
    <w:lvl w:ilvl="0">
      <w:lvlJc w:val="left"/>
      <w:lvlText w:val="•"/>
      <w:numFmt w:val="bullet"/>
      <w:start w:val="1"/>
    </w:lvl>
  </w:abstractNum>
  <w:abstractNum w:abstractNumId="115">
    <w:nsid w:val="3D2DD275"/>
    <w:multiLevelType w:val="hybridMultilevel"/>
    <w:lvl w:ilvl="0">
      <w:lvlJc w:val="left"/>
      <w:lvlText w:val="•"/>
      <w:numFmt w:val="bullet"/>
      <w:start w:val="1"/>
    </w:lvl>
  </w:abstractNum>
  <w:abstractNum w:abstractNumId="116">
    <w:nsid w:val="2E17ECA7"/>
    <w:multiLevelType w:val="hybridMultilevel"/>
    <w:lvl w:ilvl="0">
      <w:lvlJc w:val="left"/>
      <w:lvlText w:val="***"/>
      <w:numFmt w:val="bullet"/>
      <w:start w:val="1"/>
    </w:lvl>
  </w:abstractNum>
  <w:abstractNum w:abstractNumId="117">
    <w:nsid w:val="53B2564F"/>
    <w:multiLevelType w:val="hybridMultilevel"/>
    <w:lvl w:ilvl="0">
      <w:lvlJc w:val="left"/>
      <w:lvlText w:val="%1."/>
      <w:numFmt w:val="decimal"/>
      <w:start w:val="1"/>
    </w:lvl>
  </w:abstractNum>
  <w:abstractNum w:abstractNumId="118">
    <w:nsid w:val="75509D76"/>
    <w:multiLevelType w:val="hybridMultilevel"/>
    <w:lvl w:ilvl="0">
      <w:lvlJc w:val="left"/>
      <w:lvlText w:val="%1."/>
      <w:numFmt w:val="decimal"/>
      <w:start w:val="2"/>
    </w:lvl>
  </w:abstractNum>
  <w:abstractNum w:abstractNumId="119">
    <w:nsid w:val="1AF7F0EA"/>
    <w:multiLevelType w:val="hybridMultilevel"/>
    <w:lvl w:ilvl="0">
      <w:lvlJc w:val="left"/>
      <w:lvlText w:val="%1."/>
      <w:numFmt w:val="decimal"/>
      <w:start w:val="3"/>
    </w:lvl>
  </w:abstractNum>
  <w:abstractNum w:abstractNumId="120">
    <w:nsid w:val="4DA32C7E"/>
    <w:multiLevelType w:val="hybridMultilevel"/>
    <w:lvl w:ilvl="0">
      <w:lvlJc w:val="left"/>
      <w:lvlText w:val="***"/>
      <w:numFmt w:val="bullet"/>
      <w:start w:val="1"/>
    </w:lvl>
  </w:abstractNum>
  <w:abstractNum w:abstractNumId="121">
    <w:nsid w:val="6EC68664"/>
    <w:multiLevelType w:val="hybridMultilevel"/>
    <w:lvl w:ilvl="0">
      <w:lvlJc w:val="left"/>
      <w:lvlText w:val="%1."/>
      <w:numFmt w:val="decimal"/>
      <w:start w:val="1"/>
    </w:lvl>
  </w:abstractNum>
  <w:abstractNum w:abstractNumId="122">
    <w:nsid w:val="E0D31FF"/>
    <w:multiLevelType w:val="hybridMultilevel"/>
    <w:lvl w:ilvl="0">
      <w:lvlJc w:val="left"/>
      <w:lvlText w:val="%1."/>
      <w:numFmt w:val="lowerLetter"/>
      <w:start w:val="1"/>
    </w:lvl>
  </w:abstractNum>
  <w:abstractNum w:abstractNumId="123">
    <w:nsid w:val="2FD0AD81"/>
    <w:multiLevelType w:val="hybridMultilevel"/>
    <w:lvl w:ilvl="0">
      <w:lvlJc w:val="left"/>
      <w:lvlText w:val="•"/>
      <w:numFmt w:val="bullet"/>
      <w:start w:val="1"/>
    </w:lvl>
  </w:abstractNum>
  <w:abstractNum w:abstractNumId="124">
    <w:nsid w:val="1978EBEB"/>
    <w:multiLevelType w:val="hybridMultilevel"/>
    <w:lvl w:ilvl="0">
      <w:lvlJc w:val="left"/>
      <w:lvlText w:val="%1."/>
      <w:numFmt w:val="lowerLetter"/>
      <w:start w:val="2"/>
    </w:lvl>
  </w:abstractNum>
  <w:abstractNum w:abstractNumId="125">
    <w:nsid w:val="52C12C61"/>
    <w:multiLevelType w:val="hybridMultilevel"/>
    <w:lvl w:ilvl="0">
      <w:lvlJc w:val="left"/>
      <w:lvlText w:val="%1."/>
      <w:numFmt w:val="lowerLetter"/>
      <w:start w:val="3"/>
    </w:lvl>
  </w:abstractNum>
  <w:abstractNum w:abstractNumId="126">
    <w:nsid w:val="4BDD53FD"/>
    <w:multiLevelType w:val="hybridMultilevel"/>
    <w:lvl w:ilvl="0">
      <w:lvlJc w:val="left"/>
      <w:lvlText w:val="%1."/>
      <w:numFmt w:val="lowerLetter"/>
      <w:start w:val="4"/>
    </w:lvl>
  </w:abstractNum>
  <w:abstractNum w:abstractNumId="127">
    <w:nsid w:val="569951FE"/>
    <w:multiLevelType w:val="hybridMultilevel"/>
    <w:lvl w:ilvl="0">
      <w:lvlJc w:val="left"/>
      <w:lvlText w:val="%1."/>
      <w:numFmt w:val="lowerLetter"/>
      <w:start w:val="5"/>
    </w:lvl>
  </w:abstractNum>
  <w:abstractNum w:abstractNumId="128">
    <w:nsid w:val="4C54E2C3"/>
    <w:multiLevelType w:val="hybridMultilevel"/>
    <w:lvl w:ilvl="0">
      <w:lvlJc w:val="left"/>
      <w:lvlText w:val="%1."/>
      <w:numFmt w:val="decimal"/>
      <w:start w:val="3"/>
    </w:lvl>
  </w:abstractNum>
  <w:abstractNum w:abstractNumId="129">
    <w:nsid w:val="788BD9B"/>
    <w:multiLevelType w:val="hybridMultilevel"/>
    <w:lvl w:ilvl="0">
      <w:lvlJc w:val="left"/>
      <w:lvlText w:val="%1."/>
      <w:numFmt w:val="lowerLetter"/>
      <w:start w:val="1"/>
    </w:lvl>
  </w:abstractNum>
  <w:abstractNum w:abstractNumId="130">
    <w:nsid w:val="47CAA567"/>
    <w:multiLevelType w:val="hybridMultilevel"/>
    <w:lvl w:ilvl="0">
      <w:lvlJc w:val="left"/>
      <w:lvlText w:val="%1."/>
      <w:numFmt w:val="lowerLetter"/>
      <w:start w:val="2"/>
    </w:lvl>
  </w:abstractNum>
  <w:abstractNum w:abstractNumId="131">
    <w:nsid w:val="48249DBF"/>
    <w:multiLevelType w:val="hybridMultilevel"/>
    <w:lvl w:ilvl="0">
      <w:lvlJc w:val="left"/>
      <w:lvlText w:val="%1."/>
      <w:numFmt w:val="lowerLetter"/>
      <w:start w:val="3"/>
    </w:lvl>
  </w:abstractNum>
  <w:abstractNum w:abstractNumId="132">
    <w:nsid w:val="1F0E5D0D"/>
    <w:multiLevelType w:val="hybridMultilevel"/>
    <w:lvl w:ilvl="0">
      <w:lvlJc w:val="left"/>
      <w:lvlText w:val="%1."/>
      <w:numFmt w:val="lowerRoman"/>
      <w:start w:val="1"/>
    </w:lvl>
  </w:abstractNum>
  <w:abstractNum w:abstractNumId="133">
    <w:nsid w:val="26BAAE9"/>
    <w:multiLevelType w:val="hybridMultilevel"/>
    <w:lvl w:ilvl="0">
      <w:lvlJc w:val="left"/>
      <w:lvlText w:val="%1."/>
      <w:numFmt w:val="decimal"/>
      <w:start w:val="4"/>
    </w:lvl>
  </w:abstractNum>
  <w:abstractNum w:abstractNumId="134">
    <w:nsid w:val="2C02FE8C"/>
    <w:multiLevelType w:val="hybridMultilevel"/>
    <w:lvl w:ilvl="0">
      <w:lvlJc w:val="left"/>
      <w:lvlText w:val="%1."/>
      <w:numFmt w:val="decimal"/>
      <w:start w:val="5"/>
    </w:lvl>
  </w:abstractNum>
  <w:abstractNum w:abstractNumId="135">
    <w:nsid w:val="129517E"/>
    <w:multiLevelType w:val="hybridMultilevel"/>
    <w:lvl w:ilvl="0">
      <w:lvlJc w:val="left"/>
      <w:lvlText w:val="%1."/>
      <w:numFmt w:val="lowerLetter"/>
      <w:start w:val="1"/>
    </w:lvl>
  </w:abstractNum>
  <w:abstractNum w:abstractNumId="136">
    <w:nsid w:val="763B8C4E"/>
    <w:multiLevelType w:val="hybridMultilevel"/>
    <w:lvl w:ilvl="0">
      <w:lvlJc w:val="left"/>
      <w:lvlText w:val="%1."/>
      <w:numFmt w:val="decimal"/>
      <w:start w:val="6"/>
    </w:lvl>
  </w:abstractNum>
  <w:abstractNum w:abstractNumId="137">
    <w:nsid w:val="4CFB8D32"/>
    <w:multiLevelType w:val="hybridMultilevel"/>
    <w:lvl w:ilvl="0">
      <w:lvlJc w:val="left"/>
      <w:lvlText w:val="***"/>
      <w:numFmt w:val="bullet"/>
      <w:start w:val="1"/>
    </w:lvl>
  </w:abstractNum>
  <w:abstractNum w:abstractNumId="138">
    <w:nsid w:val="62A5D5BD"/>
    <w:multiLevelType w:val="hybridMultilevel"/>
    <w:lvl w:ilvl="0">
      <w:lvlJc w:val="left"/>
      <w:lvlText w:val="%1."/>
      <w:numFmt w:val="decimal"/>
      <w:start w:val="1"/>
    </w:lvl>
  </w:abstractNum>
  <w:abstractNum w:abstractNumId="139">
    <w:nsid w:val="718FABF9"/>
    <w:multiLevelType w:val="hybridMultilevel"/>
    <w:lvl w:ilvl="0">
      <w:lvlJc w:val="left"/>
      <w:lvlText w:val="%1."/>
      <w:numFmt w:val="decimal"/>
      <w:start w:val="2"/>
    </w:lvl>
  </w:abstractNum>
  <w:abstractNum w:abstractNumId="140">
    <w:nsid w:val="7775797C"/>
    <w:multiLevelType w:val="hybridMultilevel"/>
    <w:lvl w:ilvl="0">
      <w:lvlJc w:val="left"/>
      <w:lvlText w:val="%1."/>
      <w:numFmt w:val="decimal"/>
      <w:start w:val="3"/>
    </w:lvl>
  </w:abstractNum>
  <w:abstractNum w:abstractNumId="141">
    <w:nsid w:val="1626FB8C"/>
    <w:multiLevelType w:val="hybridMultilevel"/>
    <w:lvl w:ilvl="0">
      <w:lvlJc w:val="left"/>
      <w:lvlText w:val="%1."/>
      <w:numFmt w:val="decimal"/>
      <w:start w:val="4"/>
    </w:lvl>
  </w:abstractNum>
  <w:abstractNum w:abstractNumId="142">
    <w:nsid w:val="3957756A"/>
    <w:multiLevelType w:val="hybridMultilevel"/>
    <w:lvl w:ilvl="0">
      <w:lvlJc w:val="left"/>
      <w:lvlText w:val="%1."/>
      <w:numFmt w:val="decimal"/>
      <w:start w:val="5"/>
    </w:lvl>
  </w:abstractNum>
  <w:abstractNum w:abstractNumId="143">
    <w:nsid w:val="3E6DA1C7"/>
    <w:multiLevelType w:val="hybridMultilevel"/>
    <w:lvl w:ilvl="0">
      <w:lvlJc w:val="left"/>
      <w:lvlText w:val="%1."/>
      <w:numFmt w:val="decimal"/>
      <w:start w:val="6"/>
    </w:lvl>
  </w:abstractNum>
  <w:abstractNum w:abstractNumId="144">
    <w:nsid w:val="65CA235B"/>
    <w:multiLevelType w:val="hybridMultilevel"/>
    <w:lvl w:ilvl="0">
      <w:lvlJc w:val="left"/>
      <w:lvlText w:val="***"/>
      <w:numFmt w:val="bullet"/>
      <w:start w:val="1"/>
    </w:lvl>
  </w:abstractNum>
  <w:abstractNum w:abstractNumId="145">
    <w:nsid w:val="51CB0DA4"/>
    <w:multiLevelType w:val="hybridMultilevel"/>
    <w:lvl w:ilvl="0">
      <w:lvlJc w:val="left"/>
      <w:lvlText w:val="%1."/>
      <w:numFmt w:val="decimal"/>
      <w:start w:val="1"/>
    </w:lvl>
    <w:lvl w:ilvl="1">
      <w:lvlJc w:val="left"/>
      <w:lvlText w:val="•"/>
      <w:numFmt w:val="bullet"/>
      <w:start w:val="1"/>
    </w:lvl>
  </w:abstractNum>
  <w:abstractNum w:abstractNumId="146">
    <w:nsid w:val="7B9B743C"/>
    <w:multiLevelType w:val="hybridMultilevel"/>
    <w:lvl w:ilvl="0">
      <w:lvlJc w:val="left"/>
      <w:lvlText w:val="%1."/>
      <w:numFmt w:val="decimal"/>
      <w:start w:val="2"/>
    </w:lvl>
    <w:lvl w:ilvl="1">
      <w:lvlJc w:val="left"/>
      <w:lvlText w:val="•"/>
      <w:numFmt w:val="bullet"/>
      <w:start w:val="1"/>
    </w:lvl>
  </w:abstractNum>
  <w:abstractNum w:abstractNumId="147">
    <w:nsid w:val="13E21002"/>
    <w:multiLevelType w:val="hybridMultilevel"/>
    <w:lvl w:ilvl="0">
      <w:lvlJc w:val="left"/>
      <w:lvlText w:val="%1."/>
      <w:numFmt w:val="decimal"/>
      <w:start w:val="8"/>
    </w:lvl>
  </w:abstractNum>
  <w:abstractNum w:abstractNumId="148">
    <w:nsid w:val="257D63F4"/>
    <w:multiLevelType w:val="hybridMultilevel"/>
    <w:lvl w:ilvl="0">
      <w:lvlJc w:val="left"/>
      <w:lvlText w:val="***"/>
      <w:numFmt w:val="bullet"/>
      <w:start w:val="1"/>
    </w:lvl>
  </w:abstractNum>
  <w:abstractNum w:abstractNumId="149">
    <w:nsid w:val="70EC11B2"/>
    <w:multiLevelType w:val="hybridMultilevel"/>
    <w:lvl w:ilvl="0">
      <w:lvlJc w:val="left"/>
      <w:lvlText w:val="%1."/>
      <w:numFmt w:val="decimal"/>
      <w:start w:val="1"/>
    </w:lvl>
  </w:abstractNum>
  <w:abstractNum w:abstractNumId="150">
    <w:nsid w:val="2EDA00ED"/>
    <w:multiLevelType w:val="hybridMultilevel"/>
    <w:lvl w:ilvl="0">
      <w:lvlJc w:val="left"/>
      <w:lvlText w:val="%1."/>
      <w:numFmt w:val="decimal"/>
      <w:start w:val="2"/>
    </w:lvl>
  </w:abstractNum>
  <w:abstractNum w:abstractNumId="151">
    <w:nsid w:val="73209072"/>
    <w:multiLevelType w:val="hybridMultilevel"/>
    <w:lvl w:ilvl="0">
      <w:lvlJc w:val="left"/>
      <w:lvlText w:val="***"/>
      <w:numFmt w:val="bullet"/>
      <w:start w:val="1"/>
    </w:lvl>
  </w:abstractNum>
  <w:abstractNum w:abstractNumId="152">
    <w:nsid w:val="5FB29816"/>
    <w:multiLevelType w:val="hybridMultilevel"/>
    <w:lvl w:ilvl="0">
      <w:lvlJc w:val="left"/>
      <w:lvlText w:val="%1."/>
      <w:numFmt w:val="decimal"/>
      <w:start w:val="1"/>
    </w:lvl>
  </w:abstractNum>
  <w:abstractNum w:abstractNumId="153">
    <w:nsid w:val="3CE732EC"/>
    <w:multiLevelType w:val="hybridMultilevel"/>
    <w:lvl w:ilvl="0">
      <w:lvlJc w:val="left"/>
      <w:lvlText w:val="%1."/>
      <w:numFmt w:val="decimal"/>
      <w:start w:val="2"/>
    </w:lvl>
  </w:abstractNum>
  <w:abstractNum w:abstractNumId="154">
    <w:nsid w:val="22F13DF3"/>
    <w:multiLevelType w:val="hybridMultilevel"/>
    <w:lvl w:ilvl="0">
      <w:lvlJc w:val="left"/>
      <w:lvlText w:val="%1."/>
      <w:numFmt w:val="decimal"/>
      <w:start w:val="3"/>
    </w:lvl>
  </w:abstractNum>
  <w:abstractNum w:abstractNumId="155">
    <w:nsid w:val="792B8401"/>
    <w:multiLevelType w:val="hybridMultilevel"/>
    <w:lvl w:ilvl="0">
      <w:lvlJc w:val="left"/>
      <w:lvlText w:val="%1."/>
      <w:numFmt w:val="decimal"/>
      <w:start w:val="4"/>
    </w:lvl>
  </w:abstractNum>
  <w:abstractNum w:abstractNumId="156">
    <w:nsid w:val="FA85F4D"/>
    <w:multiLevelType w:val="hybridMultilevel"/>
    <w:lvl w:ilvl="0">
      <w:lvlJc w:val="left"/>
      <w:lvlText w:val="%1."/>
      <w:numFmt w:val="decimal"/>
      <w:start w:val="5"/>
    </w:lvl>
  </w:abstractNum>
  <w:abstractNum w:abstractNumId="157">
    <w:nsid w:val="6ECE91F0"/>
    <w:multiLevelType w:val="hybridMultilevel"/>
    <w:lvl w:ilvl="0">
      <w:lvlJc w:val="left"/>
      <w:lvlText w:val="%1."/>
      <w:numFmt w:val="decimal"/>
      <w:start w:val="6"/>
    </w:lvl>
  </w:abstractNum>
  <w:abstractNum w:abstractNumId="158">
    <w:nsid w:val="4FC4D600"/>
    <w:multiLevelType w:val="hybridMultilevel"/>
    <w:lvl w:ilvl="0">
      <w:lvlJc w:val="left"/>
      <w:lvlText w:val="***"/>
      <w:numFmt w:val="bullet"/>
      <w:start w:val="1"/>
    </w:lvl>
  </w:abstractNum>
  <w:abstractNum w:abstractNumId="159">
    <w:nsid w:val="5BFD4210"/>
    <w:multiLevelType w:val="hybridMultilevel"/>
    <w:lvl w:ilvl="0">
      <w:lvlJc w:val="left"/>
      <w:lvlText w:val="%1."/>
      <w:numFmt w:val="decimal"/>
      <w:start w:val="1"/>
    </w:lvl>
  </w:abstractNum>
  <w:abstractNum w:abstractNumId="160">
    <w:nsid w:val="76574F8B"/>
    <w:multiLevelType w:val="hybridMultilevel"/>
    <w:lvl w:ilvl="0">
      <w:lvlJc w:val="left"/>
      <w:lvlText w:val="%1."/>
      <w:numFmt w:val="decimal"/>
      <w:start w:val="2"/>
    </w:lvl>
  </w:abstractNum>
  <w:abstractNum w:abstractNumId="161">
    <w:nsid w:val="178F7B67"/>
    <w:multiLevelType w:val="hybridMultilevel"/>
    <w:lvl w:ilvl="0">
      <w:lvlJc w:val="left"/>
      <w:lvlText w:val="***"/>
      <w:numFmt w:val="bullet"/>
      <w:start w:val="1"/>
    </w:lvl>
  </w:abstractNum>
  <w:abstractNum w:abstractNumId="162">
    <w:nsid w:val="2421DFCF"/>
    <w:multiLevelType w:val="hybridMultilevel"/>
    <w:lvl w:ilvl="0">
      <w:lvlJc w:val="left"/>
      <w:lvlText w:val="%1."/>
      <w:numFmt w:val="decimal"/>
      <w:start w:val="1"/>
    </w:lvl>
    <w:lvl w:ilvl="1">
      <w:lvlJc w:val="left"/>
      <w:lvlText w:val="•"/>
      <w:numFmt w:val="bullet"/>
      <w:start w:val="1"/>
    </w:lvl>
  </w:abstractNum>
  <w:abstractNum w:abstractNumId="163">
    <w:nsid w:val="1565AC99"/>
    <w:multiLevelType w:val="hybridMultilevel"/>
    <w:lvl w:ilvl="0">
      <w:lvlJc w:val="left"/>
      <w:lvlText w:val="%1."/>
      <w:numFmt w:val="decimal"/>
      <w:start w:val="2"/>
    </w:lvl>
  </w:abstractNum>
  <w:abstractNum w:abstractNumId="164">
    <w:nsid w:val="19FB2650"/>
    <w:multiLevelType w:val="hybridMultilevel"/>
    <w:lvl w:ilvl="0">
      <w:lvlJc w:val="left"/>
      <w:lvlText w:val="%1."/>
      <w:numFmt w:val="decimal"/>
      <w:start w:val="3"/>
    </w:lvl>
  </w:abstractNum>
  <w:abstractNum w:abstractNumId="165">
    <w:nsid w:val="5024DE5B"/>
    <w:multiLevelType w:val="hybridMultilevel"/>
    <w:lvl w:ilvl="0">
      <w:lvlJc w:val="left"/>
      <w:lvlText w:val="***"/>
      <w:numFmt w:val="bullet"/>
      <w:start w:val="1"/>
    </w:lvl>
  </w:abstractNum>
  <w:abstractNum w:abstractNumId="166">
    <w:nsid w:val="168EFE17"/>
    <w:multiLevelType w:val="hybridMultilevel"/>
    <w:lvl w:ilvl="0">
      <w:lvlJc w:val="left"/>
      <w:lvlText w:val="%1."/>
      <w:numFmt w:val="decimal"/>
      <w:start w:val="1"/>
    </w:lvl>
  </w:abstractNum>
  <w:abstractNum w:abstractNumId="167">
    <w:nsid w:val="1036B29F"/>
    <w:multiLevelType w:val="hybridMultilevel"/>
    <w:lvl w:ilvl="0">
      <w:lvlJc w:val="left"/>
      <w:lvlText w:val="%1."/>
      <w:numFmt w:val="decimal"/>
      <w:start w:val="2"/>
    </w:lvl>
  </w:abstractNum>
  <w:abstractNum w:abstractNumId="168">
    <w:nsid w:val="1D206B8E"/>
    <w:multiLevelType w:val="hybridMultilevel"/>
    <w:lvl w:ilvl="0">
      <w:lvlJc w:val="left"/>
      <w:lvlText w:val="***"/>
      <w:numFmt w:val="bullet"/>
      <w:start w:val="1"/>
    </w:lvl>
  </w:abstractNum>
  <w:abstractNum w:abstractNumId="169">
    <w:nsid w:val="7934D3D4"/>
    <w:multiLevelType w:val="hybridMultilevel"/>
    <w:lvl w:ilvl="0">
      <w:lvlJc w:val="left"/>
      <w:lvlText w:val="%1."/>
      <w:numFmt w:val="decimal"/>
      <w:start w:val="1"/>
    </w:lvl>
    <w:lvl w:ilvl="1">
      <w:lvlJc w:val="left"/>
      <w:lvlText w:val="•"/>
      <w:numFmt w:val="bullet"/>
      <w:start w:val="1"/>
    </w:lvl>
  </w:abstractNum>
  <w:abstractNum w:abstractNumId="170">
    <w:nsid w:val="1C65E98"/>
    <w:multiLevelType w:val="hybridMultilevel"/>
    <w:lvl w:ilvl="0">
      <w:lvlJc w:val="left"/>
      <w:lvlText w:val="%1."/>
      <w:numFmt w:val="decimal"/>
      <w:start w:val="2"/>
    </w:lvl>
    <w:lvl w:ilvl="1">
      <w:lvlJc w:val="left"/>
      <w:lvlText w:val="•"/>
      <w:numFmt w:val="bullet"/>
      <w:start w:val="1"/>
    </w:lvl>
  </w:abstractNum>
  <w:abstractNum w:abstractNumId="171">
    <w:nsid w:val="1495E50A"/>
    <w:multiLevelType w:val="hybridMultilevel"/>
    <w:lvl w:ilvl="0">
      <w:lvlJc w:val="left"/>
      <w:lvlText w:val="%1."/>
      <w:numFmt w:val="decimal"/>
      <w:start w:val="3"/>
    </w:lvl>
  </w:abstractNum>
  <w:abstractNum w:abstractNumId="172">
    <w:nsid w:val="F5BCF61"/>
    <w:multiLevelType w:val="hybridMultilevel"/>
    <w:lvl w:ilvl="0">
      <w:lvlJc w:val="left"/>
      <w:lvlText w:val="%1."/>
      <w:numFmt w:val="lowerLetter"/>
      <w:start w:val="1"/>
    </w:lvl>
  </w:abstractNum>
  <w:abstractNum w:abstractNumId="173">
    <w:nsid w:val="3B1DD403"/>
    <w:multiLevelType w:val="hybridMultilevel"/>
    <w:lvl w:ilvl="0">
      <w:lvlJc w:val="left"/>
      <w:lvlText w:val="%1."/>
      <w:numFmt w:val="decimal"/>
      <w:start w:val="4"/>
    </w:lvl>
  </w:abstractNum>
  <w:abstractNum w:abstractNumId="174">
    <w:nsid w:val="530386D1"/>
    <w:multiLevelType w:val="hybridMultilevel"/>
    <w:lvl w:ilvl="0">
      <w:lvlJc w:val="left"/>
      <w:lvlText w:val="%1."/>
      <w:numFmt w:val="decimal"/>
      <w:start w:val="6"/>
    </w:lvl>
  </w:abstractNum>
  <w:abstractNum w:abstractNumId="175">
    <w:nsid w:val="7525F2BC"/>
    <w:multiLevelType w:val="hybridMultilevel"/>
    <w:lvl w:ilvl="0">
      <w:lvlJc w:val="left"/>
      <w:lvlText w:val="***"/>
      <w:numFmt w:val="bullet"/>
      <w:start w:val="1"/>
    </w:lvl>
  </w:abstractNum>
  <w:abstractNum w:abstractNumId="176">
    <w:nsid w:val="CE8E1A7"/>
    <w:multiLevelType w:val="hybridMultilevel"/>
    <w:lvl w:ilvl="0">
      <w:lvlJc w:val="left"/>
      <w:lvlText w:val="%1."/>
      <w:numFmt w:val="decimal"/>
      <w:start w:val="1"/>
    </w:lvl>
    <w:lvl w:ilvl="1">
      <w:lvlJc w:val="left"/>
      <w:lvlText w:val="•"/>
      <w:numFmt w:val="bullet"/>
      <w:start w:val="1"/>
    </w:lvl>
  </w:abstractNum>
  <w:abstractNum w:abstractNumId="177">
    <w:nsid w:val="4E9EFB0D"/>
    <w:multiLevelType w:val="hybridMultilevel"/>
    <w:lvl w:ilvl="0">
      <w:lvlJc w:val="left"/>
      <w:lvlText w:val="%1."/>
      <w:numFmt w:val="decimal"/>
      <w:start w:val="2"/>
    </w:lvl>
  </w:abstractNum>
  <w:abstractNum w:abstractNumId="178">
    <w:nsid w:val="90802BE"/>
    <w:multiLevelType w:val="hybridMultilevel"/>
    <w:lvl w:ilvl="0">
      <w:lvlJc w:val="left"/>
      <w:lvlText w:val="***"/>
      <w:numFmt w:val="bullet"/>
      <w:start w:val="1"/>
    </w:lvl>
  </w:abstractNum>
  <w:abstractNum w:abstractNumId="179">
    <w:nsid w:val="3266459B"/>
    <w:multiLevelType w:val="hybridMultilevel"/>
    <w:lvl w:ilvl="0">
      <w:lvlJc w:val="left"/>
      <w:lvlText w:val="%1."/>
      <w:numFmt w:val="decimal"/>
      <w:start w:val="1"/>
    </w:lvl>
    <w:lvl w:ilvl="1">
      <w:lvlJc w:val="left"/>
      <w:lvlText w:val="•"/>
      <w:numFmt w:val="bullet"/>
      <w:start w:val="1"/>
    </w:lvl>
  </w:abstractNum>
  <w:abstractNum w:abstractNumId="180">
    <w:nsid w:val="3F8B0CBF"/>
    <w:multiLevelType w:val="hybridMultilevel"/>
    <w:lvl w:ilvl="0">
      <w:lvlJc w:val="left"/>
      <w:lvlText w:val="%1."/>
      <w:numFmt w:val="decimal"/>
      <w:start w:val="2"/>
    </w:lvl>
    <w:lvl w:ilvl="1">
      <w:lvlJc w:val="left"/>
      <w:lvlText w:val="•"/>
      <w:numFmt w:val="bullet"/>
      <w:start w:val="1"/>
    </w:lvl>
  </w:abstractNum>
  <w:abstractNum w:abstractNumId="181">
    <w:nsid w:val="37E203AB"/>
    <w:multiLevelType w:val="hybridMultilevel"/>
    <w:lvl w:ilvl="0">
      <w:lvlJc w:val="left"/>
      <w:lvlText w:val="%1."/>
      <w:numFmt w:val="decimal"/>
      <w:start w:val="4"/>
    </w:lvl>
  </w:abstractNum>
  <w:abstractNum w:abstractNumId="182">
    <w:nsid w:val="2586D60E"/>
    <w:multiLevelType w:val="hybridMultilevel"/>
    <w:lvl w:ilvl="0">
      <w:lvlJc w:val="left"/>
      <w:lvlText w:val="***"/>
      <w:numFmt w:val="bullet"/>
      <w:start w:val="1"/>
    </w:lvl>
  </w:abstractNum>
  <w:abstractNum w:abstractNumId="183">
    <w:nsid w:val="1F3DA4D5"/>
    <w:multiLevelType w:val="hybridMultilevel"/>
    <w:lvl w:ilvl="0">
      <w:lvlJc w:val="left"/>
      <w:lvlText w:val="%1."/>
      <w:numFmt w:val="decimal"/>
      <w:start w:val="1"/>
    </w:lvl>
  </w:abstractNum>
  <w:abstractNum w:abstractNumId="184">
    <w:nsid w:val="74C93698"/>
    <w:multiLevelType w:val="hybridMultilevel"/>
    <w:lvl w:ilvl="0">
      <w:lvlJc w:val="left"/>
      <w:lvlText w:val="%1."/>
      <w:numFmt w:val="decimal"/>
      <w:start w:val="2"/>
    </w:lvl>
  </w:abstractNum>
  <w:abstractNum w:abstractNumId="185">
    <w:nsid w:val="48781401"/>
    <w:multiLevelType w:val="hybridMultilevel"/>
    <w:lvl w:ilvl="0">
      <w:lvlJc w:val="left"/>
      <w:lvlText w:val="***"/>
      <w:numFmt w:val="bullet"/>
      <w:start w:val="1"/>
    </w:lvl>
  </w:abstractNum>
  <w:abstractNum w:abstractNumId="186">
    <w:nsid w:val="186928D6"/>
    <w:multiLevelType w:val="hybridMultilevel"/>
    <w:lvl w:ilvl="0">
      <w:lvlJc w:val="left"/>
      <w:lvlText w:val="%1."/>
      <w:numFmt w:val="decimal"/>
      <w:start w:val="1"/>
    </w:lvl>
  </w:abstractNum>
  <w:abstractNum w:abstractNumId="187">
    <w:nsid w:val="47195E5"/>
    <w:multiLevelType w:val="hybridMultilevel"/>
    <w:lvl w:ilvl="0">
      <w:lvlJc w:val="left"/>
      <w:lvlText w:val="%1."/>
      <w:numFmt w:val="decimal"/>
      <w:start w:val="2"/>
    </w:lvl>
  </w:abstractNum>
  <w:abstractNum w:abstractNumId="188">
    <w:nsid w:val="3746A5F2"/>
    <w:multiLevelType w:val="hybridMultilevel"/>
    <w:lvl w:ilvl="0">
      <w:lvlJc w:val="left"/>
      <w:lvlText w:val="%1."/>
      <w:numFmt w:val="decimal"/>
      <w:start w:val="3"/>
    </w:lvl>
  </w:abstractNum>
  <w:abstractNum w:abstractNumId="189">
    <w:nsid w:val="682DFED6"/>
    <w:multiLevelType w:val="hybridMultilevel"/>
    <w:lvl w:ilvl="0">
      <w:lvlJc w:val="left"/>
      <w:lvlText w:val="***"/>
      <w:numFmt w:val="bullet"/>
      <w:start w:val="1"/>
    </w:lvl>
  </w:abstractNum>
  <w:abstractNum w:abstractNumId="190">
    <w:nsid w:val="606ED7F6"/>
    <w:multiLevelType w:val="hybridMultilevel"/>
    <w:lvl w:ilvl="0">
      <w:lvlJc w:val="left"/>
      <w:lvlText w:val="%1."/>
      <w:numFmt w:val="decimal"/>
      <w:start w:val="1"/>
    </w:lvl>
    <w:lvl w:ilvl="1">
      <w:lvlJc w:val="left"/>
      <w:lvlText w:val="•"/>
      <w:numFmt w:val="bullet"/>
      <w:start w:val="1"/>
    </w:lvl>
  </w:abstractNum>
  <w:abstractNum w:abstractNumId="191">
    <w:nsid w:val="2D9DF57D"/>
    <w:multiLevelType w:val="hybridMultilevel"/>
    <w:lvl w:ilvl="0">
      <w:lvlJc w:val="left"/>
      <w:lvlText w:val="%1."/>
      <w:numFmt w:val="lowerLetter"/>
      <w:start w:val="2"/>
    </w:lvl>
  </w:abstractNum>
  <w:abstractNum w:abstractNumId="192">
    <w:nsid w:val="7FBD7A3E"/>
    <w:multiLevelType w:val="hybridMultilevel"/>
    <w:lvl w:ilvl="0">
      <w:lvlJc w:val="left"/>
      <w:lvlText w:val="%1."/>
      <w:numFmt w:val="lowerLetter"/>
      <w:start w:val="3"/>
    </w:lvl>
  </w:abstractNum>
  <w:abstractNum w:abstractNumId="193">
    <w:nsid w:val="490B7C5"/>
    <w:multiLevelType w:val="hybridMultilevel"/>
    <w:lvl w:ilvl="0">
      <w:lvlJc w:val="left"/>
      <w:lvlText w:val="%1."/>
      <w:numFmt w:val="decimal"/>
      <w:start w:val="4"/>
    </w:lvl>
  </w:abstractNum>
  <w:abstractNum w:abstractNumId="194">
    <w:nsid w:val="4303A216"/>
    <w:multiLevelType w:val="hybridMultilevel"/>
    <w:lvl w:ilvl="0">
      <w:lvlJc w:val="left"/>
      <w:lvlText w:val="%1."/>
      <w:numFmt w:val="lowerLetter"/>
      <w:start w:val="1"/>
    </w:lvl>
  </w:abstractNum>
  <w:abstractNum w:abstractNumId="195">
    <w:nsid w:val="19B8A08E"/>
    <w:multiLevelType w:val="hybridMultilevel"/>
    <w:lvl w:ilvl="0">
      <w:lvlJc w:val="left"/>
      <w:lvlText w:val="***"/>
      <w:numFmt w:val="bullet"/>
      <w:start w:val="1"/>
    </w:lvl>
  </w:abstractNum>
  <w:abstractNum w:abstractNumId="196">
    <w:nsid w:val="54B59621"/>
    <w:multiLevelType w:val="hybridMultilevel"/>
    <w:lvl w:ilvl="0">
      <w:lvlJc w:val="left"/>
      <w:lvlText w:val="%1."/>
      <w:numFmt w:val="decimal"/>
      <w:start w:val="1"/>
    </w:lvl>
    <w:lvl w:ilvl="1">
      <w:lvlJc w:val="left"/>
      <w:lvlText w:val="•"/>
      <w:numFmt w:val="bullet"/>
      <w:start w:val="1"/>
    </w:lvl>
  </w:abstractNum>
  <w:abstractNum w:abstractNumId="197">
    <w:nsid w:val="5992A02E"/>
    <w:multiLevelType w:val="hybridMultilevel"/>
    <w:lvl w:ilvl="0">
      <w:lvlJc w:val="left"/>
      <w:lvlText w:val="%1."/>
      <w:numFmt w:val="decimal"/>
      <w:start w:val="2"/>
    </w:lvl>
    <w:lvl w:ilvl="1">
      <w:lvlJc w:val="left"/>
      <w:lvlText w:val="•"/>
      <w:numFmt w:val="bullet"/>
      <w:start w:val="1"/>
    </w:lvl>
  </w:abstractNum>
  <w:abstractNum w:abstractNumId="198">
    <w:nsid w:val="29EF532D"/>
    <w:multiLevelType w:val="hybridMultilevel"/>
    <w:lvl w:ilvl="0">
      <w:lvlJc w:val="left"/>
      <w:lvlText w:val="%1."/>
      <w:numFmt w:val="decimal"/>
      <w:start w:val="3"/>
    </w:lvl>
  </w:abstractNum>
  <w:abstractNum w:abstractNumId="199">
    <w:nsid w:val="71D601AF"/>
    <w:multiLevelType w:val="hybridMultilevel"/>
    <w:lvl w:ilvl="0">
      <w:lvlJc w:val="left"/>
      <w:lvlText w:val="%1."/>
      <w:numFmt w:val="decimal"/>
      <w:start w:val="4"/>
    </w:lvl>
  </w:abstractNum>
  <w:abstractNum w:abstractNumId="200">
    <w:nsid w:val="52C77402"/>
    <w:multiLevelType w:val="hybridMultilevel"/>
    <w:lvl w:ilvl="0">
      <w:lvlJc w:val="left"/>
      <w:lvlText w:val="%1."/>
      <w:numFmt w:val="lowerLetter"/>
      <w:start w:val="1"/>
    </w:lvl>
  </w:abstractNum>
  <w:abstractNum w:abstractNumId="201">
    <w:nsid w:val="2BB5B1C6"/>
    <w:multiLevelType w:val="hybridMultilevel"/>
    <w:lvl w:ilvl="0">
      <w:lvlJc w:val="left"/>
      <w:lvlText w:val="***"/>
      <w:numFmt w:val="bullet"/>
      <w:start w:val="1"/>
    </w:lvl>
  </w:abstractNum>
  <w:abstractNum w:abstractNumId="202">
    <w:nsid w:val="66BE6B9"/>
    <w:multiLevelType w:val="hybridMultilevel"/>
    <w:lvl w:ilvl="0">
      <w:lvlJc w:val="left"/>
      <w:lvlText w:val="%1."/>
      <w:numFmt w:val="decimal"/>
      <w:start w:val="1"/>
    </w:lvl>
    <w:lvl w:ilvl="1">
      <w:lvlJc w:val="left"/>
      <w:lvlText w:val="•"/>
      <w:numFmt w:val="bullet"/>
      <w:start w:val="1"/>
    </w:lvl>
  </w:abstractNum>
  <w:abstractNum w:abstractNumId="203">
    <w:nsid w:val="62234363"/>
    <w:multiLevelType w:val="hybridMultilevel"/>
    <w:lvl w:ilvl="0">
      <w:lvlJc w:val="left"/>
      <w:lvlText w:val="%1."/>
      <w:numFmt w:val="decimal"/>
      <w:start w:val="2"/>
    </w:lvl>
    <w:lvl w:ilvl="1">
      <w:lvlJc w:val="left"/>
      <w:lvlText w:val="•"/>
      <w:numFmt w:val="bullet"/>
      <w:start w:val="1"/>
    </w:lvl>
  </w:abstractNum>
  <w:abstractNum w:abstractNumId="204">
    <w:nsid w:val="66D385C9"/>
    <w:multiLevelType w:val="hybridMultilevel"/>
    <w:lvl w:ilvl="0">
      <w:lvlJc w:val="left"/>
      <w:lvlText w:val="%1."/>
      <w:numFmt w:val="decimal"/>
      <w:start w:val="3"/>
    </w:lvl>
  </w:abstractNum>
  <w:abstractNum w:abstractNumId="205">
    <w:nsid w:val="596F6D8A"/>
    <w:multiLevelType w:val="hybridMultilevel"/>
    <w:lvl w:ilvl="0">
      <w:lvlJc w:val="left"/>
      <w:lvlText w:val="%1."/>
      <w:numFmt w:val="decimal"/>
      <w:start w:val="4"/>
    </w:lvl>
  </w:abstractNum>
  <w:abstractNum w:abstractNumId="206">
    <w:nsid w:val="5749361F"/>
    <w:multiLevelType w:val="hybridMultilevel"/>
    <w:lvl w:ilvl="0">
      <w:lvlJc w:val="left"/>
      <w:lvlText w:val="%1."/>
      <w:numFmt w:val="lowerLetter"/>
      <w:start w:val="1"/>
    </w:lvl>
  </w:abstractNum>
  <w:abstractNum w:abstractNumId="207">
    <w:nsid w:val="73BC6770"/>
    <w:multiLevelType w:val="hybridMultilevel"/>
    <w:lvl w:ilvl="0">
      <w:lvlJc w:val="left"/>
      <w:lvlText w:val="***"/>
      <w:numFmt w:val="bullet"/>
      <w:start w:val="1"/>
    </w:lvl>
  </w:abstractNum>
  <w:abstractNum w:abstractNumId="208">
    <w:nsid w:val="280E6897"/>
    <w:multiLevelType w:val="hybridMultilevel"/>
    <w:lvl w:ilvl="0">
      <w:lvlJc w:val="left"/>
      <w:lvlText w:val="%1."/>
      <w:numFmt w:val="decimal"/>
      <w:start w:val="1"/>
    </w:lvl>
    <w:lvl w:ilvl="1">
      <w:lvlJc w:val="left"/>
      <w:lvlText w:val="•"/>
      <w:numFmt w:val="bullet"/>
      <w:start w:val="1"/>
    </w:lvl>
  </w:abstractNum>
  <w:abstractNum w:abstractNumId="209">
    <w:nsid w:val="605138DE"/>
    <w:multiLevelType w:val="hybridMultilevel"/>
    <w:lvl w:ilvl="0">
      <w:lvlJc w:val="left"/>
      <w:lvlText w:val="%1."/>
      <w:numFmt w:val="decimal"/>
      <w:start w:val="2"/>
    </w:lvl>
    <w:lvl w:ilvl="1">
      <w:lvlJc w:val="left"/>
      <w:lvlText w:val="•"/>
      <w:numFmt w:val="bullet"/>
      <w:start w:val="1"/>
    </w:lvl>
  </w:abstractNum>
  <w:abstractNum w:abstractNumId="210">
    <w:nsid w:val="2622AD0C"/>
    <w:multiLevelType w:val="hybridMultilevel"/>
    <w:lvl w:ilvl="0">
      <w:lvlJc w:val="left"/>
      <w:lvlText w:val="%1."/>
      <w:numFmt w:val="decimal"/>
      <w:start w:val="3"/>
    </w:lvl>
  </w:abstractNum>
  <w:abstractNum w:abstractNumId="211">
    <w:nsid w:val="67997556"/>
    <w:multiLevelType w:val="hybridMultilevel"/>
    <w:lvl w:ilvl="0">
      <w:lvlJc w:val="left"/>
      <w:lvlText w:val="%1."/>
      <w:numFmt w:val="decimal"/>
      <w:start w:val="4"/>
    </w:lvl>
  </w:abstractNum>
  <w:abstractNum w:abstractNumId="212">
    <w:nsid w:val="18333C89"/>
    <w:multiLevelType w:val="hybridMultilevel"/>
    <w:lvl w:ilvl="0">
      <w:lvlJc w:val="left"/>
      <w:lvlText w:val="%1."/>
      <w:numFmt w:val="lowerLetter"/>
      <w:start w:val="1"/>
    </w:lvl>
  </w:abstractNum>
  <w:abstractNum w:abstractNumId="213">
    <w:nsid w:val="4BA9831A"/>
    <w:multiLevelType w:val="hybridMultilevel"/>
    <w:lvl w:ilvl="0">
      <w:lvlJc w:val="left"/>
      <w:lvlText w:val="***"/>
      <w:numFmt w:val="bullet"/>
      <w:start w:val="1"/>
    </w:lvl>
  </w:abstractNum>
  <w:abstractNum w:abstractNumId="214">
    <w:nsid w:val="6D71A2B"/>
    <w:multiLevelType w:val="hybridMultilevel"/>
    <w:lvl w:ilvl="0">
      <w:lvlJc w:val="left"/>
      <w:lvlText w:val="%1."/>
      <w:numFmt w:val="decimal"/>
      <w:start w:val="1"/>
    </w:lvl>
    <w:lvl w:ilvl="1">
      <w:lvlJc w:val="left"/>
      <w:lvlText w:val="•"/>
      <w:numFmt w:val="bullet"/>
      <w:start w:val="1"/>
    </w:lvl>
  </w:abstractNum>
  <w:abstractNum w:abstractNumId="215">
    <w:nsid w:val="CFC7321"/>
    <w:multiLevelType w:val="hybridMultilevel"/>
    <w:lvl w:ilvl="0">
      <w:lvlJc w:val="left"/>
      <w:lvlText w:val="(%1)"/>
      <w:numFmt w:val="decimal"/>
      <w:start w:val="1"/>
    </w:lvl>
  </w:abstractNum>
  <w:abstractNum w:abstractNumId="216">
    <w:nsid w:val="1421971B"/>
    <w:multiLevelType w:val="hybridMultilevel"/>
    <w:lvl w:ilvl="0">
      <w:lvlJc w:val="left"/>
      <w:lvlText w:val="***"/>
      <w:numFmt w:val="bullet"/>
      <w:start w:val="1"/>
    </w:lvl>
  </w:abstractNum>
  <w:abstractNum w:abstractNumId="217">
    <w:nsid w:val="1F404301"/>
    <w:multiLevelType w:val="hybridMultilevel"/>
    <w:lvl w:ilvl="0">
      <w:lvlJc w:val="left"/>
      <w:lvlText w:val="%1."/>
      <w:numFmt w:val="decimal"/>
      <w:start w:val="1"/>
    </w:lvl>
    <w:lvl w:ilvl="1">
      <w:lvlJc w:val="left"/>
      <w:lvlText w:val="•"/>
      <w:numFmt w:val="bullet"/>
      <w:start w:val="1"/>
    </w:lvl>
  </w:abstractNum>
  <w:abstractNum w:abstractNumId="218">
    <w:nsid w:val="116E0907"/>
    <w:multiLevelType w:val="hybridMultilevel"/>
    <w:lvl w:ilvl="0">
      <w:lvlJc w:val="left"/>
      <w:lvlText w:val="%1."/>
      <w:numFmt w:val="decimal"/>
      <w:start w:val="2"/>
    </w:lvl>
    <w:lvl w:ilvl="1">
      <w:lvlJc w:val="left"/>
      <w:lvlText w:val="•"/>
      <w:numFmt w:val="bullet"/>
      <w:start w:val="1"/>
    </w:lvl>
  </w:abstractNum>
  <w:abstractNum w:abstractNumId="219">
    <w:nsid w:val="4B683D0D"/>
    <w:multiLevelType w:val="hybridMultilevel"/>
    <w:lvl w:ilvl="0">
      <w:lvlJc w:val="left"/>
      <w:lvlText w:val="%1."/>
      <w:numFmt w:val="decimal"/>
      <w:start w:val="3"/>
    </w:lvl>
  </w:abstractNum>
  <w:abstractNum w:abstractNumId="220">
    <w:nsid w:val="76E41D8"/>
    <w:multiLevelType w:val="hybridMultilevel"/>
    <w:lvl w:ilvl="0">
      <w:lvlJc w:val="left"/>
      <w:lvlText w:val="%1."/>
      <w:numFmt w:val="decimal"/>
      <w:start w:val="4"/>
    </w:lvl>
  </w:abstractNum>
  <w:abstractNum w:abstractNumId="221">
    <w:nsid w:val="71DCE0FD"/>
    <w:multiLevelType w:val="hybridMultilevel"/>
    <w:lvl w:ilvl="0">
      <w:lvlJc w:val="left"/>
      <w:lvlText w:val="%1."/>
      <w:numFmt w:val="lowerLetter"/>
      <w:start w:val="1"/>
    </w:lvl>
  </w:abstractNum>
  <w:abstractNum w:abstractNumId="222">
    <w:nsid w:val="7906328B"/>
    <w:multiLevelType w:val="hybridMultilevel"/>
    <w:lvl w:ilvl="0">
      <w:lvlJc w:val="left"/>
      <w:lvlText w:val="***"/>
      <w:numFmt w:val="bullet"/>
      <w:start w:val="1"/>
    </w:lvl>
  </w:abstractNum>
  <w:abstractNum w:abstractNumId="223">
    <w:nsid w:val="72BBC16"/>
    <w:multiLevelType w:val="hybridMultilevel"/>
    <w:lvl w:ilvl="0">
      <w:lvlJc w:val="left"/>
      <w:lvlText w:val="%1."/>
      <w:numFmt w:val="decimal"/>
      <w:start w:val="1"/>
    </w:lvl>
  </w:abstractNum>
  <w:abstractNum w:abstractNumId="224">
    <w:nsid w:val="766D98C2"/>
    <w:multiLevelType w:val="hybridMultilevel"/>
    <w:lvl w:ilvl="0">
      <w:lvlJc w:val="left"/>
      <w:lvlText w:val="•"/>
      <w:numFmt w:val="bullet"/>
      <w:start w:val="1"/>
    </w:lvl>
  </w:abstractNum>
  <w:abstractNum w:abstractNumId="225">
    <w:nsid w:val="3C09D4A1"/>
    <w:multiLevelType w:val="hybridMultilevel"/>
    <w:lvl w:ilvl="0">
      <w:lvlJc w:val="left"/>
      <w:lvlText w:val="%1."/>
      <w:numFmt w:val="decimal"/>
      <w:start w:val="2"/>
    </w:lvl>
    <w:lvl w:ilvl="1">
      <w:lvlJc w:val="left"/>
      <w:lvlText w:val="•"/>
      <w:numFmt w:val="bullet"/>
      <w:start w:val="1"/>
    </w:lvl>
  </w:abstractNum>
  <w:abstractNum w:abstractNumId="226">
    <w:nsid w:val="20E45CA4"/>
    <w:multiLevelType w:val="hybridMultilevel"/>
    <w:lvl w:ilvl="0">
      <w:lvlJc w:val="left"/>
      <w:lvlText w:val="%1."/>
      <w:numFmt w:val="decimal"/>
      <w:start w:val="3"/>
    </w:lvl>
  </w:abstractNum>
  <w:abstractNum w:abstractNumId="227">
    <w:nsid w:val="4B232EE3"/>
    <w:multiLevelType w:val="hybridMultilevel"/>
    <w:lvl w:ilvl="0">
      <w:lvlJc w:val="left"/>
      <w:lvlText w:val="%1."/>
      <w:numFmt w:val="decimal"/>
      <w:start w:val="4"/>
    </w:lvl>
  </w:abstractNum>
  <w:abstractNum w:abstractNumId="228">
    <w:nsid w:val="159C74CF"/>
    <w:multiLevelType w:val="hybridMultilevel"/>
    <w:lvl w:ilvl="0">
      <w:lvlJc w:val="left"/>
      <w:lvlText w:val="%1."/>
      <w:numFmt w:val="lowerLetter"/>
      <w:start w:val="1"/>
    </w:lvl>
  </w:abstractNum>
  <w:abstractNum w:abstractNumId="229">
    <w:nsid w:val="4AD3AFD2"/>
    <w:multiLevelType w:val="hybridMultilevel"/>
    <w:lvl w:ilvl="0">
      <w:lvlJc w:val="left"/>
      <w:lvlText w:val="***"/>
      <w:numFmt w:val="bullet"/>
      <w:start w:val="1"/>
    </w:lvl>
  </w:abstractNum>
  <w:abstractNum w:abstractNumId="230">
    <w:nsid w:val="3CF93092"/>
    <w:multiLevelType w:val="hybridMultilevel"/>
    <w:lvl w:ilvl="0">
      <w:lvlJc w:val="left"/>
      <w:lvlText w:val="%1."/>
      <w:numFmt w:val="decimal"/>
      <w:start w:val="1"/>
    </w:lvl>
  </w:abstractNum>
  <w:abstractNum w:abstractNumId="231">
    <w:nsid w:val="6863E8D2"/>
    <w:multiLevelType w:val="hybridMultilevel"/>
    <w:lvl w:ilvl="0">
      <w:lvlJc w:val="left"/>
      <w:lvlText w:val="•"/>
      <w:numFmt w:val="bullet"/>
      <w:start w:val="1"/>
    </w:lvl>
  </w:abstractNum>
  <w:abstractNum w:abstractNumId="232">
    <w:nsid w:val="76896198"/>
    <w:multiLevelType w:val="hybridMultilevel"/>
    <w:lvl w:ilvl="0">
      <w:lvlJc w:val="left"/>
      <w:lvlText w:val="%1."/>
      <w:numFmt w:val="decimal"/>
      <w:start w:val="2"/>
    </w:lvl>
  </w:abstractNum>
  <w:abstractNum w:abstractNumId="233">
    <w:nsid w:val="4365174B"/>
    <w:multiLevelType w:val="hybridMultilevel"/>
    <w:lvl w:ilvl="0">
      <w:lvlJc w:val="left"/>
      <w:lvlText w:val="%1."/>
      <w:numFmt w:val="decimal"/>
      <w:start w:val="3"/>
    </w:lvl>
  </w:abstractNum>
  <w:abstractNum w:abstractNumId="234">
    <w:nsid w:val="4A872C35"/>
    <w:multiLevelType w:val="hybridMultilevel"/>
    <w:lvl w:ilvl="0">
      <w:lvlJc w:val="left"/>
      <w:lvlText w:val="%1."/>
      <w:numFmt w:val="decimal"/>
      <w:start w:val="4"/>
    </w:lvl>
  </w:abstractNum>
  <w:abstractNum w:abstractNumId="235">
    <w:nsid w:val="5D5CE761"/>
    <w:multiLevelType w:val="hybridMultilevel"/>
    <w:lvl w:ilvl="0">
      <w:lvlJc w:val="left"/>
      <w:lvlText w:val="%1."/>
      <w:numFmt w:val="lowerLetter"/>
      <w:start w:val="1"/>
    </w:lvl>
  </w:abstractNum>
  <w:abstractNum w:abstractNumId="236">
    <w:nsid w:val="1CD484D5"/>
    <w:multiLevelType w:val="hybridMultilevel"/>
    <w:lvl w:ilvl="0">
      <w:lvlJc w:val="left"/>
      <w:lvlText w:val="***"/>
      <w:numFmt w:val="bullet"/>
      <w:start w:val="1"/>
    </w:lvl>
  </w:abstractNum>
  <w:abstractNum w:abstractNumId="237">
    <w:nsid w:val="21D06255"/>
    <w:multiLevelType w:val="hybridMultilevel"/>
    <w:lvl w:ilvl="0">
      <w:lvlJc w:val="left"/>
      <w:lvlText w:val="%1."/>
      <w:numFmt w:val="decimal"/>
      <w:start w:val="1"/>
    </w:lvl>
    <w:lvl w:ilvl="1">
      <w:lvlJc w:val="left"/>
      <w:lvlText w:val="•"/>
      <w:numFmt w:val="bullet"/>
      <w:start w:val="1"/>
    </w:lvl>
  </w:abstractNum>
  <w:abstractNum w:abstractNumId="238">
    <w:nsid w:val="51194ED1"/>
    <w:multiLevelType w:val="hybridMultilevel"/>
    <w:lvl w:ilvl="0">
      <w:lvlJc w:val="left"/>
      <w:lvlText w:val="%1."/>
      <w:numFmt w:val="decimal"/>
      <w:start w:val="2"/>
    </w:lvl>
    <w:lvl w:ilvl="1">
      <w:lvlJc w:val="left"/>
      <w:lvlText w:val="•"/>
      <w:numFmt w:val="bullet"/>
      <w:start w:val="1"/>
    </w:lvl>
  </w:abstractNum>
  <w:abstractNum w:abstractNumId="239">
    <w:nsid w:val="44E2ED6C"/>
    <w:multiLevelType w:val="hybridMultilevel"/>
    <w:lvl w:ilvl="0">
      <w:lvlJc w:val="left"/>
      <w:lvlText w:val="%1."/>
      <w:numFmt w:val="decimal"/>
      <w:start w:val="3"/>
    </w:lvl>
  </w:abstractNum>
  <w:abstractNum w:abstractNumId="240">
    <w:nsid w:val="2219B33"/>
    <w:multiLevelType w:val="hybridMultilevel"/>
    <w:lvl w:ilvl="0">
      <w:lvlJc w:val="left"/>
      <w:lvlText w:val="%1."/>
      <w:numFmt w:val="decimal"/>
      <w:start w:val="4"/>
    </w:lvl>
    <w:lvl w:ilvl="1">
      <w:lvlJc w:val="left"/>
      <w:lvlText w:val="(%2)"/>
      <w:numFmt w:val="lowerLetter"/>
      <w:start w:val="1"/>
    </w:lvl>
  </w:abstractNum>
  <w:abstractNum w:abstractNumId="241">
    <w:nsid w:val="773BFBDD"/>
    <w:multiLevelType w:val="hybridMultilevel"/>
    <w:lvl w:ilvl="0">
      <w:lvlJc w:val="left"/>
      <w:lvlText w:val="***"/>
      <w:numFmt w:val="bullet"/>
      <w:start w:val="1"/>
    </w:lvl>
  </w:abstractNum>
  <w:abstractNum w:abstractNumId="242">
    <w:nsid w:val="2C7C62C2"/>
    <w:multiLevelType w:val="hybridMultilevel"/>
    <w:lvl w:ilvl="0">
      <w:lvlJc w:val="left"/>
      <w:lvlText w:val="%1."/>
      <w:numFmt w:val="decimal"/>
      <w:start w:val="1"/>
    </w:lvl>
    <w:lvl w:ilvl="1">
      <w:lvlJc w:val="left"/>
      <w:lvlText w:val="•"/>
      <w:numFmt w:val="bullet"/>
      <w:start w:val="1"/>
    </w:lvl>
  </w:abstractNum>
  <w:abstractNum w:abstractNumId="243">
    <w:nsid w:val="1A54D7BC"/>
    <w:multiLevelType w:val="hybridMultilevel"/>
    <w:lvl w:ilvl="0">
      <w:lvlJc w:val="left"/>
      <w:lvlText w:val="•"/>
      <w:numFmt w:val="bullet"/>
      <w:start w:val="1"/>
    </w:lvl>
  </w:abstractNum>
  <w:abstractNum w:abstractNumId="244">
    <w:nsid w:val="42E57EF7"/>
    <w:multiLevelType w:val="hybridMultilevel"/>
    <w:lvl w:ilvl="0">
      <w:lvlJc w:val="left"/>
      <w:lvlText w:val="%1."/>
      <w:numFmt w:val="decimal"/>
      <w:start w:val="3"/>
    </w:lvl>
  </w:abstractNum>
  <w:abstractNum w:abstractNumId="245">
    <w:nsid w:val="33537CED"/>
    <w:multiLevelType w:val="hybridMultilevel"/>
    <w:lvl w:ilvl="0">
      <w:lvlJc w:val="left"/>
      <w:lvlText w:val="%1."/>
      <w:numFmt w:val="decimal"/>
      <w:start w:val="4"/>
    </w:lvl>
    <w:lvl w:ilvl="1">
      <w:lvlJc w:val="left"/>
      <w:lvlText w:val="%2."/>
      <w:numFmt w:val="lowerLetter"/>
      <w:start w:val="1"/>
    </w:lvl>
  </w:abstractNum>
  <w:abstractNum w:abstractNumId="246">
    <w:nsid w:val="27514ADE"/>
    <w:multiLevelType w:val="hybridMultilevel"/>
    <w:lvl w:ilvl="0">
      <w:lvlJc w:val="left"/>
      <w:lvlText w:val="***"/>
      <w:numFmt w:val="bullet"/>
      <w:start w:val="1"/>
    </w:lvl>
  </w:abstractNum>
  <w:abstractNum w:abstractNumId="247">
    <w:nsid w:val="57071613"/>
    <w:multiLevelType w:val="hybridMultilevel"/>
    <w:lvl w:ilvl="0">
      <w:lvlJc w:val="left"/>
      <w:lvlText w:val="•"/>
      <w:numFmt w:val="bullet"/>
      <w:start w:val="1"/>
    </w:lvl>
  </w:abstractNum>
  <w:abstractNum w:abstractNumId="248">
    <w:nsid w:val="5293BFEF"/>
    <w:multiLevelType w:val="hybridMultilevel"/>
    <w:lvl w:ilvl="0">
      <w:lvlJc w:val="left"/>
      <w:lvlText w:val="%1."/>
      <w:numFmt w:val="decimal"/>
      <w:start w:val="1"/>
    </w:lvl>
  </w:abstractNum>
  <w:abstractNum w:abstractNumId="249">
    <w:nsid w:val="38BF53E5"/>
    <w:multiLevelType w:val="hybridMultilevel"/>
    <w:lvl w:ilvl="0">
      <w:lvlJc w:val="left"/>
      <w:lvlText w:val="%1."/>
      <w:numFmt w:val="decimal"/>
      <w:start w:val="3"/>
    </w:lvl>
  </w:abstractNum>
  <w:abstractNum w:abstractNumId="250">
    <w:nsid w:val="226F5320"/>
    <w:multiLevelType w:val="hybridMultilevel"/>
    <w:lvl w:ilvl="0">
      <w:lvlJc w:val="left"/>
      <w:lvlText w:val="***"/>
      <w:numFmt w:val="bullet"/>
      <w:start w:val="1"/>
    </w:lvl>
  </w:abstractNum>
  <w:abstractNum w:abstractNumId="251">
    <w:nsid w:val="5A0201C7"/>
    <w:multiLevelType w:val="hybridMultilevel"/>
    <w:lvl w:ilvl="0">
      <w:lvlJc w:val="left"/>
      <w:lvlText w:val="%1."/>
      <w:numFmt w:val="decimal"/>
      <w:start w:val="1"/>
    </w:lvl>
    <w:lvl w:ilvl="1">
      <w:lvlJc w:val="left"/>
      <w:lvlText w:val="•"/>
      <w:numFmt w:val="bullet"/>
      <w:start w:val="1"/>
    </w:lvl>
  </w:abstractNum>
  <w:abstractNum w:abstractNumId="252">
    <w:nsid w:val="2A9C34E2"/>
    <w:multiLevelType w:val="hybridMultilevel"/>
    <w:lvl w:ilvl="0">
      <w:lvlJc w:val="left"/>
      <w:lvlText w:val="%1."/>
      <w:numFmt w:val="decimal"/>
      <w:start w:val="2"/>
    </w:lvl>
    <w:lvl w:ilvl="1">
      <w:lvlJc w:val="left"/>
      <w:lvlText w:val="•"/>
      <w:numFmt w:val="bullet"/>
      <w:start w:val="1"/>
    </w:lvl>
  </w:abstractNum>
  <w:abstractNum w:abstractNumId="253">
    <w:nsid w:val="1B7585AB"/>
    <w:multiLevelType w:val="hybridMultilevel"/>
    <w:lvl w:ilvl="0">
      <w:lvlJc w:val="left"/>
      <w:lvlText w:val="%1."/>
      <w:numFmt w:val="decimal"/>
      <w:start w:val="3"/>
    </w:lvl>
  </w:abstractNum>
  <w:abstractNum w:abstractNumId="254">
    <w:nsid w:val="612DBDDD"/>
    <w:multiLevelType w:val="hybridMultilevel"/>
    <w:lvl w:ilvl="0">
      <w:lvlJc w:val="left"/>
      <w:lvlText w:val="%1."/>
      <w:numFmt w:val="decimal"/>
      <w:start w:val="4"/>
    </w:lvl>
  </w:abstractNum>
  <w:abstractNum w:abstractNumId="255">
    <w:nsid w:val="2109CDA4"/>
    <w:multiLevelType w:val="hybridMultilevel"/>
    <w:lvl w:ilvl="0">
      <w:lvlJc w:val="left"/>
      <w:lvlText w:val="%1."/>
      <w:numFmt w:val="lowerLetter"/>
      <w:start w:val="1"/>
    </w:lvl>
  </w:abstractNum>
  <w:abstractNum w:abstractNumId="256">
    <w:nsid w:val="577F5A4D"/>
    <w:multiLevelType w:val="hybridMultilevel"/>
    <w:lvl w:ilvl="0">
      <w:lvlJc w:val="left"/>
      <w:lvlText w:val="%1."/>
      <w:numFmt w:val="lowerLetter"/>
      <w:start w:val="2"/>
    </w:lvl>
  </w:abstractNum>
  <w:abstractNum w:abstractNumId="257">
    <w:nsid w:val="2121A81"/>
    <w:multiLevelType w:val="hybridMultilevel"/>
    <w:lvl w:ilvl="0">
      <w:lvlJc w:val="left"/>
      <w:lvlText w:val="***"/>
      <w:numFmt w:val="bullet"/>
      <w:start w:val="1"/>
    </w:lvl>
  </w:abstractNum>
  <w:abstractNum w:abstractNumId="258">
    <w:nsid w:val="6C2CFC88"/>
    <w:multiLevelType w:val="hybridMultilevel"/>
    <w:lvl w:ilvl="0">
      <w:lvlJc w:val="left"/>
      <w:lvlText w:val="%1."/>
      <w:numFmt w:val="decimal"/>
      <w:start w:val="1"/>
    </w:lvl>
    <w:lvl w:ilvl="1">
      <w:lvlJc w:val="left"/>
      <w:lvlText w:val="•"/>
      <w:numFmt w:val="bullet"/>
      <w:start w:val="1"/>
    </w:lvl>
  </w:abstractNum>
  <w:abstractNum w:abstractNumId="259">
    <w:nsid w:val="6D1BCF1C"/>
    <w:multiLevelType w:val="hybridMultilevel"/>
    <w:lvl w:ilvl="0">
      <w:lvlJc w:val="left"/>
      <w:lvlText w:val="%1."/>
      <w:numFmt w:val="decimal"/>
      <w:start w:val="3"/>
    </w:lvl>
  </w:abstractNum>
  <w:abstractNum w:abstractNumId="260">
    <w:nsid w:val="4CE5CA53"/>
    <w:multiLevelType w:val="hybridMultilevel"/>
    <w:lvl w:ilvl="0">
      <w:lvlJc w:val="left"/>
      <w:lvlText w:val="***"/>
      <w:numFmt w:val="bullet"/>
      <w:start w:val="1"/>
    </w:lvl>
  </w:abstractNum>
  <w:abstractNum w:abstractNumId="261">
    <w:nsid w:val="29262D1A"/>
    <w:multiLevelType w:val="hybridMultilevel"/>
    <w:lvl w:ilvl="0">
      <w:lvlJc w:val="left"/>
      <w:lvlText w:val="•"/>
      <w:numFmt w:val="bullet"/>
      <w:start w:val="1"/>
    </w:lvl>
  </w:abstractNum>
  <w:abstractNum w:abstractNumId="262">
    <w:nsid w:val="557FB7EE"/>
    <w:multiLevelType w:val="hybridMultilevel"/>
    <w:lvl w:ilvl="0">
      <w:lvlJc w:val="left"/>
      <w:lvlText w:val="%1."/>
      <w:numFmt w:val="decimal"/>
      <w:start w:val="2"/>
    </w:lvl>
    <w:lvl w:ilvl="1">
      <w:lvlJc w:val="left"/>
      <w:lvlText w:val="•"/>
      <w:numFmt w:val="bullet"/>
      <w:start w:val="1"/>
    </w:lvl>
  </w:abstractNum>
  <w:abstractNum w:abstractNumId="263">
    <w:nsid w:val="436F2BEB"/>
    <w:multiLevelType w:val="hybridMultilevel"/>
    <w:lvl w:ilvl="0">
      <w:lvlJc w:val="left"/>
      <w:lvlText w:val="%1."/>
      <w:numFmt w:val="decimal"/>
      <w:start w:val="3"/>
    </w:lvl>
  </w:abstractNum>
  <w:abstractNum w:abstractNumId="264">
    <w:nsid w:val="6C8B4466"/>
    <w:multiLevelType w:val="hybridMultilevel"/>
    <w:lvl w:ilvl="0">
      <w:lvlJc w:val="left"/>
      <w:lvlText w:val="%1."/>
      <w:numFmt w:val="lowerLetter"/>
      <w:start w:val="1"/>
    </w:lvl>
  </w:abstractNum>
  <w:abstractNum w:abstractNumId="265">
    <w:nsid w:val="2006E424"/>
    <w:multiLevelType w:val="hybridMultilevel"/>
    <w:lvl w:ilvl="0">
      <w:lvlJc w:val="left"/>
      <w:lvlText w:val="(%1)"/>
      <w:numFmt w:val="lowerRoman"/>
      <w:start w:val="2"/>
    </w:lvl>
  </w:abstractNum>
  <w:abstractNum w:abstractNumId="266">
    <w:nsid w:val="20CC134C"/>
    <w:multiLevelType w:val="hybridMultilevel"/>
    <w:lvl w:ilvl="0">
      <w:lvlJc w:val="left"/>
      <w:lvlText w:val="(%1)"/>
      <w:numFmt w:val="lowerRoman"/>
      <w:start w:val="2"/>
    </w:lvl>
  </w:abstractNum>
  <w:abstractNum w:abstractNumId="267">
    <w:nsid w:val="95FC93B"/>
    <w:multiLevelType w:val="hybridMultilevel"/>
    <w:lvl w:ilvl="0">
      <w:lvlJc w:val="left"/>
      <w:lvlText w:val="%1."/>
      <w:numFmt w:val="lowerLetter"/>
      <w:start w:val="2"/>
    </w:lvl>
  </w:abstractNum>
  <w:abstractNum w:abstractNumId="268">
    <w:nsid w:val="41D74679"/>
    <w:multiLevelType w:val="hybridMultilevel"/>
    <w:lvl w:ilvl="0">
      <w:lvlJc w:val="left"/>
      <w:lvlText w:val="%1."/>
      <w:numFmt w:val="lowerLetter"/>
      <w:start w:val="3"/>
    </w:lvl>
  </w:abstractNum>
  <w:abstractNum w:abstractNumId="269">
    <w:nsid w:val="71E5621E"/>
    <w:multiLevelType w:val="hybridMultilevel"/>
    <w:lvl w:ilvl="0">
      <w:lvlJc w:val="left"/>
      <w:lvlText w:val="%1."/>
      <w:numFmt w:val="lowerLetter"/>
      <w:start w:val="1"/>
    </w:lvl>
  </w:abstractNum>
  <w:abstractNum w:abstractNumId="270">
    <w:nsid w:val="4E42B6A8"/>
    <w:multiLevelType w:val="hybridMultilevel"/>
    <w:lvl w:ilvl="0">
      <w:lvlJc w:val="left"/>
      <w:lvlText w:val="%1."/>
      <w:numFmt w:val="decimal"/>
      <w:start w:val="4"/>
    </w:lvl>
    <w:lvl w:ilvl="1">
      <w:lvlJc w:val="left"/>
      <w:lvlText w:val="%2."/>
      <w:numFmt w:val="lowerLetter"/>
      <w:start w:val="1"/>
    </w:lvl>
  </w:abstractNum>
  <w:abstractNum w:abstractNumId="271">
    <w:nsid w:val="43F8E1AC"/>
    <w:multiLevelType w:val="hybridMultilevel"/>
    <w:lvl w:ilvl="0">
      <w:lvlJc w:val="left"/>
      <w:lvlText w:val="***"/>
      <w:numFmt w:val="bullet"/>
      <w:start w:val="1"/>
    </w:lvl>
  </w:abstractNum>
  <w:abstractNum w:abstractNumId="272">
    <w:nsid w:val="69215DFB"/>
    <w:multiLevelType w:val="hybridMultilevel"/>
    <w:lvl w:ilvl="0">
      <w:lvlJc w:val="left"/>
      <w:lvlText w:val="%1."/>
      <w:numFmt w:val="decimal"/>
      <w:start w:val="1"/>
    </w:lvl>
  </w:abstractNum>
  <w:abstractNum w:abstractNumId="273">
    <w:nsid w:val="7ABF196A"/>
    <w:multiLevelType w:val="hybridMultilevel"/>
    <w:lvl w:ilvl="0">
      <w:lvlJc w:val="left"/>
      <w:lvlText w:val="•"/>
      <w:numFmt w:val="bullet"/>
      <w:start w:val="1"/>
    </w:lvl>
  </w:abstractNum>
  <w:abstractNum w:abstractNumId="274">
    <w:nsid w:val="5E4DB968"/>
    <w:multiLevelType w:val="hybridMultilevel"/>
    <w:lvl w:ilvl="0">
      <w:lvlJc w:val="left"/>
      <w:lvlText w:val="%1."/>
      <w:numFmt w:val="decimal"/>
      <w:start w:val="3"/>
    </w:lvl>
  </w:abstractNum>
  <w:abstractNum w:abstractNumId="275">
    <w:nsid w:val="2C06DCF3"/>
    <w:multiLevelType w:val="hybridMultilevel"/>
    <w:lvl w:ilvl="0">
      <w:lvlJc w:val="left"/>
      <w:lvlText w:val="%1."/>
      <w:numFmt w:val="lowerLetter"/>
      <w:start w:val="1"/>
    </w:lvl>
  </w:abstractNum>
  <w:abstractNum w:abstractNumId="276">
    <w:nsid w:val="2E129658"/>
    <w:multiLevelType w:val="hybridMultilevel"/>
    <w:lvl w:ilvl="0">
      <w:lvlJc w:val="left"/>
      <w:lvlText w:val="%1."/>
      <w:numFmt w:val="lowerLetter"/>
      <w:start w:val="4"/>
    </w:lvl>
  </w:abstractNum>
  <w:abstractNum w:abstractNumId="277">
    <w:nsid w:val="59F0446"/>
    <w:multiLevelType w:val="hybridMultilevel"/>
    <w:lvl w:ilvl="0">
      <w:lvlJc w:val="left"/>
      <w:lvlText w:val="***"/>
      <w:numFmt w:val="bullet"/>
      <w:start w:val="1"/>
    </w:lvl>
  </w:abstractNum>
  <w:abstractNum w:abstractNumId="278">
    <w:nsid w:val="30DF306"/>
    <w:multiLevelType w:val="hybridMultilevel"/>
    <w:lvl w:ilvl="0">
      <w:lvlJc w:val="left"/>
      <w:lvlText w:val="%1."/>
      <w:numFmt w:val="decimal"/>
      <w:start w:val="1"/>
    </w:lvl>
  </w:abstractNum>
  <w:abstractNum w:abstractNumId="279">
    <w:nsid w:val="A65647"/>
    <w:multiLevelType w:val="hybridMultilevel"/>
    <w:lvl w:ilvl="0">
      <w:lvlJc w:val="left"/>
      <w:lvlText w:val="***"/>
      <w:numFmt w:val="bullet"/>
      <w:start w:val="1"/>
    </w:lvl>
  </w:abstractNum>
  <w:abstractNum w:abstractNumId="280">
    <w:nsid w:val="3E5E582B"/>
    <w:multiLevelType w:val="hybridMultilevel"/>
    <w:lvl w:ilvl="0">
      <w:lvlJc w:val="left"/>
      <w:lvlText w:val="%1."/>
      <w:numFmt w:val="decimal"/>
      <w:start w:val="1"/>
    </w:lvl>
  </w:abstractNum>
  <w:abstractNum w:abstractNumId="281">
    <w:nsid w:val="257D4626"/>
    <w:multiLevelType w:val="hybridMultilevel"/>
    <w:lvl w:ilvl="0">
      <w:lvlJc w:val="left"/>
      <w:lvlText w:val="•"/>
      <w:numFmt w:val="bullet"/>
      <w:start w:val="1"/>
    </w:lvl>
  </w:abstractNum>
  <w:abstractNum w:abstractNumId="282">
    <w:nsid w:val="5AA8580E"/>
    <w:multiLevelType w:val="hybridMultilevel"/>
    <w:lvl w:ilvl="0">
      <w:lvlJc w:val="left"/>
      <w:lvlText w:val="%1."/>
      <w:numFmt w:val="decimal"/>
      <w:start w:val="3"/>
    </w:lvl>
  </w:abstractNum>
  <w:abstractNum w:abstractNumId="283">
    <w:nsid w:val="68FA8D0D"/>
    <w:multiLevelType w:val="hybridMultilevel"/>
    <w:lvl w:ilvl="0">
      <w:lvlJc w:val="left"/>
      <w:lvlText w:val="%1."/>
      <w:numFmt w:val="decimal"/>
      <w:start w:val="4"/>
    </w:lvl>
    <w:lvl w:ilvl="1">
      <w:lvlJc w:val="left"/>
      <w:lvlText w:val="%2."/>
      <w:numFmt w:val="lowerLetter"/>
      <w:start w:val="1"/>
    </w:lvl>
  </w:abstractNum>
  <w:abstractNum w:abstractNumId="284">
    <w:nsid w:val="40F2CBD2"/>
    <w:multiLevelType w:val="hybridMultilevel"/>
    <w:lvl w:ilvl="0">
      <w:lvlJc w:val="left"/>
      <w:lvlText w:val="***"/>
      <w:numFmt w:val="bullet"/>
      <w:start w:val="1"/>
    </w:lvl>
  </w:abstractNum>
  <w:abstractNum w:abstractNumId="285">
    <w:nsid w:val="3BD615EB"/>
    <w:multiLevelType w:val="hybridMultilevel"/>
    <w:lvl w:ilvl="0">
      <w:lvlJc w:val="left"/>
      <w:lvlText w:val="•"/>
      <w:numFmt w:val="bullet"/>
      <w:start w:val="1"/>
    </w:lvl>
  </w:abstractNum>
  <w:abstractNum w:abstractNumId="286">
    <w:nsid w:val="A045AB2"/>
    <w:multiLevelType w:val="hybridMultilevel"/>
    <w:lvl w:ilvl="0">
      <w:lvlJc w:val="left"/>
      <w:lvlText w:val="%1."/>
      <w:numFmt w:val="decimal"/>
      <w:start w:val="1"/>
    </w:lvl>
  </w:abstractNum>
  <w:abstractNum w:abstractNumId="287">
    <w:nsid w:val="1872261F"/>
    <w:multiLevelType w:val="hybridMultilevel"/>
    <w:lvl w:ilvl="0">
      <w:lvlJc w:val="left"/>
      <w:lvlText w:val="***"/>
      <w:numFmt w:val="bullet"/>
      <w:start w:val="1"/>
    </w:lvl>
  </w:abstractNum>
  <w:abstractNum w:abstractNumId="288">
    <w:nsid w:val="3DE8306C"/>
    <w:multiLevelType w:val="hybridMultilevel"/>
    <w:lvl w:ilvl="0">
      <w:lvlJc w:val="left"/>
      <w:lvlText w:val="•"/>
      <w:numFmt w:val="bullet"/>
      <w:start w:val="1"/>
    </w:lvl>
  </w:abstractNum>
  <w:abstractNum w:abstractNumId="289">
    <w:nsid w:val="7631573A"/>
    <w:multiLevelType w:val="hybridMultilevel"/>
    <w:lvl w:ilvl="0">
      <w:lvlJc w:val="left"/>
      <w:lvlText w:val="%1."/>
      <w:numFmt w:val="decimal"/>
      <w:start w:val="1"/>
    </w:lvl>
  </w:abstractNum>
  <w:abstractNum w:abstractNumId="290">
    <w:nsid w:val="58DF53B"/>
    <w:multiLevelType w:val="hybridMultilevel"/>
    <w:lvl w:ilvl="0">
      <w:lvlJc w:val="left"/>
      <w:lvlText w:val="***"/>
      <w:numFmt w:val="bullet"/>
      <w:start w:val="1"/>
    </w:lvl>
  </w:abstractNum>
  <w:abstractNum w:abstractNumId="291">
    <w:nsid w:val="ACDFAC0"/>
    <w:multiLevelType w:val="hybridMultilevel"/>
    <w:lvl w:ilvl="0">
      <w:lvlJc w:val="left"/>
      <w:lvlText w:val="%1."/>
      <w:numFmt w:val="decimal"/>
      <w:start w:val="1"/>
    </w:lvl>
  </w:abstractNum>
  <w:abstractNum w:abstractNumId="292">
    <w:nsid w:val="1F578454"/>
    <w:multiLevelType w:val="hybridMultilevel"/>
    <w:lvl w:ilvl="0">
      <w:lvlJc w:val="left"/>
      <w:lvlText w:val="%1."/>
      <w:numFmt w:val="lowerLetter"/>
      <w:start w:val="1"/>
    </w:lvl>
  </w:abstractNum>
  <w:abstractNum w:abstractNumId="293">
    <w:nsid w:val="5B0DAD2A"/>
    <w:multiLevelType w:val="hybridMultilevel"/>
    <w:lvl w:ilvl="0">
      <w:lvlJc w:val="left"/>
      <w:lvlText w:val="%1."/>
      <w:numFmt w:val="lowerLetter"/>
      <w:start w:val="2"/>
    </w:lvl>
  </w:abstractNum>
  <w:abstractNum w:abstractNumId="294">
    <w:nsid w:val="4E3D26AB"/>
    <w:multiLevelType w:val="hybridMultilevel"/>
    <w:lvl w:ilvl="0">
      <w:lvlJc w:val="left"/>
      <w:lvlText w:val="%1."/>
      <w:numFmt w:val="lowerLetter"/>
      <w:start w:val="3"/>
    </w:lvl>
  </w:abstractNum>
  <w:abstractNum w:abstractNumId="295">
    <w:nsid w:val="BE2C8BA"/>
    <w:multiLevelType w:val="hybridMultilevel"/>
    <w:lvl w:ilvl="0">
      <w:lvlJc w:val="left"/>
      <w:lvlText w:val="%1."/>
      <w:numFmt w:val="decimal"/>
      <w:start w:val="2"/>
    </w:lvl>
  </w:abstractNum>
  <w:abstractNum w:abstractNumId="296">
    <w:nsid w:val="7B14914E"/>
    <w:multiLevelType w:val="hybridMultilevel"/>
    <w:lvl w:ilvl="0">
      <w:lvlJc w:val="left"/>
      <w:lvlText w:val="%1."/>
      <w:numFmt w:val="lowerLetter"/>
      <w:start w:val="1"/>
    </w:lvl>
  </w:abstractNum>
  <w:abstractNum w:abstractNumId="297">
    <w:nsid w:val="6F0939F8"/>
    <w:multiLevelType w:val="hybridMultilevel"/>
    <w:lvl w:ilvl="0">
      <w:lvlJc w:val="left"/>
      <w:lvlText w:val="%1."/>
      <w:numFmt w:val="lowerLetter"/>
      <w:start w:val="1"/>
    </w:lvl>
  </w:abstractNum>
  <w:abstractNum w:abstractNumId="298">
    <w:nsid w:val="154291F6"/>
    <w:multiLevelType w:val="hybridMultilevel"/>
    <w:lvl w:ilvl="0">
      <w:lvlJc w:val="left"/>
      <w:lvlText w:val="***"/>
      <w:numFmt w:val="bullet"/>
      <w:start w:val="1"/>
    </w:lvl>
  </w:abstractNum>
  <w:abstractNum w:abstractNumId="299">
    <w:nsid w:val="3CEBD7C7"/>
    <w:multiLevelType w:val="hybridMultilevel"/>
    <w:lvl w:ilvl="0">
      <w:lvlJc w:val="left"/>
      <w:lvlText w:val="%1."/>
      <w:numFmt w:val="decimal"/>
      <w:start w:val="1"/>
    </w:lvl>
    <w:lvl w:ilvl="1">
      <w:lvlJc w:val="left"/>
      <w:lvlText w:val="•"/>
      <w:numFmt w:val="bullet"/>
      <w:start w:val="1"/>
    </w:lvl>
  </w:abstractNum>
  <w:abstractNum w:abstractNumId="300">
    <w:nsid w:val="60EE9C16"/>
    <w:multiLevelType w:val="hybridMultilevel"/>
    <w:lvl w:ilvl="0">
      <w:lvlJc w:val="left"/>
      <w:lvlText w:val="•"/>
      <w:numFmt w:val="bullet"/>
      <w:start w:val="1"/>
    </w:lvl>
  </w:abstractNum>
  <w:abstractNum w:abstractNumId="301">
    <w:nsid w:val="6385489E"/>
    <w:multiLevelType w:val="hybridMultilevel"/>
    <w:lvl w:ilvl="0">
      <w:lvlJc w:val="left"/>
      <w:lvlText w:val="%1."/>
      <w:numFmt w:val="decimal"/>
      <w:start w:val="3"/>
    </w:lvl>
  </w:abstractNum>
  <w:abstractNum w:abstractNumId="302">
    <w:nsid w:val="E4B973"/>
    <w:multiLevelType w:val="hybridMultilevel"/>
    <w:lvl w:ilvl="0">
      <w:lvlJc w:val="left"/>
      <w:lvlText w:val="%1."/>
      <w:numFmt w:val="lowerLetter"/>
      <w:start w:val="1"/>
    </w:lvl>
  </w:abstractNum>
  <w:abstractNum w:abstractNumId="303">
    <w:nsid w:val="4A0FFA11"/>
    <w:multiLevelType w:val="hybridMultilevel"/>
    <w:lvl w:ilvl="0">
      <w:lvlJc w:val="left"/>
      <w:lvlText w:val="%1."/>
      <w:numFmt w:val="lowerLetter"/>
      <w:start w:val="2"/>
    </w:lvl>
  </w:abstractNum>
  <w:abstractNum w:abstractNumId="304">
    <w:nsid w:val="5E446208"/>
    <w:multiLevelType w:val="hybridMultilevel"/>
    <w:lvl w:ilvl="0">
      <w:lvlJc w:val="left"/>
      <w:lvlText w:val="**"/>
      <w:numFmt w:val="bullet"/>
      <w:start w:val="1"/>
    </w:lvl>
    <w:lvl w:ilvl="1">
      <w:lvlJc w:val="left"/>
      <w:lvlText w:val="%2."/>
      <w:numFmt w:val="lowerLetter"/>
      <w:start w:val="3"/>
    </w:lvl>
  </w:abstractNum>
  <w:abstractNum w:abstractNumId="305">
    <w:nsid w:val="5F3272DB"/>
    <w:multiLevelType w:val="hybridMultilevel"/>
    <w:lvl w:ilvl="0">
      <w:lvlJc w:val="left"/>
      <w:lvlText w:val="%1."/>
      <w:numFmt w:val="decimal"/>
      <w:start w:val="4"/>
    </w:lvl>
    <w:lvl w:ilvl="1">
      <w:lvlJc w:val="left"/>
      <w:lvlText w:val="%2."/>
      <w:numFmt w:val="lowerLetter"/>
      <w:start w:val="1"/>
    </w:lvl>
  </w:abstractNum>
  <w:abstractNum w:abstractNumId="306">
    <w:nsid w:val="7616D704"/>
    <w:multiLevelType w:val="hybridMultilevel"/>
    <w:lvl w:ilvl="0">
      <w:lvlJc w:val="left"/>
      <w:lvlText w:val="***"/>
      <w:numFmt w:val="bullet"/>
      <w:start w:val="1"/>
    </w:lvl>
  </w:abstractNum>
  <w:abstractNum w:abstractNumId="307">
    <w:nsid w:val="C56F860"/>
    <w:multiLevelType w:val="hybridMultilevel"/>
    <w:lvl w:ilvl="0">
      <w:lvlJc w:val="left"/>
      <w:lvlText w:val="%1."/>
      <w:numFmt w:val="decimal"/>
      <w:start w:val="1"/>
    </w:lvl>
  </w:abstractNum>
  <w:abstractNum w:abstractNumId="308">
    <w:nsid w:val="64D17722"/>
    <w:multiLevelType w:val="hybridMultilevel"/>
    <w:lvl w:ilvl="0">
      <w:lvlJc w:val="left"/>
      <w:lvlText w:val="%1."/>
      <w:numFmt w:val="decimal"/>
      <w:start w:val="3"/>
    </w:lvl>
  </w:abstractNum>
  <w:abstractNum w:abstractNumId="309">
    <w:nsid w:val="7924CA0A"/>
    <w:multiLevelType w:val="hybridMultilevel"/>
    <w:lvl w:ilvl="0">
      <w:lvlJc w:val="left"/>
      <w:lvlText w:val="%1."/>
      <w:numFmt w:val="lowerLetter"/>
      <w:start w:val="1"/>
    </w:lvl>
  </w:abstractNum>
  <w:abstractNum w:abstractNumId="310">
    <w:nsid w:val="CFD4EA7"/>
    <w:multiLevelType w:val="hybridMultilevel"/>
    <w:lvl w:ilvl="0">
      <w:lvlJc w:val="left"/>
      <w:lvlText w:val="%1."/>
      <w:numFmt w:val="lowerLetter"/>
      <w:start w:val="2"/>
    </w:lvl>
  </w:abstractNum>
  <w:abstractNum w:abstractNumId="311">
    <w:nsid w:val="232FCF4D"/>
    <w:multiLevelType w:val="hybridMultilevel"/>
    <w:lvl w:ilvl="0">
      <w:lvlJc w:val="left"/>
      <w:lvlText w:val="%1."/>
      <w:numFmt w:val="lowerLetter"/>
      <w:start w:val="3"/>
    </w:lvl>
  </w:abstractNum>
  <w:abstractNum w:abstractNumId="312">
    <w:nsid w:val="1EA21031"/>
    <w:multiLevelType w:val="hybridMultilevel"/>
    <w:lvl w:ilvl="0">
      <w:lvlJc w:val="left"/>
      <w:lvlText w:val="%1."/>
      <w:numFmt w:val="decimal"/>
      <w:start w:val="4"/>
    </w:lvl>
    <w:lvl w:ilvl="1">
      <w:lvlJc w:val="left"/>
      <w:lvlText w:val="%2."/>
      <w:numFmt w:val="lowerLetter"/>
      <w:start w:val="1"/>
    </w:lvl>
  </w:abstractNum>
  <w:abstractNum w:abstractNumId="313">
    <w:nsid w:val="67A5A6B5"/>
    <w:multiLevelType w:val="hybridMultilevel"/>
    <w:lvl w:ilvl="0">
      <w:lvlJc w:val="left"/>
      <w:lvlText w:val="***"/>
      <w:numFmt w:val="bullet"/>
      <w:start w:val="1"/>
    </w:lvl>
  </w:abstractNum>
  <w:abstractNum w:abstractNumId="314">
    <w:nsid w:val="C2A5C5B"/>
    <w:multiLevelType w:val="hybridMultilevel"/>
    <w:lvl w:ilvl="0">
      <w:lvlJc w:val="left"/>
      <w:lvlText w:val="%1."/>
      <w:numFmt w:val="decimal"/>
      <w:start w:val="1"/>
    </w:lvl>
  </w:abstractNum>
  <w:abstractNum w:abstractNumId="315">
    <w:nsid w:val="5F94DC03"/>
    <w:multiLevelType w:val="hybridMultilevel"/>
    <w:lvl w:ilvl="0">
      <w:lvlJc w:val="left"/>
      <w:lvlText w:val="%1."/>
      <w:numFmt w:val="decimal"/>
      <w:start w:val="3"/>
    </w:lvl>
  </w:abstractNum>
  <w:abstractNum w:abstractNumId="316">
    <w:nsid w:val="237BBCA0"/>
    <w:multiLevelType w:val="hybridMultilevel"/>
    <w:lvl w:ilvl="0">
      <w:lvlJc w:val="left"/>
      <w:lvlText w:val="%1."/>
      <w:numFmt w:val="lowerLetter"/>
      <w:start w:val="1"/>
    </w:lvl>
  </w:abstractNum>
  <w:abstractNum w:abstractNumId="317">
    <w:nsid w:val="162EB70D"/>
    <w:multiLevelType w:val="hybridMultilevel"/>
    <w:lvl w:ilvl="0">
      <w:lvlJc w:val="left"/>
      <w:lvlText w:val="%1."/>
      <w:numFmt w:val="lowerLetter"/>
      <w:start w:val="2"/>
    </w:lvl>
  </w:abstractNum>
  <w:abstractNum w:abstractNumId="318">
    <w:nsid w:val="78070222"/>
    <w:multiLevelType w:val="hybridMultilevel"/>
    <w:lvl w:ilvl="0">
      <w:lvlJc w:val="left"/>
      <w:lvlText w:val="%1."/>
      <w:numFmt w:val="lowerLetter"/>
      <w:start w:val="3"/>
    </w:lvl>
  </w:abstractNum>
  <w:abstractNum w:abstractNumId="319">
    <w:nsid w:val="6163ED0D"/>
    <w:multiLevelType w:val="hybridMultilevel"/>
    <w:lvl w:ilvl="0">
      <w:lvlJc w:val="left"/>
      <w:lvlText w:val="%1."/>
      <w:numFmt w:val="decimal"/>
      <w:start w:val="4"/>
    </w:lvl>
    <w:lvl w:ilvl="1">
      <w:lvlJc w:val="left"/>
      <w:lvlText w:val="%2."/>
      <w:numFmt w:val="lowerLetter"/>
      <w:start w:val="1"/>
    </w:lvl>
  </w:abstractNum>
  <w:abstractNum w:abstractNumId="320">
    <w:nsid w:val="C600E47"/>
    <w:multiLevelType w:val="hybridMultilevel"/>
    <w:lvl w:ilvl="0">
      <w:lvlJc w:val="left"/>
      <w:lvlText w:val="***"/>
      <w:numFmt w:val="bullet"/>
      <w:start w:val="1"/>
    </w:lvl>
  </w:abstractNum>
  <w:abstractNum w:abstractNumId="321">
    <w:nsid w:val="7D94F75D"/>
    <w:multiLevelType w:val="hybridMultilevel"/>
    <w:lvl w:ilvl="0">
      <w:lvlJc w:val="left"/>
      <w:lvlText w:val="%1."/>
      <w:numFmt w:val="decimal"/>
      <w:start w:val="1"/>
    </w:lvl>
  </w:abstractNum>
  <w:abstractNum w:abstractNumId="322">
    <w:nsid w:val="6C31E7CD"/>
    <w:multiLevelType w:val="hybridMultilevel"/>
    <w:lvl w:ilvl="0">
      <w:lvlJc w:val="left"/>
      <w:lvlText w:val="***"/>
      <w:numFmt w:val="bullet"/>
      <w:start w:val="1"/>
    </w:lvl>
  </w:abstractNum>
  <w:abstractNum w:abstractNumId="323">
    <w:nsid w:val="2BB7929B"/>
    <w:multiLevelType w:val="hybridMultilevel"/>
    <w:lvl w:ilvl="0">
      <w:lvlJc w:val="left"/>
      <w:lvlText w:val="%1."/>
      <w:numFmt w:val="decimal"/>
      <w:start w:val="1"/>
    </w:lvl>
    <w:lvl w:ilvl="1">
      <w:lvlJc w:val="left"/>
      <w:lvlText w:val="•"/>
      <w:numFmt w:val="bullet"/>
      <w:start w:val="1"/>
    </w:lvl>
  </w:abstractNum>
  <w:abstractNum w:abstractNumId="324">
    <w:nsid w:val="58A2A487"/>
    <w:multiLevelType w:val="hybridMultilevel"/>
    <w:lvl w:ilvl="0">
      <w:lvlJc w:val="left"/>
      <w:lvlText w:val="***"/>
      <w:numFmt w:val="bullet"/>
      <w:start w:val="1"/>
    </w:lvl>
  </w:abstractNum>
  <w:abstractNum w:abstractNumId="325">
    <w:nsid w:val="3A6F0E78"/>
    <w:multiLevelType w:val="hybridMultilevel"/>
    <w:lvl w:ilvl="0">
      <w:lvlJc w:val="left"/>
      <w:lvlText w:val="1"/>
      <w:numFmt w:val="bullet"/>
      <w:start w:val="1"/>
    </w:lvl>
    <w:lvl w:ilvl="1">
      <w:lvlJc w:val="left"/>
      <w:lvlText w:val="•"/>
      <w:numFmt w:val="bullet"/>
      <w:start w:val="1"/>
    </w:lvl>
  </w:abstractNum>
  <w:abstractNum w:abstractNumId="326">
    <w:nsid w:val="379A5B56"/>
    <w:multiLevelType w:val="hybridMultilevel"/>
    <w:lvl w:ilvl="0">
      <w:lvlJc w:val="left"/>
      <w:lvlText w:val="%1."/>
      <w:numFmt w:val="decimal"/>
      <w:start w:val="2"/>
    </w:lvl>
    <w:lvl w:ilvl="1">
      <w:lvlJc w:val="left"/>
      <w:lvlText w:val="•"/>
      <w:numFmt w:val="bullet"/>
      <w:start w:val="1"/>
    </w:lvl>
  </w:abstractNum>
  <w:abstractNum w:abstractNumId="327">
    <w:nsid w:val="53B735D5"/>
    <w:multiLevelType w:val="hybridMultilevel"/>
    <w:lvl w:ilvl="0">
      <w:lvlJc w:val="left"/>
      <w:lvlText w:val="%1."/>
      <w:numFmt w:val="decimal"/>
      <w:start w:val="4"/>
    </w:lvl>
  </w:abstractNum>
  <w:abstractNum w:abstractNumId="328">
    <w:nsid w:val="29784870"/>
    <w:multiLevelType w:val="hybridMultilevel"/>
    <w:lvl w:ilvl="0">
      <w:lvlJc w:val="left"/>
      <w:lvlText w:val="%1."/>
      <w:numFmt w:val="lowerLetter"/>
      <w:start w:val="4"/>
    </w:lvl>
  </w:abstractNum>
  <w:abstractNum w:abstractNumId="329">
    <w:nsid w:val="4CDCED4C"/>
    <w:multiLevelType w:val="hybridMultilevel"/>
    <w:lvl w:ilvl="0">
      <w:lvlJc w:val="left"/>
      <w:lvlText w:val="***"/>
      <w:numFmt w:val="bullet"/>
      <w:start w:val="1"/>
    </w:lvl>
  </w:abstractNum>
  <w:abstractNum w:abstractNumId="330">
    <w:nsid w:val="10A30D9C"/>
    <w:multiLevelType w:val="hybridMultilevel"/>
    <w:lvl w:ilvl="0">
      <w:lvlJc w:val="left"/>
      <w:lvlText w:val="%1."/>
      <w:numFmt w:val="decimal"/>
      <w:start w:val="1"/>
    </w:lvl>
    <w:lvl w:ilvl="1">
      <w:lvlJc w:val="left"/>
      <w:lvlText w:val="•"/>
      <w:numFmt w:val="bullet"/>
      <w:start w:val="1"/>
    </w:lvl>
  </w:abstractNum>
  <w:abstractNum w:abstractNumId="331">
    <w:nsid w:val="A66E486"/>
    <w:multiLevelType w:val="hybridMultilevel"/>
    <w:lvl w:ilvl="0">
      <w:lvlJc w:val="left"/>
      <w:lvlText w:val="%1."/>
      <w:numFmt w:val="decimal"/>
      <w:start w:val="2"/>
    </w:lvl>
    <w:lvl w:ilvl="1">
      <w:lvlJc w:val="left"/>
      <w:lvlText w:val="•"/>
      <w:numFmt w:val="bullet"/>
      <w:start w:val="1"/>
    </w:lvl>
  </w:abstractNum>
  <w:abstractNum w:abstractNumId="332">
    <w:nsid w:val="306235EA"/>
    <w:multiLevelType w:val="hybridMultilevel"/>
    <w:lvl w:ilvl="0">
      <w:lvlJc w:val="left"/>
      <w:lvlText w:val="%1."/>
      <w:numFmt w:val="decimal"/>
      <w:start w:val="3"/>
    </w:lvl>
    <w:lvl w:ilvl="1">
      <w:lvlJc w:val="left"/>
      <w:lvlText w:val="*"/>
      <w:numFmt w:val="bullet"/>
      <w:start w:val="1"/>
    </w:lvl>
  </w:abstractNum>
  <w:abstractNum w:abstractNumId="333">
    <w:nsid w:val="1187C70F"/>
    <w:multiLevelType w:val="hybridMultilevel"/>
    <w:lvl w:ilvl="0">
      <w:lvlJc w:val="left"/>
      <w:lvlText w:val="%1."/>
      <w:numFmt w:val="decimal"/>
      <w:start w:val="4"/>
    </w:lvl>
  </w:abstractNum>
  <w:abstractNum w:abstractNumId="334">
    <w:nsid w:val="5476DE98"/>
    <w:multiLevelType w:val="hybridMultilevel"/>
    <w:lvl w:ilvl="0">
      <w:lvlJc w:val="left"/>
      <w:lvlText w:val="%1."/>
      <w:numFmt w:val="lowerLetter"/>
      <w:start w:val="1"/>
    </w:lvl>
    <w:lvl w:ilvl="1">
      <w:lvlJc w:val="left"/>
      <w:lvlText w:val="*"/>
      <w:numFmt w:val="bullet"/>
      <w:start w:val="1"/>
    </w:lvl>
  </w:abstractNum>
  <w:abstractNum w:abstractNumId="335">
    <w:nsid w:val="EA697F2"/>
    <w:multiLevelType w:val="hybridMultilevel"/>
    <w:lvl w:ilvl="0">
      <w:lvlJc w:val="left"/>
      <w:lvlText w:val="***"/>
      <w:numFmt w:val="bullet"/>
      <w:start w:val="1"/>
    </w:lvl>
  </w:abstractNum>
  <w:abstractNum w:abstractNumId="336">
    <w:nsid w:val="70BA39EB"/>
    <w:multiLevelType w:val="hybridMultilevel"/>
    <w:lvl w:ilvl="0">
      <w:lvlJc w:val="left"/>
      <w:lvlText w:val="%1."/>
      <w:numFmt w:val="decimal"/>
      <w:start w:val="1"/>
    </w:lvl>
    <w:lvl w:ilvl="1">
      <w:lvlJc w:val="left"/>
      <w:lvlText w:val="•"/>
      <w:numFmt w:val="bullet"/>
      <w:start w:val="1"/>
    </w:lvl>
  </w:abstractNum>
  <w:abstractNum w:abstractNumId="337">
    <w:nsid w:val="4A8DB59C"/>
    <w:multiLevelType w:val="hybridMultilevel"/>
    <w:lvl w:ilvl="0">
      <w:lvlJc w:val="left"/>
      <w:lvlText w:val="%1."/>
      <w:numFmt w:val="decimal"/>
      <w:start w:val="2"/>
    </w:lvl>
    <w:lvl w:ilvl="1">
      <w:lvlJc w:val="left"/>
      <w:lvlText w:val="•"/>
      <w:numFmt w:val="bullet"/>
      <w:start w:val="1"/>
    </w:lvl>
  </w:abstractNum>
  <w:abstractNum w:abstractNumId="338">
    <w:nsid w:val="1AFD9053"/>
    <w:multiLevelType w:val="hybridMultilevel"/>
    <w:lvl w:ilvl="0">
      <w:lvlJc w:val="left"/>
      <w:lvlText w:val="%1."/>
      <w:numFmt w:val="decimal"/>
      <w:start w:val="3"/>
    </w:lvl>
    <w:lvl w:ilvl="1">
      <w:lvlJc w:val="left"/>
      <w:lvlText w:val="*"/>
      <w:numFmt w:val="bullet"/>
      <w:start w:val="1"/>
    </w:lvl>
  </w:abstractNum>
  <w:abstractNum w:abstractNumId="339">
    <w:nsid w:val="558BB10D"/>
    <w:multiLevelType w:val="hybridMultilevel"/>
    <w:lvl w:ilvl="0">
      <w:lvlJc w:val="left"/>
      <w:lvlText w:val="%1."/>
      <w:numFmt w:val="decimal"/>
      <w:start w:val="4"/>
    </w:lvl>
  </w:abstractNum>
  <w:abstractNum w:abstractNumId="340">
    <w:nsid w:val="43B27FA7"/>
    <w:multiLevelType w:val="hybridMultilevel"/>
    <w:lvl w:ilvl="0">
      <w:lvlJc w:val="left"/>
      <w:lvlText w:val="%1."/>
      <w:numFmt w:val="lowerLetter"/>
      <w:start w:val="1"/>
    </w:lvl>
  </w:abstractNum>
  <w:abstractNum w:abstractNumId="341">
    <w:nsid w:val="27FADEFA"/>
    <w:multiLevelType w:val="hybridMultilevel"/>
    <w:lvl w:ilvl="0">
      <w:lvlJc w:val="left"/>
      <w:lvlText w:val="***"/>
      <w:numFmt w:val="bullet"/>
      <w:start w:val="1"/>
    </w:lvl>
  </w:abstractNum>
  <w:abstractNum w:abstractNumId="342">
    <w:nsid w:val="78BB805A"/>
    <w:multiLevelType w:val="hybridMultilevel"/>
    <w:lvl w:ilvl="0">
      <w:lvlJc w:val="left"/>
      <w:lvlText w:val="•"/>
      <w:numFmt w:val="bullet"/>
      <w:start w:val="1"/>
    </w:lvl>
  </w:abstractNum>
  <w:abstractNum w:abstractNumId="343">
    <w:nsid w:val="62548FD8"/>
    <w:multiLevelType w:val="hybridMultilevel"/>
    <w:lvl w:ilvl="0">
      <w:lvlJc w:val="left"/>
      <w:lvlText w:val="%1."/>
      <w:numFmt w:val="decimal"/>
      <w:start w:val="1"/>
    </w:lvl>
    <w:lvl w:ilvl="1">
      <w:lvlJc w:val="left"/>
      <w:lvlText w:val="*"/>
      <w:numFmt w:val="bullet"/>
      <w:start w:val="1"/>
    </w:lvl>
  </w:abstractNum>
  <w:abstractNum w:abstractNumId="344">
    <w:nsid w:val="FA085B0"/>
    <w:multiLevelType w:val="hybridMultilevel"/>
    <w:lvl w:ilvl="0">
      <w:lvlJc w:val="left"/>
      <w:lvlText w:val="%1."/>
      <w:numFmt w:val="decimal"/>
      <w:start w:val="3"/>
    </w:lvl>
  </w:abstractNum>
  <w:abstractNum w:abstractNumId="345">
    <w:nsid w:val="4E5DCB5"/>
    <w:multiLevelType w:val="hybridMultilevel"/>
    <w:lvl w:ilvl="0">
      <w:lvlJc w:val="left"/>
      <w:lvlText w:val="***"/>
      <w:numFmt w:val="bullet"/>
      <w:start w:val="1"/>
    </w:lvl>
  </w:abstractNum>
  <w:abstractNum w:abstractNumId="346">
    <w:nsid w:val="41E96BDB"/>
    <w:multiLevelType w:val="hybridMultilevel"/>
    <w:lvl w:ilvl="0">
      <w:lvlJc w:val="left"/>
      <w:lvlText w:val="%1."/>
      <w:numFmt w:val="decimal"/>
      <w:start w:val="1"/>
    </w:lvl>
  </w:abstractNum>
  <w:abstractNum w:abstractNumId="347">
    <w:nsid w:val="331C4250"/>
    <w:multiLevelType w:val="hybridMultilevel"/>
    <w:lvl w:ilvl="0">
      <w:lvlJc w:val="left"/>
      <w:lvlText w:val="%1."/>
      <w:numFmt w:val="decimal"/>
      <w:start w:val="2"/>
    </w:lvl>
  </w:abstractNum>
  <w:abstractNum w:abstractNumId="348">
    <w:nsid w:val="1B1493C2"/>
    <w:multiLevelType w:val="hybridMultilevel"/>
    <w:lvl w:ilvl="0">
      <w:lvlJc w:val="left"/>
      <w:lvlText w:val="***"/>
      <w:numFmt w:val="bullet"/>
      <w:start w:val="1"/>
    </w:lvl>
  </w:abstractNum>
  <w:abstractNum w:abstractNumId="349">
    <w:nsid w:val="39F06DFD"/>
    <w:multiLevelType w:val="hybridMultilevel"/>
    <w:lvl w:ilvl="0">
      <w:lvlJc w:val="left"/>
      <w:lvlText w:val="%1."/>
      <w:numFmt w:val="decimal"/>
      <w:start w:val="1"/>
    </w:lvl>
    <w:lvl w:ilvl="1">
      <w:lvlJc w:val="left"/>
      <w:lvlText w:val="•"/>
      <w:numFmt w:val="bullet"/>
      <w:start w:val="1"/>
    </w:lvl>
  </w:abstractNum>
  <w:abstractNum w:abstractNumId="350">
    <w:nsid w:val="14802F5D"/>
    <w:multiLevelType w:val="hybridMultilevel"/>
    <w:lvl w:ilvl="0">
      <w:lvlJc w:val="left"/>
      <w:lvlText w:val="%1."/>
      <w:numFmt w:val="decimal"/>
      <w:start w:val="2"/>
    </w:lvl>
    <w:lvl w:ilvl="1">
      <w:lvlJc w:val="left"/>
      <w:lvlText w:val="•"/>
      <w:numFmt w:val="bullet"/>
      <w:start w:val="1"/>
    </w:lvl>
  </w:abstractNum>
  <w:abstractNum w:abstractNumId="351">
    <w:nsid w:val="2774A209"/>
    <w:multiLevelType w:val="hybridMultilevel"/>
    <w:lvl w:ilvl="0">
      <w:lvlJc w:val="left"/>
      <w:lvlText w:val="%1."/>
      <w:numFmt w:val="decimal"/>
      <w:start w:val="3"/>
    </w:lvl>
    <w:lvl w:ilvl="1">
      <w:lvlJc w:val="left"/>
      <w:lvlText w:val="*"/>
      <w:numFmt w:val="bullet"/>
      <w:start w:val="1"/>
    </w:lvl>
  </w:abstractNum>
  <w:abstractNum w:abstractNumId="352">
    <w:nsid w:val="3785655A"/>
    <w:multiLevelType w:val="hybridMultilevel"/>
    <w:lvl w:ilvl="0">
      <w:lvlJc w:val="left"/>
      <w:lvlText w:val="%1."/>
      <w:numFmt w:val="decimal"/>
      <w:start w:val="4"/>
    </w:lvl>
  </w:abstractNum>
  <w:abstractNum w:abstractNumId="353">
    <w:nsid w:val="B2172A"/>
    <w:multiLevelType w:val="hybridMultilevel"/>
    <w:lvl w:ilvl="0">
      <w:lvlJc w:val="left"/>
      <w:lvlText w:val="%1."/>
      <w:numFmt w:val="lowerLetter"/>
      <w:start w:val="1"/>
    </w:lvl>
  </w:abstractNum>
  <w:abstractNum w:abstractNumId="354">
    <w:nsid w:val="532C34A5"/>
    <w:multiLevelType w:val="hybridMultilevel"/>
    <w:lvl w:ilvl="0">
      <w:lvlJc w:val="left"/>
      <w:lvlText w:val="***"/>
      <w:numFmt w:val="bullet"/>
      <w:start w:val="1"/>
    </w:lvl>
  </w:abstractNum>
  <w:abstractNum w:abstractNumId="355">
    <w:nsid w:val="102809E2"/>
    <w:multiLevelType w:val="hybridMultilevel"/>
    <w:lvl w:ilvl="0">
      <w:lvlJc w:val="left"/>
      <w:lvlText w:val="•"/>
      <w:numFmt w:val="bullet"/>
      <w:start w:val="1"/>
    </w:lvl>
  </w:abstractNum>
  <w:abstractNum w:abstractNumId="356">
    <w:nsid w:val="3B2125A3"/>
    <w:multiLevelType w:val="hybridMultilevel"/>
    <w:lvl w:ilvl="0">
      <w:lvlJc w:val="left"/>
      <w:lvlText w:val="%1."/>
      <w:numFmt w:val="decimal"/>
      <w:start w:val="1"/>
    </w:lvl>
    <w:lvl w:ilvl="1">
      <w:lvlJc w:val="left"/>
      <w:lvlText w:val="*"/>
      <w:numFmt w:val="bullet"/>
      <w:start w:val="1"/>
    </w:lvl>
  </w:abstractNum>
  <w:abstractNum w:abstractNumId="357">
    <w:nsid w:val="AC68FFB"/>
    <w:multiLevelType w:val="hybridMultilevel"/>
    <w:lvl w:ilvl="0">
      <w:lvlJc w:val="left"/>
      <w:lvlText w:val="%1."/>
      <w:numFmt w:val="decimal"/>
      <w:start w:val="2"/>
    </w:lvl>
  </w:abstractNum>
  <w:abstractNum w:abstractNumId="358">
    <w:nsid w:val="63DF3FB7"/>
    <w:multiLevelType w:val="hybridMultilevel"/>
    <w:lvl w:ilvl="0">
      <w:lvlJc w:val="left"/>
      <w:lvlText w:val="***"/>
      <w:numFmt w:val="bullet"/>
      <w:start w:val="1"/>
    </w:lvl>
  </w:abstractNum>
  <w:abstractNum w:abstractNumId="359">
    <w:nsid w:val="64996E13"/>
    <w:multiLevelType w:val="hybridMultilevel"/>
    <w:lvl w:ilvl="0">
      <w:lvlJc w:val="left"/>
      <w:lvlText w:val="%1."/>
      <w:numFmt w:val="decimal"/>
      <w:start w:val="1"/>
    </w:lvl>
  </w:abstractNum>
  <w:abstractNum w:abstractNumId="360">
    <w:nsid w:val="57A37D47"/>
    <w:multiLevelType w:val="hybridMultilevel"/>
    <w:lvl w:ilvl="0">
      <w:lvlJc w:val="left"/>
      <w:lvlText w:val="%1."/>
      <w:numFmt w:val="decimal"/>
      <w:start w:val="2"/>
    </w:lvl>
  </w:abstractNum>
  <w:abstractNum w:abstractNumId="361">
    <w:nsid w:val="74824D54"/>
    <w:multiLevelType w:val="hybridMultilevel"/>
    <w:lvl w:ilvl="0">
      <w:lvlJc w:val="left"/>
      <w:lvlText w:val="%1."/>
      <w:numFmt w:val="decimal"/>
      <w:start w:val="3"/>
    </w:lvl>
    <w:lvl w:ilvl="1">
      <w:lvlJc w:val="left"/>
      <w:lvlText w:val="*"/>
      <w:numFmt w:val="bullet"/>
      <w:start w:val="1"/>
    </w:lvl>
  </w:abstractNum>
  <w:abstractNum w:abstractNumId="362">
    <w:nsid w:val="6F00529A"/>
    <w:multiLevelType w:val="hybridMultilevel"/>
    <w:lvl w:ilvl="0">
      <w:lvlJc w:val="left"/>
      <w:lvlText w:val="%1."/>
      <w:numFmt w:val="decimal"/>
      <w:start w:val="4"/>
    </w:lvl>
  </w:abstractNum>
  <w:abstractNum w:abstractNumId="363">
    <w:nsid w:val="805B331"/>
    <w:multiLevelType w:val="hybridMultilevel"/>
    <w:lvl w:ilvl="0">
      <w:lvlJc w:val="left"/>
      <w:lvlText w:val="%1."/>
      <w:numFmt w:val="lowerLetter"/>
      <w:start w:val="1"/>
    </w:lvl>
  </w:abstractNum>
  <w:abstractNum w:abstractNumId="364">
    <w:nsid w:val="60A1463"/>
    <w:multiLevelType w:val="hybridMultilevel"/>
    <w:lvl w:ilvl="0">
      <w:lvlJc w:val="left"/>
      <w:lvlText w:val="***"/>
      <w:numFmt w:val="bullet"/>
      <w:start w:val="1"/>
    </w:lvl>
  </w:abstractNum>
  <w:abstractNum w:abstractNumId="365">
    <w:nsid w:val="43773132"/>
    <w:multiLevelType w:val="hybridMultilevel"/>
    <w:lvl w:ilvl="0">
      <w:lvlJc w:val="left"/>
      <w:lvlText w:val="%1."/>
      <w:numFmt w:val="decimal"/>
      <w:start w:val="1"/>
    </w:lvl>
  </w:abstractNum>
  <w:abstractNum w:abstractNumId="366">
    <w:nsid w:val="16AC4B23"/>
    <w:multiLevelType w:val="hybridMultilevel"/>
    <w:lvl w:ilvl="0">
      <w:lvlJc w:val="left"/>
      <w:lvlText w:val="***"/>
      <w:numFmt w:val="bullet"/>
      <w:start w:val="1"/>
    </w:lvl>
  </w:abstractNum>
  <w:abstractNum w:abstractNumId="367">
    <w:nsid w:val="76C44E4E"/>
    <w:multiLevelType w:val="hybridMultilevel"/>
    <w:lvl w:ilvl="0">
      <w:lvlJc w:val="left"/>
      <w:lvlText w:val="%1."/>
      <w:numFmt w:val="decimal"/>
      <w:start w:val="1"/>
    </w:lvl>
    <w:lvl w:ilvl="1">
      <w:lvlJc w:val="left"/>
      <w:lvlText w:val="•"/>
      <w:numFmt w:val="bullet"/>
      <w:start w:val="1"/>
    </w:lvl>
  </w:abstractNum>
  <w:abstractNum w:abstractNumId="368">
    <w:nsid w:val="E04E6CE"/>
    <w:multiLevelType w:val="hybridMultilevel"/>
    <w:lvl w:ilvl="0">
      <w:lvlJc w:val="left"/>
      <w:lvlText w:val="%1."/>
      <w:numFmt w:val="decimal"/>
      <w:start w:val="3"/>
    </w:lvl>
    <w:lvl w:ilvl="1">
      <w:lvlJc w:val="left"/>
      <w:lvlText w:val="*"/>
      <w:numFmt w:val="bullet"/>
      <w:start w:val="1"/>
    </w:lvl>
  </w:abstractNum>
  <w:abstractNum w:abstractNumId="369">
    <w:nsid w:val="31A9DB76"/>
    <w:multiLevelType w:val="hybridMultilevel"/>
    <w:lvl w:ilvl="0">
      <w:lvlJc w:val="left"/>
      <w:lvlText w:val="%1."/>
      <w:numFmt w:val="decimal"/>
      <w:start w:val="4"/>
    </w:lvl>
    <w:lvl w:ilvl="1">
      <w:lvlJc w:val="left"/>
      <w:lvlText w:val="%2."/>
      <w:numFmt w:val="lowerLetter"/>
      <w:start w:val="1"/>
    </w:lvl>
  </w:abstractNum>
  <w:abstractNum w:abstractNumId="370">
    <w:nsid w:val="4C4FFF5B"/>
    <w:multiLevelType w:val="hybridMultilevel"/>
    <w:lvl w:ilvl="0">
      <w:lvlJc w:val="left"/>
      <w:lvlText w:val="***"/>
      <w:numFmt w:val="bullet"/>
      <w:start w:val="1"/>
    </w:lvl>
  </w:abstractNum>
  <w:abstractNum w:abstractNumId="371">
    <w:nsid w:val="51B76675"/>
    <w:multiLevelType w:val="hybridMultilevel"/>
    <w:lvl w:ilvl="0">
      <w:lvlJc w:val="left"/>
      <w:lvlText w:val="•"/>
      <w:numFmt w:val="bullet"/>
      <w:start w:val="1"/>
    </w:lvl>
  </w:abstractNum>
  <w:abstractNum w:abstractNumId="372">
    <w:nsid w:val="59A4BA71"/>
    <w:multiLevelType w:val="hybridMultilevel"/>
    <w:lvl w:ilvl="0">
      <w:lvlJc w:val="left"/>
      <w:lvlText w:val="%1."/>
      <w:numFmt w:val="decimal"/>
      <w:start w:val="1"/>
    </w:lvl>
    <w:lvl w:ilvl="1">
      <w:lvlJc w:val="left"/>
      <w:lvlText w:val="*"/>
      <w:numFmt w:val="bullet"/>
      <w:start w:val="1"/>
    </w:lvl>
  </w:abstractNum>
  <w:abstractNum w:abstractNumId="373">
    <w:nsid w:val="450B7FB6"/>
    <w:multiLevelType w:val="hybridMultilevel"/>
    <w:lvl w:ilvl="0">
      <w:lvlJc w:val="left"/>
      <w:lvlText w:val="***"/>
      <w:numFmt w:val="bullet"/>
      <w:start w:val="1"/>
    </w:lvl>
  </w:abstractNum>
  <w:abstractNum w:abstractNumId="374">
    <w:nsid w:val="340BF64D"/>
    <w:multiLevelType w:val="hybridMultilevel"/>
    <w:lvl w:ilvl="0">
      <w:lvlJc w:val="left"/>
      <w:lvlText w:val="%1."/>
      <w:numFmt w:val="decimal"/>
      <w:start w:val="1"/>
    </w:lvl>
    <w:lvl w:ilvl="1">
      <w:lvlJc w:val="left"/>
      <w:lvlText w:val="•"/>
      <w:numFmt w:val="bullet"/>
      <w:start w:val="1"/>
    </w:lvl>
  </w:abstractNum>
  <w:abstractNum w:abstractNumId="375">
    <w:nsid w:val="69454021"/>
    <w:multiLevelType w:val="hybridMultilevel"/>
    <w:lvl w:ilvl="0">
      <w:lvlJc w:val="left"/>
      <w:lvlText w:val="%1."/>
      <w:numFmt w:val="decimal"/>
      <w:start w:val="2"/>
    </w:lvl>
    <w:lvl w:ilvl="1">
      <w:lvlJc w:val="left"/>
      <w:lvlText w:val="•"/>
      <w:numFmt w:val="bullet"/>
      <w:start w:val="1"/>
    </w:lvl>
  </w:abstractNum>
  <w:abstractNum w:abstractNumId="376">
    <w:nsid w:val="49F15C6B"/>
    <w:multiLevelType w:val="hybridMultilevel"/>
    <w:lvl w:ilvl="0">
      <w:lvlJc w:val="left"/>
      <w:lvlText w:val="%1."/>
      <w:numFmt w:val="decimal"/>
      <w:start w:val="3"/>
    </w:lvl>
    <w:lvl w:ilvl="1">
      <w:lvlJc w:val="left"/>
      <w:lvlText w:val="*"/>
      <w:numFmt w:val="bullet"/>
      <w:start w:val="1"/>
    </w:lvl>
  </w:abstractNum>
  <w:abstractNum w:abstractNumId="377">
    <w:nsid w:val="75F56228"/>
    <w:multiLevelType w:val="hybridMultilevel"/>
    <w:lvl w:ilvl="0">
      <w:lvlJc w:val="left"/>
      <w:lvlText w:val="%1."/>
      <w:numFmt w:val="decimal"/>
      <w:start w:val="4"/>
    </w:lvl>
  </w:abstractNum>
  <w:abstractNum w:abstractNumId="378">
    <w:nsid w:val="1C618271"/>
    <w:multiLevelType w:val="hybridMultilevel"/>
    <w:lvl w:ilvl="0">
      <w:lvlJc w:val="left"/>
      <w:lvlText w:val="%1."/>
      <w:numFmt w:val="lowerLetter"/>
      <w:start w:val="1"/>
    </w:lvl>
  </w:abstractNum>
  <w:abstractNum w:abstractNumId="379">
    <w:nsid w:val="6505F02E"/>
    <w:multiLevelType w:val="hybridMultilevel"/>
    <w:lvl w:ilvl="0">
      <w:lvlJc w:val="left"/>
      <w:lvlText w:val="%1."/>
      <w:numFmt w:val="decimal"/>
      <w:start w:val="1"/>
    </w:lvl>
  </w:abstractNum>
  <w:abstractNum w:abstractNumId="380">
    <w:nsid w:val="2FE5D025"/>
    <w:multiLevelType w:val="hybridMultilevel"/>
    <w:lvl w:ilvl="0">
      <w:lvlJc w:val="left"/>
      <w:lvlText w:val="%1."/>
      <w:numFmt w:val="decimal"/>
      <w:start w:val="1"/>
    </w:lvl>
  </w:abstractNum>
  <w:abstractNum w:abstractNumId="381">
    <w:nsid w:val="30E1B1CF"/>
    <w:multiLevelType w:val="hybridMultilevel"/>
    <w:lvl w:ilvl="0">
      <w:lvlJc w:val="left"/>
      <w:lvlText w:val="%1."/>
      <w:numFmt w:val="decimal"/>
      <w:start w:val="1"/>
    </w:lvl>
  </w:abstractNum>
  <w:abstractNum w:abstractNumId="382">
    <w:nsid w:val="C7A9237"/>
    <w:multiLevelType w:val="hybridMultilevel"/>
    <w:lvl w:ilvl="0">
      <w:lvlJc w:val="left"/>
      <w:lvlText w:val="***"/>
      <w:numFmt w:val="bullet"/>
      <w:start w:val="1"/>
    </w:lvl>
  </w:abstractNum>
  <w:abstractNum w:abstractNumId="383">
    <w:nsid w:val="676B3580"/>
    <w:multiLevelType w:val="hybridMultilevel"/>
    <w:lvl w:ilvl="0">
      <w:lvlJc w:val="left"/>
      <w:lvlText w:val="%1."/>
      <w:numFmt w:val="decimal"/>
      <w:start w:val="1"/>
    </w:lvl>
  </w:abstractNum>
  <w:abstractNum w:abstractNumId="384">
    <w:nsid w:val="3193C8F9"/>
    <w:multiLevelType w:val="hybridMultilevel"/>
    <w:lvl w:ilvl="0">
      <w:lvlJc w:val="left"/>
      <w:lvlText w:val="***"/>
      <w:numFmt w:val="bullet"/>
      <w:start w:val="1"/>
    </w:lvl>
  </w:abstractNum>
  <w:abstractNum w:abstractNumId="385">
    <w:nsid w:val="5FA6C6DC"/>
    <w:multiLevelType w:val="hybridMultilevel"/>
    <w:lvl w:ilvl="0">
      <w:lvlJc w:val="left"/>
      <w:lvlText w:val="%1."/>
      <w:numFmt w:val="decimal"/>
      <w:start w:val="1"/>
    </w:lvl>
  </w:abstractNum>
  <w:abstractNum w:abstractNumId="386">
    <w:nsid w:val="77933F62"/>
    <w:multiLevelType w:val="hybridMultilevel"/>
    <w:lvl w:ilvl="0">
      <w:lvlJc w:val="left"/>
      <w:lvlText w:val="***"/>
      <w:numFmt w:val="bullet"/>
      <w:start w:val="1"/>
    </w:lvl>
  </w:abstractNum>
  <w:abstractNum w:abstractNumId="387">
    <w:nsid w:val="6CB4EE9C"/>
    <w:multiLevelType w:val="hybridMultilevel"/>
    <w:lvl w:ilvl="0">
      <w:lvlJc w:val="left"/>
      <w:lvlText w:val="%1."/>
      <w:numFmt w:val="decimal"/>
      <w:start w:val="1"/>
    </w:lvl>
  </w:abstractNum>
  <w:abstractNum w:abstractNumId="388">
    <w:nsid w:val="6A6D56D7"/>
    <w:multiLevelType w:val="hybridMultilevel"/>
    <w:lvl w:ilvl="0">
      <w:lvlJc w:val="left"/>
      <w:lvlText w:val="***"/>
      <w:numFmt w:val="bullet"/>
      <w:start w:val="1"/>
    </w:lvl>
  </w:abstractNum>
  <w:abstractNum w:abstractNumId="389">
    <w:nsid w:val="5B727F19"/>
    <w:multiLevelType w:val="hybridMultilevel"/>
    <w:lvl w:ilvl="0">
      <w:lvlJc w:val="left"/>
      <w:lvlText w:val="%1."/>
      <w:numFmt w:val="decimal"/>
      <w:start w:val="1"/>
    </w:lvl>
  </w:abstractNum>
  <w:abstractNum w:abstractNumId="390">
    <w:nsid w:val="514E5CB0"/>
    <w:multiLevelType w:val="hybridMultilevel"/>
    <w:lvl w:ilvl="0">
      <w:lvlJc w:val="left"/>
      <w:lvlText w:val="%1."/>
      <w:numFmt w:val="decimal"/>
      <w:start w:val="2"/>
    </w:lvl>
  </w:abstractNum>
  <w:abstractNum w:abstractNumId="391">
    <w:nsid w:val="4210D41E"/>
    <w:multiLevelType w:val="hybridMultilevel"/>
    <w:lvl w:ilvl="0">
      <w:lvlJc w:val="left"/>
      <w:lvlText w:val="%1."/>
      <w:numFmt w:val="lowerLetter"/>
      <w:start w:val="1"/>
    </w:lvl>
  </w:abstractNum>
  <w:abstractNum w:abstractNumId="392">
    <w:nsid w:val="4FF4CC6D"/>
    <w:multiLevelType w:val="hybridMultilevel"/>
    <w:lvl w:ilvl="0">
      <w:lvlJc w:val="left"/>
      <w:lvlText w:val="•"/>
      <w:numFmt w:val="bullet"/>
      <w:start w:val="1"/>
    </w:lvl>
  </w:abstractNum>
  <w:abstractNum w:abstractNumId="393">
    <w:nsid w:val="404EAF4A"/>
    <w:multiLevelType w:val="hybridMultilevel"/>
    <w:lvl w:ilvl="0">
      <w:lvlJc w:val="left"/>
      <w:lvlText w:val="%1."/>
      <w:numFmt w:val="lowerLetter"/>
      <w:start w:val="2"/>
    </w:lvl>
  </w:abstractNum>
  <w:abstractNum w:abstractNumId="394">
    <w:nsid w:val="4A16874F"/>
    <w:multiLevelType w:val="hybridMultilevel"/>
    <w:lvl w:ilvl="0">
      <w:lvlJc w:val="left"/>
      <w:lvlText w:val="%1."/>
      <w:numFmt w:val="decimal"/>
      <w:start w:val="3"/>
    </w:lvl>
  </w:abstractNum>
  <w:abstractNum w:abstractNumId="395">
    <w:nsid w:val="55FEE0D1"/>
    <w:multiLevelType w:val="hybridMultilevel"/>
    <w:lvl w:ilvl="0">
      <w:lvlJc w:val="left"/>
      <w:lvlText w:val="%1."/>
      <w:numFmt w:val="lowerLetter"/>
      <w:start w:val="1"/>
    </w:lvl>
    <w:lvl w:ilvl="1">
      <w:lvlJc w:val="left"/>
      <w:lvlText w:val="(%2)"/>
      <w:numFmt w:val="lowerRoman"/>
      <w:start w:val="1"/>
    </w:lvl>
  </w:abstractNum>
  <w:abstractNum w:abstractNumId="396">
    <w:nsid w:val="3C5E07C"/>
    <w:multiLevelType w:val="hybridMultilevel"/>
    <w:lvl w:ilvl="0">
      <w:lvlJc w:val="left"/>
      <w:lvlText w:val="%1"/>
      <w:numFmt w:val="decimal"/>
      <w:start w:val="1"/>
    </w:lvl>
    <w:lvl w:ilvl="1">
      <w:lvlJc w:val="left"/>
      <w:lvlText w:val="%2."/>
      <w:numFmt w:val="lowerLetter"/>
      <w:start w:val="2"/>
    </w:lvl>
  </w:abstractNum>
  <w:abstractNum w:abstractNumId="397">
    <w:nsid w:val="60C2D273"/>
    <w:multiLevelType w:val="hybridMultilevel"/>
    <w:lvl w:ilvl="0">
      <w:lvlJc w:val="left"/>
      <w:lvlText w:val="%1."/>
      <w:numFmt w:val="decimal"/>
      <w:start w:val="4"/>
    </w:lvl>
    <w:lvl w:ilvl="1">
      <w:lvlJc w:val="left"/>
      <w:lvlText w:val="%2."/>
      <w:numFmt w:val="lowerLetter"/>
      <w:start w:val="1"/>
    </w:lvl>
  </w:abstractNum>
  <w:abstractNum w:abstractNumId="398">
    <w:nsid w:val="4CC32F1F"/>
    <w:multiLevelType w:val="hybridMultilevel"/>
    <w:lvl w:ilvl="0">
      <w:lvlJc w:val="left"/>
      <w:lvlText w:val="%1."/>
      <w:numFmt w:val="lowerLetter"/>
      <w:start w:val="2"/>
    </w:lvl>
  </w:abstractNum>
  <w:abstractNum w:abstractNumId="399">
    <w:nsid w:val="11CAC74A"/>
    <w:multiLevelType w:val="hybridMultilevel"/>
    <w:lvl w:ilvl="0">
      <w:lvlJc w:val="left"/>
      <w:lvlText w:val="%1."/>
      <w:numFmt w:val="lowerLetter"/>
      <w:start w:val="8"/>
    </w:lvl>
  </w:abstractNum>
  <w:abstractNum w:abstractNumId="400">
    <w:nsid w:val="126CADE9"/>
    <w:multiLevelType w:val="hybridMultilevel"/>
    <w:lvl w:ilvl="0">
      <w:lvlJc w:val="left"/>
      <w:lvlText w:val="%1."/>
      <w:numFmt w:val="lowerLetter"/>
      <w:start w:val="9"/>
    </w:lvl>
  </w:abstractNum>
  <w:abstractNum w:abstractNumId="401">
    <w:nsid w:val="19132E7B"/>
    <w:multiLevelType w:val="hybridMultilevel"/>
    <w:lvl w:ilvl="0">
      <w:lvlJc w:val="left"/>
      <w:lvlText w:val="***"/>
      <w:numFmt w:val="bullet"/>
      <w:start w:val="1"/>
    </w:lvl>
  </w:abstractNum>
  <w:abstractNum w:abstractNumId="402">
    <w:nsid w:val="63822DC0"/>
    <w:multiLevelType w:val="hybridMultilevel"/>
    <w:lvl w:ilvl="0">
      <w:lvlJc w:val="left"/>
      <w:lvlText w:val="%1."/>
      <w:numFmt w:val="decimal"/>
      <w:start w:val="1"/>
    </w:lvl>
  </w:abstractNum>
  <w:abstractNum w:abstractNumId="403">
    <w:nsid w:val="6C11685A"/>
    <w:multiLevelType w:val="hybridMultilevel"/>
    <w:lvl w:ilvl="0">
      <w:lvlJc w:val="left"/>
      <w:lvlText w:val="***"/>
      <w:numFmt w:val="bullet"/>
      <w:start w:val="1"/>
    </w:lvl>
  </w:abstractNum>
  <w:abstractNum w:abstractNumId="404">
    <w:nsid w:val="5E1EAE31"/>
    <w:multiLevelType w:val="hybridMultilevel"/>
    <w:lvl w:ilvl="0">
      <w:lvlJc w:val="left"/>
      <w:lvlText w:val="%1."/>
      <w:numFmt w:val="decimal"/>
    </w:lvl>
    <w:lvl w:ilvl="1">
      <w:lvlJc w:val="left"/>
      <w:lvlText w:val="•"/>
      <w:numFmt w:val="bullet"/>
      <w:start w:val="1"/>
    </w:lvl>
  </w:abstractNum>
  <w:abstractNum w:abstractNumId="405">
    <w:nsid w:val="178E240D"/>
    <w:multiLevelType w:val="hybridMultilevel"/>
    <w:lvl w:ilvl="0">
      <w:lvlJc w:val="left"/>
      <w:lvlText w:val="***"/>
      <w:numFmt w:val="bullet"/>
      <w:start w:val="1"/>
    </w:lvl>
  </w:abstractNum>
  <w:abstractNum w:abstractNumId="406">
    <w:nsid w:val="5556A87B"/>
    <w:multiLevelType w:val="hybridMultilevel"/>
    <w:lvl w:ilvl="0">
      <w:lvlJc w:val="left"/>
      <w:lvlText w:val="%1."/>
      <w:numFmt w:val="decimal"/>
      <w:start w:val="1"/>
    </w:lvl>
  </w:abstractNum>
  <w:abstractNum w:abstractNumId="407">
    <w:nsid w:val="28100A9C"/>
    <w:multiLevelType w:val="hybridMultilevel"/>
    <w:lvl w:ilvl="0">
      <w:lvlJc w:val="left"/>
      <w:lvlText w:val="(%1)"/>
      <w:numFmt w:val="lowerLetter"/>
      <w:start w:val="1"/>
    </w:lvl>
  </w:abstractNum>
  <w:abstractNum w:abstractNumId="408">
    <w:nsid w:val="D838636"/>
    <w:multiLevelType w:val="hybridMultilevel"/>
    <w:lvl w:ilvl="0">
      <w:lvlJc w:val="left"/>
      <w:lvlText w:val="(%1)"/>
      <w:numFmt w:val="lowerLetter"/>
      <w:start w:val="1"/>
    </w:lvl>
  </w:abstractNum>
  <w:abstractNum w:abstractNumId="409">
    <w:nsid w:val="71B82AE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10">
    <w:nsid w:val="D15FACA"/>
    <w:multiLevelType w:val="hybridMultilevel"/>
    <w:lvl w:ilvl="0">
      <w:lvlJc w:val="left"/>
      <w:lvlText w:val="%1."/>
      <w:numFmt w:val="decimal"/>
      <w:start w:val="2"/>
    </w:lvl>
    <w:lvl w:ilvl="1">
      <w:lvlJc w:val="left"/>
      <w:lvlText w:val="(%2)"/>
      <w:numFmt w:val="lowerLetter"/>
      <w:start w:val="4"/>
    </w:lvl>
    <w:lvl w:ilvl="2">
      <w:lvlJc w:val="left"/>
      <w:lvlText w:val="(%3)"/>
      <w:numFmt w:val="lowerRoman"/>
      <w:start w:val="1"/>
    </w:lvl>
  </w:abstractNum>
  <w:abstractNum w:abstractNumId="411">
    <w:nsid w:val="3D69565B"/>
    <w:multiLevelType w:val="hybridMultilevel"/>
    <w:lvl w:ilvl="0">
      <w:lvlJc w:val="left"/>
      <w:lvlText w:val="%1"/>
      <w:numFmt w:val="decimal"/>
      <w:start w:val="1"/>
    </w:lvl>
    <w:lvl w:ilvl="1">
      <w:lvlJc w:val="left"/>
      <w:lvlText w:val="(%2)"/>
      <w:numFmt w:val="lowerLetter"/>
      <w:start w:val="24"/>
    </w:lvl>
    <w:lvl w:ilvl="2">
      <w:lvlJc w:val="left"/>
      <w:lvlText w:val="(%3)"/>
      <w:numFmt w:val="lowerRoman"/>
      <w:start w:val="2"/>
    </w:lvl>
  </w:abstractNum>
  <w:abstractNum w:abstractNumId="412">
    <w:nsid w:val="2299DCBC"/>
    <w:multiLevelType w:val="hybridMultilevel"/>
    <w:lvl w:ilvl="0">
      <w:lvlJc w:val="left"/>
      <w:lvlText w:val="(%1)"/>
      <w:numFmt w:val="lowerLetter"/>
      <w:start w:val="5"/>
    </w:lvl>
    <w:lvl w:ilvl="1">
      <w:lvlJc w:val="left"/>
      <w:lvlText w:val="(%2)"/>
      <w:numFmt w:val="lowerRoman"/>
      <w:start w:val="1"/>
    </w:lvl>
  </w:abstractNum>
  <w:abstractNum w:abstractNumId="413">
    <w:nsid w:val="19908D02"/>
    <w:multiLevelType w:val="hybridMultilevel"/>
    <w:lvl w:ilvl="0">
      <w:lvlJc w:val="left"/>
      <w:lvlText w:val="(%1)"/>
      <w:numFmt w:val="lowerLetter"/>
      <w:start w:val="6"/>
    </w:lvl>
  </w:abstractNum>
  <w:abstractNum w:abstractNumId="414">
    <w:nsid w:val="24D48BDB"/>
    <w:multiLevelType w:val="hybridMultilevel"/>
    <w:lvl w:ilvl="0">
      <w:lvlJc w:val="left"/>
      <w:lvlText w:val="%1"/>
      <w:numFmt w:val="lowerLetter"/>
      <w:start w:val="1"/>
    </w:lvl>
    <w:lvl w:ilvl="1">
      <w:lvlJc w:val="left"/>
      <w:lvlText w:val="(%2)"/>
      <w:numFmt w:val="lowerLetter"/>
      <w:start w:val="1"/>
    </w:lvl>
  </w:abstractNum>
  <w:abstractNum w:abstractNumId="415">
    <w:nsid w:val="542DA5B5"/>
    <w:multiLevelType w:val="hybridMultilevel"/>
    <w:lvl w:ilvl="0">
      <w:lvlJc w:val="left"/>
      <w:lvlText w:val="(%1)"/>
      <w:numFmt w:val="lowerLetter"/>
      <w:start w:val="9"/>
    </w:lvl>
    <w:lvl w:ilvl="1">
      <w:lvlJc w:val="left"/>
      <w:lvlText w:val="(%2)"/>
      <w:numFmt w:val="lowerLetter"/>
      <w:start w:val="2"/>
    </w:lvl>
  </w:abstractNum>
  <w:abstractNum w:abstractNumId="416">
    <w:nsid w:val="793753DE"/>
    <w:multiLevelType w:val="hybridMultilevel"/>
    <w:lvl w:ilvl="0">
      <w:lvlJc w:val="left"/>
      <w:lvlText w:val="(%1)"/>
      <w:numFmt w:val="lowerLetter"/>
      <w:start w:val="1"/>
    </w:lvl>
  </w:abstractNum>
  <w:abstractNum w:abstractNumId="417">
    <w:nsid w:val="1C67CB3D"/>
    <w:multiLevelType w:val="hybridMultilevel"/>
    <w:lvl w:ilvl="0">
      <w:lvlJc w:val="left"/>
      <w:lvlText w:val="(%1)"/>
      <w:numFmt w:val="lowerLetter"/>
      <w:start w:val="1"/>
    </w:lvl>
  </w:abstractNum>
  <w:abstractNum w:abstractNumId="418">
    <w:nsid w:val="40E29452"/>
    <w:multiLevelType w:val="hybridMultilevel"/>
    <w:lvl w:ilvl="0">
      <w:lvlJc w:val="left"/>
      <w:lvlText w:val="(%1)"/>
      <w:numFmt w:val="lowerLetter"/>
      <w:start w:val="1"/>
    </w:lvl>
    <w:lvl w:ilvl="1">
      <w:lvlJc w:val="left"/>
      <w:lvlText w:val="(%2)"/>
      <w:numFmt w:val="lowerLetter"/>
      <w:start w:val="9"/>
    </w:lvl>
  </w:abstractNum>
  <w:abstractNum w:abstractNumId="419">
    <w:nsid w:val="63A4AAB6"/>
    <w:multiLevelType w:val="hybridMultilevel"/>
    <w:lvl w:ilvl="0">
      <w:lvlJc w:val="left"/>
      <w:lvlText w:val="(%1)"/>
      <w:numFmt w:val="lowerRoman"/>
      <w:start w:val="2"/>
    </w:lvl>
  </w:abstractNum>
  <w:abstractNum w:abstractNumId="420">
    <w:nsid w:val="77DA4A57"/>
    <w:multiLevelType w:val="hybridMultilevel"/>
    <w:lvl w:ilvl="0">
      <w:lvlJc w:val="left"/>
      <w:lvlText w:val="(%1)"/>
      <w:numFmt w:val="lowerLetter"/>
      <w:start w:val="1"/>
    </w:lvl>
  </w:abstractNum>
  <w:abstractNum w:abstractNumId="421">
    <w:nsid w:val="1230F102"/>
    <w:multiLevelType w:val="hybridMultilevel"/>
    <w:lvl w:ilvl="0">
      <w:lvlJc w:val="left"/>
      <w:lvlText w:val="(%1)"/>
      <w:numFmt w:val="lowerLetter"/>
      <w:start w:val="3"/>
    </w:lvl>
    <w:lvl w:ilvl="1">
      <w:lvlJc w:val="left"/>
      <w:lvlText w:val="(%2)"/>
      <w:numFmt w:val="lowerLetter"/>
      <w:start w:val="9"/>
    </w:lvl>
  </w:abstractNum>
  <w:abstractNum w:abstractNumId="422">
    <w:nsid w:val="25B57ED4"/>
    <w:multiLevelType w:val="hybridMultilevel"/>
    <w:lvl w:ilvl="0">
      <w:lvlJc w:val="left"/>
      <w:lvlText w:val="%1"/>
      <w:numFmt w:val="lowerLetter"/>
      <w:start w:val="1"/>
    </w:lvl>
    <w:lvl w:ilvl="1">
      <w:lvlJc w:val="left"/>
      <w:lvlText w:val="(%2)"/>
      <w:numFmt w:val="lowerRoman"/>
      <w:start w:val="2"/>
    </w:lvl>
  </w:abstractNum>
  <w:abstractNum w:abstractNumId="423">
    <w:nsid w:val="47CF16C4"/>
    <w:multiLevelType w:val="hybridMultilevel"/>
    <w:lvl w:ilvl="0">
      <w:lvlJc w:val="left"/>
      <w:lvlText w:val="(%1)"/>
      <w:numFmt w:val="lowerLetter"/>
      <w:start w:val="4"/>
    </w:lvl>
    <w:lvl w:ilvl="1">
      <w:lvlJc w:val="left"/>
      <w:lvlText w:val="%2"/>
      <w:numFmt w:val="lowerRoman"/>
      <w:start w:val="1"/>
    </w:lvl>
  </w:abstractNum>
  <w:abstractNum w:abstractNumId="424">
    <w:nsid w:val="527FA04C"/>
    <w:multiLevelType w:val="hybridMultilevel"/>
    <w:lvl w:ilvl="0">
      <w:lvlJc w:val="left"/>
      <w:lvlText w:val="%1"/>
      <w:numFmt w:val="lowerLetter"/>
      <w:start w:val="1"/>
    </w:lvl>
    <w:lvl w:ilvl="1">
      <w:lvlJc w:val="left"/>
      <w:lvlText w:val="(%2)"/>
      <w:numFmt w:val="lowerRoman"/>
      <w:start w:val="1"/>
    </w:lvl>
  </w:abstractNum>
  <w:abstractNum w:abstractNumId="425">
    <w:nsid w:val="6FCC0624"/>
    <w:multiLevelType w:val="hybridMultilevel"/>
    <w:lvl w:ilvl="0">
      <w:lvlJc w:val="left"/>
      <w:lvlText w:val="(%1)"/>
      <w:numFmt w:val="lowerLetter"/>
      <w:start w:val="6"/>
    </w:lvl>
    <w:lvl w:ilvl="1">
      <w:lvlJc w:val="left"/>
      <w:lvlText w:val="%2"/>
      <w:numFmt w:val="lowerRoman"/>
      <w:start w:val="1"/>
    </w:lvl>
  </w:abstractNum>
  <w:abstractNum w:abstractNumId="426">
    <w:nsid w:val="1DCDF795"/>
    <w:multiLevelType w:val="hybridMultilevel"/>
    <w:lvl w:ilvl="0">
      <w:lvlJc w:val="left"/>
      <w:lvlText w:val="(%1)"/>
      <w:numFmt w:val="lowerLetter"/>
      <w:start w:val="1"/>
    </w:lvl>
    <w:lvl w:ilvl="1">
      <w:lvlJc w:val="left"/>
      <w:lvlText w:val="(%2)"/>
      <w:numFmt w:val="lowerLetter"/>
      <w:start w:val="9"/>
    </w:lvl>
  </w:abstractNum>
  <w:abstractNum w:abstractNumId="427">
    <w:nsid w:val="564580C8"/>
    <w:multiLevelType w:val="hybridMultilevel"/>
    <w:lvl w:ilvl="0">
      <w:lvlJc w:val="left"/>
      <w:lvlText w:val="(%1)"/>
      <w:numFmt w:val="lowerRoman"/>
      <w:start w:val="2"/>
    </w:lvl>
  </w:abstractNum>
  <w:abstractNum w:abstractNumId="428">
    <w:nsid w:val="508ED897"/>
    <w:multiLevelType w:val="hybridMultilevel"/>
    <w:lvl w:ilvl="0">
      <w:lvlJc w:val="left"/>
      <w:lvlText w:val="(%1)"/>
      <w:numFmt w:val="lowerLetter"/>
      <w:start w:val="1"/>
    </w:lvl>
  </w:abstractNum>
  <w:abstractNum w:abstractNumId="429">
    <w:nsid w:val="6A9126B5"/>
    <w:multiLevelType w:val="hybridMultilevel"/>
    <w:lvl w:ilvl="0">
      <w:lvlJc w:val="left"/>
      <w:lvlText w:val="(%1)"/>
      <w:numFmt w:val="lowerLetter"/>
      <w:start w:val="1"/>
    </w:lvl>
  </w:abstractNum>
  <w:abstractNum w:abstractNumId="430">
    <w:nsid w:val="68104812"/>
    <w:multiLevelType w:val="hybridMultilevel"/>
    <w:lvl w:ilvl="0">
      <w:lvlJc w:val="left"/>
      <w:lvlText w:val="(%1)"/>
      <w:numFmt w:val="lowerLetter"/>
      <w:start w:val="2"/>
    </w:lvl>
  </w:abstractNum>
  <w:abstractNum w:abstractNumId="431">
    <w:nsid w:val="62FB8680"/>
    <w:multiLevelType w:val="hybridMultilevel"/>
    <w:lvl w:ilvl="0">
      <w:lvlJc w:val="left"/>
      <w:lvlText w:val="(%1)"/>
      <w:numFmt w:val="lowerLetter"/>
      <w:start w:val="1"/>
    </w:lvl>
  </w:abstractNum>
  <w:abstractNum w:abstractNumId="432">
    <w:nsid w:val="3A45530"/>
    <w:multiLevelType w:val="hybridMultilevel"/>
    <w:lvl w:ilvl="0">
      <w:lvlJc w:val="left"/>
      <w:lvlText w:val="(%1)"/>
      <w:numFmt w:val="lowerRoman"/>
      <w:start w:val="1"/>
    </w:lvl>
  </w:abstractNum>
  <w:abstractNum w:abstractNumId="433">
    <w:nsid w:val="4B9275D2"/>
    <w:multiLevelType w:val="hybridMultilevel"/>
    <w:lvl w:ilvl="0">
      <w:lvlJc w:val="left"/>
      <w:lvlText w:val="(%1)"/>
      <w:numFmt w:val="lowerRoman"/>
      <w:start w:val="4"/>
    </w:lvl>
  </w:abstractNum>
  <w:abstractNum w:abstractNumId="434">
    <w:nsid w:val="4F0CEEDB"/>
    <w:multiLevelType w:val="hybridMultilevel"/>
    <w:lvl w:ilvl="0">
      <w:lvlJc w:val="left"/>
      <w:lvlText w:val="(%1)"/>
      <w:numFmt w:val="lowerLetter"/>
      <w:start w:val="1"/>
    </w:lvl>
  </w:abstractNum>
  <w:abstractNum w:abstractNumId="435">
    <w:nsid w:val="61C30361"/>
    <w:multiLevelType w:val="hybridMultilevel"/>
    <w:lvl w:ilvl="0">
      <w:lvlJc w:val="left"/>
      <w:lvlText w:val="(%1)"/>
      <w:numFmt w:val="lowerLetter"/>
      <w:start w:val="1"/>
    </w:lvl>
  </w:abstractNum>
  <w:abstractNum w:abstractNumId="436">
    <w:nsid w:val="632099E0"/>
    <w:multiLevelType w:val="hybridMultilevel"/>
    <w:lvl w:ilvl="0">
      <w:lvlJc w:val="left"/>
      <w:lvlText w:val="(%1)"/>
      <w:numFmt w:val="lowerLetter"/>
      <w:start w:val="1"/>
    </w:lvl>
  </w:abstractNum>
  <w:abstractNum w:abstractNumId="437">
    <w:nsid w:val="24639756"/>
    <w:multiLevelType w:val="hybridMultilevel"/>
    <w:lvl w:ilvl="0">
      <w:lvlJc w:val="left"/>
      <w:lvlText w:val="(%1)"/>
      <w:numFmt w:val="lowerLetter"/>
      <w:start w:val="2"/>
    </w:lvl>
  </w:abstractNum>
  <w:abstractNum w:abstractNumId="438">
    <w:nsid w:val="9D30DFD"/>
    <w:multiLevelType w:val="hybridMultilevel"/>
    <w:lvl w:ilvl="0">
      <w:lvlJc w:val="left"/>
      <w:lvlText w:val="(%1)"/>
      <w:numFmt w:val="lowerLetter"/>
      <w:start w:val="1"/>
    </w:lvl>
    <w:lvl w:ilvl="1">
      <w:lvlJc w:val="left"/>
      <w:lvlText w:val="(%2)"/>
      <w:numFmt w:val="lowerRoman"/>
      <w:start w:val="1"/>
    </w:lvl>
  </w:abstractNum>
  <w:abstractNum w:abstractNumId="439">
    <w:nsid w:val="70A42016"/>
    <w:multiLevelType w:val="hybridMultilevel"/>
    <w:lvl w:ilvl="0">
      <w:lvlJc w:val="left"/>
      <w:lvlText w:val="%1"/>
      <w:numFmt w:val="decimal"/>
      <w:start w:val="1"/>
    </w:lvl>
    <w:lvl w:ilvl="1">
      <w:lvlJc w:val="left"/>
      <w:lvlText w:val="(%2)"/>
      <w:numFmt w:val="lowerRoman"/>
      <w:start w:val="1"/>
    </w:lvl>
  </w:abstractNum>
  <w:abstractNum w:abstractNumId="440">
    <w:nsid w:val="161BC243"/>
    <w:multiLevelType w:val="hybridMultilevel"/>
    <w:lvl w:ilvl="0">
      <w:lvlJc w:val="left"/>
      <w:lvlText w:val="%1."/>
      <w:numFmt w:val="decimal"/>
      <w:start w:val="36"/>
    </w:lvl>
    <w:lvl w:ilvl="1">
      <w:lvlJc w:val="left"/>
      <w:lvlText w:val="(%2)"/>
      <w:numFmt w:val="lowerRoman"/>
      <w:start w:val="2"/>
    </w:lvl>
  </w:abstractNum>
  <w:abstractNum w:abstractNumId="441">
    <w:nsid w:val="16E908C8"/>
    <w:multiLevelType w:val="hybridMultilevel"/>
    <w:lvl w:ilvl="0">
      <w:lvlJc w:val="left"/>
      <w:lvlText w:val="(%1)"/>
      <w:numFmt w:val="lowerLetter"/>
      <w:start w:val="4"/>
    </w:lvl>
  </w:abstractNum>
  <w:abstractNum w:abstractNumId="442">
    <w:nsid w:val="2E0D7671"/>
    <w:multiLevelType w:val="hybridMultilevel"/>
    <w:lvl w:ilvl="0">
      <w:lvlJc w:val="left"/>
      <w:lvlText w:val="(%1)"/>
      <w:numFmt w:val="lowerRoman"/>
      <w:start w:val="1"/>
    </w:lvl>
  </w:abstractNum>
  <w:abstractNum w:abstractNumId="443">
    <w:nsid w:val="38B59EFF"/>
    <w:multiLevelType w:val="hybridMultilevel"/>
    <w:lvl w:ilvl="0">
      <w:lvlJc w:val="left"/>
      <w:lvlText w:val="(%1)"/>
      <w:numFmt w:val="lowerLetter"/>
      <w:start w:val="5"/>
    </w:lvl>
  </w:abstractNum>
  <w:abstractNum w:abstractNumId="444">
    <w:nsid w:val="307995CA"/>
    <w:multiLevelType w:val="hybridMultilevel"/>
    <w:lvl w:ilvl="0">
      <w:lvlJc w:val="left"/>
      <w:lvlText w:val="(%1)"/>
      <w:numFmt w:val="lowerLetter"/>
      <w:start w:val="1"/>
    </w:lvl>
  </w:abstractNum>
  <w:abstractNum w:abstractNumId="445">
    <w:nsid w:val="52E2024D"/>
    <w:multiLevelType w:val="hybridMultilevel"/>
    <w:lvl w:ilvl="0">
      <w:lvlJc w:val="left"/>
      <w:lvlText w:val="(%1)"/>
      <w:numFmt w:val="lowerLetter"/>
      <w:start w:val="2"/>
    </w:lvl>
  </w:abstractNum>
  <w:abstractNum w:abstractNumId="446">
    <w:nsid w:val="CE344B5"/>
    <w:multiLevelType w:val="hybridMultilevel"/>
    <w:lvl w:ilvl="0">
      <w:lvlJc w:val="left"/>
      <w:lvlText w:val="(%1)"/>
      <w:numFmt w:val="lowerLetter"/>
      <w:start w:val="1"/>
    </w:lvl>
  </w:abstractNum>
  <w:abstractNum w:abstractNumId="447">
    <w:nsid w:val="29B0E9A8"/>
    <w:multiLevelType w:val="hybridMultilevel"/>
    <w:lvl w:ilvl="0">
      <w:lvlJc w:val="left"/>
      <w:lvlText w:val="(%1)"/>
      <w:numFmt w:val="lowerLetter"/>
      <w:start w:val="1"/>
    </w:lvl>
    <w:lvl w:ilvl="1">
      <w:lvlJc w:val="left"/>
      <w:lvlText w:val="(%2)"/>
      <w:numFmt w:val="lowerRoman"/>
      <w:start w:val="1"/>
    </w:lvl>
  </w:abstractNum>
  <w:abstractNum w:abstractNumId="448">
    <w:nsid w:val="6F49CD8A"/>
    <w:multiLevelType w:val="hybridMultilevel"/>
    <w:lvl w:ilvl="0">
      <w:lvlJc w:val="left"/>
      <w:lvlText w:val="(%1)"/>
      <w:numFmt w:val="lowerLetter"/>
      <w:start w:val="1"/>
    </w:lvl>
  </w:abstractNum>
  <w:abstractNum w:abstractNumId="449">
    <w:nsid w:val="4DC5D907"/>
    <w:multiLevelType w:val="hybridMultilevel"/>
    <w:lvl w:ilvl="0">
      <w:lvlJc w:val="left"/>
      <w:lvlText w:val="(%1)"/>
      <w:numFmt w:val="lowerLetter"/>
      <w:start w:val="2"/>
    </w:lvl>
    <w:lvl w:ilvl="1">
      <w:lvlJc w:val="left"/>
      <w:lvlText w:val="(%2)"/>
      <w:numFmt w:val="lowerRoman"/>
      <w:start w:val="1"/>
    </w:lvl>
  </w:abstractNum>
  <w:abstractNum w:abstractNumId="450">
    <w:nsid w:val="D55945E"/>
    <w:multiLevelType w:val="hybridMultilevel"/>
    <w:lvl w:ilvl="0">
      <w:lvlJc w:val="left"/>
      <w:lvlText w:val="(%1)"/>
      <w:numFmt w:val="lowerLetter"/>
      <w:start w:val="3"/>
    </w:lvl>
  </w:abstractNum>
  <w:abstractNum w:abstractNumId="451">
    <w:nsid w:val="672417E1"/>
    <w:multiLevelType w:val="hybridMultilevel"/>
    <w:lvl w:ilvl="0">
      <w:lvlJc w:val="left"/>
      <w:lvlText w:val="%1"/>
      <w:numFmt w:val="lowerLetter"/>
      <w:start w:val="1"/>
    </w:lvl>
    <w:lvl w:ilvl="1">
      <w:lvlJc w:val="left"/>
      <w:lvlText w:val="(%2)"/>
      <w:numFmt w:val="lowerRoman"/>
      <w:start w:val="1"/>
    </w:lvl>
  </w:abstractNum>
  <w:abstractNum w:abstractNumId="452">
    <w:nsid w:val="5FF6CA09"/>
    <w:multiLevelType w:val="hybridMultilevel"/>
    <w:lvl w:ilvl="0">
      <w:lvlJc w:val="left"/>
      <w:lvlText w:val="(%1)"/>
      <w:numFmt w:val="lowerLetter"/>
      <w:start w:val="5"/>
    </w:lvl>
    <w:lvl w:ilvl="1">
      <w:lvlJc w:val="left"/>
      <w:lvlText w:val="%2"/>
      <w:numFmt w:val="lowerRoman"/>
      <w:start w:val="1"/>
    </w:lvl>
  </w:abstractNum>
  <w:abstractNum w:abstractNumId="453">
    <w:nsid w:val="330B1333"/>
    <w:multiLevelType w:val="hybridMultilevel"/>
    <w:lvl w:ilvl="0">
      <w:lvlJc w:val="left"/>
      <w:lvlText w:val="(%1)"/>
      <w:numFmt w:val="lowerRoman"/>
      <w:start w:val="1"/>
    </w:lvl>
  </w:abstractNum>
  <w:abstractNum w:abstractNumId="454">
    <w:nsid w:val="2EF32EA6"/>
    <w:multiLevelType w:val="hybridMultilevel"/>
    <w:lvl w:ilvl="0">
      <w:lvlJc w:val="left"/>
      <w:lvlText w:val="(%1)"/>
      <w:numFmt w:val="lowerLetter"/>
      <w:start w:val="1"/>
    </w:lvl>
  </w:abstractNum>
  <w:abstractNum w:abstractNumId="455">
    <w:nsid w:val="32766A55"/>
    <w:multiLevelType w:val="hybridMultilevel"/>
    <w:lvl w:ilvl="0">
      <w:lvlJc w:val="left"/>
      <w:lvlText w:val="(%1)"/>
      <w:numFmt w:val="lowerLetter"/>
      <w:start w:val="1"/>
    </w:lvl>
  </w:abstractNum>
  <w:abstractNum w:abstractNumId="456">
    <w:nsid w:val="22D71957"/>
    <w:multiLevelType w:val="hybridMultilevel"/>
    <w:lvl w:ilvl="0">
      <w:lvlJc w:val="left"/>
      <w:lvlText w:val="(%1)"/>
      <w:numFmt w:val="lowerLetter"/>
      <w:start w:val="1"/>
    </w:lvl>
  </w:abstractNum>
  <w:abstractNum w:abstractNumId="457">
    <w:nsid w:val="4CC1263B"/>
    <w:multiLevelType w:val="hybridMultilevel"/>
    <w:lvl w:ilvl="0">
      <w:lvlJc w:val="left"/>
      <w:lvlText w:val="(%1)"/>
      <w:numFmt w:val="lowerLetter"/>
      <w:start w:val="2"/>
    </w:lvl>
  </w:abstractNum>
  <w:abstractNum w:abstractNumId="458">
    <w:nsid w:val="8BBEB1D"/>
    <w:multiLevelType w:val="hybridMultilevel"/>
    <w:lvl w:ilvl="0">
      <w:lvlJc w:val="left"/>
      <w:lvlText w:val="(%1)"/>
      <w:numFmt w:val="lowerLetter"/>
      <w:start w:val="1"/>
    </w:lvl>
  </w:abstractNum>
  <w:abstractNum w:abstractNumId="459">
    <w:nsid w:val="7365F1EE"/>
    <w:multiLevelType w:val="hybridMultilevel"/>
    <w:lvl w:ilvl="0">
      <w:lvlJc w:val="left"/>
      <w:lvlText w:val="(%1)"/>
      <w:numFmt w:val="lowerRoman"/>
      <w:start w:val="1"/>
    </w:lvl>
  </w:abstractNum>
  <w:abstractNum w:abstractNumId="460">
    <w:nsid w:val="37524CF0"/>
    <w:multiLevelType w:val="hybridMultilevel"/>
    <w:lvl w:ilvl="0">
      <w:lvlJc w:val="left"/>
      <w:lvlText w:val="(%1)"/>
      <w:numFmt w:val="lowerRoman"/>
      <w:start w:val="3"/>
    </w:lvl>
  </w:abstractNum>
  <w:abstractNum w:abstractNumId="461">
    <w:nsid w:val="70CC332F"/>
    <w:multiLevelType w:val="hybridMultilevel"/>
    <w:lvl w:ilvl="0">
      <w:lvlJc w:val="left"/>
      <w:lvlText w:val="(%1)"/>
      <w:numFmt w:val="lowerLetter"/>
      <w:start w:val="1"/>
    </w:lvl>
  </w:abstractNum>
  <w:abstractNum w:abstractNumId="462">
    <w:nsid w:val="5661786E"/>
    <w:multiLevelType w:val="hybridMultilevel"/>
    <w:lvl w:ilvl="0">
      <w:lvlJc w:val="left"/>
      <w:lvlText w:val="(%1)"/>
      <w:numFmt w:val="lowerLetter"/>
      <w:start w:val="1"/>
    </w:lvl>
  </w:abstractNum>
  <w:abstractNum w:abstractNumId="463">
    <w:nsid w:val="3AF6A220"/>
    <w:multiLevelType w:val="hybridMultilevel"/>
    <w:lvl w:ilvl="0">
      <w:lvlJc w:val="left"/>
      <w:lvlText w:val="(%1)"/>
      <w:numFmt w:val="lowerRoman"/>
      <w:start w:val="10"/>
    </w:lvl>
  </w:abstractNum>
  <w:abstractNum w:abstractNumId="464">
    <w:nsid w:val="3C5EA902"/>
    <w:multiLevelType w:val="hybridMultilevel"/>
    <w:lvl w:ilvl="0">
      <w:lvlJc w:val="left"/>
      <w:lvlText w:val="(%1)"/>
      <w:numFmt w:val="lowerLetter"/>
      <w:start w:val="1"/>
    </w:lvl>
  </w:abstractNum>
  <w:abstractNum w:abstractNumId="465">
    <w:nsid w:val="256E6749"/>
    <w:multiLevelType w:val="hybridMultilevel"/>
    <w:lvl w:ilvl="0">
      <w:lvlJc w:val="left"/>
      <w:lvlText w:val="(%1)"/>
      <w:numFmt w:val="lowerLetter"/>
      <w:start w:val="2"/>
    </w:lvl>
  </w:abstractNum>
  <w:abstractNum w:abstractNumId="466">
    <w:nsid w:val="1CB9A581"/>
    <w:multiLevelType w:val="hybridMultilevel"/>
    <w:lvl w:ilvl="0">
      <w:lvlJc w:val="left"/>
      <w:lvlText w:val="(%1)"/>
      <w:numFmt w:val="lowerLetter"/>
      <w:start w:val="1"/>
    </w:lvl>
    <w:lvl w:ilvl="1">
      <w:lvlJc w:val="left"/>
      <w:lvlText w:val="(%2)"/>
      <w:numFmt w:val="lowerRoman"/>
      <w:start w:val="1"/>
    </w:lvl>
  </w:abstractNum>
  <w:abstractNum w:abstractNumId="467">
    <w:nsid w:val="1F7F42E2"/>
    <w:multiLevelType w:val="hybridMultilevel"/>
    <w:lvl w:ilvl="0">
      <w:lvlJc w:val="left"/>
      <w:lvlText w:val="(%1)"/>
      <w:numFmt w:val="lowerRoman"/>
      <w:start w:val="2"/>
    </w:lvl>
  </w:abstractNum>
  <w:abstractNum w:abstractNumId="468">
    <w:nsid w:val="49D1FEA0"/>
    <w:multiLevelType w:val="hybridMultilevel"/>
    <w:lvl w:ilvl="0">
      <w:lvlJc w:val="left"/>
      <w:lvlText w:val="(%1)"/>
      <w:numFmt w:val="lowerLetter"/>
      <w:start w:val="4"/>
    </w:lvl>
    <w:lvl w:ilvl="1">
      <w:lvlJc w:val="left"/>
      <w:lvlText w:val="(%2)"/>
      <w:numFmt w:val="lowerRoman"/>
      <w:start w:val="1"/>
    </w:lvl>
  </w:abstractNum>
  <w:abstractNum w:abstractNumId="469">
    <w:nsid w:val="268CB37F"/>
    <w:multiLevelType w:val="hybridMultilevel"/>
    <w:lvl w:ilvl="0">
      <w:lvlJc w:val="left"/>
      <w:lvlText w:val="(%1)"/>
      <w:numFmt w:val="lowerLetter"/>
      <w:start w:val="5"/>
    </w:lvl>
  </w:abstractNum>
  <w:abstractNum w:abstractNumId="470">
    <w:nsid w:val="102362F8"/>
    <w:multiLevelType w:val="hybridMultilevel"/>
    <w:lvl w:ilvl="0">
      <w:lvlJc w:val="left"/>
      <w:lvlText w:val="(%1)"/>
      <w:numFmt w:val="lowerLetter"/>
      <w:start w:val="1"/>
    </w:lvl>
  </w:abstractNum>
  <w:abstractNum w:abstractNumId="471">
    <w:nsid w:val="5FEDC0E3"/>
    <w:multiLevelType w:val="hybridMultilevel"/>
    <w:lvl w:ilvl="0">
      <w:lvlJc w:val="left"/>
      <w:lvlText w:val="(%1)"/>
      <w:numFmt w:val="lowerLetter"/>
      <w:start w:val="1"/>
    </w:lvl>
  </w:abstractNum>
  <w:abstractNum w:abstractNumId="472">
    <w:nsid w:val="3D75BC47"/>
    <w:multiLevelType w:val="hybridMultilevel"/>
    <w:lvl w:ilvl="0">
      <w:lvlJc w:val="left"/>
      <w:lvlText w:val="(%1)"/>
      <w:numFmt w:val="lowerLetter"/>
      <w:start w:val="1"/>
    </w:lvl>
    <w:lvl w:ilvl="1">
      <w:lvlJc w:val="left"/>
      <w:lvlText w:val="(%2)"/>
      <w:numFmt w:val="lowerLetter"/>
      <w:start w:val="9"/>
    </w:lvl>
  </w:abstractNum>
  <w:abstractNum w:abstractNumId="473">
    <w:nsid w:val="3E30D969"/>
    <w:multiLevelType w:val="hybridMultilevel"/>
    <w:lvl w:ilvl="0">
      <w:lvlJc w:val="left"/>
      <w:lvlText w:val="(%1)"/>
      <w:numFmt w:val="lowerRoman"/>
      <w:start w:val="2"/>
    </w:lvl>
  </w:abstractNum>
  <w:abstractNum w:abstractNumId="474">
    <w:nsid w:val="18A35FE3"/>
    <w:multiLevelType w:val="hybridMultilevel"/>
    <w:lvl w:ilvl="0">
      <w:lvlJc w:val="left"/>
      <w:lvlText w:val="(%1)"/>
      <w:numFmt w:val="lowerLetter"/>
      <w:start w:val="1"/>
    </w:lvl>
  </w:abstractNum>
  <w:abstractNum w:abstractNumId="475">
    <w:nsid w:val="6DEF5211"/>
    <w:multiLevelType w:val="hybridMultilevel"/>
    <w:lvl w:ilvl="0">
      <w:lvlJc w:val="left"/>
      <w:lvlText w:val="(%1)"/>
      <w:numFmt w:val="lowerLetter"/>
      <w:start w:val="3"/>
    </w:lvl>
    <w:lvl w:ilvl="1">
      <w:lvlJc w:val="left"/>
      <w:lvlText w:val="(%2)"/>
      <w:numFmt w:val="lowerRoman"/>
      <w:start w:val="1"/>
    </w:lvl>
  </w:abstractNum>
  <w:abstractNum w:abstractNumId="476">
    <w:nsid w:val="1112DBB6"/>
    <w:multiLevelType w:val="hybridMultilevel"/>
    <w:lvl w:ilvl="0">
      <w:lvlJc w:val="left"/>
      <w:lvlText w:val="%1"/>
      <w:numFmt w:val="lowerLetter"/>
      <w:start w:val="1"/>
    </w:lvl>
    <w:lvl w:ilvl="1">
      <w:lvlJc w:val="left"/>
      <w:lvlText w:val="(%2)"/>
      <w:numFmt w:val="lowerRoman"/>
      <w:start w:val="4"/>
    </w:lvl>
  </w:abstractNum>
  <w:abstractNum w:abstractNumId="477">
    <w:nsid w:val="2586A498"/>
    <w:multiLevelType w:val="hybridMultilevel"/>
    <w:lvl w:ilvl="0">
      <w:lvlJc w:val="left"/>
      <w:lvlText w:val="(%1)"/>
      <w:numFmt w:val="lowerLetter"/>
      <w:start w:val="4"/>
    </w:lvl>
    <w:lvl w:ilvl="1">
      <w:lvlJc w:val="left"/>
      <w:lvlText w:val="%2"/>
      <w:numFmt w:val="lowerRoman"/>
      <w:start w:val="1"/>
    </w:lvl>
  </w:abstractNum>
  <w:abstractNum w:abstractNumId="478">
    <w:nsid w:val="17A03BB9"/>
    <w:multiLevelType w:val="hybridMultilevel"/>
    <w:lvl w:ilvl="0">
      <w:lvlJc w:val="left"/>
      <w:lvlText w:val="(%1)"/>
      <w:numFmt w:val="lowerRoman"/>
      <w:start w:val="1"/>
    </w:lvl>
  </w:abstractNum>
  <w:abstractNum w:abstractNumId="479">
    <w:nsid w:val="5CA941"/>
    <w:multiLevelType w:val="hybridMultilevel"/>
    <w:lvl w:ilvl="0">
      <w:lvlJc w:val="left"/>
      <w:lvlText w:val="%1"/>
      <w:numFmt w:val="lowerLetter"/>
      <w:start w:val="1"/>
    </w:lvl>
    <w:lvl w:ilvl="1">
      <w:lvlJc w:val="left"/>
      <w:lvlText w:val="(%2)"/>
      <w:numFmt w:val="lowerLetter"/>
      <w:start w:val="35"/>
    </w:lvl>
  </w:abstractNum>
  <w:abstractNum w:abstractNumId="480">
    <w:nsid w:val="734C7D9F"/>
    <w:multiLevelType w:val="hybridMultilevel"/>
    <w:lvl w:ilvl="0">
      <w:lvlJc w:val="left"/>
      <w:lvlText w:val="(%1)"/>
      <w:numFmt w:val="lowerLetter"/>
      <w:start w:val="6"/>
    </w:lvl>
    <w:lvl w:ilvl="1">
      <w:lvlJc w:val="left"/>
      <w:lvlText w:val="%2"/>
      <w:numFmt w:val="lowerLetter"/>
      <w:start w:val="1"/>
    </w:lvl>
  </w:abstractNum>
  <w:abstractNum w:abstractNumId="481">
    <w:nsid w:val="24F5D018"/>
    <w:multiLevelType w:val="hybridMultilevel"/>
    <w:lvl w:ilvl="0">
      <w:lvlJc w:val="left"/>
      <w:lvlText w:val="(%1)"/>
      <w:numFmt w:val="lowerLetter"/>
      <w:start w:val="1"/>
    </w:lvl>
  </w:abstractNum>
  <w:abstractNum w:abstractNumId="482">
    <w:nsid w:val="6780C122"/>
    <w:multiLevelType w:val="hybridMultilevel"/>
    <w:lvl w:ilvl="0">
      <w:lvlJc w:val="left"/>
      <w:lvlText w:val="(%1)"/>
      <w:numFmt w:val="lowerLetter"/>
      <w:start w:val="1"/>
    </w:lvl>
  </w:abstractNum>
  <w:abstractNum w:abstractNumId="483">
    <w:nsid w:val="534347A8"/>
    <w:multiLevelType w:val="hybridMultilevel"/>
    <w:lvl w:ilvl="0">
      <w:lvlJc w:val="left"/>
      <w:lvlText w:val="(%1)"/>
      <w:numFmt w:val="lowerLetter"/>
      <w:start w:val="2"/>
    </w:lvl>
  </w:abstractNum>
  <w:abstractNum w:abstractNumId="484">
    <w:nsid w:val="5800E34B"/>
    <w:multiLevelType w:val="hybridMultilevel"/>
    <w:lvl w:ilvl="0">
      <w:lvlJc w:val="left"/>
      <w:lvlText w:val="(%1)"/>
      <w:numFmt w:val="lowerLetter"/>
      <w:start w:val="1"/>
    </w:lvl>
  </w:abstractNum>
  <w:abstractNum w:abstractNumId="485">
    <w:nsid w:val="1673EFC8"/>
    <w:multiLevelType w:val="hybridMultilevel"/>
    <w:lvl w:ilvl="0">
      <w:lvlJc w:val="left"/>
      <w:lvlText w:val="(%1)"/>
      <w:numFmt w:val="lowerLetter"/>
      <w:start w:val="4"/>
    </w:lvl>
  </w:abstractNum>
  <w:abstractNum w:abstractNumId="486">
    <w:nsid w:val="5B9B1FD"/>
    <w:multiLevelType w:val="hybridMultilevel"/>
    <w:lvl w:ilvl="0">
      <w:lvlJc w:val="left"/>
      <w:lvlText w:val="(%1)"/>
      <w:numFmt w:val="lowerLetter"/>
      <w:start w:val="1"/>
    </w:lvl>
  </w:abstractNum>
  <w:abstractNum w:abstractNumId="487">
    <w:nsid w:val="7AD7FCA2"/>
    <w:multiLevelType w:val="hybridMultilevel"/>
    <w:lvl w:ilvl="0">
      <w:lvlJc w:val="left"/>
      <w:lvlText w:val="(%1)"/>
      <w:numFmt w:val="lowerRoman"/>
      <w:start w:val="1"/>
    </w:lvl>
    <w:lvl w:ilvl="1">
      <w:lvlJc w:val="left"/>
      <w:lvlText w:val="(%2)"/>
      <w:numFmt w:val="lowerRoman"/>
      <w:start w:val="4"/>
    </w:lvl>
  </w:abstractNum>
  <w:abstractNum w:abstractNumId="488">
    <w:nsid w:val="63351604"/>
    <w:multiLevelType w:val="hybridMultilevel"/>
    <w:lvl w:ilvl="0">
      <w:lvlJc w:val="left"/>
      <w:lvlText w:val="(%1)"/>
      <w:numFmt w:val="lowerLetter"/>
      <w:start w:val="25"/>
    </w:lvl>
    <w:lvl w:ilvl="1">
      <w:lvlJc w:val="left"/>
      <w:lvlText w:val="(%2)"/>
      <w:numFmt w:val="lowerLetter"/>
      <w:start w:val="1"/>
    </w:lvl>
  </w:abstractNum>
  <w:abstractNum w:abstractNumId="489">
    <w:nsid w:val="E759D1A"/>
    <w:multiLevelType w:val="hybridMultilevel"/>
    <w:lvl w:ilvl="0">
      <w:lvlJc w:val="left"/>
      <w:lvlText w:val="(%1)"/>
      <w:numFmt w:val="lowerLetter"/>
      <w:start w:val="1"/>
    </w:lvl>
  </w:abstractNum>
  <w:abstractNum w:abstractNumId="490">
    <w:nsid w:val="6E3DEE90"/>
    <w:multiLevelType w:val="hybridMultilevel"/>
    <w:lvl w:ilvl="0">
      <w:lvlJc w:val="left"/>
      <w:lvlText w:val="%1."/>
      <w:numFmt w:val="decimal"/>
      <w:start w:val="1"/>
    </w:lvl>
    <w:lvl w:ilvl="1">
      <w:lvlJc w:val="left"/>
      <w:lvlText w:val="%2."/>
      <w:numFmt w:val="lowerLetter"/>
      <w:start w:val="1"/>
    </w:lvl>
  </w:abstractNum>
  <w:abstractNum w:abstractNumId="491">
    <w:nsid w:val="1A8762F4"/>
    <w:multiLevelType w:val="hybridMultilevel"/>
    <w:lvl w:ilvl="0">
      <w:lvlJc w:val="left"/>
      <w:lvlText w:val="%1."/>
      <w:numFmt w:val="decimal"/>
      <w:start w:val="1"/>
    </w:lvl>
    <w:lvl w:ilvl="1">
      <w:lvlJc w:val="left"/>
      <w:lvlText w:val="%2."/>
      <w:numFmt w:val="lowerLetter"/>
      <w:start w:val="1"/>
    </w:lvl>
  </w:abstractNum>
  <w:abstractNum w:abstractNumId="492">
    <w:nsid w:val="7F41D0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60" Type="http://schemas.openxmlformats.org/officeDocument/2006/relationships/image" Target="media/image138.png"/><Relationship Id="rId166"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2" Type="http://schemas.openxmlformats.org/officeDocument/2006/relationships/image" Target="media/image142.png"/><Relationship Id="rId175" Type="http://schemas.openxmlformats.org/officeDocument/2006/relationships/image" Target="media/image143.png"/><Relationship Id="rId179" Type="http://schemas.openxmlformats.org/officeDocument/2006/relationships/image" Target="media/image144.png"/><Relationship Id="rId185" Type="http://schemas.openxmlformats.org/officeDocument/2006/relationships/image" Target="media/image145.png"/><Relationship Id="rId194" Type="http://schemas.openxmlformats.org/officeDocument/2006/relationships/image" Target="media/image146.png"/><Relationship Id="rId207" Type="http://schemas.openxmlformats.org/officeDocument/2006/relationships/image" Target="media/image147.png"/><Relationship Id="rId218" Type="http://schemas.openxmlformats.org/officeDocument/2006/relationships/image" Target="media/image148.png"/><Relationship Id="rId234" Type="http://schemas.openxmlformats.org/officeDocument/2006/relationships/image" Target="media/image149.png"/><Relationship Id="rId245" Type="http://schemas.openxmlformats.org/officeDocument/2006/relationships/image" Target="media/image150.png"/><Relationship Id="rId253" Type="http://schemas.openxmlformats.org/officeDocument/2006/relationships/image" Target="media/image151.png"/><Relationship Id="rId254" Type="http://schemas.openxmlformats.org/officeDocument/2006/relationships/image" Target="media/image152.png"/><Relationship Id="rId255" Type="http://schemas.openxmlformats.org/officeDocument/2006/relationships/image" Target="media/image153.png"/><Relationship Id="rId256" Type="http://schemas.openxmlformats.org/officeDocument/2006/relationships/image" Target="media/image154.png"/><Relationship Id="rId257" Type="http://schemas.openxmlformats.org/officeDocument/2006/relationships/image" Target="media/image155.png"/><Relationship Id="rId258" Type="http://schemas.openxmlformats.org/officeDocument/2006/relationships/image" Target="media/image156.png"/><Relationship Id="rId259" Type="http://schemas.openxmlformats.org/officeDocument/2006/relationships/image" Target="media/image157.png"/><Relationship Id="rId260" Type="http://schemas.openxmlformats.org/officeDocument/2006/relationships/image" Target="media/image158.png"/><Relationship Id="rId261" Type="http://schemas.openxmlformats.org/officeDocument/2006/relationships/image" Target="media/image159.png"/><Relationship Id="rId262" Type="http://schemas.openxmlformats.org/officeDocument/2006/relationships/image" Target="media/image160.png"/><Relationship Id="rId263" Type="http://schemas.openxmlformats.org/officeDocument/2006/relationships/image" Target="media/image161.png"/><Relationship Id="rId264" Type="http://schemas.openxmlformats.org/officeDocument/2006/relationships/image" Target="media/image162.png"/><Relationship Id="rId265" Type="http://schemas.openxmlformats.org/officeDocument/2006/relationships/image" Target="media/image163.png"/><Relationship Id="rId266" Type="http://schemas.openxmlformats.org/officeDocument/2006/relationships/image" Target="media/image164.png"/><Relationship Id="rId267" Type="http://schemas.openxmlformats.org/officeDocument/2006/relationships/image" Target="media/image165.png"/><Relationship Id="rId268" Type="http://schemas.openxmlformats.org/officeDocument/2006/relationships/image" Target="media/image166.png"/><Relationship Id="rId269" Type="http://schemas.openxmlformats.org/officeDocument/2006/relationships/image" Target="media/image167.png"/><Relationship Id="rId270" Type="http://schemas.openxmlformats.org/officeDocument/2006/relationships/image" Target="media/image168.png"/><Relationship Id="rId271" Type="http://schemas.openxmlformats.org/officeDocument/2006/relationships/image" Target="media/image169.png"/><Relationship Id="rId272" Type="http://schemas.openxmlformats.org/officeDocument/2006/relationships/image" Target="media/image170.png"/><Relationship Id="rId273" Type="http://schemas.openxmlformats.org/officeDocument/2006/relationships/image" Target="media/image171.png"/><Relationship Id="rId274" Type="http://schemas.openxmlformats.org/officeDocument/2006/relationships/image" Target="media/image172.png"/><Relationship Id="rId275" Type="http://schemas.openxmlformats.org/officeDocument/2006/relationships/image" Target="media/image173.png"/><Relationship Id="rId276" Type="http://schemas.openxmlformats.org/officeDocument/2006/relationships/image" Target="media/image174.png"/><Relationship Id="rId277" Type="http://schemas.openxmlformats.org/officeDocument/2006/relationships/image" Target="media/image175.png"/><Relationship Id="rId278" Type="http://schemas.openxmlformats.org/officeDocument/2006/relationships/image" Target="media/image176.png"/><Relationship Id="rId279" Type="http://schemas.openxmlformats.org/officeDocument/2006/relationships/image" Target="media/image177.png"/><Relationship Id="rId280" Type="http://schemas.openxmlformats.org/officeDocument/2006/relationships/image" Target="media/image178.png"/><Relationship Id="rId281" Type="http://schemas.openxmlformats.org/officeDocument/2006/relationships/image" Target="media/image179.png"/><Relationship Id="rId282" Type="http://schemas.openxmlformats.org/officeDocument/2006/relationships/image" Target="media/image180.png"/><Relationship Id="rId283" Type="http://schemas.openxmlformats.org/officeDocument/2006/relationships/image" Target="media/image181.png"/><Relationship Id="rId284" Type="http://schemas.openxmlformats.org/officeDocument/2006/relationships/image" Target="media/image182.png"/><Relationship Id="rId285" Type="http://schemas.openxmlformats.org/officeDocument/2006/relationships/image" Target="media/image183.png"/><Relationship Id="rId286" Type="http://schemas.openxmlformats.org/officeDocument/2006/relationships/image" Target="media/image184.png"/><Relationship Id="rId287" Type="http://schemas.openxmlformats.org/officeDocument/2006/relationships/image" Target="media/image185.png"/><Relationship Id="rId288" Type="http://schemas.openxmlformats.org/officeDocument/2006/relationships/image" Target="media/image186.png"/><Relationship Id="rId289" Type="http://schemas.openxmlformats.org/officeDocument/2006/relationships/image" Target="media/image187.png"/><Relationship Id="rId290" Type="http://schemas.openxmlformats.org/officeDocument/2006/relationships/image" Target="media/image188.png"/><Relationship Id="rId291" Type="http://schemas.openxmlformats.org/officeDocument/2006/relationships/image" Target="media/image189.png"/><Relationship Id="rId292" Type="http://schemas.openxmlformats.org/officeDocument/2006/relationships/image" Target="media/image190.png"/><Relationship Id="rId293" Type="http://schemas.openxmlformats.org/officeDocument/2006/relationships/image" Target="media/image191.png"/><Relationship Id="rId294" Type="http://schemas.openxmlformats.org/officeDocument/2006/relationships/image" Target="media/image192.png"/><Relationship Id="rId295" Type="http://schemas.openxmlformats.org/officeDocument/2006/relationships/image" Target="media/image193.png"/><Relationship Id="rId296" Type="http://schemas.openxmlformats.org/officeDocument/2006/relationships/image" Target="media/image194.png"/><Relationship Id="rId297" Type="http://schemas.openxmlformats.org/officeDocument/2006/relationships/image" Target="media/image195.png"/><Relationship Id="rId298" Type="http://schemas.openxmlformats.org/officeDocument/2006/relationships/image" Target="media/image196.png"/><Relationship Id="rId299" Type="http://schemas.openxmlformats.org/officeDocument/2006/relationships/image" Target="media/image197.png"/><Relationship Id="rId300" Type="http://schemas.openxmlformats.org/officeDocument/2006/relationships/image" Target="media/image198.png"/><Relationship Id="rId301" Type="http://schemas.openxmlformats.org/officeDocument/2006/relationships/image" Target="media/image199.png"/><Relationship Id="rId302" Type="http://schemas.openxmlformats.org/officeDocument/2006/relationships/image" Target="media/image200.png"/><Relationship Id="rId303" Type="http://schemas.openxmlformats.org/officeDocument/2006/relationships/image" Target="media/image201.png"/><Relationship Id="rId304" Type="http://schemas.openxmlformats.org/officeDocument/2006/relationships/image" Target="media/image202.png"/><Relationship Id="rId305" Type="http://schemas.openxmlformats.org/officeDocument/2006/relationships/image" Target="media/image203.png"/><Relationship Id="rId306" Type="http://schemas.openxmlformats.org/officeDocument/2006/relationships/image" Target="media/image204.png"/><Relationship Id="rId307" Type="http://schemas.openxmlformats.org/officeDocument/2006/relationships/image" Target="media/image205.png"/><Relationship Id="rId308" Type="http://schemas.openxmlformats.org/officeDocument/2006/relationships/image" Target="media/image206.png"/><Relationship Id="rId309" Type="http://schemas.openxmlformats.org/officeDocument/2006/relationships/image" Target="media/image207.png"/><Relationship Id="rId310" Type="http://schemas.openxmlformats.org/officeDocument/2006/relationships/image" Target="media/image208.png"/><Relationship Id="rId311" Type="http://schemas.openxmlformats.org/officeDocument/2006/relationships/image" Target="media/image209.png"/><Relationship Id="rId312" Type="http://schemas.openxmlformats.org/officeDocument/2006/relationships/image" Target="media/image210.png"/><Relationship Id="rId313" Type="http://schemas.openxmlformats.org/officeDocument/2006/relationships/image" Target="media/image211.png"/><Relationship Id="rId314" Type="http://schemas.openxmlformats.org/officeDocument/2006/relationships/image" Target="media/image212.png"/><Relationship Id="rId315" Type="http://schemas.openxmlformats.org/officeDocument/2006/relationships/image" Target="media/image213.png"/><Relationship Id="rId316" Type="http://schemas.openxmlformats.org/officeDocument/2006/relationships/image" Target="media/image214.png"/><Relationship Id="rId317" Type="http://schemas.openxmlformats.org/officeDocument/2006/relationships/image" Target="media/image215.png"/><Relationship Id="rId318" Type="http://schemas.openxmlformats.org/officeDocument/2006/relationships/image" Target="media/image216.png"/><Relationship Id="rId319" Type="http://schemas.openxmlformats.org/officeDocument/2006/relationships/image" Target="media/image217.png"/><Relationship Id="rId320" Type="http://schemas.openxmlformats.org/officeDocument/2006/relationships/image" Target="media/image218.png"/><Relationship Id="rId321" Type="http://schemas.openxmlformats.org/officeDocument/2006/relationships/image" Target="media/image219.png"/><Relationship Id="rId322" Type="http://schemas.openxmlformats.org/officeDocument/2006/relationships/image" Target="media/image220.png"/><Relationship Id="rId323" Type="http://schemas.openxmlformats.org/officeDocument/2006/relationships/image" Target="media/image221.png"/><Relationship Id="rId324" Type="http://schemas.openxmlformats.org/officeDocument/2006/relationships/image" Target="media/image222.png"/><Relationship Id="rId325" Type="http://schemas.openxmlformats.org/officeDocument/2006/relationships/image" Target="media/image223.png"/><Relationship Id="rId326" Type="http://schemas.openxmlformats.org/officeDocument/2006/relationships/image" Target="media/image224.jpeg"/><Relationship Id="rId327" Type="http://schemas.openxmlformats.org/officeDocument/2006/relationships/image" Target="media/image225.png"/><Relationship Id="rId328" Type="http://schemas.openxmlformats.org/officeDocument/2006/relationships/image" Target="media/image226.png"/><Relationship Id="rId329" Type="http://schemas.openxmlformats.org/officeDocument/2006/relationships/image" Target="media/image227.png"/><Relationship Id="rId330" Type="http://schemas.openxmlformats.org/officeDocument/2006/relationships/image" Target="media/image228.png"/><Relationship Id="rId331" Type="http://schemas.openxmlformats.org/officeDocument/2006/relationships/image" Target="media/image229.png"/><Relationship Id="rId332" Type="http://schemas.openxmlformats.org/officeDocument/2006/relationships/image" Target="media/image230.png"/><Relationship Id="rId333" Type="http://schemas.openxmlformats.org/officeDocument/2006/relationships/image" Target="media/image231.png"/><Relationship Id="rId334" Type="http://schemas.openxmlformats.org/officeDocument/2006/relationships/image" Target="media/image232.png"/><Relationship Id="rId335" Type="http://schemas.openxmlformats.org/officeDocument/2006/relationships/image" Target="media/image233.png"/><Relationship Id="rId336" Type="http://schemas.openxmlformats.org/officeDocument/2006/relationships/image" Target="media/image234.png"/><Relationship Id="rId337" Type="http://schemas.openxmlformats.org/officeDocument/2006/relationships/image" Target="media/image235.png"/><Relationship Id="rId338" Type="http://schemas.openxmlformats.org/officeDocument/2006/relationships/image" Target="media/image236.png"/><Relationship Id="rId339" Type="http://schemas.openxmlformats.org/officeDocument/2006/relationships/image" Target="media/image237.png"/><Relationship Id="rId340" Type="http://schemas.openxmlformats.org/officeDocument/2006/relationships/image" Target="media/image238.png"/><Relationship Id="rId341" Type="http://schemas.openxmlformats.org/officeDocument/2006/relationships/image" Target="media/image239.png"/><Relationship Id="rId342" Type="http://schemas.openxmlformats.org/officeDocument/2006/relationships/image" Target="media/image240.png"/><Relationship Id="rId343" Type="http://schemas.openxmlformats.org/officeDocument/2006/relationships/image" Target="media/image241.png"/><Relationship Id="rId344" Type="http://schemas.openxmlformats.org/officeDocument/2006/relationships/image" Target="media/image242.png"/><Relationship Id="rId345" Type="http://schemas.openxmlformats.org/officeDocument/2006/relationships/image" Target="media/image243.png"/><Relationship Id="rId346" Type="http://schemas.openxmlformats.org/officeDocument/2006/relationships/image" Target="media/image244.png"/><Relationship Id="rId347" Type="http://schemas.openxmlformats.org/officeDocument/2006/relationships/image" Target="media/image245.png"/><Relationship Id="rId348" Type="http://schemas.openxmlformats.org/officeDocument/2006/relationships/image" Target="media/image246.png"/><Relationship Id="rId349" Type="http://schemas.openxmlformats.org/officeDocument/2006/relationships/image" Target="media/image247.png"/><Relationship Id="rId350" Type="http://schemas.openxmlformats.org/officeDocument/2006/relationships/image" Target="media/image248.png"/><Relationship Id="rId351" Type="http://schemas.openxmlformats.org/officeDocument/2006/relationships/image" Target="media/image249.jpeg"/><Relationship Id="rId352" Type="http://schemas.openxmlformats.org/officeDocument/2006/relationships/image" Target="media/image250.png"/><Relationship Id="rId353" Type="http://schemas.openxmlformats.org/officeDocument/2006/relationships/image" Target="media/image251.png"/><Relationship Id="rId354" Type="http://schemas.openxmlformats.org/officeDocument/2006/relationships/image" Target="media/image252.jpeg"/><Relationship Id="rId355" Type="http://schemas.openxmlformats.org/officeDocument/2006/relationships/image" Target="media/image253.png"/><Relationship Id="rId356" Type="http://schemas.openxmlformats.org/officeDocument/2006/relationships/image" Target="media/image254.jpeg"/><Relationship Id="rId357" Type="http://schemas.openxmlformats.org/officeDocument/2006/relationships/image" Target="media/image255.png"/><Relationship Id="rId358" Type="http://schemas.openxmlformats.org/officeDocument/2006/relationships/image" Target="media/image256.jpeg"/><Relationship Id="rId359" Type="http://schemas.openxmlformats.org/officeDocument/2006/relationships/image" Target="media/image257.png"/><Relationship Id="rId360" Type="http://schemas.openxmlformats.org/officeDocument/2006/relationships/image" Target="media/image258.jpeg"/><Relationship Id="rId361" Type="http://schemas.openxmlformats.org/officeDocument/2006/relationships/image" Target="media/image259.png"/><Relationship Id="rId362" Type="http://schemas.openxmlformats.org/officeDocument/2006/relationships/image" Target="media/image260.jpeg"/><Relationship Id="rId363" Type="http://schemas.openxmlformats.org/officeDocument/2006/relationships/image" Target="media/image261.png"/><Relationship Id="rId364" Type="http://schemas.openxmlformats.org/officeDocument/2006/relationships/image" Target="media/image262.png"/><Relationship Id="rId365" Type="http://schemas.openxmlformats.org/officeDocument/2006/relationships/image" Target="media/image263.png"/><Relationship Id="rId366" Type="http://schemas.openxmlformats.org/officeDocument/2006/relationships/image" Target="media/image264.png"/><Relationship Id="rId367" Type="http://schemas.openxmlformats.org/officeDocument/2006/relationships/image" Target="media/image265.png"/><Relationship Id="rId368" Type="http://schemas.openxmlformats.org/officeDocument/2006/relationships/image" Target="media/image266.png"/><Relationship Id="rId369" Type="http://schemas.openxmlformats.org/officeDocument/2006/relationships/image" Target="media/image267.png"/><Relationship Id="rId370" Type="http://schemas.openxmlformats.org/officeDocument/2006/relationships/image" Target="media/image268.png"/><Relationship Id="rId371" Type="http://schemas.openxmlformats.org/officeDocument/2006/relationships/image" Target="media/image269.png"/><Relationship Id="rId372" Type="http://schemas.openxmlformats.org/officeDocument/2006/relationships/image" Target="media/image270.png"/><Relationship Id="rId373" Type="http://schemas.openxmlformats.org/officeDocument/2006/relationships/image" Target="media/image271.png"/><Relationship Id="rId374" Type="http://schemas.openxmlformats.org/officeDocument/2006/relationships/image" Target="media/image272.png"/><Relationship Id="rId375" Type="http://schemas.openxmlformats.org/officeDocument/2006/relationships/image" Target="media/image273.png"/><Relationship Id="rId376" Type="http://schemas.openxmlformats.org/officeDocument/2006/relationships/image" Target="media/image274.png"/><Relationship Id="rId377" Type="http://schemas.openxmlformats.org/officeDocument/2006/relationships/image" Target="media/image275.png"/><Relationship Id="rId378" Type="http://schemas.openxmlformats.org/officeDocument/2006/relationships/image" Target="media/image276.png"/><Relationship Id="rId379" Type="http://schemas.openxmlformats.org/officeDocument/2006/relationships/image" Target="media/image277.png"/><Relationship Id="rId380" Type="http://schemas.openxmlformats.org/officeDocument/2006/relationships/image" Target="media/image278.png"/><Relationship Id="rId381" Type="http://schemas.openxmlformats.org/officeDocument/2006/relationships/image" Target="media/image279.png"/><Relationship Id="rId382" Type="http://schemas.openxmlformats.org/officeDocument/2006/relationships/image" Target="media/image280.png"/><Relationship Id="rId383" Type="http://schemas.openxmlformats.org/officeDocument/2006/relationships/image" Target="media/image281.png"/><Relationship Id="rId384" Type="http://schemas.openxmlformats.org/officeDocument/2006/relationships/image" Target="media/image282.png"/><Relationship Id="rId385" Type="http://schemas.openxmlformats.org/officeDocument/2006/relationships/image" Target="media/image283.png"/><Relationship Id="rId386" Type="http://schemas.openxmlformats.org/officeDocument/2006/relationships/image" Target="media/image284.png"/><Relationship Id="rId387" Type="http://schemas.openxmlformats.org/officeDocument/2006/relationships/image" Target="media/image285.png"/><Relationship Id="rId388" Type="http://schemas.openxmlformats.org/officeDocument/2006/relationships/image" Target="media/image286.png"/><Relationship Id="rId389" Type="http://schemas.openxmlformats.org/officeDocument/2006/relationships/image" Target="media/image287.png"/><Relationship Id="rId390" Type="http://schemas.openxmlformats.org/officeDocument/2006/relationships/image" Target="media/image288.png"/><Relationship Id="rId391" Type="http://schemas.openxmlformats.org/officeDocument/2006/relationships/image" Target="media/image289.png"/><Relationship Id="rId392" Type="http://schemas.openxmlformats.org/officeDocument/2006/relationships/image" Target="media/image290.png"/><Relationship Id="rId393" Type="http://schemas.openxmlformats.org/officeDocument/2006/relationships/image" Target="media/image291.png"/><Relationship Id="rId394" Type="http://schemas.openxmlformats.org/officeDocument/2006/relationships/image" Target="media/image292.png"/><Relationship Id="rId395" Type="http://schemas.openxmlformats.org/officeDocument/2006/relationships/image" Target="media/image293.png"/><Relationship Id="rId396" Type="http://schemas.openxmlformats.org/officeDocument/2006/relationships/image" Target="media/image294.png"/><Relationship Id="rId397" Type="http://schemas.openxmlformats.org/officeDocument/2006/relationships/image" Target="media/image295.png"/><Relationship Id="rId398" Type="http://schemas.openxmlformats.org/officeDocument/2006/relationships/image" Target="media/image296.png"/><Relationship Id="rId399" Type="http://schemas.openxmlformats.org/officeDocument/2006/relationships/image" Target="media/image297.png"/><Relationship Id="rId400" Type="http://schemas.openxmlformats.org/officeDocument/2006/relationships/image" Target="media/image298.png"/><Relationship Id="rId401" Type="http://schemas.openxmlformats.org/officeDocument/2006/relationships/image" Target="media/image299.png"/><Relationship Id="rId402" Type="http://schemas.openxmlformats.org/officeDocument/2006/relationships/image" Target="media/image300.png"/><Relationship Id="rId403" Type="http://schemas.openxmlformats.org/officeDocument/2006/relationships/image" Target="media/image301.png"/><Relationship Id="rId404" Type="http://schemas.openxmlformats.org/officeDocument/2006/relationships/image" Target="media/image302.png"/><Relationship Id="rId405" Type="http://schemas.openxmlformats.org/officeDocument/2006/relationships/image" Target="media/image303.png"/><Relationship Id="rId406" Type="http://schemas.openxmlformats.org/officeDocument/2006/relationships/image" Target="media/image304.png"/><Relationship Id="rId407" Type="http://schemas.openxmlformats.org/officeDocument/2006/relationships/image" Target="media/image305.png"/><Relationship Id="rId408" Type="http://schemas.openxmlformats.org/officeDocument/2006/relationships/image" Target="media/image306.png"/><Relationship Id="rId409" Type="http://schemas.openxmlformats.org/officeDocument/2006/relationships/image" Target="media/image307.png"/><Relationship Id="rId410" Type="http://schemas.openxmlformats.org/officeDocument/2006/relationships/image" Target="media/image308.png"/><Relationship Id="rId411" Type="http://schemas.openxmlformats.org/officeDocument/2006/relationships/image" Target="media/image309.png"/><Relationship Id="rId412" Type="http://schemas.openxmlformats.org/officeDocument/2006/relationships/image" Target="media/image310.png"/><Relationship Id="rId413" Type="http://schemas.openxmlformats.org/officeDocument/2006/relationships/image" Target="media/image311.png"/><Relationship Id="rId414" Type="http://schemas.openxmlformats.org/officeDocument/2006/relationships/image" Target="media/image312.png"/><Relationship Id="rId415" Type="http://schemas.openxmlformats.org/officeDocument/2006/relationships/image" Target="media/image313.png"/><Relationship Id="rId416" Type="http://schemas.openxmlformats.org/officeDocument/2006/relationships/image" Target="media/image314.png"/><Relationship Id="rId417" Type="http://schemas.openxmlformats.org/officeDocument/2006/relationships/image" Target="media/image315.png"/><Relationship Id="rId418" Type="http://schemas.openxmlformats.org/officeDocument/2006/relationships/image" Target="media/image316.png"/><Relationship Id="rId419" Type="http://schemas.openxmlformats.org/officeDocument/2006/relationships/image" Target="media/image317.png"/><Relationship Id="rId420" Type="http://schemas.openxmlformats.org/officeDocument/2006/relationships/image" Target="media/image318.png"/><Relationship Id="rId421" Type="http://schemas.openxmlformats.org/officeDocument/2006/relationships/image" Target="media/image319.png"/><Relationship Id="rId422" Type="http://schemas.openxmlformats.org/officeDocument/2006/relationships/image" Target="media/image320.png"/><Relationship Id="rId423" Type="http://schemas.openxmlformats.org/officeDocument/2006/relationships/image" Target="media/image321.png"/><Relationship Id="rId424" Type="http://schemas.openxmlformats.org/officeDocument/2006/relationships/image" Target="media/image322.png"/><Relationship Id="rId425" Type="http://schemas.openxmlformats.org/officeDocument/2006/relationships/image" Target="media/image323.png"/><Relationship Id="rId426" Type="http://schemas.openxmlformats.org/officeDocument/2006/relationships/image" Target="media/image324.png"/><Relationship Id="rId427" Type="http://schemas.openxmlformats.org/officeDocument/2006/relationships/image" Target="media/image325.png"/><Relationship Id="rId428" Type="http://schemas.openxmlformats.org/officeDocument/2006/relationships/image" Target="media/image326.png"/><Relationship Id="rId429" Type="http://schemas.openxmlformats.org/officeDocument/2006/relationships/image" Target="media/image327.png"/><Relationship Id="rId430" Type="http://schemas.openxmlformats.org/officeDocument/2006/relationships/image" Target="media/image328.png"/><Relationship Id="rId431" Type="http://schemas.openxmlformats.org/officeDocument/2006/relationships/image" Target="media/image329.png"/><Relationship Id="rId432" Type="http://schemas.openxmlformats.org/officeDocument/2006/relationships/image" Target="media/image330.png"/><Relationship Id="rId433" Type="http://schemas.openxmlformats.org/officeDocument/2006/relationships/image" Target="media/image331.png"/><Relationship Id="rId434" Type="http://schemas.openxmlformats.org/officeDocument/2006/relationships/image" Target="media/image332.png"/><Relationship Id="rId435" Type="http://schemas.openxmlformats.org/officeDocument/2006/relationships/image" Target="media/image333.png"/><Relationship Id="rId436" Type="http://schemas.openxmlformats.org/officeDocument/2006/relationships/image" Target="media/image334.png"/><Relationship Id="rId437" Type="http://schemas.openxmlformats.org/officeDocument/2006/relationships/image" Target="media/image335.png"/><Relationship Id="rId438" Type="http://schemas.openxmlformats.org/officeDocument/2006/relationships/image" Target="media/image336.png"/><Relationship Id="rId439" Type="http://schemas.openxmlformats.org/officeDocument/2006/relationships/image" Target="media/image337.png"/><Relationship Id="rId440" Type="http://schemas.openxmlformats.org/officeDocument/2006/relationships/image" Target="media/image338.png"/><Relationship Id="rId441" Type="http://schemas.openxmlformats.org/officeDocument/2006/relationships/image" Target="media/image339.png"/><Relationship Id="rId442" Type="http://schemas.openxmlformats.org/officeDocument/2006/relationships/image" Target="media/image340.png"/><Relationship Id="rId443" Type="http://schemas.openxmlformats.org/officeDocument/2006/relationships/image" Target="media/image341.png"/><Relationship Id="rId444" Type="http://schemas.openxmlformats.org/officeDocument/2006/relationships/image" Target="media/image342.png"/><Relationship Id="rId445" Type="http://schemas.openxmlformats.org/officeDocument/2006/relationships/image" Target="media/image343.png"/><Relationship Id="rId446" Type="http://schemas.openxmlformats.org/officeDocument/2006/relationships/image" Target="media/image344.png"/><Relationship Id="rId447" Type="http://schemas.openxmlformats.org/officeDocument/2006/relationships/image" Target="media/image345.png"/><Relationship Id="rId448" Type="http://schemas.openxmlformats.org/officeDocument/2006/relationships/image" Target="media/image346.png"/><Relationship Id="rId449" Type="http://schemas.openxmlformats.org/officeDocument/2006/relationships/image" Target="media/image347.png"/><Relationship Id="rId450" Type="http://schemas.openxmlformats.org/officeDocument/2006/relationships/image" Target="media/image348.png"/><Relationship Id="rId451" Type="http://schemas.openxmlformats.org/officeDocument/2006/relationships/image" Target="media/image349.png"/><Relationship Id="rId452" Type="http://schemas.openxmlformats.org/officeDocument/2006/relationships/image" Target="media/image350.png"/><Relationship Id="rId453" Type="http://schemas.openxmlformats.org/officeDocument/2006/relationships/image" Target="media/image351.png"/><Relationship Id="rId454" Type="http://schemas.openxmlformats.org/officeDocument/2006/relationships/image" Target="media/image352.png"/><Relationship Id="rId455" Type="http://schemas.openxmlformats.org/officeDocument/2006/relationships/image" Target="media/image353.png"/><Relationship Id="rId456" Type="http://schemas.openxmlformats.org/officeDocument/2006/relationships/image" Target="media/image354.png"/><Relationship Id="rId457" Type="http://schemas.openxmlformats.org/officeDocument/2006/relationships/image" Target="media/image355.png"/><Relationship Id="rId458" Type="http://schemas.openxmlformats.org/officeDocument/2006/relationships/image" Target="media/image356.png"/><Relationship Id="rId459" Type="http://schemas.openxmlformats.org/officeDocument/2006/relationships/image" Target="media/image357.png"/><Relationship Id="rId460" Type="http://schemas.openxmlformats.org/officeDocument/2006/relationships/image" Target="media/image358.png"/><Relationship Id="rId461" Type="http://schemas.openxmlformats.org/officeDocument/2006/relationships/image" Target="media/image359.png"/><Relationship Id="rId462" Type="http://schemas.openxmlformats.org/officeDocument/2006/relationships/image" Target="media/image360.png"/><Relationship Id="rId143" Type="http://schemas.openxmlformats.org/officeDocument/2006/relationships/hyperlink" Target="http://www.sec.gov/Archives/edgar/data/1408198/000119312512212354/d324997dex31.htm" TargetMode="External"/><Relationship Id="rId144" Type="http://schemas.openxmlformats.org/officeDocument/2006/relationships/hyperlink" Target="http://www.sec.gov/Archives/edgar/data/0001408198/000156459021000865/msci-ex31_6.htm" TargetMode="External"/><Relationship Id="rId145" Type="http://schemas.openxmlformats.org/officeDocument/2006/relationships/hyperlink" Target="http://www.sec.gov/Archives/edgar/data/1408198/000095010315006360/dp58253_ex0401.htm" TargetMode="External"/><Relationship Id="rId146" Type="http://schemas.openxmlformats.org/officeDocument/2006/relationships/hyperlink" Target="http://www.sec.gov/Archives/edgar/data/1408198/000095010315006360/dp58253_ex0402.htm" TargetMode="External"/><Relationship Id="rId147" Type="http://schemas.openxmlformats.org/officeDocument/2006/relationships/hyperlink" Target="http://www.sec.gov/Archives/edgar/data/1408198/000119312512212354/d324997dex41.htm" TargetMode="External"/><Relationship Id="rId148" Type="http://schemas.openxmlformats.org/officeDocument/2006/relationships/hyperlink" Target="http://www.sec.gov/Archives/edgar/data/1408198/000119312516672119/d236625dex41.htm" TargetMode="External"/><Relationship Id="rId149" Type="http://schemas.openxmlformats.org/officeDocument/2006/relationships/hyperlink" Target="http://www.sec.gov/Archives/edgar/data/1408198/000119312518167727/d582789dex41.htm" TargetMode="External"/><Relationship Id="rId150" Type="http://schemas.openxmlformats.org/officeDocument/2006/relationships/hyperlink" Target="http://www.sec.gov/Archives/edgar/data/1408198/000119312519286824/d828551dex41.htm" TargetMode="External"/><Relationship Id="rId151" Type="http://schemas.openxmlformats.org/officeDocument/2006/relationships/hyperlink" Target="http://www.sec.gov/Archives/edgar/data/0001408198/000119312520061718/d871635dex41.htm" TargetMode="External"/><Relationship Id="rId152" Type="http://schemas.openxmlformats.org/officeDocument/2006/relationships/hyperlink" Target="http://www.sec.gov/Archives/edgar/data/0001408198/000119312520151613/d829084dex41.htm" TargetMode="External"/><Relationship Id="rId155" Type="http://schemas.openxmlformats.org/officeDocument/2006/relationships/hyperlink" Target="http://www.sec.gov/Archives/edgar/data/1408198/000119312511017728/dex108.htm" TargetMode="External"/><Relationship Id="rId156" Type="http://schemas.openxmlformats.org/officeDocument/2006/relationships/hyperlink" Target="http://www.sec.gov/Archives/edgar/data/1408198/000119312512086989/d264713dex109.htm" TargetMode="External"/><Relationship Id="rId157" Type="http://schemas.openxmlformats.org/officeDocument/2006/relationships/hyperlink" Target="http://www.sec.gov/Archives/edgar/data/1408198/000119312510017074/dex1011.htm" TargetMode="External"/><Relationship Id="rId158" Type="http://schemas.openxmlformats.org/officeDocument/2006/relationships/hyperlink" Target="http://www.sec.gov/Archives/edgar/data/1408198/000095010310001952/dp18350_ex1004.htm" TargetMode="External"/><Relationship Id="rId159" Type="http://schemas.openxmlformats.org/officeDocument/2006/relationships/hyperlink" Target="http://www.sec.gov/Archives/edgar/data/1408198/000119312510017074/dex1014.htm" TargetMode="External"/><Relationship Id="rId161" Type="http://schemas.openxmlformats.org/officeDocument/2006/relationships/hyperlink" Target="http://www.sec.gov/Archives/edgar/data/1408198/000119312508040718/ddef14a.htm#tx37954_49" TargetMode="External"/><Relationship Id="rId162" Type="http://schemas.openxmlformats.org/officeDocument/2006/relationships/hyperlink" Target="http://www.sec.gov/Archives/edgar/data/1408198/000119312512086989/d264713dex1058.htm" TargetMode="External"/><Relationship Id="rId163" Type="http://schemas.openxmlformats.org/officeDocument/2006/relationships/hyperlink" Target="http://www.sec.gov/Archives/edgar/data/1408198/000119312511017728/dex1059.htm" TargetMode="External"/><Relationship Id="rId164" Type="http://schemas.openxmlformats.org/officeDocument/2006/relationships/hyperlink" Target="http://www.sec.gov/Archives/edgar/data/1408198/000119312512086989/d264713dex1062.htm" TargetMode="External"/><Relationship Id="rId165" Type="http://schemas.openxmlformats.org/officeDocument/2006/relationships/hyperlink" Target="http://www.sec.gov/Archives/edgar/data/1408198/000119312512086989/d264713dex1065.htm" TargetMode="External"/><Relationship Id="rId167" Type="http://schemas.openxmlformats.org/officeDocument/2006/relationships/hyperlink" Target="http://www.sec.gov/Archives/edgar/data/1408198/000119312512086989/d264713dex1067.htm" TargetMode="External"/><Relationship Id="rId168" Type="http://schemas.openxmlformats.org/officeDocument/2006/relationships/hyperlink" Target="http://www.sec.gov/Archives/edgar/data/1408198/000119312511254465/d235117dex101.htm" TargetMode="External"/><Relationship Id="rId171" Type="http://schemas.openxmlformats.org/officeDocument/2006/relationships/hyperlink" Target="http://www.sec.gov/Archives/edgar/data/1408198/000119312518167727/d582789dex101.htm" TargetMode="External"/><Relationship Id="rId173" Type="http://schemas.openxmlformats.org/officeDocument/2006/relationships/hyperlink" Target="http://www.sec.gov/Archives/edgar/data/1408198/000156459017002336/msci-ex10109_2925.htm" TargetMode="External"/><Relationship Id="rId174" Type="http://schemas.openxmlformats.org/officeDocument/2006/relationships/hyperlink" Target="http://www.sec.gov/Archives/edgar/data/1408198/000156459019003885/msci-ex10113_950.htm" TargetMode="External"/><Relationship Id="rId176" Type="http://schemas.openxmlformats.org/officeDocument/2006/relationships/hyperlink" Target="http://www.sec.gov/Archives/edgar/data/1408198/000119312516482334/d20757dex10126.htm" TargetMode="External"/><Relationship Id="rId177" Type="http://schemas.openxmlformats.org/officeDocument/2006/relationships/hyperlink" Target="http://www.sec.gov/Archives/edgar/data/1408198/000119312516564282/d162063dex991.htm" TargetMode="External"/><Relationship Id="rId178" Type="http://schemas.openxmlformats.org/officeDocument/2006/relationships/hyperlink" Target="http://www.sec.gov/Archives/edgar/data/1408198/000156459017008974/msci-ex103_531.htm" TargetMode="External"/><Relationship Id="rId180" Type="http://schemas.openxmlformats.org/officeDocument/2006/relationships/hyperlink" Target="http://www.sec.gov/Archives/edgar/data/1408198/000119312516567595/d158720dex108.htm" TargetMode="External"/><Relationship Id="rId181" Type="http://schemas.openxmlformats.org/officeDocument/2006/relationships/hyperlink" Target="http://www.sec.gov/Archives/edgar/data/1408198/000119312516567595/d158720dex109.htm" TargetMode="External"/><Relationship Id="rId182" Type="http://schemas.openxmlformats.org/officeDocument/2006/relationships/hyperlink" Target="http://www.sec.gov/Archives/edgar/data/1408198/000156459017002336/msci-ex10141_1656.htm" TargetMode="External"/><Relationship Id="rId183" Type="http://schemas.openxmlformats.org/officeDocument/2006/relationships/hyperlink" Target="http://www.sec.gov/Archives/edgar/data/1408198/000119312516672119/d236625dex101.htm" TargetMode="External"/><Relationship Id="rId184" Type="http://schemas.openxmlformats.org/officeDocument/2006/relationships/hyperlink" Target="http://www.sec.gov/Archives/edgar/data/1408198/000156459017002336/msci-ex10149_1649.htm" TargetMode="External"/><Relationship Id="rId186" Type="http://schemas.openxmlformats.org/officeDocument/2006/relationships/hyperlink" Target="http://www.sec.gov/Archives/edgar/data/1408198/000156459018003147/msci-ex10154_240.htm" TargetMode="External"/><Relationship Id="rId187" Type="http://schemas.openxmlformats.org/officeDocument/2006/relationships/hyperlink" Target="http://www.sec.gov/Archives/edgar/data/1408198/000156459018003147/msci-ex10155_238.htm" TargetMode="External"/><Relationship Id="rId188" Type="http://schemas.openxmlformats.org/officeDocument/2006/relationships/hyperlink" Target="http://www.sec.gov/Archives/edgar/data/1408198/000156459018003147/msci-ex10156_239.htm" TargetMode="External"/><Relationship Id="rId189" Type="http://schemas.openxmlformats.org/officeDocument/2006/relationships/hyperlink" Target="http://www.sec.gov/Archives/edgar/data/1408198/000156459019003885/msci-ex10157_949.htm" TargetMode="External"/><Relationship Id="rId190" Type="http://schemas.openxmlformats.org/officeDocument/2006/relationships/hyperlink" Target="http://www.sec.gov/Archives/edgar/data/1408198/000156459018003147/msci-ex10159_236.htm" TargetMode="External"/><Relationship Id="rId191" Type="http://schemas.openxmlformats.org/officeDocument/2006/relationships/hyperlink" Target="http://www.sec.gov/Archives/edgar/data/1408198/000156459018003147/msci-ex10160_234.htm" TargetMode="External"/><Relationship Id="rId192" Type="http://schemas.openxmlformats.org/officeDocument/2006/relationships/hyperlink" Target="http://www.sec.gov/Archives/edgar/data/1408198/000156459019003885/msci-ex10161_948.htm" TargetMode="External"/><Relationship Id="rId193" Type="http://schemas.openxmlformats.org/officeDocument/2006/relationships/hyperlink" Target="http://www.sec.gov/Archives/edgar/data/1408198/000156459019003885/msci-ex10162_947.htm" TargetMode="External"/><Relationship Id="rId195" Type="http://schemas.openxmlformats.org/officeDocument/2006/relationships/hyperlink" Target="http://www.sec.gov/Archives/edgar/data/1408198/000156459018003147/msci-ex10163_232.htm" TargetMode="External"/><Relationship Id="rId196" Type="http://schemas.openxmlformats.org/officeDocument/2006/relationships/hyperlink" Target="http://www.sec.gov/Archives/edgar/data/1408198/000156459018003147/msci-ex10164_163.htm" TargetMode="External"/><Relationship Id="rId197" Type="http://schemas.openxmlformats.org/officeDocument/2006/relationships/hyperlink" Target="http://www.sec.gov/Archives/edgar/data/1408198/000156459018003147/msci-ex10165_164.htm" TargetMode="External"/><Relationship Id="rId198" Type="http://schemas.openxmlformats.org/officeDocument/2006/relationships/hyperlink" Target="http://www.sec.gov/Archives/edgar/data/1408198/000156459018003147/msci-ex10166_165.htm" TargetMode="External"/><Relationship Id="rId199" Type="http://schemas.openxmlformats.org/officeDocument/2006/relationships/hyperlink" Target="http://www.sec.gov/Archives/edgar/data/1408198/000156459018010882/msci-ex101_98.htm" TargetMode="External"/><Relationship Id="rId200" Type="http://schemas.openxmlformats.org/officeDocument/2006/relationships/hyperlink" Target="http://www.sec.gov/Archives/edgar/data/1408198/000156459019003885/msci-ex10169_946.htm" TargetMode="External"/><Relationship Id="rId201" Type="http://schemas.openxmlformats.org/officeDocument/2006/relationships/hyperlink" Target="http://www.sec.gov/Archives/edgar/data/1408198/000156459019003885/msci-ex10170_945.htm" TargetMode="External"/><Relationship Id="rId202" Type="http://schemas.openxmlformats.org/officeDocument/2006/relationships/hyperlink" Target="http://www.sec.gov/Archives/edgar/data/1408198/000156459019003885/msci-ex10171_944.htm" TargetMode="External"/><Relationship Id="rId203" Type="http://schemas.openxmlformats.org/officeDocument/2006/relationships/hyperlink" Target="http://www.sec.gov/Archives/edgar/data/1408198/000156459019003885/msci-ex10172_943.htm" TargetMode="External"/><Relationship Id="rId204" Type="http://schemas.openxmlformats.org/officeDocument/2006/relationships/hyperlink" Target="http://www.sec.gov/Archives/edgar/data/1408198/000156459019003885/msci-ex10173_942.htm" TargetMode="External"/><Relationship Id="rId205" Type="http://schemas.openxmlformats.org/officeDocument/2006/relationships/hyperlink" Target="http://www.sec.gov/Archives/edgar/data/1408198/000156459019003885/msci-ex10175_940.htm" TargetMode="External"/><Relationship Id="rId206" Type="http://schemas.openxmlformats.org/officeDocument/2006/relationships/hyperlink" Target="http://www.sec.gov/Archives/edgar/data/1408198/000156459019003885/msci-ex10176_941.htm" TargetMode="External"/><Relationship Id="rId208" Type="http://schemas.openxmlformats.org/officeDocument/2006/relationships/hyperlink" Target="http://www.sec.gov/Archives/edgar/data/1408198/000156459019003885/msci-ex10177_939.htm" TargetMode="External"/><Relationship Id="rId209" Type="http://schemas.openxmlformats.org/officeDocument/2006/relationships/hyperlink" Target="http://www.sec.gov/Archives/edgar/data/1408198/000156459019003885/msci-ex10178_938.htm" TargetMode="External"/><Relationship Id="rId210" Type="http://schemas.openxmlformats.org/officeDocument/2006/relationships/hyperlink" Target="http://www.sec.gov/Archives/edgar/data/1408198/000156459019003885/msci-ex10179_937.htm" TargetMode="External"/><Relationship Id="rId211" Type="http://schemas.openxmlformats.org/officeDocument/2006/relationships/hyperlink" Target="http://www.sec.gov/Archives/edgar/data/1408198/000156459019003885/msci-ex10180_936.htm" TargetMode="External"/><Relationship Id="rId212" Type="http://schemas.openxmlformats.org/officeDocument/2006/relationships/hyperlink" Target="http://www.sec.gov/Archives/edgar/data/1408198/000156459019003885/msci-ex10181_935.htm" TargetMode="External"/><Relationship Id="rId213" Type="http://schemas.openxmlformats.org/officeDocument/2006/relationships/hyperlink" Target="http://www.sec.gov/Archives/edgar/data/1408198/000156459019003885/msci-ex10182_934.htm" TargetMode="External"/><Relationship Id="rId214" Type="http://schemas.openxmlformats.org/officeDocument/2006/relationships/hyperlink" Target="http://www.sec.gov/Archives/edgar/data/0001408198/000156459020004992/msci-ex10183_26.htm" TargetMode="External"/><Relationship Id="rId215" Type="http://schemas.openxmlformats.org/officeDocument/2006/relationships/hyperlink" Target="http://www.sec.gov/Archives/edgar/data/1408198/000156459019003885/msci-ex10184_932.htm" TargetMode="External"/><Relationship Id="rId216" Type="http://schemas.openxmlformats.org/officeDocument/2006/relationships/hyperlink" Target="http://www.sec.gov/Archives/edgar/data/1408198/000156459019003885/msci-ex10185_715.htm" TargetMode="External"/><Relationship Id="rId217" Type="http://schemas.openxmlformats.org/officeDocument/2006/relationships/hyperlink" Target="http://www.sec.gov/Archives/edgar/data/1408198/000156459019003885/msci-ex10186_714.htm" TargetMode="External"/><Relationship Id="rId219" Type="http://schemas.openxmlformats.org/officeDocument/2006/relationships/hyperlink" Target="http://www.sec.gov/Archives/edgar/data/1408198/000156459019003885/msci-ex10187_713.htm" TargetMode="External"/><Relationship Id="rId220" Type="http://schemas.openxmlformats.org/officeDocument/2006/relationships/hyperlink" Target="http://www.sec.gov/Archives/edgar/data/1408198/000156459019015544/msci-ex103_120.htm" TargetMode="External"/><Relationship Id="rId221" Type="http://schemas.openxmlformats.org/officeDocument/2006/relationships/hyperlink" Target="http://www.sec.gov/Archives/edgar/data/1408198/000156459019003885/msci-ex10189_711.htm" TargetMode="External"/><Relationship Id="rId222" Type="http://schemas.openxmlformats.org/officeDocument/2006/relationships/hyperlink" Target="http://www.sec.gov/Archives/edgar/data/1408198/000156459019013792/msci-ex101_8.htm" TargetMode="External"/><Relationship Id="rId223" Type="http://schemas.openxmlformats.org/officeDocument/2006/relationships/hyperlink" Target="http://www.sec.gov/Archives/edgar/data/1408198/000156459019013792/msci-ex102_7.htm" TargetMode="External"/><Relationship Id="rId224" Type="http://schemas.openxmlformats.org/officeDocument/2006/relationships/hyperlink" Target="http://www.sec.gov/Archives/edgar/data/1408198/000156459019013792/msci-ex103_6.htm" TargetMode="External"/><Relationship Id="rId225" Type="http://schemas.openxmlformats.org/officeDocument/2006/relationships/hyperlink" Target="http://www.sec.gov/Archives/edgar/data/0001408198/000156459020046029/msci-ex101_6.htm" TargetMode="External"/><Relationship Id="rId226" Type="http://schemas.openxmlformats.org/officeDocument/2006/relationships/hyperlink" Target="http://www.sec.gov/Archives/edgar/data/1408198/000156459019015544/msci-ex104_121.htm" TargetMode="External"/><Relationship Id="rId227" Type="http://schemas.openxmlformats.org/officeDocument/2006/relationships/hyperlink" Target="http://www.sec.gov/Archives/edgar/data/1408198/000156459019015544/msci-ex105_119.htm" TargetMode="External"/><Relationship Id="rId228" Type="http://schemas.openxmlformats.org/officeDocument/2006/relationships/hyperlink" Target="http://www.sec.gov/Archives/edgar/data/1408198/000156459019015544/msci-ex106_118.htm" TargetMode="External"/><Relationship Id="rId229" Type="http://schemas.openxmlformats.org/officeDocument/2006/relationships/hyperlink" Target="http://www.sec.gov/Archives/edgar/data/1408198/000156459019039046/msci-ex101_262.htm" TargetMode="External"/><Relationship Id="rId230" Type="http://schemas.openxmlformats.org/officeDocument/2006/relationships/hyperlink" Target="http://www.sec.gov/Archives/edgar/data/1408198/000119312519294904/d834499dex101.htm" TargetMode="External"/><Relationship Id="rId231" Type="http://schemas.openxmlformats.org/officeDocument/2006/relationships/hyperlink" Target="http://www.sec.gov/Archives/edgar/data/0001408198/000156459020004992/msci-ex10201_809.htm" TargetMode="External"/><Relationship Id="rId232" Type="http://schemas.openxmlformats.org/officeDocument/2006/relationships/hyperlink" Target="http://www.sec.gov/Archives/edgar/data/0001408198/000156459020004992/msci-ex10202_808.htm" TargetMode="External"/><Relationship Id="rId233" Type="http://schemas.openxmlformats.org/officeDocument/2006/relationships/hyperlink" Target="http://www.sec.gov/Archives/edgar/data/0001408198/000156459020004992/msci-ex10203_807.htm" TargetMode="External"/><Relationship Id="rId235" Type="http://schemas.openxmlformats.org/officeDocument/2006/relationships/hyperlink" Target="http://www.sec.gov/Archives/edgar/data/0001408198/000156459020004992/msci-ex10204_806.htm" TargetMode="External"/><Relationship Id="rId236" Type="http://schemas.openxmlformats.org/officeDocument/2006/relationships/hyperlink" Target="http://www.sec.gov/Archives/edgar/data/0001408198/000156459020004992/msci-ex10205_805.htm" TargetMode="External"/><Relationship Id="rId237" Type="http://schemas.openxmlformats.org/officeDocument/2006/relationships/hyperlink" Target="http://www.sec.gov/Archives/edgar/data/0001408198/000156459020004992/msci-ex10206_804.htm" TargetMode="External"/><Relationship Id="rId238" Type="http://schemas.openxmlformats.org/officeDocument/2006/relationships/hyperlink" Target="http://www.sec.gov/Archives/edgar/data/0001408198/000156459020004992/msci-ex10207_803.htm" TargetMode="External"/><Relationship Id="rId239" Type="http://schemas.openxmlformats.org/officeDocument/2006/relationships/hyperlink" Target="http://www.sec.gov/Archives/edgar/data/0001408198/000156459020004992/msci-ex10208_802.htm" TargetMode="External"/><Relationship Id="rId240" Type="http://schemas.openxmlformats.org/officeDocument/2006/relationships/hyperlink" Target="http://www.sec.gov/Archives/edgar/data/0001408198/000156459020004992/msci-ex10209_801.htm" TargetMode="External"/><Relationship Id="rId241" Type="http://schemas.openxmlformats.org/officeDocument/2006/relationships/hyperlink" Target="http://www.sec.gov/Archives/edgar/data/0001408198/000156459020004992/msci-ex10210_800.htm" TargetMode="External"/><Relationship Id="rId242" Type="http://schemas.openxmlformats.org/officeDocument/2006/relationships/hyperlink" Target="http://www.sec.gov/Archives/edgar/data/0001408198/000156459020004992/msci-ex10211_799.htm" TargetMode="External"/><Relationship Id="rId243" Type="http://schemas.openxmlformats.org/officeDocument/2006/relationships/hyperlink" Target="http://www.sec.gov/Archives/edgar/data/0001408198/000156459020004992/msci-ex10212_798.htm" TargetMode="External"/><Relationship Id="rId244" Type="http://schemas.openxmlformats.org/officeDocument/2006/relationships/hyperlink" Target="http://www.sec.gov/Archives/edgar/data/0001408198/000156459020004992/msci-ex10213_797.htm" TargetMode="External"/><Relationship Id="rId246" Type="http://schemas.openxmlformats.org/officeDocument/2006/relationships/hyperlink" Target="http://www.sec.gov/Archives/edgar/data/0001408198/000156459020004992/msci-ex10214_796.htm" TargetMode="External"/><Relationship Id="rId247" Type="http://schemas.openxmlformats.org/officeDocument/2006/relationships/hyperlink" Target="http://www.sec.gov/Archives/edgar/data/0001408198/000156459020004992/msci-ex10215_795.htm" TargetMode="External"/><Relationship Id="rId248" Type="http://schemas.openxmlformats.org/officeDocument/2006/relationships/hyperlink" Target="http://www.sec.gov/Archives/edgar/data/0001408198/000156459020004992/msci-ex10216_692.htm" TargetMode="External"/><Relationship Id="rId249" Type="http://schemas.openxmlformats.org/officeDocument/2006/relationships/hyperlink" Target="http://www.sec.gov/Archives/edgar/data/0001408198/000156459020004992/msci-ex10217_690.htm" TargetMode="External"/><Relationship Id="rId250" Type="http://schemas.openxmlformats.org/officeDocument/2006/relationships/hyperlink" Target="http://www.sec.gov/Archives/edgar/data/0001408198/000156459020004992/msci-ex10218_693.htm" TargetMode="External"/><Relationship Id="rId251" Type="http://schemas.openxmlformats.org/officeDocument/2006/relationships/hyperlink" Target="http://www.sec.gov/Archives/edgar/data/0001408198/000156459020019459/msci-ex101_234.htm" TargetMode="External"/><Relationship Id="rId252" Type="http://schemas.openxmlformats.org/officeDocument/2006/relationships/hyperlink" Target="http://www.sec.gov/Archives/edgar/data/0001408198/000119312520253892/d4015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2021-02-12T16:02:37Z</dcterms:created>
  <dcterms:modified xsi:type="dcterms:W3CDTF">2021-02-12T16:02:37Z</dcterms:modified>
</cp:coreProperties>
</file>