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9" w:lineRule="exact"/>
        <w:rPr>
          <w:sz w:val="24"/>
          <w:szCs w:val="24"/>
          <w:color w:val="auto"/>
        </w:rPr>
      </w:pPr>
    </w:p>
    <w:p>
      <w:pPr>
        <w:jc w:val="center"/>
        <w:ind w:right="-279"/>
        <w:spacing w:after="0"/>
        <w:rPr>
          <w:sz w:val="20"/>
          <w:szCs w:val="20"/>
          <w:color w:val="auto"/>
        </w:rPr>
      </w:pPr>
      <w:r>
        <w:rPr>
          <w:rFonts w:ascii="Arial" w:cs="Arial" w:eastAsia="Arial" w:hAnsi="Arial"/>
          <w:sz w:val="17"/>
          <w:szCs w:val="17"/>
          <w:color w:val="auto"/>
        </w:rPr>
        <w:t>UNITED STATES</w:t>
      </w:r>
    </w:p>
    <w:p>
      <w:pPr>
        <w:spacing w:after="0" w:line="5" w:lineRule="exact"/>
        <w:rPr>
          <w:sz w:val="24"/>
          <w:szCs w:val="24"/>
          <w:color w:val="auto"/>
        </w:rPr>
      </w:pPr>
    </w:p>
    <w:p>
      <w:pPr>
        <w:jc w:val="center"/>
        <w:ind w:right="-279"/>
        <w:spacing w:after="0"/>
        <w:rPr>
          <w:sz w:val="20"/>
          <w:szCs w:val="20"/>
          <w:color w:val="auto"/>
        </w:rPr>
      </w:pPr>
      <w:r>
        <w:rPr>
          <w:rFonts w:ascii="Arial" w:cs="Arial" w:eastAsia="Arial" w:hAnsi="Arial"/>
          <w:sz w:val="17"/>
          <w:szCs w:val="17"/>
          <w:color w:val="auto"/>
        </w:rPr>
        <w:t>SECURITIES AND EXCHANGE COMMISSION</w:t>
      </w:r>
    </w:p>
    <w:p>
      <w:pPr>
        <w:spacing w:after="0" w:line="5" w:lineRule="exact"/>
        <w:rPr>
          <w:sz w:val="24"/>
          <w:szCs w:val="24"/>
          <w:color w:val="auto"/>
        </w:rPr>
      </w:pPr>
    </w:p>
    <w:p>
      <w:pPr>
        <w:jc w:val="center"/>
        <w:ind w:right="-279"/>
        <w:spacing w:after="0"/>
        <w:rPr>
          <w:sz w:val="20"/>
          <w:szCs w:val="20"/>
          <w:color w:val="auto"/>
        </w:rPr>
      </w:pPr>
      <w:r>
        <w:rPr>
          <w:rFonts w:ascii="Arial" w:cs="Arial" w:eastAsia="Arial" w:hAnsi="Arial"/>
          <w:sz w:val="17"/>
          <w:szCs w:val="17"/>
          <w:color w:val="auto"/>
        </w:rPr>
        <w:t>Washington, D.C. 20549</w:t>
      </w:r>
    </w:p>
    <w:p>
      <w:pPr>
        <w:spacing w:after="0" w:line="220" w:lineRule="exact"/>
        <w:rPr>
          <w:sz w:val="24"/>
          <w:szCs w:val="24"/>
          <w:color w:val="auto"/>
        </w:rPr>
      </w:pPr>
    </w:p>
    <w:p>
      <w:pPr>
        <w:jc w:val="center"/>
        <w:ind w:right="-279"/>
        <w:spacing w:after="0"/>
        <w:rPr>
          <w:sz w:val="20"/>
          <w:szCs w:val="20"/>
          <w:color w:val="auto"/>
        </w:rPr>
      </w:pPr>
      <w:r>
        <w:rPr>
          <w:rFonts w:ascii="Arial" w:cs="Arial" w:eastAsia="Arial" w:hAnsi="Arial"/>
          <w:sz w:val="17"/>
          <w:szCs w:val="17"/>
          <w:color w:val="auto"/>
        </w:rPr>
        <w:t>SCHEDULE 14A</w:t>
      </w:r>
    </w:p>
    <w:p>
      <w:pPr>
        <w:spacing w:after="0" w:line="220" w:lineRule="exact"/>
        <w:rPr>
          <w:sz w:val="24"/>
          <w:szCs w:val="24"/>
          <w:color w:val="auto"/>
        </w:rPr>
      </w:pPr>
    </w:p>
    <w:p>
      <w:pPr>
        <w:ind w:left="3700"/>
        <w:spacing w:after="0"/>
        <w:rPr>
          <w:sz w:val="20"/>
          <w:szCs w:val="20"/>
          <w:color w:val="auto"/>
        </w:rPr>
      </w:pPr>
      <w:r>
        <w:rPr>
          <w:rFonts w:ascii="Arial" w:cs="Arial" w:eastAsia="Arial" w:hAnsi="Arial"/>
          <w:sz w:val="17"/>
          <w:szCs w:val="17"/>
          <w:color w:val="auto"/>
        </w:rPr>
        <w:t>Proxy Statement Pursuant to Section 14(a) of the</w:t>
      </w:r>
    </w:p>
    <w:p>
      <w:pPr>
        <w:spacing w:after="0" w:line="5" w:lineRule="exact"/>
        <w:rPr>
          <w:sz w:val="24"/>
          <w:szCs w:val="24"/>
          <w:color w:val="auto"/>
        </w:rPr>
      </w:pPr>
    </w:p>
    <w:p>
      <w:pPr>
        <w:ind w:left="3640"/>
        <w:spacing w:after="0"/>
        <w:rPr>
          <w:sz w:val="20"/>
          <w:szCs w:val="20"/>
          <w:color w:val="auto"/>
        </w:rPr>
      </w:pPr>
      <w:r>
        <w:rPr>
          <w:rFonts w:ascii="Arial" w:cs="Arial" w:eastAsia="Arial" w:hAnsi="Arial"/>
          <w:sz w:val="17"/>
          <w:szCs w:val="17"/>
          <w:color w:val="auto"/>
        </w:rPr>
        <w:t>Securities Exchange Act of 1934 (Amendment No. )</w:t>
      </w:r>
    </w:p>
    <w:p>
      <w:pPr>
        <w:spacing w:after="0" w:line="155" w:lineRule="exact"/>
        <w:rPr>
          <w:sz w:val="24"/>
          <w:szCs w:val="24"/>
          <w:color w:val="auto"/>
        </w:rPr>
      </w:pPr>
    </w:p>
    <w:p>
      <w:pPr>
        <w:spacing w:after="0" w:line="242" w:lineRule="exact"/>
        <w:tabs>
          <w:tab w:leader="none" w:pos="7460" w:val="left"/>
        </w:tabs>
        <w:rPr>
          <w:sz w:val="20"/>
          <w:szCs w:val="20"/>
          <w:color w:val="auto"/>
        </w:rPr>
      </w:pPr>
      <w:r>
        <w:rPr>
          <w:rFonts w:ascii="MS PGothic" w:cs="MS PGothic" w:eastAsia="MS PGothic" w:hAnsi="MS PGothic"/>
          <w:sz w:val="21"/>
          <w:szCs w:val="21"/>
          <w:color w:val="auto"/>
        </w:rPr>
        <w:t>☑</w:t>
      </w:r>
      <w:r>
        <w:rPr>
          <w:rFonts w:ascii="Arial" w:cs="Arial" w:eastAsia="Arial" w:hAnsi="Arial"/>
          <w:sz w:val="17"/>
          <w:szCs w:val="17"/>
          <w:color w:val="auto"/>
        </w:rPr>
        <w:t xml:space="preserve"> Filed by the Registrant</w:t>
      </w:r>
      <w:r>
        <w:rPr>
          <w:sz w:val="20"/>
          <w:szCs w:val="20"/>
          <w:color w:val="auto"/>
        </w:rPr>
        <w:tab/>
      </w:r>
      <w:r>
        <w:rPr>
          <w:rFonts w:ascii="MS PGothic" w:cs="MS PGothic" w:eastAsia="MS PGothic" w:hAnsi="MS PGothic"/>
          <w:sz w:val="21"/>
          <w:szCs w:val="21"/>
          <w:color w:val="auto"/>
        </w:rPr>
        <w:t xml:space="preserve">☐ </w:t>
      </w:r>
      <w:r>
        <w:rPr>
          <w:rFonts w:ascii="Arial" w:cs="Arial" w:eastAsia="Arial" w:hAnsi="Arial"/>
          <w:sz w:val="17"/>
          <w:szCs w:val="17"/>
          <w:color w:val="auto"/>
        </w:rPr>
        <w:t>Filed by a party other than the Registrant</w:t>
      </w:r>
    </w:p>
    <w:p>
      <w:pPr>
        <w:spacing w:after="0" w:line="318" w:lineRule="exact"/>
        <w:rPr>
          <w:sz w:val="24"/>
          <w:szCs w:val="24"/>
          <w:color w:val="auto"/>
        </w:rPr>
      </w:pPr>
    </w:p>
    <w:p>
      <w:pPr>
        <w:ind w:left="80"/>
        <w:spacing w:after="0"/>
        <w:rPr>
          <w:sz w:val="20"/>
          <w:szCs w:val="20"/>
          <w:color w:val="auto"/>
        </w:rPr>
      </w:pPr>
      <w:r>
        <w:rPr>
          <w:rFonts w:ascii="Arial" w:cs="Arial" w:eastAsia="Arial" w:hAnsi="Arial"/>
          <w:sz w:val="17"/>
          <w:szCs w:val="17"/>
          <w:color w:val="auto"/>
        </w:rPr>
        <w:t>CHECK THE APPROPRIATE BOX:</w:t>
      </w:r>
    </w:p>
    <w:p>
      <w:pPr>
        <w:spacing w:after="0" w:line="52" w:lineRule="exact"/>
        <w:rPr>
          <w:sz w:val="24"/>
          <w:szCs w:val="24"/>
          <w:color w:val="auto"/>
        </w:rPr>
      </w:pPr>
    </w:p>
    <w:p>
      <w:pPr>
        <w:ind w:left="540" w:hanging="462"/>
        <w:spacing w:after="0"/>
        <w:tabs>
          <w:tab w:leader="none" w:pos="540" w:val="left"/>
        </w:tabs>
        <w:numPr>
          <w:ilvl w:val="0"/>
          <w:numId w:val="1"/>
        </w:numPr>
        <w:rPr>
          <w:rFonts w:ascii="MS PGothic" w:cs="MS PGothic" w:eastAsia="MS PGothic" w:hAnsi="MS PGothic"/>
          <w:sz w:val="21"/>
          <w:szCs w:val="21"/>
          <w:color w:val="auto"/>
        </w:rPr>
      </w:pPr>
      <w:r>
        <w:rPr>
          <w:rFonts w:ascii="Arial" w:cs="Arial" w:eastAsia="Arial" w:hAnsi="Arial"/>
          <w:sz w:val="17"/>
          <w:szCs w:val="17"/>
          <w:color w:val="auto"/>
        </w:rPr>
        <w:t>Preliminary Proxy Statement</w:t>
      </w:r>
    </w:p>
    <w:p>
      <w:pPr>
        <w:spacing w:after="0" w:line="44" w:lineRule="exact"/>
        <w:rPr>
          <w:rFonts w:ascii="MS PGothic" w:cs="MS PGothic" w:eastAsia="MS PGothic" w:hAnsi="MS PGothic"/>
          <w:sz w:val="21"/>
          <w:szCs w:val="21"/>
          <w:color w:val="auto"/>
        </w:rPr>
      </w:pPr>
    </w:p>
    <w:p>
      <w:pPr>
        <w:ind w:left="80" w:right="4260" w:hanging="2"/>
        <w:spacing w:after="0" w:line="254" w:lineRule="exact"/>
        <w:tabs>
          <w:tab w:leader="none" w:pos="544" w:val="left"/>
        </w:tabs>
        <w:numPr>
          <w:ilvl w:val="0"/>
          <w:numId w:val="1"/>
        </w:numPr>
        <w:rPr>
          <w:rFonts w:ascii="MS PGothic" w:cs="MS PGothic" w:eastAsia="MS PGothic" w:hAnsi="MS PGothic"/>
          <w:sz w:val="21"/>
          <w:szCs w:val="21"/>
          <w:color w:val="auto"/>
        </w:rPr>
      </w:pPr>
      <w:r>
        <w:rPr>
          <w:rFonts w:ascii="Arial" w:cs="Arial" w:eastAsia="Arial" w:hAnsi="Arial"/>
          <w:sz w:val="17"/>
          <w:szCs w:val="17"/>
          <w:color w:val="auto"/>
        </w:rPr>
        <w:t xml:space="preserve">Confidential, for Use of the Commission Only (as permitted by Rule 14a-6(e)(2)) </w:t>
      </w:r>
      <w:r>
        <w:rPr>
          <w:rFonts w:ascii="MS PGothic" w:cs="MS PGothic" w:eastAsia="MS PGothic" w:hAnsi="MS PGothic"/>
          <w:sz w:val="21"/>
          <w:szCs w:val="21"/>
          <w:color w:val="auto"/>
        </w:rPr>
        <w:t>☑</w:t>
      </w:r>
      <w:r>
        <w:rPr>
          <w:rFonts w:ascii="Arial" w:cs="Arial" w:eastAsia="Arial" w:hAnsi="Arial"/>
          <w:sz w:val="17"/>
          <w:szCs w:val="17"/>
          <w:color w:val="auto"/>
        </w:rPr>
        <w:t xml:space="preserve"> Definitive Proxy Statement</w:t>
      </w:r>
    </w:p>
    <w:p>
      <w:pPr>
        <w:spacing w:after="0" w:line="1" w:lineRule="exact"/>
        <w:rPr>
          <w:rFonts w:ascii="MS PGothic" w:cs="MS PGothic" w:eastAsia="MS PGothic" w:hAnsi="MS PGothic"/>
          <w:sz w:val="21"/>
          <w:szCs w:val="21"/>
          <w:color w:val="auto"/>
        </w:rPr>
      </w:pPr>
    </w:p>
    <w:p>
      <w:pPr>
        <w:ind w:left="540" w:hanging="462"/>
        <w:spacing w:after="0" w:line="232" w:lineRule="auto"/>
        <w:tabs>
          <w:tab w:leader="none" w:pos="540" w:val="left"/>
        </w:tabs>
        <w:numPr>
          <w:ilvl w:val="0"/>
          <w:numId w:val="1"/>
        </w:numPr>
        <w:rPr>
          <w:rFonts w:ascii="MS PGothic" w:cs="MS PGothic" w:eastAsia="MS PGothic" w:hAnsi="MS PGothic"/>
          <w:sz w:val="21"/>
          <w:szCs w:val="21"/>
          <w:color w:val="auto"/>
        </w:rPr>
      </w:pPr>
      <w:r>
        <w:rPr>
          <w:rFonts w:ascii="Arial" w:cs="Arial" w:eastAsia="Arial" w:hAnsi="Arial"/>
          <w:sz w:val="17"/>
          <w:szCs w:val="17"/>
          <w:color w:val="auto"/>
        </w:rPr>
        <w:t>Definitive Additional Materials</w:t>
      </w:r>
    </w:p>
    <w:p>
      <w:pPr>
        <w:spacing w:after="0" w:line="45" w:lineRule="exact"/>
        <w:rPr>
          <w:rFonts w:ascii="MS PGothic" w:cs="MS PGothic" w:eastAsia="MS PGothic" w:hAnsi="MS PGothic"/>
          <w:sz w:val="21"/>
          <w:szCs w:val="21"/>
          <w:color w:val="auto"/>
        </w:rPr>
      </w:pPr>
    </w:p>
    <w:p>
      <w:pPr>
        <w:ind w:left="540" w:hanging="462"/>
        <w:spacing w:after="0" w:line="232" w:lineRule="auto"/>
        <w:tabs>
          <w:tab w:leader="none" w:pos="540" w:val="left"/>
        </w:tabs>
        <w:numPr>
          <w:ilvl w:val="0"/>
          <w:numId w:val="1"/>
        </w:numPr>
        <w:rPr>
          <w:rFonts w:ascii="MS PGothic" w:cs="MS PGothic" w:eastAsia="MS PGothic" w:hAnsi="MS PGothic"/>
          <w:sz w:val="21"/>
          <w:szCs w:val="21"/>
          <w:color w:val="auto"/>
        </w:rPr>
      </w:pPr>
      <w:r>
        <w:rPr>
          <w:rFonts w:ascii="Arial" w:cs="Arial" w:eastAsia="Arial" w:hAnsi="Arial"/>
          <w:sz w:val="17"/>
          <w:szCs w:val="17"/>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-797560</wp:posOffset>
            </wp:positionV>
            <wp:extent cx="7133590" cy="8159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815975"/>
                    </a:xfrm>
                    <a:prstGeom prst="rect">
                      <a:avLst/>
                    </a:prstGeom>
                    <a:noFill/>
                  </pic:spPr>
                </pic:pic>
              </a:graphicData>
            </a:graphic>
          </wp:anchor>
        </w:drawing>
        <w:drawing>
          <wp:anchor simplePos="0" relativeHeight="251657728" behindDoc="1" locked="0" layoutInCell="0" allowOverlap="1">
            <wp:simplePos x="0" y="0"/>
            <wp:positionH relativeFrom="column">
              <wp:posOffset>2818765</wp:posOffset>
            </wp:positionH>
            <wp:positionV relativeFrom="paragraph">
              <wp:posOffset>154305</wp:posOffset>
            </wp:positionV>
            <wp:extent cx="1513205" cy="4591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3205" cy="4591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jc w:val="center"/>
        <w:ind w:right="-279"/>
        <w:spacing w:after="0"/>
        <w:rPr>
          <w:sz w:val="20"/>
          <w:szCs w:val="20"/>
          <w:color w:val="auto"/>
        </w:rPr>
      </w:pPr>
      <w:r>
        <w:rPr>
          <w:rFonts w:ascii="Arial" w:cs="Arial" w:eastAsia="Arial" w:hAnsi="Arial"/>
          <w:sz w:val="21"/>
          <w:szCs w:val="21"/>
          <w:b w:val="1"/>
          <w:bCs w:val="1"/>
          <w:color w:val="auto"/>
        </w:rPr>
        <w:t>MSCI Inc.</w:t>
      </w:r>
    </w:p>
    <w:p>
      <w:pPr>
        <w:spacing w:after="0" w:line="243" w:lineRule="exact"/>
        <w:rPr>
          <w:sz w:val="24"/>
          <w:szCs w:val="24"/>
          <w:color w:val="auto"/>
        </w:rPr>
      </w:pPr>
    </w:p>
    <w:p>
      <w:pPr>
        <w:jc w:val="center"/>
        <w:ind w:right="-279"/>
        <w:spacing w:after="0"/>
        <w:rPr>
          <w:sz w:val="20"/>
          <w:szCs w:val="20"/>
          <w:color w:val="auto"/>
        </w:rPr>
      </w:pPr>
      <w:r>
        <w:rPr>
          <w:rFonts w:ascii="Arial" w:cs="Arial" w:eastAsia="Arial" w:hAnsi="Arial"/>
          <w:sz w:val="13"/>
          <w:szCs w:val="13"/>
          <w:color w:val="auto"/>
        </w:rPr>
        <w:t>(Name of Registrant as Specified In Its Charter)</w:t>
      </w:r>
    </w:p>
    <w:p>
      <w:pPr>
        <w:jc w:val="center"/>
        <w:ind w:right="-279"/>
        <w:spacing w:after="0"/>
        <w:rPr>
          <w:sz w:val="20"/>
          <w:szCs w:val="20"/>
          <w:color w:val="auto"/>
        </w:rPr>
      </w:pPr>
      <w:r>
        <w:rPr>
          <w:rFonts w:ascii="Arial" w:cs="Arial" w:eastAsia="Arial" w:hAnsi="Arial"/>
          <w:sz w:val="13"/>
          <w:szCs w:val="13"/>
          <w:color w:val="auto"/>
        </w:rPr>
        <w:t>(Name of Person(s) Filing Proxy Statement, if other than the Registrant)</w:t>
      </w:r>
    </w:p>
    <w:p>
      <w:pPr>
        <w:spacing w:after="0" w:line="229" w:lineRule="exact"/>
        <w:rPr>
          <w:sz w:val="24"/>
          <w:szCs w:val="24"/>
          <w:color w:val="auto"/>
        </w:rPr>
      </w:pPr>
    </w:p>
    <w:p>
      <w:pPr>
        <w:ind w:left="80"/>
        <w:spacing w:after="0"/>
        <w:rPr>
          <w:sz w:val="20"/>
          <w:szCs w:val="20"/>
          <w:color w:val="auto"/>
        </w:rPr>
      </w:pPr>
      <w:r>
        <w:rPr>
          <w:rFonts w:ascii="Arial" w:cs="Arial" w:eastAsia="Arial" w:hAnsi="Arial"/>
          <w:sz w:val="17"/>
          <w:szCs w:val="17"/>
          <w:color w:val="auto"/>
        </w:rPr>
        <w:t>PAYMENT OF FILING FEE (CHECK ALL BOXES THAT APPLY):</w:t>
      </w:r>
    </w:p>
    <w:p>
      <w:pPr>
        <w:spacing w:after="0" w:line="52" w:lineRule="exact"/>
        <w:rPr>
          <w:sz w:val="24"/>
          <w:szCs w:val="24"/>
          <w:color w:val="auto"/>
        </w:rPr>
      </w:pPr>
    </w:p>
    <w:p>
      <w:pPr>
        <w:ind w:left="540" w:hanging="462"/>
        <w:spacing w:after="0"/>
        <w:tabs>
          <w:tab w:leader="none" w:pos="540" w:val="left"/>
        </w:tabs>
        <w:numPr>
          <w:ilvl w:val="0"/>
          <w:numId w:val="2"/>
        </w:numPr>
        <w:rPr>
          <w:rFonts w:ascii="MS PGothic" w:cs="MS PGothic" w:eastAsia="MS PGothic" w:hAnsi="MS PGothic"/>
          <w:sz w:val="21"/>
          <w:szCs w:val="21"/>
          <w:color w:val="auto"/>
        </w:rPr>
      </w:pPr>
      <w:r>
        <w:rPr>
          <w:rFonts w:ascii="Arial" w:cs="Arial" w:eastAsia="Arial" w:hAnsi="Arial"/>
          <w:sz w:val="17"/>
          <w:szCs w:val="17"/>
          <w:color w:val="auto"/>
        </w:rPr>
        <w:t>No fee required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-151130</wp:posOffset>
            </wp:positionV>
            <wp:extent cx="7133590" cy="4845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3590" cy="484505"/>
                    </a:xfrm>
                    <a:prstGeom prst="rect">
                      <a:avLst/>
                    </a:prstGeom>
                    <a:noFill/>
                  </pic:spPr>
                </pic:pic>
              </a:graphicData>
            </a:graphic>
          </wp:anchor>
        </w:drawing>
      </w:r>
    </w:p>
    <w:p>
      <w:pPr>
        <w:spacing w:after="0" w:line="18" w:lineRule="exact"/>
        <w:rPr>
          <w:sz w:val="24"/>
          <w:szCs w:val="24"/>
          <w:color w:val="auto"/>
        </w:rPr>
      </w:pPr>
    </w:p>
    <w:p>
      <w:pPr>
        <w:ind w:left="540" w:hanging="462"/>
        <w:spacing w:after="0"/>
        <w:tabs>
          <w:tab w:leader="none" w:pos="540" w:val="left"/>
        </w:tabs>
        <w:numPr>
          <w:ilvl w:val="0"/>
          <w:numId w:val="3"/>
        </w:numPr>
        <w:rPr>
          <w:rFonts w:ascii="MS PGothic" w:cs="MS PGothic" w:eastAsia="MS PGothic" w:hAnsi="MS PGothic"/>
          <w:sz w:val="21"/>
          <w:szCs w:val="21"/>
          <w:color w:val="auto"/>
        </w:rPr>
      </w:pPr>
      <w:r>
        <w:rPr>
          <w:rFonts w:ascii="Arial" w:cs="Arial" w:eastAsia="Arial" w:hAnsi="Arial"/>
          <w:sz w:val="17"/>
          <w:szCs w:val="17"/>
          <w:color w:val="auto"/>
        </w:rPr>
        <w:t>Fee paid previously with preliminary materials</w:t>
      </w:r>
    </w:p>
    <w:p>
      <w:pPr>
        <w:spacing w:after="0" w:line="44" w:lineRule="exact"/>
        <w:rPr>
          <w:rFonts w:ascii="MS PGothic" w:cs="MS PGothic" w:eastAsia="MS PGothic" w:hAnsi="MS PGothic"/>
          <w:sz w:val="21"/>
          <w:szCs w:val="21"/>
          <w:color w:val="auto"/>
        </w:rPr>
      </w:pPr>
    </w:p>
    <w:p>
      <w:pPr>
        <w:ind w:left="540" w:hanging="462"/>
        <w:spacing w:after="0" w:line="232" w:lineRule="auto"/>
        <w:tabs>
          <w:tab w:leader="none" w:pos="540" w:val="left"/>
        </w:tabs>
        <w:numPr>
          <w:ilvl w:val="0"/>
          <w:numId w:val="3"/>
        </w:numPr>
        <w:rPr>
          <w:rFonts w:ascii="MS PGothic" w:cs="MS PGothic" w:eastAsia="MS PGothic" w:hAnsi="MS PGothic"/>
          <w:sz w:val="21"/>
          <w:szCs w:val="21"/>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335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236855</wp:posOffset>
            </wp:positionV>
            <wp:extent cx="715454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0960"/>
          </w:cols>
          <w:pgMar w:left="320" w:top="228" w:right="619" w:bottom="1440" w:gutter="0" w:footer="0" w:header="0"/>
        </w:sectPr>
      </w:pPr>
    </w:p>
    <w:bookmarkStart w:id="1" w:name="page2"/>
    <w:bookmarkEnd w:id="1"/>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wp:posOffset>
            </wp:positionH>
            <wp:positionV relativeFrom="paragraph">
              <wp:posOffset>149860</wp:posOffset>
            </wp:positionV>
            <wp:extent cx="6036945" cy="7864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36945" cy="7864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300"/>
        <w:spacing w:after="0"/>
        <w:rPr>
          <w:sz w:val="20"/>
          <w:szCs w:val="20"/>
          <w:color w:val="auto"/>
        </w:rPr>
      </w:pPr>
      <w:r>
        <w:rPr>
          <w:rFonts w:ascii="Arial" w:cs="Arial" w:eastAsia="Arial" w:hAnsi="Arial"/>
          <w:sz w:val="107"/>
          <w:szCs w:val="107"/>
          <w:color w:val="00B5AA"/>
        </w:rPr>
        <w:t>2022</w:t>
      </w:r>
    </w:p>
    <w:p>
      <w:pPr>
        <w:spacing w:after="0" w:line="5" w:lineRule="exact"/>
        <w:rPr>
          <w:sz w:val="20"/>
          <w:szCs w:val="20"/>
          <w:color w:val="auto"/>
        </w:rPr>
      </w:pPr>
    </w:p>
    <w:p>
      <w:pPr>
        <w:jc w:val="both"/>
        <w:ind w:left="1300" w:right="219"/>
        <w:spacing w:after="0" w:line="249" w:lineRule="auto"/>
        <w:rPr>
          <w:sz w:val="20"/>
          <w:szCs w:val="20"/>
          <w:color w:val="auto"/>
        </w:rPr>
      </w:pPr>
      <w:r>
        <w:rPr>
          <w:rFonts w:ascii="Arial" w:cs="Arial" w:eastAsia="Arial" w:hAnsi="Arial"/>
          <w:sz w:val="106"/>
          <w:szCs w:val="106"/>
          <w:color w:val="FFFFFF"/>
        </w:rPr>
        <w:t>Annual Meeting of Shareholders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3985895</wp:posOffset>
            </wp:positionV>
            <wp:extent cx="715454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149860</wp:posOffset>
            </wp:positionV>
            <wp:extent cx="6291580" cy="8264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1580" cy="8264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380"/>
        <w:spacing w:after="0"/>
        <w:rPr>
          <w:sz w:val="20"/>
          <w:szCs w:val="20"/>
          <w:color w:val="auto"/>
        </w:rPr>
      </w:pPr>
      <w:r>
        <w:rPr>
          <w:rFonts w:ascii="Arial" w:cs="Arial" w:eastAsia="Arial" w:hAnsi="Arial"/>
          <w:sz w:val="89"/>
          <w:szCs w:val="89"/>
          <w:b w:val="1"/>
          <w:bCs w:val="1"/>
          <w:color w:val="FFFFFF"/>
        </w:rPr>
        <w:t>Our</w:t>
      </w:r>
    </w:p>
    <w:p>
      <w:pPr>
        <w:spacing w:after="0" w:line="108" w:lineRule="exact"/>
        <w:rPr>
          <w:sz w:val="20"/>
          <w:szCs w:val="20"/>
          <w:color w:val="auto"/>
        </w:rPr>
      </w:pPr>
    </w:p>
    <w:p>
      <w:pPr>
        <w:ind w:left="1380"/>
        <w:spacing w:after="0"/>
        <w:rPr>
          <w:sz w:val="20"/>
          <w:szCs w:val="20"/>
          <w:color w:val="auto"/>
        </w:rPr>
      </w:pPr>
      <w:r>
        <w:rPr>
          <w:rFonts w:ascii="Arial" w:cs="Arial" w:eastAsia="Arial" w:hAnsi="Arial"/>
          <w:sz w:val="89"/>
          <w:szCs w:val="89"/>
          <w:b w:val="1"/>
          <w:bCs w:val="1"/>
          <w:color w:val="FFFFFF"/>
        </w:rPr>
        <w:t>Purpose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80" w:right="180"/>
        <w:spacing w:after="0" w:line="246" w:lineRule="auto"/>
        <w:rPr>
          <w:sz w:val="20"/>
          <w:szCs w:val="20"/>
          <w:color w:val="auto"/>
        </w:rPr>
      </w:pPr>
      <w:r>
        <w:rPr>
          <w:rFonts w:ascii="Arial" w:cs="Arial" w:eastAsia="Arial" w:hAnsi="Arial"/>
          <w:sz w:val="27"/>
          <w:szCs w:val="27"/>
          <w:b w:val="1"/>
          <w:bCs w:val="1"/>
          <w:color w:val="FFFFFF"/>
        </w:rPr>
        <w:t>We strive to bring greater transparency to financial markets, enabling the investment community to make better decisions for a better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5072380</wp:posOffset>
            </wp:positionV>
            <wp:extent cx="715454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720"/>
        <w:spacing w:after="0" w:line="293" w:lineRule="auto"/>
        <w:rPr>
          <w:sz w:val="20"/>
          <w:szCs w:val="20"/>
          <w:color w:val="auto"/>
        </w:rPr>
      </w:pPr>
      <w:r>
        <w:rPr>
          <w:rFonts w:ascii="Arial" w:cs="Arial" w:eastAsia="Arial" w:hAnsi="Arial"/>
          <w:sz w:val="26"/>
          <w:szCs w:val="26"/>
          <w:b w:val="1"/>
          <w:bCs w:val="1"/>
          <w:color w:val="00B5AA"/>
        </w:rPr>
        <w:t xml:space="preserve">Bringing clarity </w:t>
      </w:r>
      <w:r>
        <w:rPr>
          <w:rFonts w:ascii="Arial" w:cs="Arial" w:eastAsia="Arial" w:hAnsi="Arial"/>
          <w:sz w:val="26"/>
          <w:szCs w:val="26"/>
          <w:b w:val="1"/>
          <w:bCs w:val="1"/>
          <w:color w:val="FFFFFF"/>
        </w:rPr>
        <w:t>to</w:t>
      </w:r>
      <w:r>
        <w:rPr>
          <w:rFonts w:ascii="Arial" w:cs="Arial" w:eastAsia="Arial" w:hAnsi="Arial"/>
          <w:sz w:val="26"/>
          <w:szCs w:val="26"/>
          <w:b w:val="1"/>
          <w:bCs w:val="1"/>
          <w:color w:val="00B5AA"/>
        </w:rPr>
        <w:t xml:space="preserve"> </w:t>
      </w:r>
      <w:r>
        <w:rPr>
          <w:rFonts w:ascii="Arial" w:cs="Arial" w:eastAsia="Arial" w:hAnsi="Arial"/>
          <w:sz w:val="26"/>
          <w:szCs w:val="26"/>
          <w:b w:val="1"/>
          <w:bCs w:val="1"/>
          <w:color w:val="FFFFFF"/>
        </w:rPr>
        <w:t>complexity. We aim to:</w:t>
      </w:r>
    </w:p>
    <w:p>
      <w:pPr>
        <w:spacing w:after="0" w:line="81" w:lineRule="exact"/>
        <w:rPr>
          <w:sz w:val="20"/>
          <w:szCs w:val="20"/>
          <w:color w:val="auto"/>
        </w:rPr>
      </w:pPr>
    </w:p>
    <w:p>
      <w:pPr>
        <w:ind w:right="160"/>
        <w:spacing w:after="0" w:line="241" w:lineRule="auto"/>
        <w:rPr>
          <w:sz w:val="20"/>
          <w:szCs w:val="20"/>
          <w:color w:val="auto"/>
        </w:rPr>
      </w:pPr>
      <w:r>
        <w:rPr>
          <w:rFonts w:ascii="Arial" w:cs="Arial" w:eastAsia="Arial" w:hAnsi="Arial"/>
          <w:sz w:val="20"/>
          <w:szCs w:val="20"/>
          <w:b w:val="1"/>
          <w:bCs w:val="1"/>
          <w:color w:val="00B5AA"/>
        </w:rPr>
        <w:t xml:space="preserve">Develop </w:t>
      </w:r>
      <w:r>
        <w:rPr>
          <w:rFonts w:ascii="Arial" w:cs="Arial" w:eastAsia="Arial" w:hAnsi="Arial"/>
          <w:sz w:val="17"/>
          <w:szCs w:val="17"/>
          <w:color w:val="FFFFFF"/>
        </w:rPr>
        <w:t>new research and models to help</w:t>
      </w:r>
      <w:r>
        <w:rPr>
          <w:rFonts w:ascii="Arial" w:cs="Arial" w:eastAsia="Arial" w:hAnsi="Arial"/>
          <w:sz w:val="20"/>
          <w:szCs w:val="20"/>
          <w:b w:val="1"/>
          <w:bCs w:val="1"/>
          <w:color w:val="00B5AA"/>
        </w:rPr>
        <w:t xml:space="preserve"> </w:t>
      </w:r>
      <w:r>
        <w:rPr>
          <w:rFonts w:ascii="Arial" w:cs="Arial" w:eastAsia="Arial" w:hAnsi="Arial"/>
          <w:sz w:val="17"/>
          <w:szCs w:val="17"/>
          <w:color w:val="FFFFFF"/>
        </w:rPr>
        <w:t>our clients better assess an increasingly complex and expanding global investment landscape</w:t>
      </w:r>
    </w:p>
    <w:p>
      <w:pPr>
        <w:spacing w:after="0" w:line="136" w:lineRule="exact"/>
        <w:rPr>
          <w:sz w:val="20"/>
          <w:szCs w:val="20"/>
          <w:color w:val="auto"/>
        </w:rPr>
      </w:pPr>
    </w:p>
    <w:p>
      <w:pPr>
        <w:jc w:val="both"/>
        <w:ind w:right="140"/>
        <w:spacing w:after="0" w:line="239" w:lineRule="auto"/>
        <w:rPr>
          <w:sz w:val="20"/>
          <w:szCs w:val="20"/>
          <w:color w:val="auto"/>
        </w:rPr>
      </w:pPr>
      <w:r>
        <w:rPr>
          <w:rFonts w:ascii="Arial" w:cs="Arial" w:eastAsia="Arial" w:hAnsi="Arial"/>
          <w:sz w:val="20"/>
          <w:szCs w:val="20"/>
          <w:b w:val="1"/>
          <w:bCs w:val="1"/>
          <w:color w:val="00B5AA"/>
        </w:rPr>
        <w:t xml:space="preserve">Measure </w:t>
      </w:r>
      <w:r>
        <w:rPr>
          <w:rFonts w:ascii="Arial" w:cs="Arial" w:eastAsia="Arial" w:hAnsi="Arial"/>
          <w:sz w:val="17"/>
          <w:szCs w:val="17"/>
          <w:color w:val="FFFFFF"/>
        </w:rPr>
        <w:t>and model environmental, social</w:t>
      </w:r>
      <w:r>
        <w:rPr>
          <w:rFonts w:ascii="Arial" w:cs="Arial" w:eastAsia="Arial" w:hAnsi="Arial"/>
          <w:sz w:val="20"/>
          <w:szCs w:val="20"/>
          <w:b w:val="1"/>
          <w:bCs w:val="1"/>
          <w:color w:val="00B5AA"/>
        </w:rPr>
        <w:t xml:space="preserve"> </w:t>
      </w:r>
      <w:r>
        <w:rPr>
          <w:rFonts w:ascii="Arial" w:cs="Arial" w:eastAsia="Arial" w:hAnsi="Arial"/>
          <w:sz w:val="17"/>
          <w:szCs w:val="17"/>
          <w:color w:val="FFFFFF"/>
        </w:rPr>
        <w:t>and governance (ESG) and climate risk and opportunities</w:t>
      </w:r>
    </w:p>
    <w:p>
      <w:pPr>
        <w:spacing w:after="0" w:line="137" w:lineRule="exact"/>
        <w:rPr>
          <w:sz w:val="20"/>
          <w:szCs w:val="20"/>
          <w:color w:val="auto"/>
        </w:rPr>
      </w:pPr>
    </w:p>
    <w:p>
      <w:pPr>
        <w:ind w:right="80"/>
        <w:spacing w:after="0" w:line="241" w:lineRule="auto"/>
        <w:rPr>
          <w:sz w:val="20"/>
          <w:szCs w:val="20"/>
          <w:color w:val="auto"/>
        </w:rPr>
      </w:pPr>
      <w:r>
        <w:rPr>
          <w:rFonts w:ascii="Arial" w:cs="Arial" w:eastAsia="Arial" w:hAnsi="Arial"/>
          <w:sz w:val="20"/>
          <w:szCs w:val="20"/>
          <w:b w:val="1"/>
          <w:bCs w:val="1"/>
          <w:color w:val="00B5AA"/>
        </w:rPr>
        <w:t xml:space="preserve">Enhance </w:t>
      </w:r>
      <w:r>
        <w:rPr>
          <w:rFonts w:ascii="Arial" w:cs="Arial" w:eastAsia="Arial" w:hAnsi="Arial"/>
          <w:sz w:val="17"/>
          <w:szCs w:val="17"/>
          <w:color w:val="FFFFFF"/>
        </w:rPr>
        <w:t>our clients’ experience by</w:t>
      </w:r>
      <w:r>
        <w:rPr>
          <w:rFonts w:ascii="Arial" w:cs="Arial" w:eastAsia="Arial" w:hAnsi="Arial"/>
          <w:sz w:val="20"/>
          <w:szCs w:val="20"/>
          <w:b w:val="1"/>
          <w:bCs w:val="1"/>
          <w:color w:val="00B5AA"/>
        </w:rPr>
        <w:t xml:space="preserve"> </w:t>
      </w:r>
      <w:r>
        <w:rPr>
          <w:rFonts w:ascii="Arial" w:cs="Arial" w:eastAsia="Arial" w:hAnsi="Arial"/>
          <w:sz w:val="17"/>
          <w:szCs w:val="17"/>
          <w:color w:val="FFFFFF"/>
        </w:rPr>
        <w:t>leveraging technology to easily integrate into client workflows and deliver our solutions across multiple platforms</w:t>
      </w:r>
    </w:p>
    <w:p>
      <w:pPr>
        <w:spacing w:after="0" w:line="150" w:lineRule="exact"/>
        <w:rPr>
          <w:sz w:val="20"/>
          <w:szCs w:val="20"/>
          <w:color w:val="auto"/>
        </w:rPr>
      </w:pPr>
    </w:p>
    <w:p>
      <w:pPr>
        <w:spacing w:after="0" w:line="255" w:lineRule="auto"/>
        <w:rPr>
          <w:sz w:val="20"/>
          <w:szCs w:val="20"/>
          <w:color w:val="auto"/>
        </w:rPr>
      </w:pPr>
      <w:r>
        <w:rPr>
          <w:rFonts w:ascii="Arial" w:cs="Arial" w:eastAsia="Arial" w:hAnsi="Arial"/>
          <w:sz w:val="20"/>
          <w:szCs w:val="20"/>
          <w:b w:val="1"/>
          <w:bCs w:val="1"/>
          <w:color w:val="00B5AA"/>
        </w:rPr>
        <w:t xml:space="preserve">Achieve </w:t>
      </w:r>
      <w:r>
        <w:rPr>
          <w:rFonts w:ascii="Arial" w:cs="Arial" w:eastAsia="Arial" w:hAnsi="Arial"/>
          <w:sz w:val="17"/>
          <w:szCs w:val="17"/>
          <w:color w:val="FFFFFF"/>
        </w:rPr>
        <w:t>client-centricity by understanding</w:t>
      </w:r>
      <w:r>
        <w:rPr>
          <w:rFonts w:ascii="Arial" w:cs="Arial" w:eastAsia="Arial" w:hAnsi="Arial"/>
          <w:sz w:val="20"/>
          <w:szCs w:val="20"/>
          <w:b w:val="1"/>
          <w:bCs w:val="1"/>
          <w:color w:val="00B5AA"/>
        </w:rPr>
        <w:t xml:space="preserve"> </w:t>
      </w:r>
      <w:r>
        <w:rPr>
          <w:rFonts w:ascii="Arial" w:cs="Arial" w:eastAsia="Arial" w:hAnsi="Arial"/>
          <w:sz w:val="17"/>
          <w:szCs w:val="17"/>
          <w:color w:val="FFFFFF"/>
        </w:rPr>
        <w:t>our clients’ unique needs in the markets in which they operate and by providing excellent client support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160" w:right="40"/>
        <w:spacing w:after="0" w:line="268" w:lineRule="auto"/>
        <w:rPr>
          <w:sz w:val="20"/>
          <w:szCs w:val="20"/>
          <w:color w:val="auto"/>
        </w:rPr>
      </w:pPr>
      <w:r>
        <w:rPr>
          <w:rFonts w:ascii="Arial" w:cs="Arial" w:eastAsia="Arial" w:hAnsi="Arial"/>
          <w:sz w:val="23"/>
          <w:szCs w:val="23"/>
          <w:b w:val="1"/>
          <w:bCs w:val="1"/>
          <w:color w:val="FFFFFF"/>
        </w:rPr>
        <w:t xml:space="preserve">Helping the investment industry build </w:t>
      </w:r>
      <w:r>
        <w:rPr>
          <w:rFonts w:ascii="Arial" w:cs="Arial" w:eastAsia="Arial" w:hAnsi="Arial"/>
          <w:sz w:val="23"/>
          <w:szCs w:val="23"/>
          <w:b w:val="1"/>
          <w:bCs w:val="1"/>
          <w:color w:val="00B5AA"/>
        </w:rPr>
        <w:t>better portfolios</w:t>
      </w:r>
      <w:r>
        <w:rPr>
          <w:rFonts w:ascii="Arial" w:cs="Arial" w:eastAsia="Arial" w:hAnsi="Arial"/>
          <w:sz w:val="23"/>
          <w:szCs w:val="23"/>
          <w:b w:val="1"/>
          <w:bCs w:val="1"/>
          <w:color w:val="FFFFFF"/>
        </w:rPr>
        <w:t xml:space="preserve"> for a </w:t>
      </w:r>
      <w:r>
        <w:rPr>
          <w:rFonts w:ascii="Arial" w:cs="Arial" w:eastAsia="Arial" w:hAnsi="Arial"/>
          <w:sz w:val="23"/>
          <w:szCs w:val="23"/>
          <w:b w:val="1"/>
          <w:bCs w:val="1"/>
          <w:color w:val="00B5AA"/>
        </w:rPr>
        <w:t>better world</w:t>
      </w:r>
    </w:p>
    <w:p>
      <w:pPr>
        <w:sectPr>
          <w:pgSz w:w="11900" w:h="16838" w:orient="portrait"/>
          <w:cols w:equalWidth="0" w:num="2">
            <w:col w:w="5900" w:space="720"/>
            <w:col w:w="3600"/>
          </w:cols>
          <w:pgMar w:left="320" w:top="121" w:right="1359"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00" w:type="dxa"/>
            <w:vAlign w:val="bottom"/>
            <w:tcBorders>
              <w:right w:val="single" w:sz="8" w:color="16479F"/>
            </w:tcBorders>
          </w:tcPr>
          <w:p>
            <w:pPr>
              <w:ind w:left="8740"/>
              <w:spacing w:after="0"/>
              <w:rPr>
                <w:sz w:val="20"/>
                <w:szCs w:val="20"/>
                <w:color w:val="auto"/>
              </w:rPr>
            </w:pPr>
            <w:r>
              <w:rPr>
                <w:rFonts w:ascii="Arial" w:cs="Arial" w:eastAsia="Arial" w:hAnsi="Arial"/>
                <w:sz w:val="14"/>
                <w:szCs w:val="14"/>
                <w:b w:val="1"/>
                <w:bCs w:val="1"/>
                <w:color w:val="16479F"/>
              </w:rPr>
              <w:t>2022 PROXY STATEMENT</w:t>
            </w:r>
          </w:p>
        </w:tc>
        <w:tc>
          <w:tcPr>
            <w:tcW w:w="640" w:type="dxa"/>
            <w:vAlign w:val="bottom"/>
          </w:tcPr>
          <w:p>
            <w:pPr>
              <w:jc w:val="right"/>
              <w:ind w:right="9"/>
              <w:spacing w:after="0"/>
              <w:rPr>
                <w:sz w:val="20"/>
                <w:szCs w:val="20"/>
                <w:color w:val="auto"/>
              </w:rPr>
            </w:pPr>
            <w:r>
              <w:rPr>
                <w:rFonts w:ascii="Arial" w:cs="Arial" w:eastAsia="Arial" w:hAnsi="Arial"/>
                <w:sz w:val="14"/>
                <w:szCs w:val="14"/>
                <w:b w:val="1"/>
                <w:bCs w:val="1"/>
                <w:color w:val="16479F"/>
              </w:rPr>
              <w:t>3</w:t>
            </w:r>
          </w:p>
        </w:tc>
      </w:tr>
      <w:tr>
        <w:trPr>
          <w:trHeight w:val="65"/>
        </w:trPr>
        <w:tc>
          <w:tcPr>
            <w:tcW w:w="10600" w:type="dxa"/>
            <w:vAlign w:val="bottom"/>
            <w:tcBorders>
              <w:bottom w:val="single" w:sz="8" w:color="16479F"/>
              <w:right w:val="single" w:sz="8" w:color="16479F"/>
            </w:tcBorders>
          </w:tcPr>
          <w:p>
            <w:pPr>
              <w:spacing w:after="0"/>
              <w:rPr>
                <w:sz w:val="5"/>
                <w:szCs w:val="5"/>
                <w:color w:val="auto"/>
              </w:rPr>
            </w:pPr>
          </w:p>
        </w:tc>
        <w:tc>
          <w:tcPr>
            <w:tcW w:w="640" w:type="dxa"/>
            <w:vAlign w:val="bottom"/>
            <w:tcBorders>
              <w:bottom w:val="single" w:sz="8" w:color="16479F"/>
            </w:tcBorders>
          </w:tcPr>
          <w:p>
            <w:pPr>
              <w:spacing w:after="0"/>
              <w:rPr>
                <w:sz w:val="5"/>
                <w:szCs w:val="5"/>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54"/>
          <w:szCs w:val="54"/>
          <w:b w:val="1"/>
          <w:bCs w:val="1"/>
          <w:color w:val="002739"/>
        </w:rPr>
        <w:t>Letter from our Chairman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135255</wp:posOffset>
            </wp:positionV>
            <wp:extent cx="7133590" cy="25253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3590" cy="25253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61" w:lineRule="auto"/>
        <w:rPr>
          <w:sz w:val="20"/>
          <w:szCs w:val="20"/>
          <w:color w:val="auto"/>
        </w:rPr>
      </w:pPr>
      <w:r>
        <w:rPr>
          <w:rFonts w:ascii="Arial" w:cs="Arial" w:eastAsia="Arial" w:hAnsi="Arial"/>
          <w:sz w:val="23"/>
          <w:szCs w:val="23"/>
          <w:b w:val="1"/>
          <w:bCs w:val="1"/>
          <w:color w:val="auto"/>
        </w:rPr>
        <w:t>Looking ahead, we remain focused on being nimble and investing aggressively to meet client demand across the growth opportunities in front of us, including with respect to ESG and climate.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-1449705</wp:posOffset>
            </wp:positionV>
            <wp:extent cx="255270" cy="1276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5270" cy="1276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Dear fellow shareholders,</w:t>
      </w:r>
    </w:p>
    <w:p>
      <w:pPr>
        <w:spacing w:after="0" w:line="252" w:lineRule="exact"/>
        <w:rPr>
          <w:sz w:val="20"/>
          <w:szCs w:val="20"/>
          <w:color w:val="auto"/>
        </w:rPr>
      </w:pPr>
    </w:p>
    <w:p>
      <w:pPr>
        <w:ind w:right="40"/>
        <w:spacing w:after="0" w:line="242" w:lineRule="auto"/>
        <w:rPr>
          <w:sz w:val="20"/>
          <w:szCs w:val="20"/>
          <w:color w:val="auto"/>
        </w:rPr>
      </w:pPr>
      <w:r>
        <w:rPr>
          <w:rFonts w:ascii="Arial" w:cs="Arial" w:eastAsia="Arial" w:hAnsi="Arial"/>
          <w:sz w:val="14"/>
          <w:szCs w:val="14"/>
          <w:color w:val="auto"/>
        </w:rPr>
        <w:t>First and foremost, thank you for your continued support of MSCI Inc. (“MSCI” or the “Company”). Thanks to MSCI’s more than 4,000 employees around the world, we delivered exceptional results in 2021, demonstrating the strength of our ambitious strategy, key long-term investments and relentless execution.</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Delivering Results</w:t>
      </w:r>
    </w:p>
    <w:p>
      <w:pPr>
        <w:spacing w:after="0" w:line="160" w:lineRule="exact"/>
        <w:rPr>
          <w:sz w:val="20"/>
          <w:szCs w:val="20"/>
          <w:color w:val="auto"/>
        </w:rPr>
      </w:pPr>
    </w:p>
    <w:p>
      <w:pPr>
        <w:ind w:right="60"/>
        <w:spacing w:after="0" w:line="237" w:lineRule="auto"/>
        <w:rPr>
          <w:sz w:val="20"/>
          <w:szCs w:val="20"/>
          <w:color w:val="auto"/>
        </w:rPr>
      </w:pPr>
      <w:r>
        <w:rPr>
          <w:rFonts w:ascii="Arial" w:cs="Arial" w:eastAsia="Arial" w:hAnsi="Arial"/>
          <w:sz w:val="14"/>
          <w:szCs w:val="14"/>
          <w:color w:val="auto"/>
        </w:rPr>
        <w:t>Our 2021 performance further speaks to the trust our clients place in us to help them navigate an increasingly complex investment landscape and our ability to continue to meet their needs. Among other milestones, at the end of 2021, we achieved record full-year and</w:t>
      </w:r>
    </w:p>
    <w:p>
      <w:pPr>
        <w:spacing w:after="0" w:line="3" w:lineRule="exact"/>
        <w:rPr>
          <w:sz w:val="20"/>
          <w:szCs w:val="20"/>
          <w:color w:val="auto"/>
        </w:rPr>
      </w:pPr>
    </w:p>
    <w:p>
      <w:pPr>
        <w:jc w:val="both"/>
        <w:ind w:right="120"/>
        <w:spacing w:after="0" w:line="214" w:lineRule="auto"/>
        <w:rPr>
          <w:sz w:val="20"/>
          <w:szCs w:val="20"/>
          <w:color w:val="auto"/>
        </w:rPr>
      </w:pPr>
      <w:r>
        <w:rPr>
          <w:rFonts w:ascii="Arial" w:cs="Arial" w:eastAsia="Arial" w:hAnsi="Arial"/>
          <w:sz w:val="14"/>
          <w:szCs w:val="14"/>
          <w:color w:val="auto"/>
        </w:rPr>
        <w:t>quarterly recurring sales and recurring net new sales</w:t>
      </w:r>
      <w:r>
        <w:rPr>
          <w:rFonts w:ascii="Arial" w:cs="Arial" w:eastAsia="Arial" w:hAnsi="Arial"/>
          <w:sz w:val="23"/>
          <w:szCs w:val="23"/>
          <w:color w:val="auto"/>
          <w:vertAlign w:val="superscript"/>
        </w:rPr>
        <w:t>1</w:t>
      </w:r>
      <w:r>
        <w:rPr>
          <w:rFonts w:ascii="Arial" w:cs="Arial" w:eastAsia="Arial" w:hAnsi="Arial"/>
          <w:sz w:val="14"/>
          <w:szCs w:val="14"/>
          <w:color w:val="auto"/>
        </w:rPr>
        <w:t>, along with the 32nd consecutive quarter of double-digit subscription growth in our Index product line.</w:t>
      </w:r>
    </w:p>
    <w:p>
      <w:pPr>
        <w:spacing w:after="0" w:line="138" w:lineRule="exact"/>
        <w:rPr>
          <w:sz w:val="20"/>
          <w:szCs w:val="20"/>
          <w:color w:val="auto"/>
        </w:rPr>
      </w:pPr>
    </w:p>
    <w:p>
      <w:pPr>
        <w:ind w:right="20"/>
        <w:spacing w:after="0"/>
        <w:rPr>
          <w:sz w:val="20"/>
          <w:szCs w:val="20"/>
          <w:color w:val="auto"/>
        </w:rPr>
      </w:pPr>
      <w:r>
        <w:rPr>
          <w:rFonts w:ascii="Arial" w:cs="Arial" w:eastAsia="Arial" w:hAnsi="Arial"/>
          <w:sz w:val="14"/>
          <w:szCs w:val="14"/>
          <w:color w:val="auto"/>
        </w:rPr>
        <w:t>We also affirmed our status as a leading provider of ESG and climate solutions for investors. We saw significant momentum in our ESG and Climate segment, resulting in nearly 50% top-line growth compared to the prior year. Throughout 2021, we rolled out several new climate tools, including an analytical tool that provides carbon emissions data for more than 15,000 private companies and nearly 4,000 active private equity and debt funds. This is in addition to our launch of Climate Lab Enterprise, a first-in-kind visualization dashboard that combines our climate data with our analytical risk and portfolio management capabilities, and the carbon emission data we already provide on nearly 10,000 public companies.</w:t>
      </w:r>
    </w:p>
    <w:p>
      <w:pPr>
        <w:spacing w:after="0" w:line="143" w:lineRule="exact"/>
        <w:rPr>
          <w:sz w:val="20"/>
          <w:szCs w:val="20"/>
          <w:color w:val="auto"/>
        </w:rPr>
      </w:pPr>
    </w:p>
    <w:p>
      <w:pPr>
        <w:spacing w:after="0" w:line="241" w:lineRule="auto"/>
        <w:rPr>
          <w:sz w:val="20"/>
          <w:szCs w:val="20"/>
          <w:color w:val="auto"/>
        </w:rPr>
      </w:pPr>
      <w:r>
        <w:rPr>
          <w:rFonts w:ascii="Arial" w:cs="Arial" w:eastAsia="Arial" w:hAnsi="Arial"/>
          <w:sz w:val="14"/>
          <w:szCs w:val="14"/>
          <w:color w:val="auto"/>
        </w:rPr>
        <w:t>In 2021, we also saw a significant expansion of our capabilities with respect to private assets, with the completion of our acquisition of Real Capital Analytics, Inc. (“Real Capital Analytics” or “RCA”), a provider of data and analytics for the properties and transactions that drive the global commercial real estate capital markets. After this and other investments in our business, we returned approximately $440 million of cash to shareholders through a combination of dividends and share repurchases.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right="420"/>
        <w:spacing w:after="0" w:line="247" w:lineRule="auto"/>
        <w:rPr>
          <w:sz w:val="20"/>
          <w:szCs w:val="20"/>
          <w:color w:val="auto"/>
        </w:rPr>
      </w:pPr>
      <w:r>
        <w:rPr>
          <w:rFonts w:ascii="Arial" w:cs="Arial" w:eastAsia="Arial" w:hAnsi="Arial"/>
          <w:sz w:val="14"/>
          <w:szCs w:val="14"/>
          <w:color w:val="auto"/>
        </w:rPr>
        <w:t>to net-zero keeps accelerating, and we aim to further position MSCI to become the top provider of ESG and climate solutions to the investment industry.</w:t>
      </w:r>
    </w:p>
    <w:p>
      <w:pPr>
        <w:spacing w:after="0" w:line="132" w:lineRule="exact"/>
        <w:rPr>
          <w:sz w:val="20"/>
          <w:szCs w:val="20"/>
          <w:color w:val="auto"/>
        </w:rPr>
      </w:pPr>
    </w:p>
    <w:p>
      <w:pPr>
        <w:ind w:right="20"/>
        <w:spacing w:after="0"/>
        <w:rPr>
          <w:sz w:val="20"/>
          <w:szCs w:val="20"/>
          <w:color w:val="auto"/>
        </w:rPr>
      </w:pPr>
      <w:r>
        <w:rPr>
          <w:rFonts w:ascii="Arial" w:cs="Arial" w:eastAsia="Arial" w:hAnsi="Arial"/>
          <w:sz w:val="14"/>
          <w:szCs w:val="14"/>
          <w:color w:val="auto"/>
        </w:rPr>
        <w:t>We will also continue to invest in our data-transformation strategy. This strategy was a direct result of the feedback we received from many of you. We plan to continue to rapidly incorporate new proprietary and third-party data sets to expand and enrich our existing content in order to generate more meaningful and richer insights for our clients. We are also continuing to create new pathways for clients to access and interact with our products, including by developing and launching our new open-architecture Investment Solutions as a Service (“ISaaS”) offerings, many of which can integrate with our clients’ existing ecosystems via APIs.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Doing our Part</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For the last several years, including by publishing the MSCI Principles of Sustainable Investing, we have been urging all investors to integrate ESG and climate considerations into their investment processes in order to achieve long-term, sustainable investment performance. Since then, we have published reports, data and research to continue to provide clarity for investors so that they can make more informed decisions regarding material environmental, social and governance risks. We have also released tools that can help our clients navigate these efforts – tools that support our mission of enabling investors to build better portfolios for a better world. In 2022, we not only remain deeply committed to this objective, but we also aim to lead by example through our corporate responsibility policies and practices.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Ask for Your Support</w:t>
      </w:r>
    </w:p>
    <w:p>
      <w:pPr>
        <w:spacing w:after="0" w:line="160"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Your vote is very important to us. We strongly encourage you to read both our Proxy Statement and 2021 Annual Report on Form 10-K in their entirety and ask that you support our recommendations. We sincerely appreciate your continued support of MSCI, and we look forward to the 2022 Annual Meeting.</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Sincerely,</w:t>
      </w:r>
    </w:p>
    <w:p>
      <w:pPr>
        <w:spacing w:after="0" w:line="10" w:lineRule="exact"/>
        <w:rPr>
          <w:sz w:val="20"/>
          <w:szCs w:val="20"/>
          <w:color w:val="auto"/>
        </w:rPr>
      </w:pPr>
    </w:p>
    <w:p>
      <w:pPr>
        <w:sectPr>
          <w:pgSz w:w="11900" w:h="16838" w:orient="portrait"/>
          <w:cols w:equalWidth="0" w:num="3">
            <w:col w:w="3220" w:space="400"/>
            <w:col w:w="3580" w:space="220"/>
            <w:col w:w="382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80" w:hanging="173"/>
        <w:spacing w:after="0" w:line="193" w:lineRule="auto"/>
        <w:tabs>
          <w:tab w:leader="none" w:pos="163" w:val="left"/>
        </w:tabs>
        <w:numPr>
          <w:ilvl w:val="0"/>
          <w:numId w:val="4"/>
        </w:numPr>
        <w:rPr>
          <w:rFonts w:ascii="Arial" w:cs="Arial" w:eastAsia="Arial" w:hAnsi="Arial"/>
          <w:sz w:val="21"/>
          <w:szCs w:val="21"/>
          <w:color w:val="auto"/>
          <w:vertAlign w:val="superscript"/>
        </w:rPr>
      </w:pPr>
      <w:r>
        <w:rPr>
          <w:rFonts w:ascii="Arial" w:cs="Arial" w:eastAsia="Arial" w:hAnsi="Arial"/>
          <w:sz w:val="12"/>
          <w:szCs w:val="12"/>
          <w:color w:val="auto"/>
        </w:rPr>
        <w:t>Recurring net new sales represent the amount of new recurring subscription sales net of subscription cancellations during the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Positioning MSCI for the Future</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Looking ahead, we remain focused on being nimble and</w:t>
      </w:r>
    </w:p>
    <w:p>
      <w:pPr>
        <w:spacing w:after="0"/>
        <w:rPr>
          <w:sz w:val="20"/>
          <w:szCs w:val="20"/>
          <w:color w:val="auto"/>
        </w:rPr>
      </w:pPr>
      <w:r>
        <w:rPr>
          <w:rFonts w:ascii="Arial" w:cs="Arial" w:eastAsia="Arial" w:hAnsi="Arial"/>
          <w:sz w:val="14"/>
          <w:szCs w:val="14"/>
          <w:color w:val="auto"/>
        </w:rPr>
        <w:t>investing aggressively to meet client demand across the</w:t>
      </w:r>
    </w:p>
    <w:p>
      <w:pPr>
        <w:spacing w:after="0"/>
        <w:rPr>
          <w:sz w:val="20"/>
          <w:szCs w:val="20"/>
          <w:color w:val="auto"/>
        </w:rPr>
      </w:pPr>
      <w:r>
        <w:rPr>
          <w:rFonts w:ascii="Arial" w:cs="Arial" w:eastAsia="Arial" w:hAnsi="Arial"/>
          <w:sz w:val="14"/>
          <w:szCs w:val="14"/>
          <w:color w:val="auto"/>
        </w:rPr>
        <w:t>growth opportunities in front of us, including with respect</w:t>
      </w:r>
    </w:p>
    <w:p>
      <w:pPr>
        <w:spacing w:after="0"/>
        <w:rPr>
          <w:sz w:val="20"/>
          <w:szCs w:val="20"/>
          <w:color w:val="auto"/>
        </w:rPr>
      </w:pPr>
      <w:r>
        <w:rPr>
          <w:rFonts w:ascii="Arial" w:cs="Arial" w:eastAsia="Arial" w:hAnsi="Arial"/>
          <w:sz w:val="14"/>
          <w:szCs w:val="14"/>
          <w:color w:val="auto"/>
        </w:rPr>
        <w:t>to ESG and climate. The global race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-2295525</wp:posOffset>
            </wp:positionH>
            <wp:positionV relativeFrom="paragraph">
              <wp:posOffset>564515</wp:posOffset>
            </wp:positionV>
            <wp:extent cx="715454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HENRY A. FERNANDEZ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-424815</wp:posOffset>
            </wp:positionV>
            <wp:extent cx="594995" cy="2463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4995" cy="246380"/>
                    </a:xfrm>
                    <a:prstGeom prst="rect">
                      <a:avLst/>
                    </a:prstGeom>
                    <a:noFill/>
                  </pic:spPr>
                </pic:pic>
              </a:graphicData>
            </a:graphic>
          </wp:anchor>
        </w:drawing>
      </w:r>
    </w:p>
    <w:p>
      <w:pPr>
        <w:ind w:right="580"/>
        <w:spacing w:after="0" w:line="254" w:lineRule="auto"/>
        <w:rPr>
          <w:sz w:val="20"/>
          <w:szCs w:val="20"/>
          <w:color w:val="auto"/>
        </w:rPr>
      </w:pPr>
      <w:r>
        <w:rPr>
          <w:rFonts w:ascii="Arial" w:cs="Arial" w:eastAsia="Arial" w:hAnsi="Arial"/>
          <w:sz w:val="14"/>
          <w:szCs w:val="14"/>
          <w:color w:val="auto"/>
        </w:rPr>
        <w:t>Chairman, Chief Executive Officer and Shareholder March 16, 2022</w:t>
      </w:r>
    </w:p>
    <w:p>
      <w:pPr>
        <w:sectPr>
          <w:pgSz w:w="11900" w:h="16838" w:orient="portrait"/>
          <w:cols w:equalWidth="0" w:num="3">
            <w:col w:w="3140" w:space="480"/>
            <w:col w:w="3560" w:space="240"/>
            <w:col w:w="3820"/>
          </w:cols>
          <w:pgMar w:left="320" w:top="121" w:right="339" w:bottom="1440" w:gutter="0" w:footer="0" w:header="0"/>
          <w:type w:val="continuous"/>
        </w:sectPr>
      </w:pPr>
    </w:p>
    <w:bookmarkStart w:id="4" w:name="page5"/>
    <w:bookmarkEnd w:id="4"/>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149860</wp:posOffset>
            </wp:positionV>
            <wp:extent cx="7133590" cy="2127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3590" cy="212725"/>
                    </a:xfrm>
                    <a:prstGeom prst="rect">
                      <a:avLst/>
                    </a:prstGeom>
                    <a:noFill/>
                  </pic:spPr>
                </pic:pic>
              </a:graphicData>
            </a:graphic>
          </wp:anchor>
        </w:drawing>
      </w:r>
    </w:p>
    <w:p>
      <w:pPr>
        <w:spacing w:after="0" w:line="283" w:lineRule="exact"/>
        <w:rPr>
          <w:sz w:val="20"/>
          <w:szCs w:val="20"/>
          <w:color w:val="auto"/>
        </w:rPr>
      </w:pPr>
    </w:p>
    <w:p>
      <w:pPr>
        <w:ind w:left="800" w:hanging="704"/>
        <w:spacing w:after="0"/>
        <w:tabs>
          <w:tab w:leader="none" w:pos="800" w:val="left"/>
        </w:tabs>
        <w:numPr>
          <w:ilvl w:val="0"/>
          <w:numId w:val="5"/>
        </w:numPr>
        <w:rPr>
          <w:rFonts w:ascii="Arial" w:cs="Arial" w:eastAsia="Arial" w:hAnsi="Arial"/>
          <w:sz w:val="14"/>
          <w:szCs w:val="14"/>
          <w:b w:val="1"/>
          <w:bCs w:val="1"/>
          <w:color w:val="16479F"/>
        </w:rPr>
      </w:pPr>
      <w:r>
        <w:rPr>
          <w:rFonts w:ascii="Arial" w:cs="Arial" w:eastAsia="Arial" w:hAnsi="Arial"/>
          <w:sz w:val="14"/>
          <w:szCs w:val="14"/>
          <w:b w:val="1"/>
          <w:bCs w:val="1"/>
          <w:color w:val="16479F"/>
        </w:rPr>
        <w:t>MSCI</w:t>
      </w:r>
    </w:p>
    <w:p>
      <w:pPr>
        <w:spacing w:after="0" w:line="197" w:lineRule="exact"/>
        <w:rPr>
          <w:sz w:val="20"/>
          <w:szCs w:val="20"/>
          <w:color w:val="auto"/>
        </w:rPr>
      </w:pPr>
    </w:p>
    <w:p>
      <w:pPr>
        <w:ind w:right="4060"/>
        <w:spacing w:after="0" w:line="268" w:lineRule="auto"/>
        <w:rPr>
          <w:sz w:val="20"/>
          <w:szCs w:val="20"/>
          <w:color w:val="auto"/>
        </w:rPr>
      </w:pPr>
      <w:r>
        <w:rPr>
          <w:rFonts w:ascii="Arial" w:cs="Arial" w:eastAsia="Arial" w:hAnsi="Arial"/>
          <w:sz w:val="54"/>
          <w:szCs w:val="54"/>
          <w:b w:val="1"/>
          <w:bCs w:val="1"/>
          <w:color w:val="002739"/>
        </w:rPr>
        <w:t>Letter from our Independent Lead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wp:posOffset>
            </wp:positionV>
            <wp:extent cx="7133590" cy="25507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3590" cy="25507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line="261" w:lineRule="auto"/>
        <w:rPr>
          <w:sz w:val="20"/>
          <w:szCs w:val="20"/>
          <w:color w:val="auto"/>
        </w:rPr>
      </w:pPr>
      <w:r>
        <w:rPr>
          <w:rFonts w:ascii="Arial" w:cs="Arial" w:eastAsia="Arial" w:hAnsi="Arial"/>
          <w:sz w:val="23"/>
          <w:szCs w:val="23"/>
          <w:b w:val="1"/>
          <w:bCs w:val="1"/>
          <w:color w:val="auto"/>
        </w:rPr>
        <w:t>The Board’s role is critical in overseeing MSCI’s strategy, and we continue to work closely with management on matters regarding the business, its performance and its long-term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-1449705</wp:posOffset>
            </wp:positionV>
            <wp:extent cx="255270" cy="1276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5270" cy="1276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Dear fellow shareholders,</w:t>
      </w:r>
    </w:p>
    <w:p>
      <w:pPr>
        <w:spacing w:after="0" w:line="195" w:lineRule="exact"/>
        <w:rPr>
          <w:sz w:val="20"/>
          <w:szCs w:val="20"/>
          <w:color w:val="auto"/>
        </w:rPr>
      </w:pPr>
    </w:p>
    <w:p>
      <w:pPr>
        <w:ind w:right="60"/>
        <w:spacing w:after="0" w:line="245" w:lineRule="auto"/>
        <w:rPr>
          <w:sz w:val="20"/>
          <w:szCs w:val="20"/>
          <w:color w:val="auto"/>
        </w:rPr>
      </w:pPr>
      <w:r>
        <w:rPr>
          <w:rFonts w:ascii="Arial" w:cs="Arial" w:eastAsia="Arial" w:hAnsi="Arial"/>
          <w:sz w:val="16"/>
          <w:szCs w:val="16"/>
          <w:color w:val="auto"/>
        </w:rPr>
        <w:t>The independent directors of MSCI and I join Henry in inviting you to attend our Company’s 2022 Annual Meeting. It is a privilege to continue serving as your independent Lead Director during this important time for MSCI. As we approach the 2022 Annual Meeting, I am grateful for this opportunity to share with you some of the ways that the Board has worked together over the past year to provide independent oversight of areas that are important to you.</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Shareholder Engagement</w:t>
      </w:r>
    </w:p>
    <w:p>
      <w:pPr>
        <w:spacing w:after="0" w:line="184"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As a Board, we actively engage with our shareholders and gain firsthand information on the areas that matter most to them, including not just strategy and financial performance, but other key issues such as corporate responsibility, our efforts around diversity, equity and inclusion (“DE&amp;I”), executive compensation and corporate governance. In the winter of 2021, during our Corporate Responsibility Roadshow, members of MSCI’s senior management engaged with top shareholders representing more than 40% of our shares outstanding. Members of the Governance and Corporate Responsibility Committee of the Board, Jacques Perold and Paula Volent, participated in discussions with several shareholders during these meetings. As detailed in this Proxy Statement, under “Shareholder Engagement,” we covered a range of topics, and the Board continues to use your input to inform our practices to ensure they align with shareholder interests. We welcome your continued engagement and feedback.</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Composition and Process</w:t>
      </w:r>
    </w:p>
    <w:p>
      <w:pPr>
        <w:spacing w:after="0" w:line="184" w:lineRule="exact"/>
        <w:rPr>
          <w:sz w:val="20"/>
          <w:szCs w:val="20"/>
          <w:color w:val="auto"/>
        </w:rPr>
      </w:pPr>
    </w:p>
    <w:p>
      <w:pPr>
        <w:ind w:right="160"/>
        <w:spacing w:after="0" w:line="246" w:lineRule="auto"/>
        <w:rPr>
          <w:sz w:val="20"/>
          <w:szCs w:val="20"/>
          <w:color w:val="auto"/>
        </w:rPr>
      </w:pPr>
      <w:r>
        <w:rPr>
          <w:rFonts w:ascii="Arial" w:cs="Arial" w:eastAsia="Arial" w:hAnsi="Arial"/>
          <w:sz w:val="16"/>
          <w:szCs w:val="16"/>
          <w:color w:val="auto"/>
        </w:rPr>
        <w:t>An essential component of the Board leadership structure at MSCI is oversight by independent directors. As MSCI’s Lead Director, I am responsible for helping ensure that the Board exercises its role independent from the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-2295525</wp:posOffset>
            </wp:positionH>
            <wp:positionV relativeFrom="paragraph">
              <wp:posOffset>60325</wp:posOffset>
            </wp:positionV>
            <wp:extent cx="715454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of the Company, as described in this Proxy Statement, under “Structure of our Board,” to ensure independent and effective oversight.</w:t>
      </w:r>
    </w:p>
    <w:p>
      <w:pPr>
        <w:spacing w:after="0" w:line="148"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One of my priorities as Lead Director is to ensure the Board is comprised of directors who are equipped to oversee the risks and opportunities of this business. This year’s Board nominees represent a wide range of backgrounds and expertise. We believe our diversity of experiences, perspectives and skills contribute to the Board’s effectiveness in managing risk and providing guidance to position MSCI for long-term success across rapidly changing business environments for us and for our clients. Of the 10 Board nominees, 9 are independent, which includes all committee chairs and members.</w:t>
      </w:r>
    </w:p>
    <w:p>
      <w:pPr>
        <w:spacing w:after="0" w:line="156" w:lineRule="exact"/>
        <w:rPr>
          <w:sz w:val="20"/>
          <w:szCs w:val="20"/>
          <w:color w:val="auto"/>
        </w:rPr>
      </w:pPr>
    </w:p>
    <w:p>
      <w:pPr>
        <w:ind w:right="20"/>
        <w:spacing w:after="0" w:line="245" w:lineRule="auto"/>
        <w:rPr>
          <w:sz w:val="20"/>
          <w:szCs w:val="20"/>
          <w:color w:val="auto"/>
        </w:rPr>
      </w:pPr>
      <w:r>
        <w:rPr>
          <w:rFonts w:ascii="Arial" w:cs="Arial" w:eastAsia="Arial" w:hAnsi="Arial"/>
          <w:sz w:val="16"/>
          <w:szCs w:val="16"/>
          <w:color w:val="auto"/>
        </w:rPr>
        <w:t>We are pleased to announce the nomination of Rajat Taneja for election to the Board at our 2022 Annual Meeting. Rajat is President of Technology for Visa Inc., and has 30 years of global technology, innovation, and research and development experience. He has been a tremendous addition to the Board as we seek to increasingly leverage cutting-edge technologies to deliver enhanced user experiences and evolve MSCI’s cybersecurity program. Rajat’s appointment in 2021 was informed by the Board’s continued focus on its composition, as well as insights provided through the Board’s annual evaluation process, which includes both evaluation of the Board and its Committees as well as individual director evaluation through interviews that I conduct with each director.</w:t>
      </w:r>
    </w:p>
    <w:p>
      <w:pPr>
        <w:spacing w:after="0" w:line="155"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We also consistently prioritize a focus on the Board’s processes and structures to ensure they remain effective. In 2021, we instituted a review of the roles and responsibilities of our committees. We enhanced our committee charters to reflect leading practices and renamed</w:t>
      </w:r>
    </w:p>
    <w:p>
      <w:pPr>
        <w:sectPr>
          <w:pgSz w:w="11900" w:h="16838" w:orient="portrait"/>
          <w:cols w:equalWidth="0" w:num="3">
            <w:col w:w="3180" w:space="440"/>
            <w:col w:w="3580" w:space="220"/>
            <w:col w:w="3820"/>
          </w:cols>
          <w:pgMar w:left="320" w:top="121" w:right="339" w:bottom="1440" w:gutter="0" w:footer="0" w:header="0"/>
          <w:type w:val="continuous"/>
        </w:sectPr>
      </w:pPr>
    </w:p>
    <w:bookmarkStart w:id="5" w:name="page6"/>
    <w:bookmarkEnd w:id="5"/>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00" w:type="dxa"/>
            <w:vAlign w:val="bottom"/>
            <w:tcBorders>
              <w:right w:val="single" w:sz="8" w:color="16479F"/>
            </w:tcBorders>
          </w:tcPr>
          <w:p>
            <w:pPr>
              <w:ind w:left="8740"/>
              <w:spacing w:after="0"/>
              <w:rPr>
                <w:sz w:val="20"/>
                <w:szCs w:val="20"/>
                <w:color w:val="auto"/>
              </w:rPr>
            </w:pPr>
            <w:r>
              <w:rPr>
                <w:rFonts w:ascii="Arial" w:cs="Arial" w:eastAsia="Arial" w:hAnsi="Arial"/>
                <w:sz w:val="14"/>
                <w:szCs w:val="14"/>
                <w:b w:val="1"/>
                <w:bCs w:val="1"/>
                <w:color w:val="16479F"/>
              </w:rPr>
              <w:t>2022 PROXY STATEMENT</w:t>
            </w:r>
          </w:p>
        </w:tc>
        <w:tc>
          <w:tcPr>
            <w:tcW w:w="640" w:type="dxa"/>
            <w:vAlign w:val="bottom"/>
          </w:tcPr>
          <w:p>
            <w:pPr>
              <w:jc w:val="right"/>
              <w:ind w:right="9"/>
              <w:spacing w:after="0"/>
              <w:rPr>
                <w:sz w:val="20"/>
                <w:szCs w:val="20"/>
                <w:color w:val="auto"/>
              </w:rPr>
            </w:pPr>
            <w:r>
              <w:rPr>
                <w:rFonts w:ascii="Arial" w:cs="Arial" w:eastAsia="Arial" w:hAnsi="Arial"/>
                <w:sz w:val="14"/>
                <w:szCs w:val="14"/>
                <w:b w:val="1"/>
                <w:bCs w:val="1"/>
                <w:color w:val="16479F"/>
              </w:rPr>
              <w:t>5</w:t>
            </w:r>
          </w:p>
        </w:tc>
      </w:tr>
      <w:tr>
        <w:trPr>
          <w:trHeight w:val="65"/>
        </w:trPr>
        <w:tc>
          <w:tcPr>
            <w:tcW w:w="10600" w:type="dxa"/>
            <w:vAlign w:val="bottom"/>
            <w:tcBorders>
              <w:bottom w:val="single" w:sz="8" w:color="16479F"/>
              <w:right w:val="single" w:sz="8" w:color="16479F"/>
            </w:tcBorders>
          </w:tcPr>
          <w:p>
            <w:pPr>
              <w:spacing w:after="0"/>
              <w:rPr>
                <w:sz w:val="5"/>
                <w:szCs w:val="5"/>
                <w:color w:val="auto"/>
              </w:rPr>
            </w:pPr>
          </w:p>
        </w:tc>
        <w:tc>
          <w:tcPr>
            <w:tcW w:w="640" w:type="dxa"/>
            <w:vAlign w:val="bottom"/>
            <w:tcBorders>
              <w:bottom w:val="single" w:sz="8" w:color="16479F"/>
            </w:tcBorders>
          </w:tcPr>
          <w:p>
            <w:pPr>
              <w:spacing w:after="0"/>
              <w:rPr>
                <w:sz w:val="5"/>
                <w:szCs w:val="5"/>
                <w:color w:val="auto"/>
              </w:rPr>
            </w:pPr>
          </w:p>
        </w:tc>
      </w:tr>
      <w:tr>
        <w:trPr>
          <w:trHeight w:val="188"/>
        </w:trPr>
        <w:tc>
          <w:tcPr>
            <w:tcW w:w="106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r>
    </w:tbl>
    <w:p>
      <w:pPr>
        <w:spacing w:after="0" w:line="163"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46" w:lineRule="auto"/>
        <w:rPr>
          <w:sz w:val="20"/>
          <w:szCs w:val="20"/>
          <w:color w:val="auto"/>
        </w:rPr>
      </w:pPr>
      <w:r>
        <w:rPr>
          <w:rFonts w:ascii="Arial" w:cs="Arial" w:eastAsia="Arial" w:hAnsi="Arial"/>
          <w:sz w:val="16"/>
          <w:szCs w:val="16"/>
          <w:color w:val="auto"/>
        </w:rPr>
        <w:t>the Audit and Risk Committee; Compensation, Talent and Culture Committee; and Governance and Corporate Responsibility Committee to provide more clarity and transparency to stakeholders on areas of Board committee-level oversight. These changes in committee names and scope reflect the strategic significance that risk oversight, talent and culture management and corporate responsibility have to our long-term success, and they reflect the growing focus of these areas by our shareholders and the broader stakeholder community.</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Commitment to Corporate Responsibility</w:t>
      </w:r>
    </w:p>
    <w:p>
      <w:pPr>
        <w:spacing w:after="0" w:line="184"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The Board and its Governance and Corporate Responsibility Committee are actively engaged in overseeing MSCI’s corporate responsibility efforts, including to ensure that our practices complement our leadership in ESG and climate. Based on feedback from you, in 2021, we announced our net-zero commitment and increased the amount of reporting we prepare relating to our corporate responsibility efforts, including our first United Nations Sustainable Development Goals (SDG) report and our first Sustainable Finance Disclosure Regulations (SFDR) report. In addition, we published our two most recent EEO-1 reports (containing demographic data for our U.S. employees by race/ethnicity, gender and job categories) as well as SASB-aligned diversity disclosure, and we have committed to doing so in the future. As you will see in this Proxy Statement, we have added a more detailed “Corporate Responsibility” section to provide transparency on the governance of our corporate responsibility efforts by the Board and management.</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People and the Future of Work</w:t>
      </w:r>
    </w:p>
    <w:p>
      <w:pPr>
        <w:spacing w:after="0" w:line="184" w:lineRule="exact"/>
        <w:rPr>
          <w:sz w:val="20"/>
          <w:szCs w:val="20"/>
          <w:color w:val="auto"/>
        </w:rPr>
      </w:pPr>
    </w:p>
    <w:p>
      <w:pPr>
        <w:ind w:right="20"/>
        <w:spacing w:after="0" w:line="245" w:lineRule="auto"/>
        <w:rPr>
          <w:sz w:val="20"/>
          <w:szCs w:val="20"/>
          <w:color w:val="auto"/>
        </w:rPr>
      </w:pPr>
      <w:r>
        <w:rPr>
          <w:rFonts w:ascii="Arial" w:cs="Arial" w:eastAsia="Arial" w:hAnsi="Arial"/>
          <w:sz w:val="16"/>
          <w:szCs w:val="16"/>
          <w:color w:val="auto"/>
        </w:rPr>
        <w:t>We are committed to ensuring that MSCI’s programs related to our employees continue to support our people and our strategy during a period of rapid change. The Board fully appreciates that MSCI’s employees are an essential element of our long-term success, and we spent significant time in 2021 reviewing the Company’s approach to organizational development, talent development, DE&amp;I initiatives and succession planning. In particular, we focused on flexibility in how and where our employees work, and in January 2022, we implemented our “Future of Work,” a hybrid work environment that utilizes pandemic lessons to allow our employees to work at times at the office and other times remotely, depending on the requirements of specific roles. Following an extensive organizational design assessment, we also announced several changes to senior management, as well as the expansion of</w:t>
      </w:r>
    </w:p>
    <w:p>
      <w:pPr>
        <w:spacing w:after="0" w:line="20" w:lineRule="exact"/>
        <w:rPr>
          <w:sz w:val="20"/>
          <w:szCs w:val="20"/>
          <w:color w:val="auto"/>
        </w:rPr>
      </w:pPr>
      <w:r>
        <w:rPr>
          <w:sz w:val="20"/>
          <w:szCs w:val="20"/>
          <w:color w:val="auto"/>
        </w:rPr>
        <w:br w:type="column"/>
      </w:r>
    </w:p>
    <w:p>
      <w:pPr>
        <w:ind w:right="400"/>
        <w:spacing w:after="0" w:line="250" w:lineRule="auto"/>
        <w:rPr>
          <w:sz w:val="20"/>
          <w:szCs w:val="20"/>
          <w:color w:val="auto"/>
        </w:rPr>
      </w:pPr>
      <w:r>
        <w:rPr>
          <w:rFonts w:ascii="Arial" w:cs="Arial" w:eastAsia="Arial" w:hAnsi="Arial"/>
          <w:sz w:val="16"/>
          <w:szCs w:val="16"/>
          <w:color w:val="auto"/>
        </w:rPr>
        <w:t>MSCI’s Executive Committee to include greater representation from key operating functions, in particular, Research, Technology and Data, and Private Assets.</w:t>
      </w:r>
    </w:p>
    <w:p>
      <w:pPr>
        <w:spacing w:after="0" w:line="148"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In 2021, we also spent significant time reviewing the Company’s executive compensation program to ensure that MSCI is appropriately incentivizing long-term performance and shareholder value creation. Over the past several years, MSCI has chosen to incorporate a number of performance-based metrics and qualitative goals to reward exceptional performance, including by assessing performance against individualized DE&amp;I goals, which are directly linked to a portion of each Managing Director’s annual incentive compensation. As we continue to promote an “owner-operator” mindset within the Company, we also significantly enhanced the stock ownership requirements applicable to our senior leaders. You can learn more about our executive compensation program in this Proxy Statement, under “Compensation Matters.”</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Oversight of Strategy and Risk</w:t>
      </w:r>
    </w:p>
    <w:p>
      <w:pPr>
        <w:spacing w:after="0" w:line="184" w:lineRule="exact"/>
        <w:rPr>
          <w:sz w:val="20"/>
          <w:szCs w:val="20"/>
          <w:color w:val="auto"/>
        </w:rPr>
      </w:pPr>
    </w:p>
    <w:p>
      <w:pPr>
        <w:ind w:right="60"/>
        <w:spacing w:after="0" w:line="245" w:lineRule="auto"/>
        <w:rPr>
          <w:sz w:val="20"/>
          <w:szCs w:val="20"/>
          <w:color w:val="auto"/>
        </w:rPr>
      </w:pPr>
      <w:r>
        <w:rPr>
          <w:rFonts w:ascii="Arial" w:cs="Arial" w:eastAsia="Arial" w:hAnsi="Arial"/>
          <w:sz w:val="16"/>
          <w:szCs w:val="16"/>
          <w:color w:val="auto"/>
        </w:rPr>
        <w:t>The Board’s role is critical in overseeing MSCI’s strategy, and we continue to work closely with management on matters regarding the business, its performance and its long-term outlook. The Board sees an incredible opportunity for MSCI to continue to be a leader in the evolving global investment landscape, and, in 2021, our Board meetings regularly included consideration of significant business and organizational initiatives, capital allocation strategies and corporate development opportunities, including our acquisition of Real Capital Analytics in September. Throughout the year, the Board was also kept informed of enterprise risk and information technology risk developments, including our technology infrastructure, regulatory and compliance matters, public policy developments, risks and opportunities related to climate and go-to-market strategy.</w:t>
      </w:r>
    </w:p>
    <w:p>
      <w:pPr>
        <w:spacing w:after="0" w:line="156"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On behalf of my fellow independent directors and the entire Board, thank you for your continued support. We appreciate the opportunity to serve MSCI on your behalf in 2022 and beyond. We look forward to hearing your views at the 2022 Annual Meeting and through our on-going engagement.</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wp:posOffset>
            </wp:positionV>
            <wp:extent cx="850265" cy="391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0265" cy="391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ROBERT G. ASHE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Independent Lead Director and Shareholder</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March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-3641725</wp:posOffset>
            </wp:positionH>
            <wp:positionV relativeFrom="paragraph">
              <wp:posOffset>66675</wp:posOffset>
            </wp:positionV>
            <wp:extent cx="715454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2">
            <w:col w:w="5520" w:space="220"/>
            <w:col w:w="5500"/>
          </w:cols>
          <w:pgMar w:left="320" w:top="121" w:right="339" w:bottom="1440" w:gutter="0" w:footer="0" w:header="0"/>
          <w:type w:val="continuous"/>
        </w:sectPr>
      </w:pPr>
    </w:p>
    <w:bookmarkStart w:id="6" w:name="page7"/>
    <w:bookmarkEnd w:id="6"/>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149860</wp:posOffset>
            </wp:positionV>
            <wp:extent cx="7133590" cy="2127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3590" cy="212725"/>
                    </a:xfrm>
                    <a:prstGeom prst="rect">
                      <a:avLst/>
                    </a:prstGeom>
                    <a:noFill/>
                  </pic:spPr>
                </pic:pic>
              </a:graphicData>
            </a:graphic>
          </wp:anchor>
        </w:drawing>
      </w:r>
    </w:p>
    <w:p>
      <w:pPr>
        <w:spacing w:after="0" w:line="283" w:lineRule="exact"/>
        <w:rPr>
          <w:sz w:val="20"/>
          <w:szCs w:val="20"/>
          <w:color w:val="auto"/>
        </w:rPr>
      </w:pPr>
    </w:p>
    <w:p>
      <w:pPr>
        <w:ind w:left="800" w:hanging="704"/>
        <w:spacing w:after="0"/>
        <w:tabs>
          <w:tab w:leader="none" w:pos="800" w:val="left"/>
        </w:tabs>
        <w:numPr>
          <w:ilvl w:val="0"/>
          <w:numId w:val="6"/>
        </w:numPr>
        <w:rPr>
          <w:rFonts w:ascii="Arial" w:cs="Arial" w:eastAsia="Arial" w:hAnsi="Arial"/>
          <w:sz w:val="14"/>
          <w:szCs w:val="14"/>
          <w:b w:val="1"/>
          <w:bCs w:val="1"/>
          <w:color w:val="16479F"/>
        </w:rPr>
      </w:pPr>
      <w:r>
        <w:rPr>
          <w:rFonts w:ascii="Arial" w:cs="Arial" w:eastAsia="Arial" w:hAnsi="Arial"/>
          <w:sz w:val="14"/>
          <w:szCs w:val="14"/>
          <w:b w:val="1"/>
          <w:bCs w:val="1"/>
          <w:color w:val="16479F"/>
        </w:rPr>
        <w:t>MSCI</w:t>
      </w:r>
    </w:p>
    <w:p>
      <w:pPr>
        <w:sectPr>
          <w:pgSz w:w="11900" w:h="16838" w:orient="portrait"/>
          <w:cols w:equalWidth="0" w:num="1">
            <w:col w:w="11220"/>
          </w:cols>
          <w:pgMar w:left="320" w:top="121" w:right="359" w:bottom="1440" w:gutter="0" w:footer="0" w:header="0"/>
        </w:sectPr>
      </w:pPr>
    </w:p>
    <w:p>
      <w:pPr>
        <w:spacing w:after="0" w:line="197" w:lineRule="exact"/>
        <w:rPr>
          <w:sz w:val="20"/>
          <w:szCs w:val="20"/>
          <w:color w:val="auto"/>
        </w:rPr>
      </w:pPr>
    </w:p>
    <w:p>
      <w:pPr>
        <w:ind w:right="1200"/>
        <w:spacing w:after="0" w:line="268" w:lineRule="auto"/>
        <w:rPr>
          <w:sz w:val="20"/>
          <w:szCs w:val="20"/>
          <w:color w:val="auto"/>
        </w:rPr>
      </w:pPr>
      <w:r>
        <w:rPr>
          <w:rFonts w:ascii="Arial" w:cs="Arial" w:eastAsia="Arial" w:hAnsi="Arial"/>
          <w:sz w:val="54"/>
          <w:szCs w:val="54"/>
          <w:b w:val="1"/>
          <w:bCs w:val="1"/>
          <w:color w:val="002739"/>
        </w:rPr>
        <w:t>Notice of Annual Meeting of Shareholders</w:t>
      </w:r>
    </w:p>
    <w:p>
      <w:pPr>
        <w:spacing w:after="0" w:line="17" w:lineRule="exact"/>
        <w:rPr>
          <w:sz w:val="20"/>
          <w:szCs w:val="20"/>
          <w:color w:val="auto"/>
        </w:rPr>
      </w:pPr>
    </w:p>
    <w:p>
      <w:pPr>
        <w:spacing w:after="0"/>
        <w:rPr>
          <w:sz w:val="20"/>
          <w:szCs w:val="20"/>
          <w:color w:val="auto"/>
        </w:rPr>
      </w:pPr>
      <w:r>
        <w:rPr>
          <w:rFonts w:ascii="Arial" w:cs="Arial" w:eastAsia="Arial" w:hAnsi="Arial"/>
          <w:sz w:val="21"/>
          <w:szCs w:val="21"/>
          <w:b w:val="1"/>
          <w:bCs w:val="1"/>
          <w:color w:val="16479F"/>
        </w:rPr>
        <w:t>Annual Meeting Proposals and Voting Recommendations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780" w:type="dxa"/>
            <w:vAlign w:val="bottom"/>
            <w:vMerge w:val="restart"/>
            <w:shd w:val="clear" w:color="auto" w:fill="F0F1F8"/>
          </w:tcPr>
          <w:p>
            <w:pPr>
              <w:jc w:val="right"/>
              <w:spacing w:after="0"/>
              <w:rPr>
                <w:sz w:val="20"/>
                <w:szCs w:val="20"/>
                <w:color w:val="auto"/>
              </w:rPr>
            </w:pPr>
            <w:r>
              <w:rPr>
                <w:rFonts w:ascii="Arial" w:cs="Arial" w:eastAsia="Arial" w:hAnsi="Arial"/>
                <w:sz w:val="54"/>
                <w:szCs w:val="54"/>
                <w:b w:val="1"/>
                <w:bCs w:val="1"/>
                <w:color w:val="16479F"/>
              </w:rPr>
              <w:t>1</w:t>
            </w:r>
          </w:p>
        </w:tc>
        <w:tc>
          <w:tcPr>
            <w:tcW w:w="5300" w:type="dxa"/>
            <w:vAlign w:val="bottom"/>
            <w:vMerge w:val="restart"/>
            <w:shd w:val="clear" w:color="auto" w:fill="F0F1F8"/>
          </w:tcPr>
          <w:p>
            <w:pPr>
              <w:spacing w:after="0"/>
              <w:rPr>
                <w:sz w:val="20"/>
                <w:szCs w:val="20"/>
                <w:color w:val="auto"/>
              </w:rPr>
            </w:pPr>
            <w:r>
              <w:rPr>
                <w:rFonts w:ascii="Arial" w:cs="Arial" w:eastAsia="Arial" w:hAnsi="Arial"/>
                <w:sz w:val="16"/>
                <w:szCs w:val="16"/>
                <w:b w:val="1"/>
                <w:bCs w:val="1"/>
                <w:color w:val="auto"/>
              </w:rPr>
              <w:t>Election of Directors</w:t>
            </w:r>
          </w:p>
        </w:tc>
        <w:tc>
          <w:tcPr>
            <w:tcW w:w="60" w:type="dxa"/>
            <w:vAlign w:val="bottom"/>
            <w:shd w:val="clear" w:color="auto" w:fill="F0F1F8"/>
          </w:tcPr>
          <w:p>
            <w:pPr>
              <w:spacing w:after="0"/>
              <w:rPr>
                <w:sz w:val="10"/>
                <w:szCs w:val="10"/>
                <w:color w:val="auto"/>
              </w:rPr>
            </w:pPr>
          </w:p>
        </w:tc>
        <w:tc>
          <w:tcPr>
            <w:tcW w:w="1500" w:type="dxa"/>
            <w:vAlign w:val="bottom"/>
            <w:vMerge w:val="restart"/>
            <w:shd w:val="clear" w:color="auto" w:fill="F0F1F8"/>
          </w:tcPr>
          <w:p>
            <w:pPr>
              <w:ind w:left="80"/>
              <w:spacing w:after="0"/>
              <w:rPr>
                <w:sz w:val="20"/>
                <w:szCs w:val="20"/>
                <w:color w:val="auto"/>
              </w:rPr>
            </w:pPr>
            <w:r>
              <w:rPr>
                <w:rFonts w:ascii="Arial" w:cs="Arial" w:eastAsia="Arial" w:hAnsi="Arial"/>
                <w:sz w:val="16"/>
                <w:szCs w:val="16"/>
                <w:b w:val="1"/>
                <w:bCs w:val="1"/>
                <w:color w:val="auto"/>
              </w:rPr>
              <w:t>“FOR</w:t>
            </w:r>
            <w:r>
              <w:rPr>
                <w:rFonts w:ascii="Arial" w:cs="Arial" w:eastAsia="Arial" w:hAnsi="Arial"/>
                <w:sz w:val="16"/>
                <w:szCs w:val="16"/>
                <w:color w:val="auto"/>
              </w:rPr>
              <w:t>” each</w:t>
            </w:r>
          </w:p>
        </w:tc>
        <w:tc>
          <w:tcPr>
            <w:tcW w:w="0" w:type="dxa"/>
            <w:vAlign w:val="bottom"/>
          </w:tcPr>
          <w:p>
            <w:pPr>
              <w:spacing w:after="0"/>
              <w:rPr>
                <w:sz w:val="1"/>
                <w:szCs w:val="1"/>
                <w:color w:val="auto"/>
              </w:rPr>
            </w:pPr>
          </w:p>
        </w:tc>
      </w:tr>
      <w:tr>
        <w:trPr>
          <w:trHeight w:val="203"/>
        </w:trPr>
        <w:tc>
          <w:tcPr>
            <w:tcW w:w="780" w:type="dxa"/>
            <w:vAlign w:val="bottom"/>
            <w:vMerge w:val="continue"/>
            <w:shd w:val="clear" w:color="auto" w:fill="F0F1F8"/>
          </w:tcPr>
          <w:p>
            <w:pPr>
              <w:spacing w:after="0"/>
              <w:rPr>
                <w:sz w:val="17"/>
                <w:szCs w:val="17"/>
                <w:color w:val="auto"/>
              </w:rPr>
            </w:pPr>
          </w:p>
        </w:tc>
        <w:tc>
          <w:tcPr>
            <w:tcW w:w="5300" w:type="dxa"/>
            <w:vAlign w:val="bottom"/>
            <w:vMerge w:val="continue"/>
            <w:shd w:val="clear" w:color="auto" w:fill="F0F1F8"/>
          </w:tcPr>
          <w:p>
            <w:pPr>
              <w:spacing w:after="0"/>
              <w:rPr>
                <w:sz w:val="17"/>
                <w:szCs w:val="17"/>
                <w:color w:val="auto"/>
              </w:rPr>
            </w:pPr>
          </w:p>
        </w:tc>
        <w:tc>
          <w:tcPr>
            <w:tcW w:w="60" w:type="dxa"/>
            <w:vAlign w:val="bottom"/>
            <w:shd w:val="clear" w:color="auto" w:fill="000000"/>
          </w:tcPr>
          <w:p>
            <w:pPr>
              <w:spacing w:after="0"/>
              <w:rPr>
                <w:sz w:val="17"/>
                <w:szCs w:val="17"/>
                <w:color w:val="auto"/>
              </w:rPr>
            </w:pPr>
          </w:p>
        </w:tc>
        <w:tc>
          <w:tcPr>
            <w:tcW w:w="1500" w:type="dxa"/>
            <w:vAlign w:val="bottom"/>
            <w:vMerge w:val="continue"/>
            <w:shd w:val="clear" w:color="auto" w:fill="F0F1F8"/>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780" w:type="dxa"/>
            <w:vAlign w:val="bottom"/>
            <w:vMerge w:val="continue"/>
            <w:shd w:val="clear" w:color="auto" w:fill="F0F1F8"/>
          </w:tcPr>
          <w:p>
            <w:pPr>
              <w:spacing w:after="0"/>
              <w:rPr>
                <w:sz w:val="16"/>
                <w:szCs w:val="16"/>
                <w:color w:val="auto"/>
              </w:rPr>
            </w:pPr>
          </w:p>
        </w:tc>
        <w:tc>
          <w:tcPr>
            <w:tcW w:w="5300" w:type="dxa"/>
            <w:vAlign w:val="bottom"/>
            <w:vMerge w:val="continue"/>
            <w:shd w:val="clear" w:color="auto" w:fill="F0F1F8"/>
          </w:tcPr>
          <w:p>
            <w:pPr>
              <w:spacing w:after="0"/>
              <w:rPr>
                <w:sz w:val="16"/>
                <w:szCs w:val="16"/>
                <w:color w:val="auto"/>
              </w:rPr>
            </w:pPr>
          </w:p>
        </w:tc>
        <w:tc>
          <w:tcPr>
            <w:tcW w:w="60" w:type="dxa"/>
            <w:vAlign w:val="bottom"/>
            <w:shd w:val="clear" w:color="auto" w:fill="000000"/>
          </w:tcPr>
          <w:p>
            <w:pPr>
              <w:spacing w:after="0"/>
              <w:rPr>
                <w:sz w:val="16"/>
                <w:szCs w:val="16"/>
                <w:color w:val="auto"/>
              </w:rPr>
            </w:pPr>
          </w:p>
        </w:tc>
        <w:tc>
          <w:tcPr>
            <w:tcW w:w="1500" w:type="dxa"/>
            <w:vAlign w:val="bottom"/>
            <w:shd w:val="clear" w:color="auto" w:fill="F0F1F8"/>
          </w:tcPr>
          <w:p>
            <w:pPr>
              <w:ind w:left="80"/>
              <w:spacing w:after="0"/>
              <w:rPr>
                <w:sz w:val="20"/>
                <w:szCs w:val="20"/>
                <w:color w:val="auto"/>
              </w:rPr>
            </w:pPr>
            <w:r>
              <w:rPr>
                <w:rFonts w:ascii="Arial" w:cs="Arial" w:eastAsia="Arial" w:hAnsi="Arial"/>
                <w:sz w:val="16"/>
                <w:szCs w:val="16"/>
                <w:color w:val="auto"/>
              </w:rPr>
              <w:t>nominee</w:t>
            </w:r>
          </w:p>
        </w:tc>
        <w:tc>
          <w:tcPr>
            <w:tcW w:w="0" w:type="dxa"/>
            <w:vAlign w:val="bottom"/>
          </w:tcPr>
          <w:p>
            <w:pPr>
              <w:spacing w:after="0"/>
              <w:rPr>
                <w:sz w:val="1"/>
                <w:szCs w:val="1"/>
                <w:color w:val="auto"/>
              </w:rPr>
            </w:pPr>
          </w:p>
        </w:tc>
      </w:tr>
      <w:tr>
        <w:trPr>
          <w:trHeight w:val="214"/>
        </w:trPr>
        <w:tc>
          <w:tcPr>
            <w:tcW w:w="780" w:type="dxa"/>
            <w:vAlign w:val="bottom"/>
            <w:vMerge w:val="continue"/>
            <w:shd w:val="clear" w:color="auto" w:fill="F0F1F8"/>
          </w:tcPr>
          <w:p>
            <w:pPr>
              <w:spacing w:after="0"/>
              <w:rPr>
                <w:sz w:val="18"/>
                <w:szCs w:val="18"/>
                <w:color w:val="auto"/>
              </w:rPr>
            </w:pPr>
          </w:p>
        </w:tc>
        <w:tc>
          <w:tcPr>
            <w:tcW w:w="5300" w:type="dxa"/>
            <w:vAlign w:val="bottom"/>
            <w:shd w:val="clear" w:color="auto" w:fill="F0F1F8"/>
          </w:tcPr>
          <w:p>
            <w:pPr>
              <w:spacing w:after="0"/>
              <w:rPr>
                <w:sz w:val="18"/>
                <w:szCs w:val="18"/>
                <w:color w:val="auto"/>
              </w:rPr>
            </w:pPr>
          </w:p>
        </w:tc>
        <w:tc>
          <w:tcPr>
            <w:tcW w:w="60" w:type="dxa"/>
            <w:vAlign w:val="bottom"/>
            <w:shd w:val="clear" w:color="auto" w:fill="000000"/>
          </w:tcPr>
          <w:p>
            <w:pPr>
              <w:spacing w:after="0"/>
              <w:rPr>
                <w:sz w:val="18"/>
                <w:szCs w:val="18"/>
                <w:color w:val="auto"/>
              </w:rPr>
            </w:pPr>
          </w:p>
        </w:tc>
        <w:tc>
          <w:tcPr>
            <w:tcW w:w="1500" w:type="dxa"/>
            <w:vAlign w:val="bottom"/>
            <w:shd w:val="clear" w:color="auto" w:fill="F0F1F8"/>
          </w:tcPr>
          <w:p>
            <w:pPr>
              <w:ind w:left="240"/>
              <w:spacing w:after="0"/>
              <w:rPr>
                <w:sz w:val="20"/>
                <w:szCs w:val="20"/>
                <w:color w:val="auto"/>
              </w:rPr>
            </w:pPr>
            <w:r>
              <w:rPr>
                <w:rFonts w:ascii="Arial" w:cs="Arial" w:eastAsia="Arial" w:hAnsi="Arial"/>
                <w:sz w:val="14"/>
                <w:szCs w:val="14"/>
                <w:color w:val="auto"/>
              </w:rPr>
              <w:t xml:space="preserve">SEE </w:t>
            </w:r>
            <w:r>
              <w:rPr>
                <w:rFonts w:ascii="Arial" w:cs="Arial" w:eastAsia="Arial" w:hAnsi="Arial"/>
                <w:sz w:val="14"/>
                <w:szCs w:val="14"/>
                <w:b w:val="1"/>
                <w:bCs w:val="1"/>
                <w:color w:val="auto"/>
              </w:rPr>
              <w:t>PAGE 20</w:t>
            </w:r>
          </w:p>
        </w:tc>
        <w:tc>
          <w:tcPr>
            <w:tcW w:w="0" w:type="dxa"/>
            <w:vAlign w:val="bottom"/>
          </w:tcPr>
          <w:p>
            <w:pPr>
              <w:spacing w:after="0"/>
              <w:rPr>
                <w:sz w:val="1"/>
                <w:szCs w:val="1"/>
                <w:color w:val="auto"/>
              </w:rPr>
            </w:pPr>
          </w:p>
        </w:tc>
      </w:tr>
      <w:tr>
        <w:trPr>
          <w:trHeight w:val="121"/>
        </w:trPr>
        <w:tc>
          <w:tcPr>
            <w:tcW w:w="780" w:type="dxa"/>
            <w:vAlign w:val="bottom"/>
            <w:shd w:val="clear" w:color="auto" w:fill="F0F1F8"/>
          </w:tcPr>
          <w:p>
            <w:pPr>
              <w:spacing w:after="0"/>
              <w:rPr>
                <w:sz w:val="10"/>
                <w:szCs w:val="10"/>
                <w:color w:val="auto"/>
              </w:rPr>
            </w:pPr>
          </w:p>
        </w:tc>
        <w:tc>
          <w:tcPr>
            <w:tcW w:w="5300" w:type="dxa"/>
            <w:vAlign w:val="bottom"/>
            <w:shd w:val="clear" w:color="auto" w:fill="F0F1F8"/>
          </w:tcPr>
          <w:p>
            <w:pPr>
              <w:spacing w:after="0"/>
              <w:rPr>
                <w:sz w:val="10"/>
                <w:szCs w:val="10"/>
                <w:color w:val="auto"/>
              </w:rPr>
            </w:pPr>
          </w:p>
        </w:tc>
        <w:tc>
          <w:tcPr>
            <w:tcW w:w="60" w:type="dxa"/>
            <w:vAlign w:val="bottom"/>
            <w:shd w:val="clear" w:color="auto" w:fill="F0F1F8"/>
          </w:tcPr>
          <w:p>
            <w:pPr>
              <w:spacing w:after="0"/>
              <w:rPr>
                <w:sz w:val="10"/>
                <w:szCs w:val="10"/>
                <w:color w:val="auto"/>
              </w:rPr>
            </w:pPr>
          </w:p>
        </w:tc>
        <w:tc>
          <w:tcPr>
            <w:tcW w:w="1500" w:type="dxa"/>
            <w:vAlign w:val="bottom"/>
            <w:shd w:val="clear" w:color="auto" w:fill="F0F1F8"/>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780" w:type="dxa"/>
            <w:vAlign w:val="bottom"/>
          </w:tcPr>
          <w:p>
            <w:pPr>
              <w:spacing w:after="0"/>
              <w:rPr>
                <w:sz w:val="10"/>
                <w:szCs w:val="10"/>
                <w:color w:val="auto"/>
              </w:rPr>
            </w:pPr>
          </w:p>
        </w:tc>
        <w:tc>
          <w:tcPr>
            <w:tcW w:w="5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780" w:type="dxa"/>
            <w:vAlign w:val="bottom"/>
            <w:vMerge w:val="restart"/>
            <w:shd w:val="clear" w:color="auto" w:fill="F0F1F8"/>
          </w:tcPr>
          <w:p>
            <w:pPr>
              <w:jc w:val="right"/>
              <w:spacing w:after="0" w:line="389" w:lineRule="exact"/>
              <w:rPr>
                <w:sz w:val="20"/>
                <w:szCs w:val="20"/>
                <w:color w:val="auto"/>
              </w:rPr>
            </w:pPr>
            <w:r>
              <w:rPr>
                <w:rFonts w:ascii="Arial" w:cs="Arial" w:eastAsia="Arial" w:hAnsi="Arial"/>
                <w:sz w:val="45"/>
                <w:szCs w:val="45"/>
                <w:b w:val="1"/>
                <w:bCs w:val="1"/>
                <w:color w:val="16479F"/>
              </w:rPr>
              <w:t>2</w:t>
            </w:r>
          </w:p>
        </w:tc>
        <w:tc>
          <w:tcPr>
            <w:tcW w:w="5300" w:type="dxa"/>
            <w:vAlign w:val="bottom"/>
            <w:vMerge w:val="restart"/>
            <w:shd w:val="clear" w:color="auto" w:fill="F0F1F8"/>
          </w:tcPr>
          <w:p>
            <w:pPr>
              <w:spacing w:after="0"/>
              <w:rPr>
                <w:sz w:val="20"/>
                <w:szCs w:val="20"/>
                <w:color w:val="auto"/>
              </w:rPr>
            </w:pPr>
            <w:r>
              <w:rPr>
                <w:rFonts w:ascii="Arial" w:cs="Arial" w:eastAsia="Arial" w:hAnsi="Arial"/>
                <w:sz w:val="16"/>
                <w:szCs w:val="16"/>
                <w:b w:val="1"/>
                <w:bCs w:val="1"/>
                <w:color w:val="auto"/>
              </w:rPr>
              <w:t>Advisory Vote to Approve Executive Compensation (Say-on-Pay)</w:t>
            </w:r>
          </w:p>
        </w:tc>
        <w:tc>
          <w:tcPr>
            <w:tcW w:w="60" w:type="dxa"/>
            <w:vAlign w:val="bottom"/>
            <w:shd w:val="clear" w:color="auto" w:fill="F0F1F8"/>
          </w:tcPr>
          <w:p>
            <w:pPr>
              <w:spacing w:after="0"/>
              <w:rPr>
                <w:sz w:val="10"/>
                <w:szCs w:val="10"/>
                <w:color w:val="auto"/>
              </w:rPr>
            </w:pPr>
          </w:p>
        </w:tc>
        <w:tc>
          <w:tcPr>
            <w:tcW w:w="1500" w:type="dxa"/>
            <w:vAlign w:val="bottom"/>
            <w:vMerge w:val="restart"/>
            <w:shd w:val="clear" w:color="auto" w:fill="F0F1F8"/>
          </w:tcPr>
          <w:p>
            <w:pPr>
              <w:ind w:left="80"/>
              <w:spacing w:after="0"/>
              <w:rPr>
                <w:sz w:val="20"/>
                <w:szCs w:val="20"/>
                <w:color w:val="auto"/>
              </w:rPr>
            </w:pPr>
            <w:r>
              <w:rPr>
                <w:rFonts w:ascii="Arial" w:cs="Arial" w:eastAsia="Arial" w:hAnsi="Arial"/>
                <w:sz w:val="16"/>
                <w:szCs w:val="16"/>
                <w:b w:val="1"/>
                <w:bCs w:val="1"/>
                <w:color w:val="auto"/>
              </w:rPr>
              <w:t>“FOR</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8"/>
        </w:trPr>
        <w:tc>
          <w:tcPr>
            <w:tcW w:w="780" w:type="dxa"/>
            <w:vAlign w:val="bottom"/>
            <w:vMerge w:val="continue"/>
            <w:shd w:val="clear" w:color="auto" w:fill="F0F1F8"/>
          </w:tcPr>
          <w:p>
            <w:pPr>
              <w:spacing w:after="0"/>
              <w:rPr>
                <w:sz w:val="23"/>
                <w:szCs w:val="23"/>
                <w:color w:val="auto"/>
              </w:rPr>
            </w:pPr>
          </w:p>
        </w:tc>
        <w:tc>
          <w:tcPr>
            <w:tcW w:w="5300" w:type="dxa"/>
            <w:vAlign w:val="bottom"/>
            <w:vMerge w:val="continue"/>
            <w:shd w:val="clear" w:color="auto" w:fill="F0F1F8"/>
          </w:tcPr>
          <w:p>
            <w:pPr>
              <w:spacing w:after="0"/>
              <w:rPr>
                <w:sz w:val="23"/>
                <w:szCs w:val="23"/>
                <w:color w:val="auto"/>
              </w:rPr>
            </w:pPr>
          </w:p>
        </w:tc>
        <w:tc>
          <w:tcPr>
            <w:tcW w:w="60" w:type="dxa"/>
            <w:vAlign w:val="bottom"/>
            <w:shd w:val="clear" w:color="auto" w:fill="000000"/>
          </w:tcPr>
          <w:p>
            <w:pPr>
              <w:spacing w:after="0"/>
              <w:rPr>
                <w:sz w:val="23"/>
                <w:szCs w:val="23"/>
                <w:color w:val="auto"/>
              </w:rPr>
            </w:pPr>
          </w:p>
        </w:tc>
        <w:tc>
          <w:tcPr>
            <w:tcW w:w="1500" w:type="dxa"/>
            <w:vAlign w:val="bottom"/>
            <w:vMerge w:val="continue"/>
            <w:shd w:val="clear" w:color="auto" w:fill="F0F1F8"/>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80" w:type="dxa"/>
            <w:vAlign w:val="bottom"/>
            <w:shd w:val="clear" w:color="auto" w:fill="F0F1F8"/>
          </w:tcPr>
          <w:p>
            <w:pPr>
              <w:spacing w:after="0"/>
              <w:rPr>
                <w:sz w:val="2"/>
                <w:szCs w:val="2"/>
                <w:color w:val="auto"/>
              </w:rPr>
            </w:pPr>
          </w:p>
        </w:tc>
        <w:tc>
          <w:tcPr>
            <w:tcW w:w="5300" w:type="dxa"/>
            <w:vAlign w:val="bottom"/>
            <w:vMerge w:val="continue"/>
            <w:shd w:val="clear" w:color="auto" w:fill="F0F1F8"/>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500" w:type="dxa"/>
            <w:vAlign w:val="bottom"/>
            <w:vMerge w:val="continue"/>
            <w:shd w:val="clear" w:color="auto" w:fill="F0F1F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1"/>
        </w:trPr>
        <w:tc>
          <w:tcPr>
            <w:tcW w:w="780" w:type="dxa"/>
            <w:vAlign w:val="bottom"/>
            <w:shd w:val="clear" w:color="auto" w:fill="F0F1F8"/>
          </w:tcPr>
          <w:p>
            <w:pPr>
              <w:spacing w:after="0"/>
              <w:rPr>
                <w:sz w:val="8"/>
                <w:szCs w:val="8"/>
                <w:color w:val="auto"/>
              </w:rPr>
            </w:pPr>
          </w:p>
        </w:tc>
        <w:tc>
          <w:tcPr>
            <w:tcW w:w="5300" w:type="dxa"/>
            <w:vAlign w:val="bottom"/>
            <w:vMerge w:val="continue"/>
            <w:shd w:val="clear" w:color="auto" w:fill="F0F1F8"/>
          </w:tcPr>
          <w:p>
            <w:pPr>
              <w:spacing w:after="0"/>
              <w:rPr>
                <w:sz w:val="8"/>
                <w:szCs w:val="8"/>
                <w:color w:val="auto"/>
              </w:rPr>
            </w:pPr>
          </w:p>
        </w:tc>
        <w:tc>
          <w:tcPr>
            <w:tcW w:w="60" w:type="dxa"/>
            <w:vAlign w:val="bottom"/>
            <w:shd w:val="clear" w:color="auto" w:fill="000000"/>
          </w:tcPr>
          <w:p>
            <w:pPr>
              <w:spacing w:after="0"/>
              <w:rPr>
                <w:sz w:val="8"/>
                <w:szCs w:val="8"/>
                <w:color w:val="auto"/>
              </w:rPr>
            </w:pPr>
          </w:p>
        </w:tc>
        <w:tc>
          <w:tcPr>
            <w:tcW w:w="1500" w:type="dxa"/>
            <w:vAlign w:val="bottom"/>
            <w:vMerge w:val="restart"/>
            <w:shd w:val="clear" w:color="auto" w:fill="F0F1F8"/>
          </w:tcPr>
          <w:p>
            <w:pPr>
              <w:ind w:left="240"/>
              <w:spacing w:after="0"/>
              <w:rPr>
                <w:sz w:val="20"/>
                <w:szCs w:val="20"/>
                <w:color w:val="auto"/>
              </w:rPr>
            </w:pPr>
            <w:r>
              <w:rPr>
                <w:rFonts w:ascii="Arial" w:cs="Arial" w:eastAsia="Arial" w:hAnsi="Arial"/>
                <w:sz w:val="14"/>
                <w:szCs w:val="14"/>
                <w:color w:val="auto"/>
              </w:rPr>
              <w:t xml:space="preserve">SEE </w:t>
            </w:r>
            <w:r>
              <w:rPr>
                <w:rFonts w:ascii="Arial" w:cs="Arial" w:eastAsia="Arial" w:hAnsi="Arial"/>
                <w:sz w:val="14"/>
                <w:szCs w:val="14"/>
                <w:b w:val="1"/>
                <w:bCs w:val="1"/>
                <w:color w:val="auto"/>
              </w:rPr>
              <w:t>PAGE 55</w:t>
            </w:r>
          </w:p>
        </w:tc>
        <w:tc>
          <w:tcPr>
            <w:tcW w:w="0" w:type="dxa"/>
            <w:vAlign w:val="bottom"/>
          </w:tcPr>
          <w:p>
            <w:pPr>
              <w:spacing w:after="0"/>
              <w:rPr>
                <w:sz w:val="1"/>
                <w:szCs w:val="1"/>
                <w:color w:val="auto"/>
              </w:rPr>
            </w:pPr>
          </w:p>
        </w:tc>
      </w:tr>
      <w:tr>
        <w:trPr>
          <w:trHeight w:val="88"/>
        </w:trPr>
        <w:tc>
          <w:tcPr>
            <w:tcW w:w="780" w:type="dxa"/>
            <w:vAlign w:val="bottom"/>
            <w:shd w:val="clear" w:color="auto" w:fill="F0F1F8"/>
          </w:tcPr>
          <w:p>
            <w:pPr>
              <w:spacing w:after="0"/>
              <w:rPr>
                <w:sz w:val="7"/>
                <w:szCs w:val="7"/>
                <w:color w:val="auto"/>
              </w:rPr>
            </w:pPr>
          </w:p>
        </w:tc>
        <w:tc>
          <w:tcPr>
            <w:tcW w:w="5300" w:type="dxa"/>
            <w:vAlign w:val="bottom"/>
            <w:shd w:val="clear" w:color="auto" w:fill="F0F1F8"/>
          </w:tcPr>
          <w:p>
            <w:pPr>
              <w:spacing w:after="0"/>
              <w:rPr>
                <w:sz w:val="7"/>
                <w:szCs w:val="7"/>
                <w:color w:val="auto"/>
              </w:rPr>
            </w:pPr>
          </w:p>
        </w:tc>
        <w:tc>
          <w:tcPr>
            <w:tcW w:w="60" w:type="dxa"/>
            <w:vAlign w:val="bottom"/>
            <w:shd w:val="clear" w:color="auto" w:fill="000000"/>
          </w:tcPr>
          <w:p>
            <w:pPr>
              <w:spacing w:after="0"/>
              <w:rPr>
                <w:sz w:val="7"/>
                <w:szCs w:val="7"/>
                <w:color w:val="auto"/>
              </w:rPr>
            </w:pPr>
          </w:p>
        </w:tc>
        <w:tc>
          <w:tcPr>
            <w:tcW w:w="1500" w:type="dxa"/>
            <w:vAlign w:val="bottom"/>
            <w:vMerge w:val="continue"/>
            <w:shd w:val="clear" w:color="auto" w:fill="F0F1F8"/>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780" w:type="dxa"/>
            <w:vAlign w:val="bottom"/>
            <w:shd w:val="clear" w:color="auto" w:fill="F0F1F8"/>
          </w:tcPr>
          <w:p>
            <w:pPr>
              <w:spacing w:after="0"/>
              <w:rPr>
                <w:sz w:val="10"/>
                <w:szCs w:val="10"/>
                <w:color w:val="auto"/>
              </w:rPr>
            </w:pPr>
          </w:p>
        </w:tc>
        <w:tc>
          <w:tcPr>
            <w:tcW w:w="5300" w:type="dxa"/>
            <w:vAlign w:val="bottom"/>
            <w:shd w:val="clear" w:color="auto" w:fill="F0F1F8"/>
          </w:tcPr>
          <w:p>
            <w:pPr>
              <w:spacing w:after="0"/>
              <w:rPr>
                <w:sz w:val="10"/>
                <w:szCs w:val="10"/>
                <w:color w:val="auto"/>
              </w:rPr>
            </w:pPr>
          </w:p>
        </w:tc>
        <w:tc>
          <w:tcPr>
            <w:tcW w:w="60" w:type="dxa"/>
            <w:vAlign w:val="bottom"/>
            <w:shd w:val="clear" w:color="auto" w:fill="000000"/>
          </w:tcPr>
          <w:p>
            <w:pPr>
              <w:spacing w:after="0"/>
              <w:rPr>
                <w:sz w:val="10"/>
                <w:szCs w:val="10"/>
                <w:color w:val="auto"/>
              </w:rPr>
            </w:pPr>
          </w:p>
        </w:tc>
        <w:tc>
          <w:tcPr>
            <w:tcW w:w="1500" w:type="dxa"/>
            <w:vAlign w:val="bottom"/>
            <w:shd w:val="clear" w:color="auto" w:fill="F0F1F8"/>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780" w:type="dxa"/>
            <w:vAlign w:val="bottom"/>
            <w:shd w:val="clear" w:color="auto" w:fill="F0F1F8"/>
          </w:tcPr>
          <w:p>
            <w:pPr>
              <w:spacing w:after="0"/>
              <w:rPr>
                <w:sz w:val="10"/>
                <w:szCs w:val="10"/>
                <w:color w:val="auto"/>
              </w:rPr>
            </w:pPr>
          </w:p>
        </w:tc>
        <w:tc>
          <w:tcPr>
            <w:tcW w:w="5300" w:type="dxa"/>
            <w:vAlign w:val="bottom"/>
            <w:shd w:val="clear" w:color="auto" w:fill="F0F1F8"/>
          </w:tcPr>
          <w:p>
            <w:pPr>
              <w:spacing w:after="0"/>
              <w:rPr>
                <w:sz w:val="10"/>
                <w:szCs w:val="10"/>
                <w:color w:val="auto"/>
              </w:rPr>
            </w:pPr>
          </w:p>
        </w:tc>
        <w:tc>
          <w:tcPr>
            <w:tcW w:w="60" w:type="dxa"/>
            <w:vAlign w:val="bottom"/>
            <w:shd w:val="clear" w:color="auto" w:fill="F0F1F8"/>
          </w:tcPr>
          <w:p>
            <w:pPr>
              <w:spacing w:after="0"/>
              <w:rPr>
                <w:sz w:val="10"/>
                <w:szCs w:val="10"/>
                <w:color w:val="auto"/>
              </w:rPr>
            </w:pPr>
          </w:p>
        </w:tc>
        <w:tc>
          <w:tcPr>
            <w:tcW w:w="1500" w:type="dxa"/>
            <w:vAlign w:val="bottom"/>
            <w:shd w:val="clear" w:color="auto" w:fill="F0F1F8"/>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780" w:type="dxa"/>
            <w:vAlign w:val="bottom"/>
          </w:tcPr>
          <w:p>
            <w:pPr>
              <w:spacing w:after="0"/>
              <w:rPr>
                <w:sz w:val="10"/>
                <w:szCs w:val="10"/>
                <w:color w:val="auto"/>
              </w:rPr>
            </w:pPr>
          </w:p>
        </w:tc>
        <w:tc>
          <w:tcPr>
            <w:tcW w:w="5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780" w:type="dxa"/>
            <w:vAlign w:val="bottom"/>
            <w:vMerge w:val="restart"/>
            <w:shd w:val="clear" w:color="auto" w:fill="F0F1F8"/>
          </w:tcPr>
          <w:p>
            <w:pPr>
              <w:jc w:val="right"/>
              <w:spacing w:after="0" w:line="389" w:lineRule="exact"/>
              <w:rPr>
                <w:sz w:val="20"/>
                <w:szCs w:val="20"/>
                <w:color w:val="auto"/>
              </w:rPr>
            </w:pPr>
            <w:r>
              <w:rPr>
                <w:rFonts w:ascii="Arial" w:cs="Arial" w:eastAsia="Arial" w:hAnsi="Arial"/>
                <w:sz w:val="45"/>
                <w:szCs w:val="45"/>
                <w:b w:val="1"/>
                <w:bCs w:val="1"/>
                <w:color w:val="16479F"/>
              </w:rPr>
              <w:t>3</w:t>
            </w:r>
          </w:p>
        </w:tc>
        <w:tc>
          <w:tcPr>
            <w:tcW w:w="5300" w:type="dxa"/>
            <w:vAlign w:val="bottom"/>
            <w:vMerge w:val="restart"/>
            <w:shd w:val="clear" w:color="auto" w:fill="F0F1F8"/>
          </w:tcPr>
          <w:p>
            <w:pPr>
              <w:spacing w:after="0"/>
              <w:rPr>
                <w:sz w:val="20"/>
                <w:szCs w:val="20"/>
                <w:color w:val="auto"/>
              </w:rPr>
            </w:pPr>
            <w:r>
              <w:rPr>
                <w:rFonts w:ascii="Arial" w:cs="Arial" w:eastAsia="Arial" w:hAnsi="Arial"/>
                <w:sz w:val="16"/>
                <w:szCs w:val="16"/>
                <w:b w:val="1"/>
                <w:bCs w:val="1"/>
                <w:color w:val="auto"/>
              </w:rPr>
              <w:t>Ratification of the Appointment of MSCI’s Independent Auditor</w:t>
            </w:r>
          </w:p>
        </w:tc>
        <w:tc>
          <w:tcPr>
            <w:tcW w:w="60" w:type="dxa"/>
            <w:vAlign w:val="bottom"/>
            <w:shd w:val="clear" w:color="auto" w:fill="F0F1F8"/>
          </w:tcPr>
          <w:p>
            <w:pPr>
              <w:spacing w:after="0"/>
              <w:rPr>
                <w:sz w:val="10"/>
                <w:szCs w:val="10"/>
                <w:color w:val="auto"/>
              </w:rPr>
            </w:pPr>
          </w:p>
        </w:tc>
        <w:tc>
          <w:tcPr>
            <w:tcW w:w="1500" w:type="dxa"/>
            <w:vAlign w:val="bottom"/>
            <w:vMerge w:val="restart"/>
            <w:shd w:val="clear" w:color="auto" w:fill="F0F1F8"/>
          </w:tcPr>
          <w:p>
            <w:pPr>
              <w:ind w:left="80"/>
              <w:spacing w:after="0"/>
              <w:rPr>
                <w:sz w:val="20"/>
                <w:szCs w:val="20"/>
                <w:color w:val="auto"/>
              </w:rPr>
            </w:pPr>
            <w:r>
              <w:rPr>
                <w:rFonts w:ascii="Arial" w:cs="Arial" w:eastAsia="Arial" w:hAnsi="Arial"/>
                <w:sz w:val="16"/>
                <w:szCs w:val="16"/>
                <w:b w:val="1"/>
                <w:bCs w:val="1"/>
                <w:color w:val="auto"/>
              </w:rPr>
              <w:t>“FOR</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8"/>
        </w:trPr>
        <w:tc>
          <w:tcPr>
            <w:tcW w:w="780" w:type="dxa"/>
            <w:vAlign w:val="bottom"/>
            <w:vMerge w:val="continue"/>
            <w:shd w:val="clear" w:color="auto" w:fill="F0F1F8"/>
          </w:tcPr>
          <w:p>
            <w:pPr>
              <w:spacing w:after="0"/>
              <w:rPr>
                <w:sz w:val="23"/>
                <w:szCs w:val="23"/>
                <w:color w:val="auto"/>
              </w:rPr>
            </w:pPr>
          </w:p>
        </w:tc>
        <w:tc>
          <w:tcPr>
            <w:tcW w:w="5300" w:type="dxa"/>
            <w:vAlign w:val="bottom"/>
            <w:vMerge w:val="continue"/>
            <w:shd w:val="clear" w:color="auto" w:fill="F0F1F8"/>
          </w:tcPr>
          <w:p>
            <w:pPr>
              <w:spacing w:after="0"/>
              <w:rPr>
                <w:sz w:val="23"/>
                <w:szCs w:val="23"/>
                <w:color w:val="auto"/>
              </w:rPr>
            </w:pPr>
          </w:p>
        </w:tc>
        <w:tc>
          <w:tcPr>
            <w:tcW w:w="60" w:type="dxa"/>
            <w:vAlign w:val="bottom"/>
            <w:shd w:val="clear" w:color="auto" w:fill="000000"/>
          </w:tcPr>
          <w:p>
            <w:pPr>
              <w:spacing w:after="0"/>
              <w:rPr>
                <w:sz w:val="23"/>
                <w:szCs w:val="23"/>
                <w:color w:val="auto"/>
              </w:rPr>
            </w:pPr>
          </w:p>
        </w:tc>
        <w:tc>
          <w:tcPr>
            <w:tcW w:w="1500" w:type="dxa"/>
            <w:vAlign w:val="bottom"/>
            <w:vMerge w:val="continue"/>
            <w:shd w:val="clear" w:color="auto" w:fill="F0F1F8"/>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80" w:type="dxa"/>
            <w:vAlign w:val="bottom"/>
            <w:shd w:val="clear" w:color="auto" w:fill="F0F1F8"/>
          </w:tcPr>
          <w:p>
            <w:pPr>
              <w:spacing w:after="0"/>
              <w:rPr>
                <w:sz w:val="2"/>
                <w:szCs w:val="2"/>
                <w:color w:val="auto"/>
              </w:rPr>
            </w:pPr>
          </w:p>
        </w:tc>
        <w:tc>
          <w:tcPr>
            <w:tcW w:w="5300" w:type="dxa"/>
            <w:vAlign w:val="bottom"/>
            <w:vMerge w:val="continue"/>
            <w:shd w:val="clear" w:color="auto" w:fill="F0F1F8"/>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500" w:type="dxa"/>
            <w:vAlign w:val="bottom"/>
            <w:vMerge w:val="continue"/>
            <w:shd w:val="clear" w:color="auto" w:fill="F0F1F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1"/>
        </w:trPr>
        <w:tc>
          <w:tcPr>
            <w:tcW w:w="780" w:type="dxa"/>
            <w:vAlign w:val="bottom"/>
            <w:shd w:val="clear" w:color="auto" w:fill="F0F1F8"/>
          </w:tcPr>
          <w:p>
            <w:pPr>
              <w:spacing w:after="0"/>
              <w:rPr>
                <w:sz w:val="8"/>
                <w:szCs w:val="8"/>
                <w:color w:val="auto"/>
              </w:rPr>
            </w:pPr>
          </w:p>
        </w:tc>
        <w:tc>
          <w:tcPr>
            <w:tcW w:w="5300" w:type="dxa"/>
            <w:vAlign w:val="bottom"/>
            <w:vMerge w:val="continue"/>
            <w:shd w:val="clear" w:color="auto" w:fill="F0F1F8"/>
          </w:tcPr>
          <w:p>
            <w:pPr>
              <w:spacing w:after="0"/>
              <w:rPr>
                <w:sz w:val="8"/>
                <w:szCs w:val="8"/>
                <w:color w:val="auto"/>
              </w:rPr>
            </w:pPr>
          </w:p>
        </w:tc>
        <w:tc>
          <w:tcPr>
            <w:tcW w:w="60" w:type="dxa"/>
            <w:vAlign w:val="bottom"/>
            <w:shd w:val="clear" w:color="auto" w:fill="000000"/>
          </w:tcPr>
          <w:p>
            <w:pPr>
              <w:spacing w:after="0"/>
              <w:rPr>
                <w:sz w:val="8"/>
                <w:szCs w:val="8"/>
                <w:color w:val="auto"/>
              </w:rPr>
            </w:pPr>
          </w:p>
        </w:tc>
        <w:tc>
          <w:tcPr>
            <w:tcW w:w="1500" w:type="dxa"/>
            <w:vAlign w:val="bottom"/>
            <w:vMerge w:val="restart"/>
            <w:shd w:val="clear" w:color="auto" w:fill="F0F1F8"/>
          </w:tcPr>
          <w:p>
            <w:pPr>
              <w:ind w:left="240"/>
              <w:spacing w:after="0"/>
              <w:rPr>
                <w:sz w:val="20"/>
                <w:szCs w:val="20"/>
                <w:color w:val="auto"/>
              </w:rPr>
            </w:pPr>
            <w:r>
              <w:rPr>
                <w:rFonts w:ascii="Arial" w:cs="Arial" w:eastAsia="Arial" w:hAnsi="Arial"/>
                <w:sz w:val="14"/>
                <w:szCs w:val="14"/>
                <w:color w:val="auto"/>
              </w:rPr>
              <w:t xml:space="preserve">SEE </w:t>
            </w:r>
            <w:r>
              <w:rPr>
                <w:rFonts w:ascii="Arial" w:cs="Arial" w:eastAsia="Arial" w:hAnsi="Arial"/>
                <w:sz w:val="14"/>
                <w:szCs w:val="14"/>
                <w:b w:val="1"/>
                <w:bCs w:val="1"/>
                <w:color w:val="auto"/>
              </w:rPr>
              <w:t>PAGE 99</w:t>
            </w:r>
          </w:p>
        </w:tc>
        <w:tc>
          <w:tcPr>
            <w:tcW w:w="0" w:type="dxa"/>
            <w:vAlign w:val="bottom"/>
          </w:tcPr>
          <w:p>
            <w:pPr>
              <w:spacing w:after="0"/>
              <w:rPr>
                <w:sz w:val="1"/>
                <w:szCs w:val="1"/>
                <w:color w:val="auto"/>
              </w:rPr>
            </w:pPr>
          </w:p>
        </w:tc>
      </w:tr>
      <w:tr>
        <w:trPr>
          <w:trHeight w:val="88"/>
        </w:trPr>
        <w:tc>
          <w:tcPr>
            <w:tcW w:w="780" w:type="dxa"/>
            <w:vAlign w:val="bottom"/>
            <w:shd w:val="clear" w:color="auto" w:fill="F0F1F8"/>
          </w:tcPr>
          <w:p>
            <w:pPr>
              <w:spacing w:after="0"/>
              <w:rPr>
                <w:sz w:val="7"/>
                <w:szCs w:val="7"/>
                <w:color w:val="auto"/>
              </w:rPr>
            </w:pPr>
          </w:p>
        </w:tc>
        <w:tc>
          <w:tcPr>
            <w:tcW w:w="5300" w:type="dxa"/>
            <w:vAlign w:val="bottom"/>
            <w:shd w:val="clear" w:color="auto" w:fill="F0F1F8"/>
          </w:tcPr>
          <w:p>
            <w:pPr>
              <w:spacing w:after="0"/>
              <w:rPr>
                <w:sz w:val="7"/>
                <w:szCs w:val="7"/>
                <w:color w:val="auto"/>
              </w:rPr>
            </w:pPr>
          </w:p>
        </w:tc>
        <w:tc>
          <w:tcPr>
            <w:tcW w:w="60" w:type="dxa"/>
            <w:vAlign w:val="bottom"/>
            <w:shd w:val="clear" w:color="auto" w:fill="000000"/>
          </w:tcPr>
          <w:p>
            <w:pPr>
              <w:spacing w:after="0"/>
              <w:rPr>
                <w:sz w:val="7"/>
                <w:szCs w:val="7"/>
                <w:color w:val="auto"/>
              </w:rPr>
            </w:pPr>
          </w:p>
        </w:tc>
        <w:tc>
          <w:tcPr>
            <w:tcW w:w="1500" w:type="dxa"/>
            <w:vAlign w:val="bottom"/>
            <w:vMerge w:val="continue"/>
            <w:shd w:val="clear" w:color="auto" w:fill="F0F1F8"/>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780" w:type="dxa"/>
            <w:vAlign w:val="bottom"/>
            <w:shd w:val="clear" w:color="auto" w:fill="F0F1F8"/>
          </w:tcPr>
          <w:p>
            <w:pPr>
              <w:spacing w:after="0"/>
              <w:rPr>
                <w:sz w:val="10"/>
                <w:szCs w:val="10"/>
                <w:color w:val="auto"/>
              </w:rPr>
            </w:pPr>
          </w:p>
        </w:tc>
        <w:tc>
          <w:tcPr>
            <w:tcW w:w="5300" w:type="dxa"/>
            <w:vAlign w:val="bottom"/>
            <w:shd w:val="clear" w:color="auto" w:fill="F0F1F8"/>
          </w:tcPr>
          <w:p>
            <w:pPr>
              <w:spacing w:after="0"/>
              <w:rPr>
                <w:sz w:val="10"/>
                <w:szCs w:val="10"/>
                <w:color w:val="auto"/>
              </w:rPr>
            </w:pPr>
          </w:p>
        </w:tc>
        <w:tc>
          <w:tcPr>
            <w:tcW w:w="60" w:type="dxa"/>
            <w:vAlign w:val="bottom"/>
            <w:shd w:val="clear" w:color="auto" w:fill="000000"/>
          </w:tcPr>
          <w:p>
            <w:pPr>
              <w:spacing w:after="0"/>
              <w:rPr>
                <w:sz w:val="10"/>
                <w:szCs w:val="10"/>
                <w:color w:val="auto"/>
              </w:rPr>
            </w:pPr>
          </w:p>
        </w:tc>
        <w:tc>
          <w:tcPr>
            <w:tcW w:w="1500" w:type="dxa"/>
            <w:vAlign w:val="bottom"/>
            <w:shd w:val="clear" w:color="auto" w:fill="F0F1F8"/>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780" w:type="dxa"/>
            <w:vAlign w:val="bottom"/>
            <w:shd w:val="clear" w:color="auto" w:fill="F0F1F8"/>
          </w:tcPr>
          <w:p>
            <w:pPr>
              <w:spacing w:after="0"/>
              <w:rPr>
                <w:sz w:val="10"/>
                <w:szCs w:val="10"/>
                <w:color w:val="auto"/>
              </w:rPr>
            </w:pPr>
          </w:p>
        </w:tc>
        <w:tc>
          <w:tcPr>
            <w:tcW w:w="5300" w:type="dxa"/>
            <w:vAlign w:val="bottom"/>
            <w:shd w:val="clear" w:color="auto" w:fill="F0F1F8"/>
          </w:tcPr>
          <w:p>
            <w:pPr>
              <w:spacing w:after="0"/>
              <w:rPr>
                <w:sz w:val="10"/>
                <w:szCs w:val="10"/>
                <w:color w:val="auto"/>
              </w:rPr>
            </w:pPr>
          </w:p>
        </w:tc>
        <w:tc>
          <w:tcPr>
            <w:tcW w:w="60" w:type="dxa"/>
            <w:vAlign w:val="bottom"/>
            <w:shd w:val="clear" w:color="auto" w:fill="F0F1F8"/>
          </w:tcPr>
          <w:p>
            <w:pPr>
              <w:spacing w:after="0"/>
              <w:rPr>
                <w:sz w:val="10"/>
                <w:szCs w:val="10"/>
                <w:color w:val="auto"/>
              </w:rPr>
            </w:pPr>
          </w:p>
        </w:tc>
        <w:tc>
          <w:tcPr>
            <w:tcW w:w="1500" w:type="dxa"/>
            <w:vAlign w:val="bottom"/>
            <w:shd w:val="clear" w:color="auto" w:fill="F0F1F8"/>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3957955</wp:posOffset>
            </wp:positionH>
            <wp:positionV relativeFrom="paragraph">
              <wp:posOffset>-1419225</wp:posOffset>
            </wp:positionV>
            <wp:extent cx="67945" cy="768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945" cy="76835"/>
                    </a:xfrm>
                    <a:prstGeom prst="rect">
                      <a:avLst/>
                    </a:prstGeom>
                    <a:noFill/>
                  </pic:spPr>
                </pic:pic>
              </a:graphicData>
            </a:graphic>
          </wp:anchor>
        </w:drawing>
        <w:drawing>
          <wp:anchor simplePos="0" relativeHeight="251657728" behindDoc="1" locked="0" layoutInCell="0" allowOverlap="1">
            <wp:simplePos x="0" y="0"/>
            <wp:positionH relativeFrom="column">
              <wp:posOffset>3957955</wp:posOffset>
            </wp:positionH>
            <wp:positionV relativeFrom="paragraph">
              <wp:posOffset>-866775</wp:posOffset>
            </wp:positionV>
            <wp:extent cx="67945" cy="768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945" cy="76835"/>
                    </a:xfrm>
                    <a:prstGeom prst="rect">
                      <a:avLst/>
                    </a:prstGeom>
                    <a:noFill/>
                  </pic:spPr>
                </pic:pic>
              </a:graphicData>
            </a:graphic>
          </wp:anchor>
        </w:drawing>
        <w:drawing>
          <wp:anchor simplePos="0" relativeHeight="251657728" behindDoc="1" locked="0" layoutInCell="0" allowOverlap="1">
            <wp:simplePos x="0" y="0"/>
            <wp:positionH relativeFrom="column">
              <wp:posOffset>3957955</wp:posOffset>
            </wp:positionH>
            <wp:positionV relativeFrom="paragraph">
              <wp:posOffset>-254635</wp:posOffset>
            </wp:positionV>
            <wp:extent cx="67945" cy="768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945" cy="768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16479F"/>
        </w:rPr>
        <w:t>DATE AND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1989455"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89455"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-93345</wp:posOffset>
            </wp:positionV>
            <wp:extent cx="297815" cy="3143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97815" cy="314325"/>
                    </a:xfrm>
                    <a:prstGeom prst="rect">
                      <a:avLst/>
                    </a:prstGeom>
                    <a:noFill/>
                  </pic:spPr>
                </pic:pic>
              </a:graphicData>
            </a:graphic>
          </wp:anchor>
        </w:drawing>
      </w:r>
    </w:p>
    <w:p>
      <w:pPr>
        <w:ind w:left="560" w:right="840"/>
        <w:spacing w:after="0" w:line="254" w:lineRule="auto"/>
        <w:rPr>
          <w:sz w:val="20"/>
          <w:szCs w:val="20"/>
          <w:color w:val="auto"/>
        </w:rPr>
      </w:pPr>
      <w:r>
        <w:rPr>
          <w:rFonts w:ascii="Arial" w:cs="Arial" w:eastAsia="Arial" w:hAnsi="Arial"/>
          <w:sz w:val="14"/>
          <w:szCs w:val="14"/>
          <w:color w:val="auto"/>
        </w:rPr>
        <w:t>APRIL 26, 2022 (Tuesday) 2:30 P.M., EASTERN TIME</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16479F"/>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-93345</wp:posOffset>
            </wp:positionV>
            <wp:extent cx="297815" cy="2717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97815" cy="271780"/>
                    </a:xfrm>
                    <a:prstGeom prst="rect">
                      <a:avLst/>
                    </a:prstGeom>
                    <a:noFill/>
                  </pic:spPr>
                </pic:pic>
              </a:graphicData>
            </a:graphic>
          </wp:anchor>
        </w:drawing>
      </w:r>
    </w:p>
    <w:p>
      <w:pPr>
        <w:ind w:left="560"/>
        <w:spacing w:after="0"/>
        <w:rPr>
          <w:sz w:val="20"/>
          <w:szCs w:val="20"/>
          <w:color w:val="auto"/>
        </w:rPr>
      </w:pPr>
      <w:r>
        <w:rPr>
          <w:rFonts w:ascii="Arial" w:cs="Arial" w:eastAsia="Arial" w:hAnsi="Arial"/>
          <w:sz w:val="14"/>
          <w:szCs w:val="14"/>
          <w:color w:val="auto"/>
        </w:rPr>
        <w:t>Attend the virtual meeting, including</w:t>
      </w:r>
    </w:p>
    <w:p>
      <w:pPr>
        <w:ind w:left="560"/>
        <w:spacing w:after="0"/>
        <w:rPr>
          <w:sz w:val="20"/>
          <w:szCs w:val="20"/>
          <w:color w:val="auto"/>
        </w:rPr>
      </w:pPr>
      <w:r>
        <w:rPr>
          <w:rFonts w:ascii="Arial" w:cs="Arial" w:eastAsia="Arial" w:hAnsi="Arial"/>
          <w:sz w:val="14"/>
          <w:szCs w:val="14"/>
          <w:color w:val="auto"/>
        </w:rPr>
        <w:t>to vote and/or submit questions via</w:t>
      </w:r>
    </w:p>
    <w:p>
      <w:pPr>
        <w:ind w:left="560"/>
        <w:spacing w:after="0"/>
        <w:rPr>
          <w:sz w:val="20"/>
          <w:szCs w:val="20"/>
          <w:color w:val="auto"/>
        </w:rPr>
      </w:pPr>
      <w:r>
        <w:rPr>
          <w:rFonts w:ascii="Arial" w:cs="Arial" w:eastAsia="Arial" w:hAnsi="Arial"/>
          <w:sz w:val="14"/>
          <w:szCs w:val="14"/>
          <w:color w:val="auto"/>
        </w:rPr>
        <w:t>the internet through a virtual web</w:t>
      </w:r>
    </w:p>
    <w:p>
      <w:pPr>
        <w:ind w:left="560"/>
        <w:spacing w:after="0"/>
        <w:rPr>
          <w:sz w:val="20"/>
          <w:szCs w:val="20"/>
          <w:color w:val="auto"/>
        </w:rPr>
      </w:pPr>
      <w:r>
        <w:rPr>
          <w:rFonts w:ascii="Arial" w:cs="Arial" w:eastAsia="Arial" w:hAnsi="Arial"/>
          <w:sz w:val="14"/>
          <w:szCs w:val="14"/>
          <w:color w:val="auto"/>
        </w:rPr>
        <w:t>conference at:</w:t>
      </w:r>
    </w:p>
    <w:p>
      <w:pPr>
        <w:ind w:left="560"/>
        <w:spacing w:after="0"/>
        <w:rPr>
          <w:sz w:val="20"/>
          <w:szCs w:val="20"/>
          <w:color w:val="auto"/>
        </w:rPr>
      </w:pPr>
      <w:r>
        <w:rPr>
          <w:rFonts w:ascii="Arial" w:cs="Arial" w:eastAsia="Arial" w:hAnsi="Arial"/>
          <w:sz w:val="14"/>
          <w:szCs w:val="14"/>
          <w:color w:val="00B5AA"/>
        </w:rPr>
        <w:t>www.virtualshareholder</w:t>
      </w:r>
    </w:p>
    <w:p>
      <w:pPr>
        <w:ind w:left="560"/>
        <w:spacing w:after="0"/>
        <w:rPr>
          <w:sz w:val="20"/>
          <w:szCs w:val="20"/>
          <w:color w:val="auto"/>
        </w:rPr>
      </w:pPr>
      <w:r>
        <w:rPr>
          <w:rFonts w:ascii="Arial" w:cs="Arial" w:eastAsia="Arial" w:hAnsi="Arial"/>
          <w:sz w:val="14"/>
          <w:szCs w:val="14"/>
          <w:color w:val="00B5AA"/>
        </w:rPr>
        <w:t>meeting.com/MSCI2022</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16479F"/>
        </w:rPr>
        <w:t>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-93345</wp:posOffset>
            </wp:positionV>
            <wp:extent cx="255270" cy="2806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5270" cy="280670"/>
                    </a:xfrm>
                    <a:prstGeom prst="rect">
                      <a:avLst/>
                    </a:prstGeom>
                    <a:noFill/>
                  </pic:spPr>
                </pic:pic>
              </a:graphicData>
            </a:graphic>
          </wp:anchor>
        </w:drawing>
      </w:r>
    </w:p>
    <w:p>
      <w:pPr>
        <w:ind w:left="560"/>
        <w:spacing w:after="0"/>
        <w:rPr>
          <w:sz w:val="20"/>
          <w:szCs w:val="20"/>
          <w:color w:val="auto"/>
        </w:rPr>
      </w:pPr>
      <w:r>
        <w:rPr>
          <w:rFonts w:ascii="Arial" w:cs="Arial" w:eastAsia="Arial" w:hAnsi="Arial"/>
          <w:sz w:val="14"/>
          <w:szCs w:val="14"/>
          <w:color w:val="auto"/>
        </w:rPr>
        <w:t>MARCH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1989455"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89455" cy="342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1"/>
          <w:szCs w:val="21"/>
          <w:b w:val="1"/>
          <w:bCs w:val="1"/>
          <w:color w:val="00B5AA"/>
        </w:rPr>
        <w:t>How to Vote</w:t>
      </w:r>
    </w:p>
    <w:p>
      <w:pPr>
        <w:spacing w:after="0" w:line="87" w:lineRule="exact"/>
        <w:rPr>
          <w:sz w:val="20"/>
          <w:szCs w:val="20"/>
          <w:color w:val="auto"/>
        </w:rPr>
      </w:pPr>
    </w:p>
    <w:p>
      <w:pPr>
        <w:sectPr>
          <w:pgSz w:w="11900" w:h="16838" w:orient="portrait"/>
          <w:cols w:equalWidth="0" w:num="2">
            <w:col w:w="7640" w:space="460"/>
            <w:col w:w="3120"/>
          </w:cols>
          <w:pgMar w:left="320" w:top="121" w:right="359" w:bottom="1440" w:gutter="0" w:footer="0" w:header="0"/>
          <w:type w:val="continuous"/>
        </w:sectPr>
      </w:pPr>
    </w:p>
    <w:p>
      <w:pPr>
        <w:ind w:right="260"/>
        <w:spacing w:after="0" w:line="256" w:lineRule="auto"/>
        <w:rPr>
          <w:sz w:val="20"/>
          <w:szCs w:val="20"/>
          <w:color w:val="auto"/>
        </w:rPr>
      </w:pPr>
      <w:r>
        <w:rPr>
          <w:rFonts w:ascii="Arial" w:cs="Arial" w:eastAsia="Arial" w:hAnsi="Arial"/>
          <w:sz w:val="16"/>
          <w:szCs w:val="16"/>
          <w:color w:val="auto"/>
        </w:rPr>
        <w:t>The virtual annual meeting will commence at 2:30 P.M., Eastern Time. Online check-in will be available beginning at 1:30 P.M., Eastern Time. Please allow ample time for the online check-in process.</w:t>
      </w:r>
    </w:p>
    <w:p>
      <w:pPr>
        <w:spacing w:after="0" w:line="143"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To participate in the virtual annual meeting, you will need the 16-digit control number included on your Notice of Internet Availability of Proxy Materials, on your proxy card or on any additional voting instructions that accompanied your proxy materials.</w:t>
      </w:r>
    </w:p>
    <w:p>
      <w:pPr>
        <w:spacing w:after="0" w:line="148" w:lineRule="exact"/>
        <w:rPr>
          <w:sz w:val="20"/>
          <w:szCs w:val="20"/>
          <w:color w:val="auto"/>
        </w:rPr>
      </w:pPr>
    </w:p>
    <w:p>
      <w:pPr>
        <w:ind w:right="320"/>
        <w:spacing w:after="0" w:line="256" w:lineRule="auto"/>
        <w:rPr>
          <w:sz w:val="20"/>
          <w:szCs w:val="20"/>
          <w:color w:val="auto"/>
        </w:rPr>
      </w:pPr>
      <w:r>
        <w:rPr>
          <w:rFonts w:ascii="Arial" w:cs="Arial" w:eastAsia="Arial" w:hAnsi="Arial"/>
          <w:sz w:val="16"/>
          <w:szCs w:val="16"/>
          <w:color w:val="auto"/>
        </w:rPr>
        <w:t xml:space="preserve">A webcast replay of the 2022 annual meeting of shareholders (the “2022 Annual Meeting”) will also be made available on our Investor Relations website </w:t>
      </w:r>
      <w:r>
        <w:rPr>
          <w:rFonts w:ascii="Arial" w:cs="Arial" w:eastAsia="Arial" w:hAnsi="Arial"/>
          <w:sz w:val="16"/>
          <w:szCs w:val="16"/>
          <w:color w:val="00B5AA"/>
        </w:rPr>
        <w:t>(https://ir.msci.com)</w:t>
      </w:r>
      <w:r>
        <w:rPr>
          <w:rFonts w:ascii="Arial" w:cs="Arial" w:eastAsia="Arial" w:hAnsi="Arial"/>
          <w:sz w:val="16"/>
          <w:szCs w:val="16"/>
          <w:color w:val="auto"/>
        </w:rPr>
        <w:t>.</w:t>
      </w:r>
    </w:p>
    <w:p>
      <w:pPr>
        <w:spacing w:after="0" w:line="143"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If you are a beneficial shareholder, your broker will not be able to vote your shares with respect to any of the matters presented at the meeting, other than the ratification of the selection of our independent registered public accounting firm, unless you give your broker specific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92710</wp:posOffset>
            </wp:positionV>
            <wp:extent cx="4846320" cy="7143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846320" cy="714375"/>
                    </a:xfrm>
                    <a:prstGeom prst="rect">
                      <a:avLst/>
                    </a:prstGeom>
                    <a:noFill/>
                  </pic:spPr>
                </pic:pic>
              </a:graphicData>
            </a:graphic>
          </wp:anchor>
        </w:drawing>
      </w:r>
    </w:p>
    <w:p>
      <w:pPr>
        <w:spacing w:after="0" w:line="202" w:lineRule="exact"/>
        <w:rPr>
          <w:sz w:val="20"/>
          <w:szCs w:val="20"/>
          <w:color w:val="auto"/>
        </w:rPr>
      </w:pPr>
    </w:p>
    <w:p>
      <w:pPr>
        <w:ind w:left="100" w:right="60"/>
        <w:spacing w:after="0" w:line="254" w:lineRule="auto"/>
        <w:rPr>
          <w:sz w:val="20"/>
          <w:szCs w:val="20"/>
          <w:color w:val="auto"/>
        </w:rPr>
      </w:pPr>
      <w:r>
        <w:rPr>
          <w:rFonts w:ascii="Arial" w:cs="Arial" w:eastAsia="Arial" w:hAnsi="Arial"/>
          <w:sz w:val="16"/>
          <w:szCs w:val="16"/>
          <w:b w:val="1"/>
          <w:bCs w:val="1"/>
          <w:color w:val="auto"/>
        </w:rPr>
        <w:t xml:space="preserve">Important Notice Regarding the Availability of Proxy Materials for the </w:t>
      </w:r>
      <w:r>
        <w:rPr>
          <w:rFonts w:ascii="Arial" w:cs="Arial" w:eastAsia="Arial" w:hAnsi="Arial"/>
          <w:sz w:val="16"/>
          <w:szCs w:val="16"/>
          <w:color w:val="auto"/>
        </w:rPr>
        <w:t>2022 Annual Meeting</w:t>
      </w:r>
      <w:r>
        <w:rPr>
          <w:rFonts w:ascii="Arial" w:cs="Arial" w:eastAsia="Arial" w:hAnsi="Arial"/>
          <w:sz w:val="16"/>
          <w:szCs w:val="16"/>
          <w:b w:val="1"/>
          <w:bCs w:val="1"/>
          <w:color w:val="auto"/>
        </w:rPr>
        <w:t xml:space="preserve"> to be held on April 26, 2022</w:t>
      </w:r>
      <w:r>
        <w:rPr>
          <w:rFonts w:ascii="Arial" w:cs="Arial" w:eastAsia="Arial" w:hAnsi="Arial"/>
          <w:sz w:val="16"/>
          <w:szCs w:val="16"/>
          <w:color w:val="auto"/>
        </w:rPr>
        <w:t>. Our Proxy Statement and our 2021 Annual Report on Form 10-K for the fiscal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year ended December 31, 2021 are available without charge at </w:t>
      </w:r>
      <w:r>
        <w:rPr>
          <w:rFonts w:ascii="Arial" w:cs="Arial" w:eastAsia="Arial" w:hAnsi="Arial"/>
          <w:sz w:val="16"/>
          <w:szCs w:val="16"/>
          <w:color w:val="00B5AA"/>
        </w:rPr>
        <w:t>www.proxyvote.com</w:t>
      </w:r>
      <w:r>
        <w:rPr>
          <w:rFonts w:ascii="Arial" w:cs="Arial" w:eastAsia="Arial" w:hAnsi="Arial"/>
          <w:sz w:val="16"/>
          <w:szCs w:val="16"/>
          <w:color w:val="auto"/>
        </w:rPr>
        <w:t>. Information contained on such website is not incorporated by reference into this Proxy Statement or any other report we file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1423035</wp:posOffset>
            </wp:positionV>
            <wp:extent cx="715454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Whether or not you plan to attend our 2022 Annual Meeting, it is important that you vote as soon as possible to ensure that your shares are represented.</w:t>
      </w:r>
    </w:p>
    <w:p>
      <w:pPr>
        <w:spacing w:after="0" w:line="135"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16479F"/>
        </w:rPr>
        <w:t>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-93345</wp:posOffset>
            </wp:positionV>
            <wp:extent cx="340360" cy="2552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0360" cy="255270"/>
                    </a:xfrm>
                    <a:prstGeom prst="rect">
                      <a:avLst/>
                    </a:prstGeom>
                    <a:noFill/>
                  </pic:spPr>
                </pic:pic>
              </a:graphicData>
            </a:graphic>
          </wp:anchor>
        </w:drawing>
      </w:r>
    </w:p>
    <w:p>
      <w:pPr>
        <w:ind w:left="620"/>
        <w:spacing w:after="0"/>
        <w:rPr>
          <w:sz w:val="20"/>
          <w:szCs w:val="20"/>
          <w:color w:val="auto"/>
        </w:rPr>
      </w:pPr>
      <w:r>
        <w:rPr>
          <w:rFonts w:ascii="Arial" w:cs="Arial" w:eastAsia="Arial" w:hAnsi="Arial"/>
          <w:sz w:val="14"/>
          <w:szCs w:val="14"/>
          <w:color w:val="00B5AA"/>
        </w:rPr>
        <w:t>www.proxyvote.com</w:t>
      </w:r>
    </w:p>
    <w:p>
      <w:pPr>
        <w:spacing w:after="0" w:line="147" w:lineRule="exact"/>
        <w:rPr>
          <w:sz w:val="20"/>
          <w:szCs w:val="20"/>
          <w:color w:val="auto"/>
        </w:rPr>
      </w:pPr>
    </w:p>
    <w:p>
      <w:pPr>
        <w:jc w:val="both"/>
        <w:ind w:left="620" w:right="40"/>
        <w:spacing w:after="0" w:line="239" w:lineRule="auto"/>
        <w:rPr>
          <w:sz w:val="20"/>
          <w:szCs w:val="20"/>
          <w:color w:val="auto"/>
        </w:rPr>
      </w:pPr>
      <w:r>
        <w:rPr>
          <w:rFonts w:ascii="Arial" w:cs="Arial" w:eastAsia="Arial" w:hAnsi="Arial"/>
          <w:sz w:val="14"/>
          <w:szCs w:val="14"/>
          <w:color w:val="auto"/>
        </w:rPr>
        <w:t>Use the internet to transmit your voting instructions and for electronic delivery of information up until 11:59 P.M.</w:t>
      </w:r>
    </w:p>
    <w:p>
      <w:pPr>
        <w:spacing w:after="0" w:line="1" w:lineRule="exact"/>
        <w:rPr>
          <w:sz w:val="20"/>
          <w:szCs w:val="20"/>
          <w:color w:val="auto"/>
        </w:rPr>
      </w:pPr>
    </w:p>
    <w:p>
      <w:pPr>
        <w:ind w:left="620" w:right="80"/>
        <w:spacing w:after="0" w:line="242" w:lineRule="auto"/>
        <w:rPr>
          <w:sz w:val="20"/>
          <w:szCs w:val="20"/>
          <w:color w:val="auto"/>
        </w:rPr>
      </w:pPr>
      <w:r>
        <w:rPr>
          <w:rFonts w:ascii="Arial" w:cs="Arial" w:eastAsia="Arial" w:hAnsi="Arial"/>
          <w:sz w:val="14"/>
          <w:szCs w:val="14"/>
          <w:color w:val="auto"/>
        </w:rPr>
        <w:t>Eastern Time on April 25, 2022. Have your proxy card in hand when you access the website and follow the instructions to obtain your records and to create an electronic voting instruction form.</w:t>
      </w:r>
    </w:p>
    <w:p>
      <w:pPr>
        <w:spacing w:after="0" w:line="133"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16479F"/>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-93345</wp:posOffset>
            </wp:positionV>
            <wp:extent cx="340360" cy="3403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0360" cy="340360"/>
                    </a:xfrm>
                    <a:prstGeom prst="rect">
                      <a:avLst/>
                    </a:prstGeom>
                    <a:noFill/>
                  </pic:spPr>
                </pic:pic>
              </a:graphicData>
            </a:graphic>
          </wp:anchor>
        </w:drawing>
      </w:r>
    </w:p>
    <w:p>
      <w:pPr>
        <w:ind w:left="620"/>
        <w:spacing w:after="0"/>
        <w:rPr>
          <w:sz w:val="20"/>
          <w:szCs w:val="20"/>
          <w:color w:val="auto"/>
        </w:rPr>
      </w:pPr>
      <w:r>
        <w:rPr>
          <w:rFonts w:ascii="Arial" w:cs="Arial" w:eastAsia="Arial" w:hAnsi="Arial"/>
          <w:sz w:val="14"/>
          <w:szCs w:val="14"/>
          <w:color w:val="auto"/>
        </w:rPr>
        <w:t>1-800-690-6903</w:t>
      </w:r>
    </w:p>
    <w:p>
      <w:pPr>
        <w:spacing w:after="0" w:line="147" w:lineRule="exact"/>
        <w:rPr>
          <w:sz w:val="20"/>
          <w:szCs w:val="20"/>
          <w:color w:val="auto"/>
        </w:rPr>
      </w:pPr>
    </w:p>
    <w:p>
      <w:pPr>
        <w:ind w:left="620"/>
        <w:spacing w:after="0" w:line="242" w:lineRule="auto"/>
        <w:rPr>
          <w:sz w:val="20"/>
          <w:szCs w:val="20"/>
          <w:color w:val="auto"/>
        </w:rPr>
      </w:pPr>
      <w:r>
        <w:rPr>
          <w:rFonts w:ascii="Arial" w:cs="Arial" w:eastAsia="Arial" w:hAnsi="Arial"/>
          <w:sz w:val="14"/>
          <w:szCs w:val="14"/>
          <w:color w:val="auto"/>
        </w:rPr>
        <w:t>Use any touch-tone telephone to transmit your voting instructions up until 11:59 P.M. Eastern Time on April 25, 2022. Have your proxy card in hand when you call and then follow the instructions.</w:t>
      </w:r>
    </w:p>
    <w:p>
      <w:pPr>
        <w:spacing w:after="0" w:line="133"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16479F"/>
        </w:rPr>
        <w:t>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-93345</wp:posOffset>
            </wp:positionV>
            <wp:extent cx="340360" cy="2209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0360" cy="220980"/>
                    </a:xfrm>
                    <a:prstGeom prst="rect">
                      <a:avLst/>
                    </a:prstGeom>
                    <a:noFill/>
                  </pic:spPr>
                </pic:pic>
              </a:graphicData>
            </a:graphic>
          </wp:anchor>
        </w:drawing>
      </w:r>
    </w:p>
    <w:p>
      <w:pPr>
        <w:ind w:left="620" w:right="60"/>
        <w:spacing w:after="0" w:line="243" w:lineRule="auto"/>
        <w:rPr>
          <w:sz w:val="20"/>
          <w:szCs w:val="20"/>
          <w:color w:val="auto"/>
        </w:rPr>
      </w:pPr>
      <w:r>
        <w:rPr>
          <w:rFonts w:ascii="Arial" w:cs="Arial" w:eastAsia="Arial" w:hAnsi="Arial"/>
          <w:sz w:val="14"/>
          <w:szCs w:val="14"/>
          <w:color w:val="auto"/>
        </w:rPr>
        <w:t>Mark, sign and date your proxy card and return it in the postage- paid envelope we have provided or return it to Vote Processing, c/o Broadridge, 51 Mercedes Way, Edgewood, NY 11717.</w:t>
      </w:r>
    </w:p>
    <w:p>
      <w:pPr>
        <w:sectPr>
          <w:pgSz w:w="11900" w:h="16838" w:orient="portrait"/>
          <w:cols w:equalWidth="0" w:num="2">
            <w:col w:w="7560" w:space="540"/>
            <w:col w:w="3120"/>
          </w:cols>
          <w:pgMar w:left="320" w:top="121" w:right="359" w:bottom="1440" w:gutter="0" w:footer="0" w:header="0"/>
          <w:type w:val="continuous"/>
        </w:sectPr>
      </w:pPr>
    </w:p>
    <w:bookmarkStart w:id="7" w:name="page8"/>
    <w:bookmarkEnd w:id="7"/>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00" w:type="dxa"/>
            <w:vAlign w:val="bottom"/>
            <w:tcBorders>
              <w:right w:val="single" w:sz="8" w:color="16479F"/>
            </w:tcBorders>
          </w:tcPr>
          <w:p>
            <w:pPr>
              <w:ind w:left="8740"/>
              <w:spacing w:after="0"/>
              <w:rPr>
                <w:sz w:val="20"/>
                <w:szCs w:val="20"/>
                <w:color w:val="auto"/>
              </w:rPr>
            </w:pPr>
            <w:r>
              <w:rPr>
                <w:rFonts w:ascii="Arial" w:cs="Arial" w:eastAsia="Arial" w:hAnsi="Arial"/>
                <w:sz w:val="14"/>
                <w:szCs w:val="14"/>
                <w:b w:val="1"/>
                <w:bCs w:val="1"/>
                <w:color w:val="16479F"/>
              </w:rPr>
              <w:t>2022 PROXY STATEMENT</w:t>
            </w:r>
          </w:p>
        </w:tc>
        <w:tc>
          <w:tcPr>
            <w:tcW w:w="640" w:type="dxa"/>
            <w:vAlign w:val="bottom"/>
          </w:tcPr>
          <w:p>
            <w:pPr>
              <w:jc w:val="right"/>
              <w:ind w:right="9"/>
              <w:spacing w:after="0"/>
              <w:rPr>
                <w:sz w:val="20"/>
                <w:szCs w:val="20"/>
                <w:color w:val="auto"/>
              </w:rPr>
            </w:pPr>
            <w:r>
              <w:rPr>
                <w:rFonts w:ascii="Arial" w:cs="Arial" w:eastAsia="Arial" w:hAnsi="Arial"/>
                <w:sz w:val="14"/>
                <w:szCs w:val="14"/>
                <w:b w:val="1"/>
                <w:bCs w:val="1"/>
                <w:color w:val="16479F"/>
              </w:rPr>
              <w:t>7</w:t>
            </w:r>
          </w:p>
        </w:tc>
      </w:tr>
      <w:tr>
        <w:trPr>
          <w:trHeight w:val="65"/>
        </w:trPr>
        <w:tc>
          <w:tcPr>
            <w:tcW w:w="10600" w:type="dxa"/>
            <w:vAlign w:val="bottom"/>
            <w:tcBorders>
              <w:bottom w:val="single" w:sz="8" w:color="16479F"/>
              <w:right w:val="single" w:sz="8" w:color="16479F"/>
            </w:tcBorders>
          </w:tcPr>
          <w:p>
            <w:pPr>
              <w:spacing w:after="0"/>
              <w:rPr>
                <w:sz w:val="5"/>
                <w:szCs w:val="5"/>
                <w:color w:val="auto"/>
              </w:rPr>
            </w:pPr>
          </w:p>
        </w:tc>
        <w:tc>
          <w:tcPr>
            <w:tcW w:w="640" w:type="dxa"/>
            <w:vAlign w:val="bottom"/>
            <w:tcBorders>
              <w:bottom w:val="single" w:sz="8" w:color="16479F"/>
            </w:tcBorders>
          </w:tcPr>
          <w:p>
            <w:pPr>
              <w:spacing w:after="0"/>
              <w:rPr>
                <w:sz w:val="5"/>
                <w:szCs w:val="5"/>
                <w:color w:val="auto"/>
              </w:rPr>
            </w:pPr>
          </w:p>
        </w:tc>
      </w:tr>
    </w:tbl>
    <w:p>
      <w:pPr>
        <w:spacing w:after="0" w:line="9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rPr>
          <w:sz w:val="20"/>
          <w:szCs w:val="20"/>
          <w:color w:val="auto"/>
        </w:rPr>
      </w:pPr>
      <w:r>
        <w:rPr>
          <w:rFonts w:ascii="Arial" w:cs="Arial" w:eastAsia="Arial" w:hAnsi="Arial"/>
          <w:sz w:val="54"/>
          <w:szCs w:val="54"/>
          <w:b w:val="1"/>
          <w:bCs w:val="1"/>
          <w:color w:val="002739"/>
        </w:rPr>
        <w:t>Table of Contents</w:t>
      </w:r>
    </w:p>
    <w:p>
      <w:pPr>
        <w:ind w:left="140"/>
        <w:spacing w:after="0" w:line="219" w:lineRule="auto"/>
        <w:rPr>
          <w:rFonts w:ascii="Arial" w:cs="Arial" w:eastAsia="Arial" w:hAnsi="Arial"/>
          <w:sz w:val="20"/>
          <w:szCs w:val="20"/>
          <w:b w:val="1"/>
          <w:bCs w:val="1"/>
          <w:color w:val="16479F"/>
        </w:rPr>
      </w:pPr>
      <w:hyperlink w:anchor="page4">
        <w:r>
          <w:rPr>
            <w:rFonts w:ascii="Arial" w:cs="Arial" w:eastAsia="Arial" w:hAnsi="Arial"/>
            <w:sz w:val="49"/>
            <w:szCs w:val="49"/>
            <w:b w:val="1"/>
            <w:bCs w:val="1"/>
            <w:color w:val="16479F"/>
            <w:vertAlign w:val="subscript"/>
          </w:rPr>
          <w:t>3</w:t>
        </w:r>
        <w:r>
          <w:rPr>
            <w:rFonts w:ascii="Arial" w:cs="Arial" w:eastAsia="Arial" w:hAnsi="Arial"/>
            <w:sz w:val="20"/>
            <w:szCs w:val="20"/>
            <w:b w:val="1"/>
            <w:bCs w:val="1"/>
            <w:color w:val="16479F"/>
          </w:rPr>
          <w:t xml:space="preserve"> Letter from our Chairman and CEO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-54610</wp:posOffset>
            </wp:positionV>
            <wp:extent cx="382905"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2905" cy="34290"/>
                    </a:xfrm>
                    <a:prstGeom prst="rect">
                      <a:avLst/>
                    </a:prstGeom>
                    <a:noFill/>
                  </pic:spPr>
                </pic:pic>
              </a:graphicData>
            </a:graphic>
          </wp:anchor>
        </w:drawing>
      </w:r>
    </w:p>
    <w:p>
      <w:pPr>
        <w:ind w:left="140"/>
        <w:spacing w:after="0" w:line="194" w:lineRule="auto"/>
        <w:rPr>
          <w:rFonts w:ascii="Arial" w:cs="Arial" w:eastAsia="Arial" w:hAnsi="Arial"/>
          <w:sz w:val="20"/>
          <w:szCs w:val="20"/>
          <w:b w:val="1"/>
          <w:bCs w:val="1"/>
          <w:color w:val="16479F"/>
        </w:rPr>
      </w:pPr>
      <w:hyperlink w:anchor="page5">
        <w:r>
          <w:rPr>
            <w:rFonts w:ascii="Arial" w:cs="Arial" w:eastAsia="Arial" w:hAnsi="Arial"/>
            <w:sz w:val="49"/>
            <w:szCs w:val="49"/>
            <w:b w:val="1"/>
            <w:bCs w:val="1"/>
            <w:color w:val="16479F"/>
            <w:vertAlign w:val="subscript"/>
          </w:rPr>
          <w:t>4</w:t>
        </w:r>
        <w:r>
          <w:rPr>
            <w:rFonts w:ascii="Arial" w:cs="Arial" w:eastAsia="Arial" w:hAnsi="Arial"/>
            <w:sz w:val="20"/>
            <w:szCs w:val="20"/>
            <w:b w:val="1"/>
            <w:bCs w:val="1"/>
            <w:color w:val="16479F"/>
          </w:rPr>
          <w:t xml:space="preserve"> Letter from our Independent Lead Director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-54610</wp:posOffset>
            </wp:positionV>
            <wp:extent cx="382905"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2905" cy="34290"/>
                    </a:xfrm>
                    <a:prstGeom prst="rect">
                      <a:avLst/>
                    </a:prstGeom>
                    <a:noFill/>
                  </pic:spPr>
                </pic:pic>
              </a:graphicData>
            </a:graphic>
          </wp:anchor>
        </w:drawing>
      </w:r>
    </w:p>
    <w:p>
      <w:pPr>
        <w:ind w:left="140"/>
        <w:spacing w:after="0" w:line="193" w:lineRule="auto"/>
        <w:rPr>
          <w:rFonts w:ascii="Arial" w:cs="Arial" w:eastAsia="Arial" w:hAnsi="Arial"/>
          <w:sz w:val="20"/>
          <w:szCs w:val="20"/>
          <w:b w:val="1"/>
          <w:bCs w:val="1"/>
          <w:color w:val="16479F"/>
        </w:rPr>
      </w:pPr>
      <w:hyperlink w:anchor="page9">
        <w:r>
          <w:rPr>
            <w:rFonts w:ascii="Arial" w:cs="Arial" w:eastAsia="Arial" w:hAnsi="Arial"/>
            <w:sz w:val="49"/>
            <w:szCs w:val="49"/>
            <w:b w:val="1"/>
            <w:bCs w:val="1"/>
            <w:color w:val="16479F"/>
            <w:vertAlign w:val="subscript"/>
          </w:rPr>
          <w:t>8</w:t>
        </w:r>
        <w:r>
          <w:rPr>
            <w:rFonts w:ascii="Arial" w:cs="Arial" w:eastAsia="Arial" w:hAnsi="Arial"/>
            <w:sz w:val="20"/>
            <w:szCs w:val="20"/>
            <w:b w:val="1"/>
            <w:bCs w:val="1"/>
            <w:color w:val="16479F"/>
          </w:rPr>
          <w:t xml:space="preserve"> Proxy Summary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-53340</wp:posOffset>
            </wp:positionV>
            <wp:extent cx="382905"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2905" cy="34290"/>
                    </a:xfrm>
                    <a:prstGeom prst="rect">
                      <a:avLst/>
                    </a:prstGeom>
                    <a:noFill/>
                  </pic:spPr>
                </pic:pic>
              </a:graphicData>
            </a:graphic>
          </wp:anchor>
        </w:drawing>
      </w:r>
    </w:p>
    <w:p>
      <w:pPr>
        <w:ind w:left="20"/>
        <w:spacing w:after="0" w:line="194" w:lineRule="auto"/>
        <w:rPr>
          <w:rFonts w:ascii="Arial" w:cs="Arial" w:eastAsia="Arial" w:hAnsi="Arial"/>
          <w:sz w:val="20"/>
          <w:szCs w:val="20"/>
          <w:b w:val="1"/>
          <w:bCs w:val="1"/>
          <w:color w:val="16479F"/>
        </w:rPr>
      </w:pPr>
      <w:hyperlink w:anchor="page21">
        <w:r>
          <w:rPr>
            <w:rFonts w:ascii="Arial" w:cs="Arial" w:eastAsia="Arial" w:hAnsi="Arial"/>
            <w:sz w:val="49"/>
            <w:szCs w:val="49"/>
            <w:b w:val="1"/>
            <w:bCs w:val="1"/>
            <w:color w:val="16479F"/>
            <w:vertAlign w:val="subscript"/>
          </w:rPr>
          <w:t>20</w:t>
        </w:r>
        <w:r>
          <w:rPr>
            <w:rFonts w:ascii="Arial" w:cs="Arial" w:eastAsia="Arial" w:hAnsi="Arial"/>
            <w:sz w:val="20"/>
            <w:szCs w:val="20"/>
            <w:b w:val="1"/>
            <w:bCs w:val="1"/>
            <w:color w:val="16479F"/>
          </w:rPr>
          <w:t xml:space="preserve"> Proposal No. 1: </w:t>
        </w:r>
        <w:r>
          <w:rPr>
            <w:rFonts w:ascii="Arial" w:cs="Arial" w:eastAsia="Arial" w:hAnsi="Arial"/>
            <w:sz w:val="20"/>
            <w:szCs w:val="20"/>
            <w:color w:val="000000"/>
          </w:rPr>
          <w:t>Election of Directors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-53340</wp:posOffset>
            </wp:positionV>
            <wp:extent cx="382905"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2905" cy="34290"/>
                    </a:xfrm>
                    <a:prstGeom prst="rect">
                      <a:avLst/>
                    </a:prstGeom>
                    <a:noFill/>
                  </pic:spPr>
                </pic:pic>
              </a:graphicData>
            </a:graphic>
          </wp:anchor>
        </w:drawing>
      </w:r>
    </w:p>
    <w:p>
      <w:pPr>
        <w:spacing w:after="0" w:line="57" w:lineRule="exact"/>
        <w:rPr>
          <w:sz w:val="20"/>
          <w:szCs w:val="20"/>
          <w:color w:val="auto"/>
        </w:rPr>
      </w:pPr>
    </w:p>
    <w:p>
      <w:pPr>
        <w:ind w:left="360" w:hanging="250"/>
        <w:spacing w:after="0"/>
        <w:tabs>
          <w:tab w:leader="none" w:pos="360" w:val="left"/>
        </w:tabs>
        <w:numPr>
          <w:ilvl w:val="0"/>
          <w:numId w:val="7"/>
        </w:numPr>
        <w:rPr>
          <w:rFonts w:ascii="Arial" w:cs="Arial" w:eastAsia="Arial" w:hAnsi="Arial"/>
          <w:sz w:val="16"/>
          <w:szCs w:val="16"/>
          <w:color w:val="auto"/>
        </w:rPr>
      </w:pPr>
      <w:hyperlink w:anchor="page22">
        <w:r>
          <w:rPr>
            <w:rFonts w:ascii="Arial" w:cs="Arial" w:eastAsia="Arial" w:hAnsi="Arial"/>
            <w:sz w:val="16"/>
            <w:szCs w:val="16"/>
            <w:color w:val="auto"/>
          </w:rPr>
          <w:t>Director Core Competencies and Diversity</w:t>
        </w:r>
      </w:hyperlink>
    </w:p>
    <w:p>
      <w:pPr>
        <w:spacing w:after="0" w:line="3" w:lineRule="exact"/>
        <w:rPr>
          <w:rFonts w:ascii="Arial" w:cs="Arial" w:eastAsia="Arial" w:hAnsi="Arial"/>
          <w:sz w:val="16"/>
          <w:szCs w:val="16"/>
          <w:color w:val="auto"/>
        </w:rPr>
      </w:pPr>
    </w:p>
    <w:p>
      <w:pPr>
        <w:ind w:left="360" w:hanging="250"/>
        <w:spacing w:after="0"/>
        <w:tabs>
          <w:tab w:leader="none" w:pos="360" w:val="left"/>
        </w:tabs>
        <w:numPr>
          <w:ilvl w:val="0"/>
          <w:numId w:val="8"/>
        </w:numPr>
        <w:rPr>
          <w:rFonts w:ascii="Arial" w:cs="Arial" w:eastAsia="Arial" w:hAnsi="Arial"/>
          <w:sz w:val="16"/>
          <w:szCs w:val="16"/>
          <w:color w:val="auto"/>
        </w:rPr>
      </w:pPr>
      <w:hyperlink w:anchor="page24">
        <w:r>
          <w:rPr>
            <w:rFonts w:ascii="Arial" w:cs="Arial" w:eastAsia="Arial" w:hAnsi="Arial"/>
            <w:sz w:val="16"/>
            <w:szCs w:val="16"/>
            <w:color w:val="auto"/>
          </w:rPr>
          <w:t>2022 Director Nominees</w:t>
        </w:r>
      </w:hyperlink>
    </w:p>
    <w:p>
      <w:pPr>
        <w:ind w:left="20"/>
        <w:spacing w:after="0" w:line="181" w:lineRule="auto"/>
        <w:rPr>
          <w:rFonts w:ascii="Arial" w:cs="Arial" w:eastAsia="Arial" w:hAnsi="Arial"/>
          <w:sz w:val="18"/>
          <w:szCs w:val="18"/>
          <w:b w:val="1"/>
          <w:bCs w:val="1"/>
          <w:color w:val="16479F"/>
        </w:rPr>
      </w:pPr>
      <w:hyperlink w:anchor="page30">
        <w:r>
          <w:rPr>
            <w:rFonts w:ascii="Arial" w:cs="Arial" w:eastAsia="Arial" w:hAnsi="Arial"/>
            <w:sz w:val="44"/>
            <w:szCs w:val="44"/>
            <w:b w:val="1"/>
            <w:bCs w:val="1"/>
            <w:color w:val="16479F"/>
            <w:vertAlign w:val="subscript"/>
          </w:rPr>
          <w:t>29</w:t>
        </w:r>
        <w:r>
          <w:rPr>
            <w:rFonts w:ascii="Arial" w:cs="Arial" w:eastAsia="Arial" w:hAnsi="Arial"/>
            <w:sz w:val="18"/>
            <w:szCs w:val="18"/>
            <w:b w:val="1"/>
            <w:bCs w:val="1"/>
            <w:color w:val="16479F"/>
          </w:rPr>
          <w:t xml:space="preserve"> Corporate Governance</w:t>
        </w:r>
      </w:hyperlink>
    </w:p>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225425</wp:posOffset>
            </wp:positionH>
            <wp:positionV relativeFrom="paragraph">
              <wp:posOffset>-53340</wp:posOffset>
            </wp:positionV>
            <wp:extent cx="382905"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2905" cy="34290"/>
                    </a:xfrm>
                    <a:prstGeom prst="rect">
                      <a:avLst/>
                    </a:prstGeom>
                    <a:noFill/>
                  </pic:spPr>
                </pic:pic>
              </a:graphicData>
            </a:graphic>
          </wp:anchor>
        </w:drawing>
      </w:r>
    </w:p>
    <w:p>
      <w:pPr>
        <w:spacing w:after="0" w:line="57" w:lineRule="exact"/>
        <w:rPr>
          <w:rFonts w:ascii="Arial" w:cs="Arial" w:eastAsia="Arial" w:hAnsi="Arial"/>
          <w:sz w:val="16"/>
          <w:szCs w:val="16"/>
          <w:b w:val="1"/>
          <w:bCs w:val="1"/>
          <w:color w:val="auto"/>
        </w:rPr>
      </w:pPr>
    </w:p>
    <w:p>
      <w:pPr>
        <w:ind w:left="360" w:hanging="250"/>
        <w:spacing w:after="0"/>
        <w:tabs>
          <w:tab w:leader="none" w:pos="360" w:val="left"/>
        </w:tabs>
        <w:numPr>
          <w:ilvl w:val="0"/>
          <w:numId w:val="9"/>
        </w:numPr>
        <w:rPr>
          <w:rFonts w:ascii="Arial" w:cs="Arial" w:eastAsia="Arial" w:hAnsi="Arial"/>
          <w:sz w:val="16"/>
          <w:szCs w:val="16"/>
          <w:color w:val="auto"/>
        </w:rPr>
      </w:pPr>
      <w:hyperlink w:anchor="page30">
        <w:r>
          <w:rPr>
            <w:rFonts w:ascii="Arial" w:cs="Arial" w:eastAsia="Arial" w:hAnsi="Arial"/>
            <w:sz w:val="16"/>
            <w:szCs w:val="16"/>
            <w:color w:val="auto"/>
          </w:rPr>
          <w:t>Robust Corporate Governance Practices</w:t>
        </w:r>
      </w:hyperlink>
    </w:p>
    <w:p>
      <w:pPr>
        <w:spacing w:after="0" w:line="3" w:lineRule="exact"/>
        <w:rPr>
          <w:rFonts w:ascii="Arial" w:cs="Arial" w:eastAsia="Arial" w:hAnsi="Arial"/>
          <w:sz w:val="16"/>
          <w:szCs w:val="16"/>
          <w:color w:val="auto"/>
        </w:rPr>
      </w:pPr>
    </w:p>
    <w:p>
      <w:pPr>
        <w:ind w:left="360" w:hanging="250"/>
        <w:spacing w:after="0"/>
        <w:tabs>
          <w:tab w:leader="none" w:pos="360" w:val="left"/>
        </w:tabs>
        <w:numPr>
          <w:ilvl w:val="0"/>
          <w:numId w:val="9"/>
        </w:numPr>
        <w:rPr>
          <w:rFonts w:ascii="Arial" w:cs="Arial" w:eastAsia="Arial" w:hAnsi="Arial"/>
          <w:sz w:val="16"/>
          <w:szCs w:val="16"/>
          <w:color w:val="auto"/>
        </w:rPr>
      </w:pPr>
      <w:hyperlink w:anchor="page31">
        <w:r>
          <w:rPr>
            <w:rFonts w:ascii="Arial" w:cs="Arial" w:eastAsia="Arial" w:hAnsi="Arial"/>
            <w:sz w:val="16"/>
            <w:szCs w:val="16"/>
            <w:color w:val="auto"/>
          </w:rPr>
          <w:t>Composition and Board Refreshment</w:t>
        </w:r>
      </w:hyperlink>
    </w:p>
    <w:p>
      <w:pPr>
        <w:spacing w:after="0" w:line="3" w:lineRule="exact"/>
        <w:rPr>
          <w:rFonts w:ascii="Arial" w:cs="Arial" w:eastAsia="Arial" w:hAnsi="Arial"/>
          <w:sz w:val="16"/>
          <w:szCs w:val="16"/>
          <w:color w:val="auto"/>
        </w:rPr>
      </w:pPr>
    </w:p>
    <w:p>
      <w:pPr>
        <w:ind w:left="360" w:hanging="250"/>
        <w:spacing w:after="0"/>
        <w:tabs>
          <w:tab w:leader="none" w:pos="360" w:val="left"/>
        </w:tabs>
        <w:numPr>
          <w:ilvl w:val="0"/>
          <w:numId w:val="10"/>
        </w:numPr>
        <w:rPr>
          <w:rFonts w:ascii="Arial" w:cs="Arial" w:eastAsia="Arial" w:hAnsi="Arial"/>
          <w:sz w:val="16"/>
          <w:szCs w:val="16"/>
          <w:color w:val="auto"/>
        </w:rPr>
      </w:pPr>
      <w:hyperlink w:anchor="page33">
        <w:r>
          <w:rPr>
            <w:rFonts w:ascii="Arial" w:cs="Arial" w:eastAsia="Arial" w:hAnsi="Arial"/>
            <w:sz w:val="16"/>
            <w:szCs w:val="16"/>
            <w:color w:val="auto"/>
          </w:rPr>
          <w:t>Structure of our Board</w:t>
        </w:r>
      </w:hyperlink>
    </w:p>
    <w:p>
      <w:pPr>
        <w:spacing w:after="0" w:line="3" w:lineRule="exact"/>
        <w:rPr>
          <w:rFonts w:ascii="Arial" w:cs="Arial" w:eastAsia="Arial" w:hAnsi="Arial"/>
          <w:sz w:val="16"/>
          <w:szCs w:val="16"/>
          <w:color w:val="auto"/>
        </w:rPr>
      </w:pPr>
    </w:p>
    <w:p>
      <w:pPr>
        <w:ind w:left="360" w:hanging="250"/>
        <w:spacing w:after="0"/>
        <w:tabs>
          <w:tab w:leader="none" w:pos="360" w:val="left"/>
        </w:tabs>
        <w:numPr>
          <w:ilvl w:val="0"/>
          <w:numId w:val="11"/>
        </w:numPr>
        <w:rPr>
          <w:rFonts w:ascii="Arial" w:cs="Arial" w:eastAsia="Arial" w:hAnsi="Arial"/>
          <w:sz w:val="16"/>
          <w:szCs w:val="16"/>
          <w:color w:val="auto"/>
        </w:rPr>
      </w:pPr>
      <w:hyperlink w:anchor="page39">
        <w:r>
          <w:rPr>
            <w:rFonts w:ascii="Arial" w:cs="Arial" w:eastAsia="Arial" w:hAnsi="Arial"/>
            <w:sz w:val="16"/>
            <w:szCs w:val="16"/>
            <w:color w:val="auto"/>
          </w:rPr>
          <w:t>Engagement and Evaluation of our Board</w:t>
        </w:r>
      </w:hyperlink>
    </w:p>
    <w:p>
      <w:pPr>
        <w:spacing w:after="0" w:line="3" w:lineRule="exact"/>
        <w:rPr>
          <w:rFonts w:ascii="Arial" w:cs="Arial" w:eastAsia="Arial" w:hAnsi="Arial"/>
          <w:sz w:val="16"/>
          <w:szCs w:val="16"/>
          <w:color w:val="auto"/>
        </w:rPr>
      </w:pPr>
    </w:p>
    <w:p>
      <w:pPr>
        <w:ind w:left="360" w:hanging="250"/>
        <w:spacing w:after="0"/>
        <w:tabs>
          <w:tab w:leader="none" w:pos="360" w:val="left"/>
        </w:tabs>
        <w:numPr>
          <w:ilvl w:val="0"/>
          <w:numId w:val="12"/>
        </w:numPr>
        <w:rPr>
          <w:rFonts w:ascii="Arial" w:cs="Arial" w:eastAsia="Arial" w:hAnsi="Arial"/>
          <w:sz w:val="16"/>
          <w:szCs w:val="16"/>
          <w:color w:val="auto"/>
        </w:rPr>
      </w:pPr>
      <w:hyperlink w:anchor="page42">
        <w:r>
          <w:rPr>
            <w:rFonts w:ascii="Arial" w:cs="Arial" w:eastAsia="Arial" w:hAnsi="Arial"/>
            <w:sz w:val="16"/>
            <w:szCs w:val="16"/>
            <w:color w:val="auto"/>
          </w:rPr>
          <w:t>Oversight by our Board</w:t>
        </w:r>
      </w:hyperlink>
    </w:p>
    <w:p>
      <w:pPr>
        <w:spacing w:after="0" w:line="3" w:lineRule="exact"/>
        <w:rPr>
          <w:rFonts w:ascii="Arial" w:cs="Arial" w:eastAsia="Arial" w:hAnsi="Arial"/>
          <w:sz w:val="16"/>
          <w:szCs w:val="16"/>
          <w:color w:val="auto"/>
        </w:rPr>
      </w:pPr>
    </w:p>
    <w:p>
      <w:pPr>
        <w:ind w:left="360" w:hanging="250"/>
        <w:spacing w:after="0"/>
        <w:tabs>
          <w:tab w:leader="none" w:pos="360" w:val="left"/>
        </w:tabs>
        <w:numPr>
          <w:ilvl w:val="0"/>
          <w:numId w:val="13"/>
        </w:numPr>
        <w:rPr>
          <w:rFonts w:ascii="Arial" w:cs="Arial" w:eastAsia="Arial" w:hAnsi="Arial"/>
          <w:sz w:val="16"/>
          <w:szCs w:val="16"/>
          <w:color w:val="auto"/>
        </w:rPr>
      </w:pPr>
      <w:hyperlink w:anchor="page46">
        <w:r>
          <w:rPr>
            <w:rFonts w:ascii="Arial" w:cs="Arial" w:eastAsia="Arial" w:hAnsi="Arial"/>
            <w:sz w:val="16"/>
            <w:szCs w:val="16"/>
            <w:color w:val="auto"/>
          </w:rPr>
          <w:t>Corporate Responsibility</w:t>
        </w:r>
      </w:hyperlink>
    </w:p>
    <w:p>
      <w:pPr>
        <w:spacing w:after="0" w:line="3" w:lineRule="exact"/>
        <w:rPr>
          <w:rFonts w:ascii="Arial" w:cs="Arial" w:eastAsia="Arial" w:hAnsi="Arial"/>
          <w:sz w:val="16"/>
          <w:szCs w:val="16"/>
          <w:color w:val="auto"/>
        </w:rPr>
      </w:pPr>
    </w:p>
    <w:p>
      <w:pPr>
        <w:ind w:left="360" w:hanging="250"/>
        <w:spacing w:after="0"/>
        <w:tabs>
          <w:tab w:leader="none" w:pos="360" w:val="left"/>
        </w:tabs>
        <w:numPr>
          <w:ilvl w:val="0"/>
          <w:numId w:val="14"/>
        </w:numPr>
        <w:rPr>
          <w:rFonts w:ascii="Arial" w:cs="Arial" w:eastAsia="Arial" w:hAnsi="Arial"/>
          <w:sz w:val="16"/>
          <w:szCs w:val="16"/>
          <w:color w:val="auto"/>
        </w:rPr>
      </w:pPr>
      <w:hyperlink w:anchor="page49">
        <w:r>
          <w:rPr>
            <w:rFonts w:ascii="Arial" w:cs="Arial" w:eastAsia="Arial" w:hAnsi="Arial"/>
            <w:sz w:val="16"/>
            <w:szCs w:val="16"/>
            <w:color w:val="auto"/>
          </w:rPr>
          <w:t>Human Capital Management</w:t>
        </w:r>
      </w:hyperlink>
    </w:p>
    <w:p>
      <w:pPr>
        <w:spacing w:after="0" w:line="53" w:lineRule="exact"/>
        <w:rPr>
          <w:rFonts w:ascii="Arial" w:cs="Arial" w:eastAsia="Arial" w:hAnsi="Arial"/>
          <w:sz w:val="16"/>
          <w:szCs w:val="16"/>
          <w:b w:val="1"/>
          <w:bCs w:val="1"/>
          <w:color w:val="auto"/>
        </w:rPr>
      </w:pPr>
    </w:p>
    <w:p>
      <w:pPr>
        <w:ind w:left="360" w:right="560" w:hanging="344"/>
        <w:spacing w:after="0" w:line="198" w:lineRule="auto"/>
        <w:rPr>
          <w:rFonts w:ascii="Arial" w:cs="Arial" w:eastAsia="Arial" w:hAnsi="Arial"/>
          <w:sz w:val="19"/>
          <w:szCs w:val="19"/>
          <w:b w:val="1"/>
          <w:bCs w:val="1"/>
          <w:color w:val="16479F"/>
        </w:rPr>
      </w:pPr>
      <w:hyperlink w:anchor="page52">
        <w:r>
          <w:rPr>
            <w:rFonts w:ascii="Arial" w:cs="Arial" w:eastAsia="Arial" w:hAnsi="Arial"/>
            <w:sz w:val="25"/>
            <w:szCs w:val="25"/>
            <w:b w:val="1"/>
            <w:bCs w:val="1"/>
            <w:color w:val="16479F"/>
          </w:rPr>
          <w:t xml:space="preserve">51 </w:t>
        </w:r>
        <w:r>
          <w:rPr>
            <w:rFonts w:ascii="Arial" w:cs="Arial" w:eastAsia="Arial" w:hAnsi="Arial"/>
            <w:sz w:val="19"/>
            <w:szCs w:val="19"/>
            <w:b w:val="1"/>
            <w:bCs w:val="1"/>
            <w:color w:val="16479F"/>
          </w:rPr>
          <w:t>Director Compensation and Stock Ownership</w:t>
        </w:r>
      </w:hyperlink>
      <w:r>
        <w:rPr>
          <w:rFonts w:ascii="Arial" w:cs="Arial" w:eastAsia="Arial" w:hAnsi="Arial"/>
          <w:sz w:val="25"/>
          <w:szCs w:val="25"/>
          <w:b w:val="1"/>
          <w:bCs w:val="1"/>
          <w:color w:val="16479F"/>
        </w:rPr>
        <w:t xml:space="preserve"> </w:t>
      </w:r>
      <w:hyperlink w:anchor="page52">
        <w:r>
          <w:rPr>
            <w:rFonts w:ascii="Arial" w:cs="Arial" w:eastAsia="Arial" w:hAnsi="Arial"/>
            <w:sz w:val="19"/>
            <w:szCs w:val="19"/>
            <w:b w:val="1"/>
            <w:bCs w:val="1"/>
            <w:color w:val="16479F"/>
          </w:rPr>
          <w:t>Guidelines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-10160</wp:posOffset>
            </wp:positionV>
            <wp:extent cx="382905"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2905" cy="34290"/>
                    </a:xfrm>
                    <a:prstGeom prst="rect">
                      <a:avLst/>
                    </a:prstGeom>
                    <a:noFill/>
                  </pic:spPr>
                </pic:pic>
              </a:graphicData>
            </a:graphic>
          </wp:anchor>
        </w:drawing>
      </w:r>
    </w:p>
    <w:p>
      <w:pPr>
        <w:spacing w:after="0" w:line="112" w:lineRule="exact"/>
        <w:rPr>
          <w:sz w:val="20"/>
          <w:szCs w:val="20"/>
          <w:color w:val="auto"/>
        </w:rPr>
      </w:pPr>
    </w:p>
    <w:p>
      <w:pPr>
        <w:ind w:left="360" w:hanging="250"/>
        <w:spacing w:after="0"/>
        <w:tabs>
          <w:tab w:leader="none" w:pos="360" w:val="left"/>
        </w:tabs>
        <w:numPr>
          <w:ilvl w:val="0"/>
          <w:numId w:val="15"/>
        </w:numPr>
        <w:rPr>
          <w:rFonts w:ascii="Arial" w:cs="Arial" w:eastAsia="Arial" w:hAnsi="Arial"/>
          <w:sz w:val="16"/>
          <w:szCs w:val="16"/>
          <w:color w:val="auto"/>
        </w:rPr>
      </w:pPr>
      <w:hyperlink w:anchor="page52">
        <w:r>
          <w:rPr>
            <w:rFonts w:ascii="Arial" w:cs="Arial" w:eastAsia="Arial" w:hAnsi="Arial"/>
            <w:sz w:val="16"/>
            <w:szCs w:val="16"/>
            <w:color w:val="auto"/>
          </w:rPr>
          <w:t>Director Compensation</w:t>
        </w:r>
      </w:hyperlink>
    </w:p>
    <w:p>
      <w:pPr>
        <w:spacing w:after="0" w:line="53" w:lineRule="exact"/>
        <w:rPr>
          <w:sz w:val="20"/>
          <w:szCs w:val="20"/>
          <w:color w:val="auto"/>
        </w:rPr>
      </w:pPr>
    </w:p>
    <w:p>
      <w:pPr>
        <w:ind w:left="360" w:right="180" w:hanging="344"/>
        <w:spacing w:after="0" w:line="198" w:lineRule="auto"/>
        <w:rPr>
          <w:rFonts w:ascii="Arial" w:cs="Arial" w:eastAsia="Arial" w:hAnsi="Arial"/>
          <w:sz w:val="19"/>
          <w:szCs w:val="19"/>
          <w:color w:val="000000"/>
        </w:rPr>
      </w:pPr>
      <w:hyperlink w:anchor="page56">
        <w:r>
          <w:rPr>
            <w:rFonts w:ascii="Arial" w:cs="Arial" w:eastAsia="Arial" w:hAnsi="Arial"/>
            <w:sz w:val="25"/>
            <w:szCs w:val="25"/>
            <w:b w:val="1"/>
            <w:bCs w:val="1"/>
            <w:color w:val="16479F"/>
          </w:rPr>
          <w:t xml:space="preserve">55 </w:t>
        </w:r>
        <w:r>
          <w:rPr>
            <w:rFonts w:ascii="Arial" w:cs="Arial" w:eastAsia="Arial" w:hAnsi="Arial"/>
            <w:sz w:val="19"/>
            <w:szCs w:val="19"/>
            <w:b w:val="1"/>
            <w:bCs w:val="1"/>
            <w:color w:val="16479F"/>
          </w:rPr>
          <w:t>Proposal No. 2:</w:t>
        </w:r>
        <w:r>
          <w:rPr>
            <w:rFonts w:ascii="Arial" w:cs="Arial" w:eastAsia="Arial" w:hAnsi="Arial"/>
            <w:sz w:val="25"/>
            <w:szCs w:val="25"/>
            <w:b w:val="1"/>
            <w:bCs w:val="1"/>
            <w:color w:val="16479F"/>
          </w:rPr>
          <w:t xml:space="preserve"> </w:t>
        </w:r>
        <w:r>
          <w:rPr>
            <w:rFonts w:ascii="Arial" w:cs="Arial" w:eastAsia="Arial" w:hAnsi="Arial"/>
            <w:sz w:val="19"/>
            <w:szCs w:val="19"/>
            <w:color w:val="000000"/>
          </w:rPr>
          <w:t>Advisory Vote to Approve Executive</w:t>
        </w:r>
      </w:hyperlink>
      <w:r>
        <w:rPr>
          <w:rFonts w:ascii="Arial" w:cs="Arial" w:eastAsia="Arial" w:hAnsi="Arial"/>
          <w:sz w:val="25"/>
          <w:szCs w:val="25"/>
          <w:b w:val="1"/>
          <w:bCs w:val="1"/>
          <w:color w:val="16479F"/>
        </w:rPr>
        <w:t xml:space="preserve"> </w:t>
      </w:r>
      <w:hyperlink w:anchor="page56">
        <w:r>
          <w:rPr>
            <w:rFonts w:ascii="Arial" w:cs="Arial" w:eastAsia="Arial" w:hAnsi="Arial"/>
            <w:sz w:val="19"/>
            <w:szCs w:val="19"/>
            <w:color w:val="000000"/>
          </w:rPr>
          <w:t>Compensation (Say-on-Pay)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-10160</wp:posOffset>
            </wp:positionV>
            <wp:extent cx="382905"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2905" cy="34290"/>
                    </a:xfrm>
                    <a:prstGeom prst="rect">
                      <a:avLst/>
                    </a:prstGeom>
                    <a:noFill/>
                  </pic:spPr>
                </pic:pic>
              </a:graphicData>
            </a:graphic>
          </wp:anchor>
        </w:drawing>
      </w:r>
    </w:p>
    <w:p>
      <w:pPr>
        <w:ind w:left="20"/>
        <w:spacing w:after="0" w:line="218" w:lineRule="auto"/>
        <w:rPr>
          <w:rFonts w:ascii="Arial" w:cs="Arial" w:eastAsia="Arial" w:hAnsi="Arial"/>
          <w:sz w:val="20"/>
          <w:szCs w:val="20"/>
          <w:b w:val="1"/>
          <w:bCs w:val="1"/>
          <w:color w:val="16479F"/>
        </w:rPr>
      </w:pPr>
      <w:hyperlink w:anchor="page57">
        <w:r>
          <w:rPr>
            <w:rFonts w:ascii="Arial" w:cs="Arial" w:eastAsia="Arial" w:hAnsi="Arial"/>
            <w:sz w:val="49"/>
            <w:szCs w:val="49"/>
            <w:b w:val="1"/>
            <w:bCs w:val="1"/>
            <w:color w:val="16479F"/>
            <w:vertAlign w:val="subscript"/>
          </w:rPr>
          <w:t>56</w:t>
        </w:r>
        <w:r>
          <w:rPr>
            <w:rFonts w:ascii="Arial" w:cs="Arial" w:eastAsia="Arial" w:hAnsi="Arial"/>
            <w:sz w:val="20"/>
            <w:szCs w:val="20"/>
            <w:b w:val="1"/>
            <w:bCs w:val="1"/>
            <w:color w:val="16479F"/>
          </w:rPr>
          <w:t xml:space="preserve"> Compensation Matters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-54610</wp:posOffset>
            </wp:positionV>
            <wp:extent cx="382905"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2905" cy="34290"/>
                    </a:xfrm>
                    <a:prstGeom prst="rect">
                      <a:avLst/>
                    </a:prstGeom>
                    <a:noFill/>
                  </pic:spPr>
                </pic:pic>
              </a:graphicData>
            </a:graphic>
          </wp:anchor>
        </w:drawing>
      </w:r>
    </w:p>
    <w:p>
      <w:pPr>
        <w:spacing w:after="0" w:line="55" w:lineRule="exact"/>
        <w:rPr>
          <w:sz w:val="20"/>
          <w:szCs w:val="20"/>
          <w:color w:val="auto"/>
        </w:rPr>
      </w:pPr>
    </w:p>
    <w:p>
      <w:pPr>
        <w:ind w:left="360" w:hanging="250"/>
        <w:spacing w:after="0"/>
        <w:tabs>
          <w:tab w:leader="none" w:pos="360" w:val="left"/>
        </w:tabs>
        <w:numPr>
          <w:ilvl w:val="0"/>
          <w:numId w:val="16"/>
        </w:numPr>
        <w:rPr>
          <w:rFonts w:ascii="Arial" w:cs="Arial" w:eastAsia="Arial" w:hAnsi="Arial"/>
          <w:sz w:val="16"/>
          <w:szCs w:val="16"/>
          <w:color w:val="auto"/>
        </w:rPr>
      </w:pPr>
      <w:hyperlink w:anchor="page58">
        <w:r>
          <w:rPr>
            <w:rFonts w:ascii="Arial" w:cs="Arial" w:eastAsia="Arial" w:hAnsi="Arial"/>
            <w:sz w:val="16"/>
            <w:szCs w:val="16"/>
            <w:color w:val="auto"/>
          </w:rPr>
          <w:t>Compensation Discussion and Analysis</w:t>
        </w:r>
      </w:hyperlink>
    </w:p>
    <w:p>
      <w:pPr>
        <w:spacing w:after="0" w:line="3" w:lineRule="exact"/>
        <w:rPr>
          <w:rFonts w:ascii="Arial" w:cs="Arial" w:eastAsia="Arial" w:hAnsi="Arial"/>
          <w:sz w:val="16"/>
          <w:szCs w:val="16"/>
          <w:color w:val="auto"/>
        </w:rPr>
      </w:pPr>
    </w:p>
    <w:p>
      <w:pPr>
        <w:ind w:left="360" w:hanging="250"/>
        <w:spacing w:after="0"/>
        <w:tabs>
          <w:tab w:leader="none" w:pos="360" w:val="left"/>
        </w:tabs>
        <w:numPr>
          <w:ilvl w:val="0"/>
          <w:numId w:val="17"/>
        </w:numPr>
        <w:rPr>
          <w:rFonts w:ascii="Arial" w:cs="Arial" w:eastAsia="Arial" w:hAnsi="Arial"/>
          <w:sz w:val="16"/>
          <w:szCs w:val="16"/>
          <w:color w:val="auto"/>
        </w:rPr>
      </w:pPr>
      <w:hyperlink w:anchor="page64">
        <w:r>
          <w:rPr>
            <w:rFonts w:ascii="Arial" w:cs="Arial" w:eastAsia="Arial" w:hAnsi="Arial"/>
            <w:sz w:val="16"/>
            <w:szCs w:val="16"/>
            <w:color w:val="auto"/>
          </w:rPr>
          <w:t>Governance and Administration</w:t>
        </w:r>
      </w:hyperlink>
    </w:p>
    <w:p>
      <w:pPr>
        <w:spacing w:after="0" w:line="3" w:lineRule="exact"/>
        <w:rPr>
          <w:rFonts w:ascii="Arial" w:cs="Arial" w:eastAsia="Arial" w:hAnsi="Arial"/>
          <w:sz w:val="16"/>
          <w:szCs w:val="16"/>
          <w:color w:val="auto"/>
        </w:rPr>
      </w:pPr>
    </w:p>
    <w:p>
      <w:pPr>
        <w:ind w:left="360" w:hanging="250"/>
        <w:spacing w:after="0"/>
        <w:tabs>
          <w:tab w:leader="none" w:pos="360" w:val="left"/>
        </w:tabs>
        <w:numPr>
          <w:ilvl w:val="0"/>
          <w:numId w:val="18"/>
        </w:numPr>
        <w:rPr>
          <w:rFonts w:ascii="Arial" w:cs="Arial" w:eastAsia="Arial" w:hAnsi="Arial"/>
          <w:sz w:val="16"/>
          <w:szCs w:val="16"/>
          <w:color w:val="auto"/>
        </w:rPr>
      </w:pPr>
      <w:hyperlink w:anchor="page70">
        <w:r>
          <w:rPr>
            <w:rFonts w:ascii="Arial" w:cs="Arial" w:eastAsia="Arial" w:hAnsi="Arial"/>
            <w:sz w:val="16"/>
            <w:szCs w:val="16"/>
            <w:color w:val="auto"/>
          </w:rPr>
          <w:t>Review of our Programs</w:t>
        </w:r>
      </w:hyperlink>
    </w:p>
    <w:p>
      <w:pPr>
        <w:spacing w:after="0" w:line="3" w:lineRule="exact"/>
        <w:rPr>
          <w:rFonts w:ascii="Arial" w:cs="Arial" w:eastAsia="Arial" w:hAnsi="Arial"/>
          <w:sz w:val="16"/>
          <w:szCs w:val="16"/>
          <w:color w:val="auto"/>
        </w:rPr>
      </w:pPr>
    </w:p>
    <w:p>
      <w:pPr>
        <w:ind w:left="360" w:hanging="250"/>
        <w:spacing w:after="0"/>
        <w:tabs>
          <w:tab w:leader="none" w:pos="360" w:val="left"/>
        </w:tabs>
        <w:numPr>
          <w:ilvl w:val="0"/>
          <w:numId w:val="19"/>
        </w:numPr>
        <w:rPr>
          <w:rFonts w:ascii="Arial" w:cs="Arial" w:eastAsia="Arial" w:hAnsi="Arial"/>
          <w:sz w:val="16"/>
          <w:szCs w:val="16"/>
          <w:color w:val="auto"/>
        </w:rPr>
      </w:pPr>
      <w:hyperlink w:anchor="page85">
        <w:r>
          <w:rPr>
            <w:rFonts w:ascii="Arial" w:cs="Arial" w:eastAsia="Arial" w:hAnsi="Arial"/>
            <w:sz w:val="16"/>
            <w:szCs w:val="16"/>
            <w:color w:val="auto"/>
          </w:rPr>
          <w:t>Other Policies</w:t>
        </w:r>
      </w:hyperlink>
    </w:p>
    <w:p>
      <w:pPr>
        <w:spacing w:after="0" w:line="3" w:lineRule="exact"/>
        <w:rPr>
          <w:rFonts w:ascii="Arial" w:cs="Arial" w:eastAsia="Arial" w:hAnsi="Arial"/>
          <w:sz w:val="16"/>
          <w:szCs w:val="16"/>
          <w:color w:val="auto"/>
        </w:rPr>
      </w:pPr>
    </w:p>
    <w:p>
      <w:pPr>
        <w:ind w:left="360" w:hanging="250"/>
        <w:spacing w:after="0"/>
        <w:tabs>
          <w:tab w:leader="none" w:pos="360" w:val="left"/>
        </w:tabs>
        <w:numPr>
          <w:ilvl w:val="0"/>
          <w:numId w:val="19"/>
        </w:numPr>
        <w:rPr>
          <w:rFonts w:ascii="Arial" w:cs="Arial" w:eastAsia="Arial" w:hAnsi="Arial"/>
          <w:sz w:val="16"/>
          <w:szCs w:val="16"/>
          <w:color w:val="auto"/>
        </w:rPr>
      </w:pPr>
      <w:hyperlink w:anchor="page86">
        <w:r>
          <w:rPr>
            <w:rFonts w:ascii="Arial" w:cs="Arial" w:eastAsia="Arial" w:hAnsi="Arial"/>
            <w:sz w:val="16"/>
            <w:szCs w:val="16"/>
            <w:color w:val="auto"/>
          </w:rPr>
          <w:t>Tax Considerations</w:t>
        </w:r>
      </w:hyperlink>
    </w:p>
    <w:p>
      <w:pPr>
        <w:spacing w:after="0" w:line="229" w:lineRule="exact"/>
        <w:rPr>
          <w:rFonts w:ascii="Arial" w:cs="Arial" w:eastAsia="Arial" w:hAnsi="Arial"/>
          <w:sz w:val="16"/>
          <w:szCs w:val="16"/>
          <w:b w:val="1"/>
          <w:bCs w:val="1"/>
          <w:color w:val="auto"/>
        </w:rPr>
      </w:pPr>
    </w:p>
    <w:p>
      <w:pPr>
        <w:ind w:left="100"/>
        <w:spacing w:after="0"/>
        <w:rPr>
          <w:sz w:val="20"/>
          <w:szCs w:val="20"/>
          <w:color w:val="auto"/>
        </w:rPr>
      </w:pPr>
      <w:r>
        <w:rPr>
          <w:rFonts w:ascii="Arial" w:cs="Arial" w:eastAsia="Arial" w:hAnsi="Arial"/>
          <w:sz w:val="14"/>
          <w:szCs w:val="14"/>
          <w:b w:val="1"/>
          <w:bCs w:val="1"/>
          <w:color w:val="16479F"/>
        </w:rPr>
        <w:t>NOTE ON FORWARD-LOOKING STATEMENTS</w:t>
      </w:r>
    </w:p>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br w:type="column"/>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16" w:lineRule="exact"/>
        <w:rPr>
          <w:rFonts w:ascii="Arial" w:cs="Arial" w:eastAsia="Arial" w:hAnsi="Arial"/>
          <w:sz w:val="16"/>
          <w:szCs w:val="16"/>
          <w:b w:val="1"/>
          <w:bCs w:val="1"/>
          <w:color w:val="auto"/>
        </w:rPr>
      </w:pPr>
    </w:p>
    <w:p>
      <w:pPr>
        <w:ind w:left="480" w:hanging="242"/>
        <w:spacing w:after="0"/>
        <w:tabs>
          <w:tab w:leader="none" w:pos="480" w:val="left"/>
        </w:tabs>
        <w:numPr>
          <w:ilvl w:val="0"/>
          <w:numId w:val="20"/>
        </w:numPr>
        <w:rPr>
          <w:rFonts w:ascii="Arial" w:cs="Arial" w:eastAsia="Arial" w:hAnsi="Arial"/>
          <w:sz w:val="16"/>
          <w:szCs w:val="16"/>
          <w:color w:val="auto"/>
        </w:rPr>
      </w:pPr>
      <w:hyperlink w:anchor="page86">
        <w:r>
          <w:rPr>
            <w:rFonts w:ascii="Arial" w:cs="Arial" w:eastAsia="Arial" w:hAnsi="Arial"/>
            <w:sz w:val="16"/>
            <w:szCs w:val="16"/>
            <w:color w:val="auto"/>
          </w:rPr>
          <w:t>Compensation Risk Assessment</w:t>
        </w:r>
      </w:hyperlink>
    </w:p>
    <w:p>
      <w:pPr>
        <w:spacing w:after="0" w:line="3" w:lineRule="exact"/>
        <w:rPr>
          <w:rFonts w:ascii="Arial" w:cs="Arial" w:eastAsia="Arial" w:hAnsi="Arial"/>
          <w:sz w:val="16"/>
          <w:szCs w:val="16"/>
          <w:color w:val="auto"/>
        </w:rPr>
      </w:pPr>
    </w:p>
    <w:p>
      <w:pPr>
        <w:ind w:left="480" w:hanging="242"/>
        <w:spacing w:after="0"/>
        <w:tabs>
          <w:tab w:leader="none" w:pos="480" w:val="left"/>
        </w:tabs>
        <w:numPr>
          <w:ilvl w:val="0"/>
          <w:numId w:val="20"/>
        </w:numPr>
        <w:rPr>
          <w:rFonts w:ascii="Arial" w:cs="Arial" w:eastAsia="Arial" w:hAnsi="Arial"/>
          <w:sz w:val="16"/>
          <w:szCs w:val="16"/>
          <w:color w:val="auto"/>
        </w:rPr>
      </w:pPr>
      <w:hyperlink w:anchor="page87">
        <w:r>
          <w:rPr>
            <w:rFonts w:ascii="Arial" w:cs="Arial" w:eastAsia="Arial" w:hAnsi="Arial"/>
            <w:sz w:val="16"/>
            <w:szCs w:val="16"/>
            <w:color w:val="auto"/>
          </w:rPr>
          <w:t>Compensation, Talent and Culture Committee Report</w:t>
        </w:r>
      </w:hyperlink>
    </w:p>
    <w:p>
      <w:pPr>
        <w:spacing w:after="0" w:line="3" w:lineRule="exact"/>
        <w:rPr>
          <w:rFonts w:ascii="Arial" w:cs="Arial" w:eastAsia="Arial" w:hAnsi="Arial"/>
          <w:sz w:val="16"/>
          <w:szCs w:val="16"/>
          <w:color w:val="auto"/>
        </w:rPr>
      </w:pPr>
    </w:p>
    <w:p>
      <w:pPr>
        <w:ind w:left="480" w:hanging="242"/>
        <w:spacing w:after="0"/>
        <w:tabs>
          <w:tab w:leader="none" w:pos="480" w:val="left"/>
        </w:tabs>
        <w:numPr>
          <w:ilvl w:val="0"/>
          <w:numId w:val="20"/>
        </w:numPr>
        <w:rPr>
          <w:rFonts w:ascii="Arial" w:cs="Arial" w:eastAsia="Arial" w:hAnsi="Arial"/>
          <w:sz w:val="16"/>
          <w:szCs w:val="16"/>
          <w:color w:val="auto"/>
        </w:rPr>
      </w:pPr>
      <w:hyperlink w:anchor="page88">
        <w:r>
          <w:rPr>
            <w:rFonts w:ascii="Arial" w:cs="Arial" w:eastAsia="Arial" w:hAnsi="Arial"/>
            <w:sz w:val="16"/>
            <w:szCs w:val="16"/>
            <w:color w:val="auto"/>
          </w:rPr>
          <w:t>Executive Compensation Tables</w:t>
        </w:r>
      </w:hyperlink>
    </w:p>
    <w:p>
      <w:pPr>
        <w:ind w:left="140"/>
        <w:spacing w:after="0" w:line="181" w:lineRule="auto"/>
        <w:rPr>
          <w:rFonts w:ascii="Arial" w:cs="Arial" w:eastAsia="Arial" w:hAnsi="Arial"/>
          <w:sz w:val="18"/>
          <w:szCs w:val="18"/>
          <w:b w:val="1"/>
          <w:bCs w:val="1"/>
          <w:color w:val="16479F"/>
        </w:rPr>
      </w:pPr>
      <w:hyperlink w:anchor="page97">
        <w:r>
          <w:rPr>
            <w:rFonts w:ascii="Arial" w:cs="Arial" w:eastAsia="Arial" w:hAnsi="Arial"/>
            <w:sz w:val="44"/>
            <w:szCs w:val="44"/>
            <w:b w:val="1"/>
            <w:bCs w:val="1"/>
            <w:color w:val="16479F"/>
            <w:vertAlign w:val="subscript"/>
          </w:rPr>
          <w:t>96</w:t>
        </w:r>
        <w:r>
          <w:rPr>
            <w:rFonts w:ascii="Arial" w:cs="Arial" w:eastAsia="Arial" w:hAnsi="Arial"/>
            <w:sz w:val="18"/>
            <w:szCs w:val="18"/>
            <w:b w:val="1"/>
            <w:bCs w:val="1"/>
            <w:color w:val="16479F"/>
          </w:rPr>
          <w:t xml:space="preserve"> Audit Matters</w:t>
        </w:r>
      </w:hyperlink>
    </w:p>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304800</wp:posOffset>
            </wp:positionH>
            <wp:positionV relativeFrom="paragraph">
              <wp:posOffset>-53340</wp:posOffset>
            </wp:positionV>
            <wp:extent cx="374015"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74015" cy="34290"/>
                    </a:xfrm>
                    <a:prstGeom prst="rect">
                      <a:avLst/>
                    </a:prstGeom>
                    <a:noFill/>
                  </pic:spPr>
                </pic:pic>
              </a:graphicData>
            </a:graphic>
          </wp:anchor>
        </w:drawing>
      </w:r>
    </w:p>
    <w:p>
      <w:pPr>
        <w:spacing w:after="0" w:line="57" w:lineRule="exact"/>
        <w:rPr>
          <w:rFonts w:ascii="Arial" w:cs="Arial" w:eastAsia="Arial" w:hAnsi="Arial"/>
          <w:sz w:val="16"/>
          <w:szCs w:val="16"/>
          <w:b w:val="1"/>
          <w:bCs w:val="1"/>
          <w:color w:val="auto"/>
        </w:rPr>
      </w:pPr>
    </w:p>
    <w:p>
      <w:pPr>
        <w:ind w:left="480" w:hanging="242"/>
        <w:spacing w:after="0"/>
        <w:tabs>
          <w:tab w:leader="none" w:pos="480" w:val="left"/>
        </w:tabs>
        <w:numPr>
          <w:ilvl w:val="0"/>
          <w:numId w:val="21"/>
        </w:numPr>
        <w:rPr>
          <w:rFonts w:ascii="Arial" w:cs="Arial" w:eastAsia="Arial" w:hAnsi="Arial"/>
          <w:sz w:val="16"/>
          <w:szCs w:val="16"/>
          <w:color w:val="auto"/>
        </w:rPr>
      </w:pPr>
      <w:hyperlink w:anchor="page97">
        <w:r>
          <w:rPr>
            <w:rFonts w:ascii="Arial" w:cs="Arial" w:eastAsia="Arial" w:hAnsi="Arial"/>
            <w:sz w:val="16"/>
            <w:szCs w:val="16"/>
            <w:color w:val="auto"/>
          </w:rPr>
          <w:t>Independent Auditor’s Fees</w:t>
        </w:r>
      </w:hyperlink>
    </w:p>
    <w:p>
      <w:pPr>
        <w:spacing w:after="0" w:line="3" w:lineRule="exact"/>
        <w:rPr>
          <w:rFonts w:ascii="Arial" w:cs="Arial" w:eastAsia="Arial" w:hAnsi="Arial"/>
          <w:sz w:val="16"/>
          <w:szCs w:val="16"/>
          <w:b w:val="1"/>
          <w:bCs w:val="1"/>
          <w:color w:val="auto"/>
        </w:rPr>
      </w:pPr>
    </w:p>
    <w:p>
      <w:pPr>
        <w:ind w:left="480" w:right="300" w:hanging="242"/>
        <w:spacing w:after="0" w:line="244" w:lineRule="auto"/>
        <w:tabs>
          <w:tab w:leader="none" w:pos="480" w:val="left"/>
        </w:tabs>
        <w:numPr>
          <w:ilvl w:val="0"/>
          <w:numId w:val="22"/>
        </w:numPr>
        <w:rPr>
          <w:rFonts w:ascii="Arial" w:cs="Arial" w:eastAsia="Arial" w:hAnsi="Arial"/>
          <w:sz w:val="16"/>
          <w:szCs w:val="16"/>
          <w:color w:val="auto"/>
        </w:rPr>
      </w:pPr>
      <w:hyperlink w:anchor="page97">
        <w:r>
          <w:rPr>
            <w:rFonts w:ascii="Arial" w:cs="Arial" w:eastAsia="Arial" w:hAnsi="Arial"/>
            <w:sz w:val="16"/>
            <w:szCs w:val="16"/>
            <w:color w:val="auto"/>
          </w:rPr>
          <w:t>Pre-Approval Policy of the Audit and Risk Committee of Services</w:t>
        </w:r>
      </w:hyperlink>
      <w:r>
        <w:rPr>
          <w:rFonts w:ascii="Arial" w:cs="Arial" w:eastAsia="Arial" w:hAnsi="Arial"/>
          <w:sz w:val="16"/>
          <w:szCs w:val="16"/>
          <w:color w:val="auto"/>
        </w:rPr>
        <w:t xml:space="preserve"> </w:t>
      </w:r>
      <w:hyperlink w:anchor="page97">
        <w:r>
          <w:rPr>
            <w:rFonts w:ascii="Arial" w:cs="Arial" w:eastAsia="Arial" w:hAnsi="Arial"/>
            <w:sz w:val="16"/>
            <w:szCs w:val="16"/>
            <w:color w:val="auto"/>
          </w:rPr>
          <w:t>Performed by Independent Auditors</w:t>
        </w:r>
      </w:hyperlink>
    </w:p>
    <w:p>
      <w:pPr>
        <w:ind w:left="480" w:hanging="242"/>
        <w:spacing w:after="0"/>
        <w:tabs>
          <w:tab w:leader="none" w:pos="480" w:val="left"/>
        </w:tabs>
        <w:numPr>
          <w:ilvl w:val="0"/>
          <w:numId w:val="22"/>
        </w:numPr>
        <w:rPr>
          <w:rFonts w:ascii="Arial" w:cs="Arial" w:eastAsia="Arial" w:hAnsi="Arial"/>
          <w:sz w:val="16"/>
          <w:szCs w:val="16"/>
          <w:color w:val="auto"/>
        </w:rPr>
      </w:pPr>
      <w:hyperlink w:anchor="page98">
        <w:r>
          <w:rPr>
            <w:rFonts w:ascii="Arial" w:cs="Arial" w:eastAsia="Arial" w:hAnsi="Arial"/>
            <w:sz w:val="16"/>
            <w:szCs w:val="16"/>
            <w:color w:val="auto"/>
          </w:rPr>
          <w:t>Audit and Risk Committee Report</w:t>
        </w:r>
      </w:hyperlink>
    </w:p>
    <w:p>
      <w:pPr>
        <w:spacing w:after="0" w:line="53" w:lineRule="exact"/>
        <w:rPr>
          <w:rFonts w:ascii="Arial" w:cs="Arial" w:eastAsia="Arial" w:hAnsi="Arial"/>
          <w:sz w:val="16"/>
          <w:szCs w:val="16"/>
          <w:color w:val="auto"/>
        </w:rPr>
      </w:pPr>
    </w:p>
    <w:p>
      <w:pPr>
        <w:ind w:left="480" w:right="520" w:hanging="344"/>
        <w:spacing w:after="0" w:line="198" w:lineRule="auto"/>
        <w:rPr>
          <w:rFonts w:ascii="Arial" w:cs="Arial" w:eastAsia="Arial" w:hAnsi="Arial"/>
          <w:sz w:val="19"/>
          <w:szCs w:val="19"/>
          <w:color w:val="000000"/>
        </w:rPr>
      </w:pPr>
      <w:hyperlink w:anchor="page100">
        <w:r>
          <w:rPr>
            <w:rFonts w:ascii="Arial" w:cs="Arial" w:eastAsia="Arial" w:hAnsi="Arial"/>
            <w:sz w:val="25"/>
            <w:szCs w:val="25"/>
            <w:b w:val="1"/>
            <w:bCs w:val="1"/>
            <w:color w:val="16479F"/>
          </w:rPr>
          <w:t xml:space="preserve">99 </w:t>
        </w:r>
        <w:r>
          <w:rPr>
            <w:rFonts w:ascii="Arial" w:cs="Arial" w:eastAsia="Arial" w:hAnsi="Arial"/>
            <w:sz w:val="19"/>
            <w:szCs w:val="19"/>
            <w:b w:val="1"/>
            <w:bCs w:val="1"/>
            <w:color w:val="16479F"/>
          </w:rPr>
          <w:t>Proposal No. 3:</w:t>
        </w:r>
        <w:r>
          <w:rPr>
            <w:rFonts w:ascii="Arial" w:cs="Arial" w:eastAsia="Arial" w:hAnsi="Arial"/>
            <w:sz w:val="25"/>
            <w:szCs w:val="25"/>
            <w:b w:val="1"/>
            <w:bCs w:val="1"/>
            <w:color w:val="16479F"/>
          </w:rPr>
          <w:t xml:space="preserve"> </w:t>
        </w:r>
        <w:r>
          <w:rPr>
            <w:rFonts w:ascii="Arial" w:cs="Arial" w:eastAsia="Arial" w:hAnsi="Arial"/>
            <w:sz w:val="19"/>
            <w:szCs w:val="19"/>
            <w:color w:val="000000"/>
          </w:rPr>
          <w:t>Ratification of the Appointment of</w:t>
        </w:r>
      </w:hyperlink>
      <w:r>
        <w:rPr>
          <w:rFonts w:ascii="Arial" w:cs="Arial" w:eastAsia="Arial" w:hAnsi="Arial"/>
          <w:sz w:val="25"/>
          <w:szCs w:val="25"/>
          <w:b w:val="1"/>
          <w:bCs w:val="1"/>
          <w:color w:val="16479F"/>
        </w:rPr>
        <w:t xml:space="preserve"> </w:t>
      </w:r>
      <w:hyperlink w:anchor="page100">
        <w:r>
          <w:rPr>
            <w:rFonts w:ascii="Arial" w:cs="Arial" w:eastAsia="Arial" w:hAnsi="Arial"/>
            <w:sz w:val="19"/>
            <w:szCs w:val="19"/>
            <w:color w:val="000000"/>
          </w:rPr>
          <w:t>MSCI Inc.’s Independent Auditor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-10160</wp:posOffset>
            </wp:positionV>
            <wp:extent cx="374015"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74015" cy="34290"/>
                    </a:xfrm>
                    <a:prstGeom prst="rect">
                      <a:avLst/>
                    </a:prstGeom>
                    <a:noFill/>
                  </pic:spPr>
                </pic:pic>
              </a:graphicData>
            </a:graphic>
          </wp:anchor>
        </w:drawing>
      </w:r>
    </w:p>
    <w:p>
      <w:pPr>
        <w:spacing w:after="0" w:line="218" w:lineRule="auto"/>
        <w:rPr>
          <w:rFonts w:ascii="Arial" w:cs="Arial" w:eastAsia="Arial" w:hAnsi="Arial"/>
          <w:sz w:val="20"/>
          <w:szCs w:val="20"/>
          <w:b w:val="1"/>
          <w:bCs w:val="1"/>
          <w:color w:val="16479F"/>
        </w:rPr>
      </w:pPr>
      <w:hyperlink w:anchor="page101">
        <w:r>
          <w:rPr>
            <w:rFonts w:ascii="Arial" w:cs="Arial" w:eastAsia="Arial" w:hAnsi="Arial"/>
            <w:sz w:val="49"/>
            <w:szCs w:val="49"/>
            <w:b w:val="1"/>
            <w:bCs w:val="1"/>
            <w:color w:val="16479F"/>
            <w:vertAlign w:val="subscript"/>
          </w:rPr>
          <w:t>100</w:t>
        </w:r>
        <w:r>
          <w:rPr>
            <w:rFonts w:ascii="Arial" w:cs="Arial" w:eastAsia="Arial" w:hAnsi="Arial"/>
            <w:sz w:val="20"/>
            <w:szCs w:val="20"/>
            <w:b w:val="1"/>
            <w:bCs w:val="1"/>
            <w:color w:val="16479F"/>
          </w:rPr>
          <w:t xml:space="preserve"> Beneficial Ownership of Common Stock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-54610</wp:posOffset>
            </wp:positionV>
            <wp:extent cx="374015"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74015" cy="34290"/>
                    </a:xfrm>
                    <a:prstGeom prst="rect">
                      <a:avLst/>
                    </a:prstGeom>
                    <a:noFill/>
                  </pic:spPr>
                </pic:pic>
              </a:graphicData>
            </a:graphic>
          </wp:anchor>
        </w:drawing>
      </w:r>
    </w:p>
    <w:p>
      <w:pPr>
        <w:spacing w:after="0" w:line="55" w:lineRule="exact"/>
        <w:rPr>
          <w:sz w:val="20"/>
          <w:szCs w:val="20"/>
          <w:color w:val="auto"/>
        </w:rPr>
      </w:pPr>
    </w:p>
    <w:p>
      <w:pPr>
        <w:ind w:left="480" w:hanging="331"/>
        <w:spacing w:after="0"/>
        <w:tabs>
          <w:tab w:leader="none" w:pos="480" w:val="left"/>
        </w:tabs>
        <w:numPr>
          <w:ilvl w:val="0"/>
          <w:numId w:val="23"/>
        </w:numPr>
        <w:rPr>
          <w:rFonts w:ascii="Arial" w:cs="Arial" w:eastAsia="Arial" w:hAnsi="Arial"/>
          <w:sz w:val="16"/>
          <w:szCs w:val="16"/>
          <w:color w:val="auto"/>
        </w:rPr>
      </w:pPr>
      <w:hyperlink w:anchor="page101">
        <w:r>
          <w:rPr>
            <w:rFonts w:ascii="Arial" w:cs="Arial" w:eastAsia="Arial" w:hAnsi="Arial"/>
            <w:sz w:val="16"/>
            <w:szCs w:val="16"/>
            <w:color w:val="auto"/>
          </w:rPr>
          <w:t>Stock Ownership of Executive Officers and Directors</w:t>
        </w:r>
      </w:hyperlink>
    </w:p>
    <w:p>
      <w:pPr>
        <w:spacing w:after="0" w:line="3" w:lineRule="exact"/>
        <w:rPr>
          <w:rFonts w:ascii="Arial" w:cs="Arial" w:eastAsia="Arial" w:hAnsi="Arial"/>
          <w:sz w:val="16"/>
          <w:szCs w:val="16"/>
          <w:color w:val="auto"/>
        </w:rPr>
      </w:pPr>
    </w:p>
    <w:p>
      <w:pPr>
        <w:ind w:left="480" w:hanging="331"/>
        <w:spacing w:after="0"/>
        <w:tabs>
          <w:tab w:leader="none" w:pos="480" w:val="left"/>
        </w:tabs>
        <w:numPr>
          <w:ilvl w:val="0"/>
          <w:numId w:val="23"/>
        </w:numPr>
        <w:rPr>
          <w:rFonts w:ascii="Arial" w:cs="Arial" w:eastAsia="Arial" w:hAnsi="Arial"/>
          <w:sz w:val="16"/>
          <w:szCs w:val="16"/>
          <w:color w:val="auto"/>
        </w:rPr>
      </w:pPr>
      <w:hyperlink w:anchor="page102">
        <w:r>
          <w:rPr>
            <w:rFonts w:ascii="Arial" w:cs="Arial" w:eastAsia="Arial" w:hAnsi="Arial"/>
            <w:sz w:val="16"/>
            <w:szCs w:val="16"/>
            <w:color w:val="auto"/>
          </w:rPr>
          <w:t>Stock Ownership of Principal Shareholders</w:t>
        </w:r>
      </w:hyperlink>
    </w:p>
    <w:p>
      <w:pPr>
        <w:spacing w:after="0" w:line="9" w:lineRule="exact"/>
        <w:rPr>
          <w:rFonts w:ascii="Arial" w:cs="Arial" w:eastAsia="Arial" w:hAnsi="Arial"/>
          <w:sz w:val="16"/>
          <w:szCs w:val="16"/>
          <w:color w:val="auto"/>
        </w:rPr>
      </w:pPr>
    </w:p>
    <w:p>
      <w:pPr>
        <w:ind w:left="480" w:hanging="480"/>
        <w:spacing w:after="0" w:line="181" w:lineRule="auto"/>
        <w:tabs>
          <w:tab w:leader="none" w:pos="480" w:val="left"/>
        </w:tabs>
        <w:numPr>
          <w:ilvl w:val="0"/>
          <w:numId w:val="23"/>
        </w:numPr>
        <w:rPr>
          <w:rFonts w:ascii="Arial" w:cs="Arial" w:eastAsia="Arial" w:hAnsi="Arial"/>
          <w:sz w:val="16"/>
          <w:szCs w:val="16"/>
          <w:b w:val="1"/>
          <w:bCs w:val="1"/>
          <w:color w:val="16479F"/>
        </w:rPr>
      </w:pPr>
      <w:hyperlink w:anchor="page103">
        <w:r>
          <w:rPr>
            <w:rFonts w:ascii="Arial" w:cs="Arial" w:eastAsia="Arial" w:hAnsi="Arial"/>
            <w:sz w:val="16"/>
            <w:szCs w:val="16"/>
            <w:b w:val="1"/>
            <w:bCs w:val="1"/>
            <w:color w:val="16479F"/>
          </w:rPr>
          <w:t>Other Matters</w:t>
        </w:r>
      </w:hyperlink>
    </w:p>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304800</wp:posOffset>
            </wp:positionH>
            <wp:positionV relativeFrom="paragraph">
              <wp:posOffset>-10160</wp:posOffset>
            </wp:positionV>
            <wp:extent cx="374015"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74015" cy="34290"/>
                    </a:xfrm>
                    <a:prstGeom prst="rect">
                      <a:avLst/>
                    </a:prstGeom>
                    <a:noFill/>
                  </pic:spPr>
                </pic:pic>
              </a:graphicData>
            </a:graphic>
          </wp:anchor>
        </w:drawing>
      </w:r>
    </w:p>
    <w:p>
      <w:pPr>
        <w:spacing w:after="0" w:line="126" w:lineRule="exact"/>
        <w:rPr>
          <w:rFonts w:ascii="Arial" w:cs="Arial" w:eastAsia="Arial" w:hAnsi="Arial"/>
          <w:sz w:val="16"/>
          <w:szCs w:val="16"/>
          <w:b w:val="1"/>
          <w:bCs w:val="1"/>
          <w:color w:val="auto"/>
        </w:rPr>
      </w:pPr>
    </w:p>
    <w:p>
      <w:pPr>
        <w:ind w:left="480" w:hanging="331"/>
        <w:spacing w:after="0"/>
        <w:tabs>
          <w:tab w:leader="none" w:pos="480" w:val="left"/>
        </w:tabs>
        <w:numPr>
          <w:ilvl w:val="0"/>
          <w:numId w:val="24"/>
        </w:numPr>
        <w:rPr>
          <w:rFonts w:ascii="Arial" w:cs="Arial" w:eastAsia="Arial" w:hAnsi="Arial"/>
          <w:sz w:val="16"/>
          <w:szCs w:val="16"/>
          <w:color w:val="auto"/>
        </w:rPr>
      </w:pPr>
      <w:hyperlink w:anchor="page103">
        <w:r>
          <w:rPr>
            <w:rFonts w:ascii="Arial" w:cs="Arial" w:eastAsia="Arial" w:hAnsi="Arial"/>
            <w:sz w:val="16"/>
            <w:szCs w:val="16"/>
            <w:color w:val="auto"/>
          </w:rPr>
          <w:t>Corporate Governance Documents</w:t>
        </w:r>
      </w:hyperlink>
    </w:p>
    <w:p>
      <w:pPr>
        <w:spacing w:after="0" w:line="3" w:lineRule="exact"/>
        <w:rPr>
          <w:rFonts w:ascii="Arial" w:cs="Arial" w:eastAsia="Arial" w:hAnsi="Arial"/>
          <w:sz w:val="16"/>
          <w:szCs w:val="16"/>
          <w:color w:val="auto"/>
        </w:rPr>
      </w:pPr>
    </w:p>
    <w:p>
      <w:pPr>
        <w:ind w:left="480" w:hanging="331"/>
        <w:spacing w:after="0"/>
        <w:tabs>
          <w:tab w:leader="none" w:pos="480" w:val="left"/>
        </w:tabs>
        <w:numPr>
          <w:ilvl w:val="0"/>
          <w:numId w:val="25"/>
        </w:numPr>
        <w:rPr>
          <w:rFonts w:ascii="Arial" w:cs="Arial" w:eastAsia="Arial" w:hAnsi="Arial"/>
          <w:sz w:val="16"/>
          <w:szCs w:val="16"/>
          <w:color w:val="auto"/>
        </w:rPr>
      </w:pPr>
      <w:hyperlink w:anchor="page103">
        <w:r>
          <w:rPr>
            <w:rFonts w:ascii="Arial" w:cs="Arial" w:eastAsia="Arial" w:hAnsi="Arial"/>
            <w:sz w:val="16"/>
            <w:szCs w:val="16"/>
            <w:color w:val="auto"/>
          </w:rPr>
          <w:t>Certain Transactions</w:t>
        </w:r>
      </w:hyperlink>
    </w:p>
    <w:p>
      <w:pPr>
        <w:spacing w:after="0" w:line="3" w:lineRule="exact"/>
        <w:rPr>
          <w:rFonts w:ascii="Arial" w:cs="Arial" w:eastAsia="Arial" w:hAnsi="Arial"/>
          <w:sz w:val="16"/>
          <w:szCs w:val="16"/>
          <w:color w:val="auto"/>
        </w:rPr>
      </w:pPr>
    </w:p>
    <w:p>
      <w:pPr>
        <w:ind w:left="480" w:hanging="331"/>
        <w:spacing w:after="0"/>
        <w:tabs>
          <w:tab w:leader="none" w:pos="480" w:val="left"/>
        </w:tabs>
        <w:numPr>
          <w:ilvl w:val="0"/>
          <w:numId w:val="25"/>
        </w:numPr>
        <w:rPr>
          <w:rFonts w:ascii="Arial" w:cs="Arial" w:eastAsia="Arial" w:hAnsi="Arial"/>
          <w:sz w:val="16"/>
          <w:szCs w:val="16"/>
          <w:color w:val="auto"/>
        </w:rPr>
      </w:pPr>
      <w:hyperlink w:anchor="page104">
        <w:r>
          <w:rPr>
            <w:rFonts w:ascii="Arial" w:cs="Arial" w:eastAsia="Arial" w:hAnsi="Arial"/>
            <w:sz w:val="16"/>
            <w:szCs w:val="16"/>
            <w:color w:val="auto"/>
          </w:rPr>
          <w:t>Related Person Transactions Policy</w:t>
        </w:r>
      </w:hyperlink>
    </w:p>
    <w:p>
      <w:pPr>
        <w:spacing w:after="0" w:line="3" w:lineRule="exact"/>
        <w:rPr>
          <w:rFonts w:ascii="Arial" w:cs="Arial" w:eastAsia="Arial" w:hAnsi="Arial"/>
          <w:sz w:val="16"/>
          <w:szCs w:val="16"/>
          <w:color w:val="auto"/>
        </w:rPr>
      </w:pPr>
    </w:p>
    <w:p>
      <w:pPr>
        <w:ind w:left="480" w:hanging="331"/>
        <w:spacing w:after="0"/>
        <w:tabs>
          <w:tab w:leader="none" w:pos="480" w:val="left"/>
        </w:tabs>
        <w:numPr>
          <w:ilvl w:val="0"/>
          <w:numId w:val="26"/>
        </w:numPr>
        <w:rPr>
          <w:rFonts w:ascii="Arial" w:cs="Arial" w:eastAsia="Arial" w:hAnsi="Arial"/>
          <w:sz w:val="16"/>
          <w:szCs w:val="16"/>
          <w:color w:val="auto"/>
        </w:rPr>
      </w:pPr>
      <w:hyperlink w:anchor="page104">
        <w:r>
          <w:rPr>
            <w:rFonts w:ascii="Arial" w:cs="Arial" w:eastAsia="Arial" w:hAnsi="Arial"/>
            <w:sz w:val="16"/>
            <w:szCs w:val="16"/>
            <w:color w:val="auto"/>
          </w:rPr>
          <w:t>Other Business</w:t>
        </w:r>
      </w:hyperlink>
    </w:p>
    <w:p>
      <w:pPr>
        <w:spacing w:after="0" w:line="9" w:lineRule="exact"/>
        <w:rPr>
          <w:rFonts w:ascii="Arial" w:cs="Arial" w:eastAsia="Arial" w:hAnsi="Arial"/>
          <w:sz w:val="16"/>
          <w:szCs w:val="16"/>
          <w:color w:val="auto"/>
        </w:rPr>
      </w:pPr>
    </w:p>
    <w:p>
      <w:pPr>
        <w:ind w:left="480" w:hanging="480"/>
        <w:spacing w:after="0" w:line="181" w:lineRule="auto"/>
        <w:tabs>
          <w:tab w:leader="none" w:pos="480" w:val="left"/>
        </w:tabs>
        <w:numPr>
          <w:ilvl w:val="0"/>
          <w:numId w:val="26"/>
        </w:numPr>
        <w:rPr>
          <w:rFonts w:ascii="Arial" w:cs="Arial" w:eastAsia="Arial" w:hAnsi="Arial"/>
          <w:sz w:val="16"/>
          <w:szCs w:val="16"/>
          <w:b w:val="1"/>
          <w:bCs w:val="1"/>
          <w:color w:val="16479F"/>
        </w:rPr>
      </w:pPr>
      <w:hyperlink w:anchor="page105">
        <w:r>
          <w:rPr>
            <w:rFonts w:ascii="Arial" w:cs="Arial" w:eastAsia="Arial" w:hAnsi="Arial"/>
            <w:sz w:val="16"/>
            <w:szCs w:val="16"/>
            <w:b w:val="1"/>
            <w:bCs w:val="1"/>
            <w:color w:val="16479F"/>
          </w:rPr>
          <w:t>Annex A: Frequently Asked Questions</w:t>
        </w:r>
      </w:hyperlink>
    </w:p>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304800</wp:posOffset>
            </wp:positionH>
            <wp:positionV relativeFrom="paragraph">
              <wp:posOffset>-10160</wp:posOffset>
            </wp:positionV>
            <wp:extent cx="374015"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74015" cy="34290"/>
                    </a:xfrm>
                    <a:prstGeom prst="rect">
                      <a:avLst/>
                    </a:prstGeom>
                    <a:noFill/>
                  </pic:spPr>
                </pic:pic>
              </a:graphicData>
            </a:graphic>
          </wp:anchor>
        </w:drawing>
      </w:r>
    </w:p>
    <w:p>
      <w:pPr>
        <w:spacing w:after="0" w:line="223" w:lineRule="auto"/>
        <w:rPr>
          <w:rFonts w:ascii="Arial" w:cs="Arial" w:eastAsia="Arial" w:hAnsi="Arial"/>
          <w:sz w:val="20"/>
          <w:szCs w:val="20"/>
          <w:b w:val="1"/>
          <w:bCs w:val="1"/>
          <w:color w:val="16479F"/>
        </w:rPr>
      </w:pPr>
      <w:hyperlink w:anchor="page112">
        <w:r>
          <w:rPr>
            <w:rFonts w:ascii="Arial" w:cs="Arial" w:eastAsia="Arial" w:hAnsi="Arial"/>
            <w:sz w:val="49"/>
            <w:szCs w:val="49"/>
            <w:b w:val="1"/>
            <w:bCs w:val="1"/>
            <w:color w:val="16479F"/>
            <w:vertAlign w:val="subscript"/>
          </w:rPr>
          <w:t>111</w:t>
        </w:r>
        <w:r>
          <w:rPr>
            <w:rFonts w:ascii="Arial" w:cs="Arial" w:eastAsia="Arial" w:hAnsi="Arial"/>
            <w:sz w:val="20"/>
            <w:szCs w:val="20"/>
            <w:b w:val="1"/>
            <w:bCs w:val="1"/>
            <w:color w:val="16479F"/>
          </w:rPr>
          <w:t xml:space="preserve"> Annex B: Supplemental Financial Information</w:t>
        </w:r>
      </w:hyperlink>
    </w:p>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-3716020</wp:posOffset>
            </wp:positionH>
            <wp:positionV relativeFrom="paragraph">
              <wp:posOffset>1042670</wp:posOffset>
            </wp:positionV>
            <wp:extent cx="7133590" cy="20066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3590" cy="2006600"/>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-53340</wp:posOffset>
            </wp:positionV>
            <wp:extent cx="374015"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74015" cy="34290"/>
                    </a:xfrm>
                    <a:prstGeom prst="rect">
                      <a:avLst/>
                    </a:prstGeom>
                    <a:noFill/>
                  </pic:spPr>
                </pic:pic>
              </a:graphicData>
            </a:graphic>
          </wp:anchor>
        </w:drawing>
      </w:r>
    </w:p>
    <w:p>
      <w:pPr>
        <w:spacing w:after="0" w:line="2035" w:lineRule="exact"/>
        <w:rPr>
          <w:rFonts w:ascii="Arial" w:cs="Arial" w:eastAsia="Arial" w:hAnsi="Arial"/>
          <w:sz w:val="16"/>
          <w:szCs w:val="16"/>
          <w:b w:val="1"/>
          <w:bCs w:val="1"/>
          <w:color w:val="auto"/>
        </w:rPr>
      </w:pPr>
    </w:p>
    <w:p>
      <w:pPr>
        <w:sectPr>
          <w:pgSz w:w="11900" w:h="16838" w:orient="portrait"/>
          <w:cols w:equalWidth="0" w:num="2">
            <w:col w:w="5140" w:space="720"/>
            <w:col w:w="5380"/>
          </w:cols>
          <w:pgMar w:left="320" w:top="121" w:right="339" w:bottom="1440" w:gutter="0" w:footer="0" w:header="0"/>
          <w:type w:val="continuous"/>
        </w:sectPr>
      </w:pPr>
    </w:p>
    <w:p>
      <w:pPr>
        <w:ind w:left="100" w:right="120"/>
        <w:spacing w:after="0" w:line="242" w:lineRule="auto"/>
        <w:rPr>
          <w:sz w:val="20"/>
          <w:szCs w:val="20"/>
          <w:color w:val="auto"/>
        </w:rPr>
      </w:pPr>
      <w:r>
        <w:rPr>
          <w:rFonts w:ascii="Arial" w:cs="Arial" w:eastAsia="Arial" w:hAnsi="Arial"/>
          <w:sz w:val="14"/>
          <w:szCs w:val="14"/>
          <w:color w:val="auto"/>
        </w:rPr>
        <w:t>This Proxy Statement contains forward-looking statements within the meaning of the Private Securities Litigation Reform Act of 1995. These forward-looking statements relate to future events or to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statements. In some cases, you can identify forward-looking statements by the use of words such as “may,” “could,” “expect,” “intend,” “plan,” “seek,” “anticipate,” “believe,” “estimate,” “predict,” “potential” or “continue,” or the negative of these terms or other comparable terminology. You should not place undue reliance on forward-looking statements because they involve known and unknown risks, uncertainties and other factors that are, in some cases, beyond our control and that could materially affect our actual results, levels of activity, performance or achievements.</w:t>
      </w:r>
    </w:p>
    <w:p>
      <w:pPr>
        <w:spacing w:after="0" w:line="122" w:lineRule="exact"/>
        <w:rPr>
          <w:rFonts w:ascii="Arial" w:cs="Arial" w:eastAsia="Arial" w:hAnsi="Arial"/>
          <w:sz w:val="16"/>
          <w:szCs w:val="16"/>
          <w:b w:val="1"/>
          <w:bCs w:val="1"/>
          <w:color w:val="auto"/>
        </w:rPr>
      </w:pPr>
    </w:p>
    <w:p>
      <w:pPr>
        <w:ind w:left="100" w:right="180"/>
        <w:spacing w:after="0" w:line="242" w:lineRule="auto"/>
        <w:rPr>
          <w:sz w:val="20"/>
          <w:szCs w:val="20"/>
          <w:color w:val="auto"/>
        </w:rPr>
      </w:pPr>
      <w:r>
        <w:rPr>
          <w:rFonts w:ascii="Arial" w:cs="Arial" w:eastAsia="Arial" w:hAnsi="Arial"/>
          <w:sz w:val="14"/>
          <w:szCs w:val="14"/>
          <w:color w:val="auto"/>
        </w:rPr>
        <w:t>Other factors that could materially affect actual results, levels of activity, performance or achievements can be found in the 2021 Annual Report on Form 10-K filed with the SEC on February 11, 2022 and in quarterly reports on Form 10-Q and current reports on Form 8-K filed or furnished with the SEC. If any of these risks or uncertainties materialize, or if our underlying assumptions prove to be incorrect, actual results may vary significantly from what MSCI projected. Any forward-looking statement in this Proxy Statement reflects MSCI’s current views with respect to future events and is subject to these and other risks, uncertainties and assumptions relating to MSCI’s operations, results of operations, growth strategy and liquidity. MSCI assumes no obligation to publicly update or revise these forward-looking statements for any reason, whether as a result of new information, future events or otherwise, except as required by law.</w:t>
      </w:r>
    </w:p>
    <w:p>
      <w:pPr>
        <w:spacing w:after="0" w:line="119" w:lineRule="exact"/>
        <w:rPr>
          <w:rFonts w:ascii="Arial" w:cs="Arial" w:eastAsia="Arial" w:hAnsi="Arial"/>
          <w:sz w:val="16"/>
          <w:szCs w:val="16"/>
          <w:b w:val="1"/>
          <w:bCs w:val="1"/>
          <w:color w:val="auto"/>
        </w:rPr>
      </w:pPr>
    </w:p>
    <w:p>
      <w:pPr>
        <w:ind w:left="100" w:right="620"/>
        <w:spacing w:after="0" w:line="281" w:lineRule="auto"/>
        <w:rPr>
          <w:sz w:val="20"/>
          <w:szCs w:val="20"/>
          <w:color w:val="auto"/>
        </w:rPr>
      </w:pPr>
      <w:r>
        <w:rPr>
          <w:rFonts w:ascii="Arial" w:cs="Arial" w:eastAsia="Arial" w:hAnsi="Arial"/>
          <w:sz w:val="14"/>
          <w:szCs w:val="14"/>
          <w:b w:val="1"/>
          <w:bCs w:val="1"/>
          <w:color w:val="auto"/>
        </w:rPr>
        <w:t>Information and reports on our website or other websites that we refer to in this Proxy Statement will not be deemed a part of, or otherwise incorporated by reference in, this Proxy Statement or any other report we file with the SEC.</w:t>
      </w:r>
    </w:p>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2540</wp:posOffset>
            </wp:positionH>
            <wp:positionV relativeFrom="paragraph">
              <wp:posOffset>90170</wp:posOffset>
            </wp:positionV>
            <wp:extent cx="715454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149860</wp:posOffset>
            </wp:positionV>
            <wp:extent cx="7133590" cy="2127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3590" cy="212725"/>
                    </a:xfrm>
                    <a:prstGeom prst="rect">
                      <a:avLst/>
                    </a:prstGeom>
                    <a:noFill/>
                  </pic:spPr>
                </pic:pic>
              </a:graphicData>
            </a:graphic>
          </wp:anchor>
        </w:drawing>
      </w:r>
    </w:p>
    <w:p>
      <w:pPr>
        <w:spacing w:after="0" w:line="283" w:lineRule="exact"/>
        <w:rPr>
          <w:sz w:val="20"/>
          <w:szCs w:val="20"/>
          <w:color w:val="auto"/>
        </w:rPr>
      </w:pPr>
    </w:p>
    <w:p>
      <w:pPr>
        <w:ind w:left="800" w:hanging="704"/>
        <w:spacing w:after="0"/>
        <w:tabs>
          <w:tab w:leader="none" w:pos="800" w:val="left"/>
        </w:tabs>
        <w:numPr>
          <w:ilvl w:val="0"/>
          <w:numId w:val="27"/>
        </w:numPr>
        <w:rPr>
          <w:rFonts w:ascii="Arial" w:cs="Arial" w:eastAsia="Arial" w:hAnsi="Arial"/>
          <w:sz w:val="14"/>
          <w:szCs w:val="14"/>
          <w:b w:val="1"/>
          <w:bCs w:val="1"/>
          <w:color w:val="16479F"/>
        </w:rPr>
      </w:pPr>
      <w:r>
        <w:rPr>
          <w:rFonts w:ascii="Arial" w:cs="Arial" w:eastAsia="Arial" w:hAnsi="Arial"/>
          <w:sz w:val="14"/>
          <w:szCs w:val="14"/>
          <w:b w:val="1"/>
          <w:bCs w:val="1"/>
          <w:color w:val="16479F"/>
        </w:rPr>
        <w:t>MSCI</w:t>
      </w:r>
    </w:p>
    <w:p>
      <w:pPr>
        <w:spacing w:after="0" w:line="250" w:lineRule="exact"/>
        <w:rPr>
          <w:sz w:val="20"/>
          <w:szCs w:val="20"/>
          <w:color w:val="auto"/>
        </w:rPr>
      </w:pPr>
    </w:p>
    <w:p>
      <w:pPr>
        <w:spacing w:after="0"/>
        <w:rPr>
          <w:sz w:val="20"/>
          <w:szCs w:val="20"/>
          <w:color w:val="auto"/>
        </w:rPr>
      </w:pPr>
      <w:r>
        <w:rPr>
          <w:rFonts w:ascii="Arial" w:cs="Arial" w:eastAsia="Arial" w:hAnsi="Arial"/>
          <w:sz w:val="54"/>
          <w:szCs w:val="54"/>
          <w:b w:val="1"/>
          <w:bCs w:val="1"/>
          <w:color w:val="002739"/>
        </w:rPr>
        <w:t>Proxy Summary</w:t>
      </w:r>
    </w:p>
    <w:p>
      <w:pPr>
        <w:spacing w:after="0" w:line="260" w:lineRule="exact"/>
        <w:rPr>
          <w:sz w:val="20"/>
          <w:szCs w:val="20"/>
          <w:color w:val="auto"/>
        </w:rPr>
      </w:pPr>
    </w:p>
    <w:p>
      <w:pPr>
        <w:ind w:right="440"/>
        <w:spacing w:after="0" w:line="255" w:lineRule="auto"/>
        <w:rPr>
          <w:sz w:val="20"/>
          <w:szCs w:val="20"/>
          <w:color w:val="auto"/>
        </w:rPr>
      </w:pPr>
      <w:r>
        <w:rPr>
          <w:rFonts w:ascii="Arial" w:cs="Arial" w:eastAsia="Arial" w:hAnsi="Arial"/>
          <w:sz w:val="21"/>
          <w:szCs w:val="21"/>
          <w:color w:val="auto"/>
        </w:rPr>
        <w:t>This summary highlights information contained elsewhere in this Proxy Statement. It does not contain all of the information that you should consider, and you should read the entire Proxy Statement carefully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120650</wp:posOffset>
            </wp:positionV>
            <wp:extent cx="7133590" cy="52800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3590" cy="5280025"/>
                    </a:xfrm>
                    <a:prstGeom prst="rect">
                      <a:avLst/>
                    </a:prstGeom>
                    <a:noFill/>
                  </pic:spPr>
                </pic:pic>
              </a:graphicData>
            </a:graphic>
          </wp:anchor>
        </w:drawing>
      </w:r>
    </w:p>
    <w:p>
      <w:pPr>
        <w:sectPr>
          <w:pgSz w:w="11900" w:h="16838" w:orient="portrait"/>
          <w:cols w:equalWidth="0" w:num="1">
            <w:col w:w="10900"/>
          </w:cols>
          <w:pgMar w:left="320" w:top="121" w:right="679" w:bottom="1440" w:gutter="0" w:footer="0" w:header="0"/>
        </w:sectPr>
      </w:pPr>
    </w:p>
    <w:p>
      <w:pPr>
        <w:spacing w:after="0" w:line="368" w:lineRule="exact"/>
        <w:rPr>
          <w:sz w:val="20"/>
          <w:szCs w:val="20"/>
          <w:color w:val="auto"/>
        </w:rPr>
      </w:pPr>
    </w:p>
    <w:p>
      <w:pPr>
        <w:spacing w:after="0"/>
        <w:rPr>
          <w:sz w:val="20"/>
          <w:szCs w:val="20"/>
          <w:color w:val="auto"/>
        </w:rPr>
      </w:pPr>
      <w:r>
        <w:rPr>
          <w:rFonts w:ascii="Arial" w:cs="Arial" w:eastAsia="Arial" w:hAnsi="Arial"/>
          <w:sz w:val="32"/>
          <w:szCs w:val="32"/>
          <w:b w:val="1"/>
          <w:bCs w:val="1"/>
          <w:color w:val="16479F"/>
        </w:rPr>
        <w:t>MSCI at a Glance</w:t>
      </w:r>
    </w:p>
    <w:p>
      <w:pPr>
        <w:spacing w:after="0" w:line="206"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MSCI Inc. trades under the symbol “MSCI” on the New York Stock Exchange (“NYSE”) and as of March 1, 2022 had a market capitalization of $40.7 billion.</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spacing w:after="0"/>
        <w:rPr>
          <w:sz w:val="20"/>
          <w:szCs w:val="20"/>
          <w:color w:val="auto"/>
        </w:rPr>
      </w:pPr>
      <w:r>
        <w:rPr>
          <w:rFonts w:ascii="Arial" w:cs="Arial" w:eastAsia="Arial" w:hAnsi="Arial"/>
          <w:sz w:val="32"/>
          <w:szCs w:val="32"/>
          <w:b w:val="1"/>
          <w:bCs w:val="1"/>
          <w:color w:val="16479F"/>
        </w:rPr>
        <w:t>Mission</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To enable investors to build better portfolios for a better world.</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Strategic Pillars of Growth</w:t>
      </w:r>
    </w:p>
    <w:p>
      <w:pPr>
        <w:spacing w:after="0" w:line="262" w:lineRule="exact"/>
        <w:rPr>
          <w:sz w:val="20"/>
          <w:szCs w:val="20"/>
          <w:color w:val="auto"/>
        </w:rPr>
      </w:pPr>
    </w:p>
    <w:p>
      <w:pPr>
        <w:sectPr>
          <w:pgSz w:w="11900" w:h="16838" w:orient="portrait"/>
          <w:cols w:equalWidth="0" w:num="2">
            <w:col w:w="4260" w:space="440"/>
            <w:col w:w="6200"/>
          </w:cols>
          <w:pgMar w:left="320" w:top="121" w:right="679" w:bottom="1440" w:gutter="0" w:footer="0" w:header="0"/>
          <w:type w:val="continuous"/>
        </w:sectPr>
      </w:pP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2021,</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we employed</w:t>
      </w:r>
    </w:p>
    <w:p>
      <w:pPr>
        <w:spacing w:after="0" w:line="86" w:lineRule="exact"/>
        <w:rPr>
          <w:sz w:val="20"/>
          <w:szCs w:val="20"/>
          <w:color w:val="auto"/>
        </w:rPr>
      </w:pPr>
    </w:p>
    <w:p>
      <w:pPr>
        <w:spacing w:after="0"/>
        <w:rPr>
          <w:sz w:val="20"/>
          <w:szCs w:val="20"/>
          <w:color w:val="auto"/>
        </w:rPr>
      </w:pPr>
      <w:r>
        <w:rPr>
          <w:rFonts w:ascii="Arial" w:cs="Arial" w:eastAsia="Arial" w:hAnsi="Arial"/>
          <w:sz w:val="56"/>
          <w:szCs w:val="56"/>
          <w:b w:val="1"/>
          <w:bCs w:val="1"/>
          <w:color w:val="auto"/>
        </w:rPr>
        <w:t xml:space="preserve">4,303 </w:t>
      </w:r>
      <w:r>
        <w:rPr>
          <w:rFonts w:ascii="Arial" w:cs="Arial" w:eastAsia="Arial" w:hAnsi="Arial"/>
          <w:sz w:val="15"/>
          <w:szCs w:val="15"/>
          <w:color w:val="auto"/>
        </w:rPr>
        <w:t>people and served over</w:t>
      </w:r>
    </w:p>
    <w:p>
      <w:pPr>
        <w:spacing w:after="0" w:line="213" w:lineRule="exact"/>
        <w:rPr>
          <w:sz w:val="20"/>
          <w:szCs w:val="20"/>
          <w:color w:val="auto"/>
        </w:rPr>
      </w:pPr>
    </w:p>
    <w:p>
      <w:pPr>
        <w:spacing w:after="0"/>
        <w:rPr>
          <w:sz w:val="20"/>
          <w:szCs w:val="20"/>
          <w:color w:val="auto"/>
        </w:rPr>
      </w:pPr>
      <w:r>
        <w:rPr>
          <w:rFonts w:ascii="Arial" w:cs="Arial" w:eastAsia="Arial" w:hAnsi="Arial"/>
          <w:sz w:val="61"/>
          <w:szCs w:val="61"/>
          <w:b w:val="1"/>
          <w:bCs w:val="1"/>
          <w:color w:val="auto"/>
        </w:rPr>
        <w:t xml:space="preserve">6,300 </w:t>
      </w:r>
      <w:r>
        <w:rPr>
          <w:rFonts w:ascii="Arial" w:cs="Arial" w:eastAsia="Arial" w:hAnsi="Arial"/>
          <w:sz w:val="16"/>
          <w:szCs w:val="16"/>
          <w:color w:val="auto"/>
        </w:rPr>
        <w:t>clients in more than</w:t>
      </w:r>
    </w:p>
    <w:p>
      <w:pPr>
        <w:spacing w:after="0" w:line="235" w:lineRule="auto"/>
        <w:rPr>
          <w:sz w:val="20"/>
          <w:szCs w:val="20"/>
          <w:color w:val="auto"/>
        </w:rPr>
      </w:pPr>
      <w:r>
        <w:rPr>
          <w:rFonts w:ascii="Arial" w:cs="Arial" w:eastAsia="Arial" w:hAnsi="Arial"/>
          <w:sz w:val="61"/>
          <w:szCs w:val="61"/>
          <w:b w:val="1"/>
          <w:bCs w:val="1"/>
          <w:color w:val="auto"/>
        </w:rPr>
        <w:t>95</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jc w:val="both"/>
        <w:ind w:right="200"/>
        <w:spacing w:after="0" w:line="263" w:lineRule="auto"/>
        <w:rPr>
          <w:sz w:val="20"/>
          <w:szCs w:val="20"/>
          <w:color w:val="auto"/>
        </w:rPr>
      </w:pPr>
      <w:r>
        <w:rPr>
          <w:rFonts w:ascii="Arial" w:cs="Arial" w:eastAsia="Arial" w:hAnsi="Arial"/>
          <w:sz w:val="16"/>
          <w:szCs w:val="16"/>
          <w:b w:val="1"/>
          <w:bCs w:val="1"/>
          <w:color w:val="auto"/>
        </w:rPr>
        <w:t>Extend leadership in research-enhanced content across asset classes</w:t>
      </w:r>
    </w:p>
    <w:p>
      <w:pPr>
        <w:spacing w:after="0" w:line="332" w:lineRule="exact"/>
        <w:rPr>
          <w:sz w:val="20"/>
          <w:szCs w:val="20"/>
          <w:color w:val="auto"/>
        </w:rPr>
      </w:pPr>
    </w:p>
    <w:p>
      <w:pPr>
        <w:ind w:right="100"/>
        <w:spacing w:after="0" w:line="282" w:lineRule="auto"/>
        <w:rPr>
          <w:sz w:val="20"/>
          <w:szCs w:val="20"/>
          <w:color w:val="auto"/>
        </w:rPr>
      </w:pPr>
      <w:r>
        <w:rPr>
          <w:rFonts w:ascii="Arial" w:cs="Arial" w:eastAsia="Arial" w:hAnsi="Arial"/>
          <w:sz w:val="16"/>
          <w:szCs w:val="16"/>
          <w:b w:val="1"/>
          <w:bCs w:val="1"/>
          <w:color w:val="auto"/>
        </w:rPr>
        <w:t>Lead the enablement of ESG and climate investment integration</w:t>
      </w:r>
    </w:p>
    <w:p>
      <w:pPr>
        <w:spacing w:after="0" w:line="200" w:lineRule="exact"/>
        <w:rPr>
          <w:sz w:val="20"/>
          <w:szCs w:val="20"/>
          <w:color w:val="auto"/>
        </w:rPr>
      </w:pPr>
    </w:p>
    <w:p>
      <w:pPr>
        <w:spacing w:after="0" w:line="278" w:lineRule="exact"/>
        <w:rPr>
          <w:sz w:val="20"/>
          <w:szCs w:val="20"/>
          <w:color w:val="auto"/>
        </w:rPr>
      </w:pPr>
    </w:p>
    <w:p>
      <w:pPr>
        <w:spacing w:after="0" w:line="282" w:lineRule="auto"/>
        <w:rPr>
          <w:sz w:val="20"/>
          <w:szCs w:val="20"/>
          <w:color w:val="auto"/>
        </w:rPr>
      </w:pPr>
      <w:r>
        <w:rPr>
          <w:rFonts w:ascii="Arial" w:cs="Arial" w:eastAsia="Arial" w:hAnsi="Arial"/>
          <w:sz w:val="16"/>
          <w:szCs w:val="16"/>
          <w:b w:val="1"/>
          <w:bCs w:val="1"/>
          <w:color w:val="auto"/>
        </w:rPr>
        <w:t>Enhance distribution and content-enabling technology</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282" w:lineRule="auto"/>
        <w:rPr>
          <w:sz w:val="20"/>
          <w:szCs w:val="20"/>
          <w:color w:val="auto"/>
        </w:rPr>
      </w:pPr>
      <w:r>
        <w:rPr>
          <w:rFonts w:ascii="Arial" w:cs="Arial" w:eastAsia="Arial" w:hAnsi="Arial"/>
          <w:sz w:val="16"/>
          <w:szCs w:val="16"/>
          <w:b w:val="1"/>
          <w:bCs w:val="1"/>
          <w:color w:val="auto"/>
        </w:rPr>
        <w:t>Expand solutions that empower client customization</w:t>
      </w:r>
    </w:p>
    <w:p>
      <w:pPr>
        <w:spacing w:after="0" w:line="200" w:lineRule="exact"/>
        <w:rPr>
          <w:sz w:val="20"/>
          <w:szCs w:val="20"/>
          <w:color w:val="auto"/>
        </w:rPr>
      </w:pPr>
    </w:p>
    <w:p>
      <w:pPr>
        <w:spacing w:after="0" w:line="278" w:lineRule="exact"/>
        <w:rPr>
          <w:sz w:val="20"/>
          <w:szCs w:val="20"/>
          <w:color w:val="auto"/>
        </w:rPr>
      </w:pPr>
    </w:p>
    <w:p>
      <w:pPr>
        <w:ind w:right="80"/>
        <w:spacing w:after="0" w:line="263" w:lineRule="auto"/>
        <w:rPr>
          <w:sz w:val="20"/>
          <w:szCs w:val="20"/>
          <w:color w:val="auto"/>
        </w:rPr>
      </w:pPr>
      <w:r>
        <w:rPr>
          <w:rFonts w:ascii="Arial" w:cs="Arial" w:eastAsia="Arial" w:hAnsi="Arial"/>
          <w:sz w:val="16"/>
          <w:szCs w:val="16"/>
          <w:b w:val="1"/>
          <w:bCs w:val="1"/>
          <w:color w:val="auto"/>
        </w:rPr>
        <w:t>Strengthen client relationships and grow into strategic partnerships with clients</w:t>
      </w:r>
    </w:p>
    <w:p>
      <w:pPr>
        <w:spacing w:after="0" w:line="332" w:lineRule="exact"/>
        <w:rPr>
          <w:sz w:val="20"/>
          <w:szCs w:val="20"/>
          <w:color w:val="auto"/>
        </w:rPr>
      </w:pPr>
    </w:p>
    <w:p>
      <w:pPr>
        <w:ind w:right="180"/>
        <w:spacing w:after="0" w:line="263" w:lineRule="auto"/>
        <w:rPr>
          <w:sz w:val="20"/>
          <w:szCs w:val="20"/>
          <w:color w:val="auto"/>
        </w:rPr>
      </w:pPr>
      <w:r>
        <w:rPr>
          <w:rFonts w:ascii="Arial" w:cs="Arial" w:eastAsia="Arial" w:hAnsi="Arial"/>
          <w:sz w:val="16"/>
          <w:szCs w:val="16"/>
          <w:b w:val="1"/>
          <w:bCs w:val="1"/>
          <w:color w:val="auto"/>
        </w:rPr>
        <w:t>Execute strategic relationships and acquisitions with complementary content and technology companies</w:t>
      </w:r>
    </w:p>
    <w:p>
      <w:pPr>
        <w:spacing w:after="0" w:line="351" w:lineRule="exact"/>
        <w:rPr>
          <w:sz w:val="20"/>
          <w:szCs w:val="20"/>
          <w:color w:val="auto"/>
        </w:rPr>
      </w:pPr>
    </w:p>
    <w:p>
      <w:pPr>
        <w:sectPr>
          <w:pgSz w:w="11900" w:h="16838" w:orient="portrait"/>
          <w:cols w:equalWidth="0" w:num="3">
            <w:col w:w="3980" w:space="720"/>
            <w:col w:w="2600" w:space="700"/>
            <w:col w:w="2900"/>
          </w:cols>
          <w:pgMar w:left="320" w:top="121" w:right="679" w:bottom="1440" w:gutter="0" w:footer="0" w:header="0"/>
          <w:type w:val="continuous"/>
        </w:sectPr>
      </w:pPr>
    </w:p>
    <w:p>
      <w:pPr>
        <w:ind w:left="720"/>
        <w:spacing w:after="0" w:line="185" w:lineRule="auto"/>
        <w:rPr>
          <w:sz w:val="20"/>
          <w:szCs w:val="20"/>
          <w:color w:val="auto"/>
        </w:rPr>
      </w:pPr>
      <w:r>
        <w:rPr>
          <w:rFonts w:ascii="Arial" w:cs="Arial" w:eastAsia="Arial" w:hAnsi="Arial"/>
          <w:sz w:val="16"/>
          <w:szCs w:val="16"/>
          <w:color w:val="auto"/>
        </w:rPr>
        <w:t>countries.</w:t>
      </w:r>
    </w:p>
    <w:p>
      <w:pPr>
        <w:spacing w:after="0" w:line="200" w:lineRule="exact"/>
        <w:rPr>
          <w:sz w:val="20"/>
          <w:szCs w:val="20"/>
          <w:color w:val="auto"/>
        </w:rPr>
      </w:pPr>
    </w:p>
    <w:p>
      <w:pPr>
        <w:spacing w:after="0" w:line="276"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We are a leading provider of critical decision support tools and solutions for the global investment community. Our mission-critical offerings help investors address the challenges of a transforming investment landscape and power better investment decisions. Leveraging our knowledge of the global investment process and our expertise in research, data and technology, we enable our clients to understand and analyze key drivers of risk and return and confidently and efficiently build more effective portfolios.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Addressing All Participants in the Investment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-2981325</wp:posOffset>
            </wp:positionH>
            <wp:positionV relativeFrom="paragraph">
              <wp:posOffset>2439035</wp:posOffset>
            </wp:positionV>
            <wp:extent cx="715454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2">
            <w:col w:w="4120" w:space="580"/>
            <w:col w:w="6200"/>
          </w:cols>
          <w:pgMar w:left="320" w:top="121" w:right="679" w:bottom="1440" w:gutter="0" w:footer="0" w:header="0"/>
          <w:type w:val="continuous"/>
        </w:sectPr>
      </w:pPr>
    </w:p>
    <w:bookmarkStart w:id="9" w:name="page10"/>
    <w:bookmarkEnd w:id="9"/>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00" w:type="dxa"/>
            <w:vAlign w:val="bottom"/>
            <w:tcBorders>
              <w:right w:val="single" w:sz="8" w:color="16479F"/>
            </w:tcBorders>
          </w:tcPr>
          <w:p>
            <w:pPr>
              <w:ind w:left="8740"/>
              <w:spacing w:after="0"/>
              <w:rPr>
                <w:sz w:val="20"/>
                <w:szCs w:val="20"/>
                <w:color w:val="auto"/>
              </w:rPr>
            </w:pPr>
            <w:r>
              <w:rPr>
                <w:rFonts w:ascii="Arial" w:cs="Arial" w:eastAsia="Arial" w:hAnsi="Arial"/>
                <w:sz w:val="14"/>
                <w:szCs w:val="14"/>
                <w:b w:val="1"/>
                <w:bCs w:val="1"/>
                <w:color w:val="16479F"/>
              </w:rPr>
              <w:t>2022 PROXY STATEMENT</w:t>
            </w:r>
          </w:p>
        </w:tc>
        <w:tc>
          <w:tcPr>
            <w:tcW w:w="640" w:type="dxa"/>
            <w:vAlign w:val="bottom"/>
          </w:tcPr>
          <w:p>
            <w:pPr>
              <w:jc w:val="right"/>
              <w:ind w:right="9"/>
              <w:spacing w:after="0"/>
              <w:rPr>
                <w:sz w:val="20"/>
                <w:szCs w:val="20"/>
                <w:color w:val="auto"/>
              </w:rPr>
            </w:pPr>
            <w:r>
              <w:rPr>
                <w:rFonts w:ascii="Arial" w:cs="Arial" w:eastAsia="Arial" w:hAnsi="Arial"/>
                <w:sz w:val="14"/>
                <w:szCs w:val="14"/>
                <w:b w:val="1"/>
                <w:bCs w:val="1"/>
                <w:color w:val="16479F"/>
              </w:rPr>
              <w:t>9</w:t>
            </w:r>
          </w:p>
        </w:tc>
      </w:tr>
      <w:tr>
        <w:trPr>
          <w:trHeight w:val="65"/>
        </w:trPr>
        <w:tc>
          <w:tcPr>
            <w:tcW w:w="10600" w:type="dxa"/>
            <w:vAlign w:val="bottom"/>
            <w:tcBorders>
              <w:bottom w:val="single" w:sz="8" w:color="16479F"/>
              <w:right w:val="single" w:sz="8" w:color="16479F"/>
            </w:tcBorders>
          </w:tcPr>
          <w:p>
            <w:pPr>
              <w:spacing w:after="0"/>
              <w:rPr>
                <w:sz w:val="5"/>
                <w:szCs w:val="5"/>
                <w:color w:val="auto"/>
              </w:rPr>
            </w:pPr>
          </w:p>
        </w:tc>
        <w:tc>
          <w:tcPr>
            <w:tcW w:w="640" w:type="dxa"/>
            <w:vAlign w:val="bottom"/>
            <w:tcBorders>
              <w:bottom w:val="single" w:sz="8" w:color="16479F"/>
            </w:tcBorders>
          </w:tcPr>
          <w:p>
            <w:pPr>
              <w:spacing w:after="0"/>
              <w:rPr>
                <w:sz w:val="5"/>
                <w:szCs w:val="5"/>
                <w:color w:val="auto"/>
              </w:rPr>
            </w:pPr>
          </w:p>
        </w:tc>
      </w:tr>
      <w:tr>
        <w:trPr>
          <w:trHeight w:val="214"/>
        </w:trPr>
        <w:tc>
          <w:tcPr>
            <w:tcW w:w="106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32"/>
          <w:szCs w:val="32"/>
          <w:b w:val="1"/>
          <w:bCs w:val="1"/>
          <w:color w:val="16479F"/>
        </w:rPr>
        <w:t>Strong Financial Performance</w:t>
      </w:r>
    </w:p>
    <w:p>
      <w:pPr>
        <w:spacing w:after="0" w:line="206" w:lineRule="exact"/>
        <w:rPr>
          <w:sz w:val="20"/>
          <w:szCs w:val="20"/>
          <w:color w:val="auto"/>
        </w:rPr>
      </w:pPr>
    </w:p>
    <w:p>
      <w:pPr>
        <w:ind w:right="680"/>
        <w:spacing w:after="0" w:line="256" w:lineRule="auto"/>
        <w:rPr>
          <w:sz w:val="20"/>
          <w:szCs w:val="20"/>
          <w:color w:val="auto"/>
        </w:rPr>
      </w:pPr>
      <w:r>
        <w:rPr>
          <w:rFonts w:ascii="Arial" w:cs="Arial" w:eastAsia="Arial" w:hAnsi="Arial"/>
          <w:sz w:val="16"/>
          <w:szCs w:val="16"/>
          <w:color w:val="auto"/>
        </w:rPr>
        <w:t>In 2021, we continued to execute a focused strategy to accelerate growth, improve efficiency and attract the best talent. Our strong results reflect our commitment to building long-term shareholder value. Financial highlights for the year ended December 31, 2021 include the following:</w:t>
      </w:r>
    </w:p>
    <w:p>
      <w:pPr>
        <w:spacing w:after="0" w:line="213"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2021 Financial Highlights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000" w:type="dxa"/>
            <w:vAlign w:val="bottom"/>
            <w:gridSpan w:val="2"/>
          </w:tcPr>
          <w:p>
            <w:pPr>
              <w:spacing w:after="0"/>
              <w:rPr>
                <w:sz w:val="20"/>
                <w:szCs w:val="20"/>
                <w:color w:val="auto"/>
              </w:rPr>
            </w:pPr>
            <w:r>
              <w:rPr>
                <w:rFonts w:ascii="Arial" w:cs="Arial" w:eastAsia="Arial" w:hAnsi="Arial"/>
                <w:sz w:val="16"/>
                <w:szCs w:val="16"/>
                <w:b w:val="1"/>
                <w:bCs w:val="1"/>
                <w:color w:val="auto"/>
              </w:rPr>
              <w:t>OPERATING REVENUES</w:t>
            </w:r>
          </w:p>
        </w:tc>
        <w:tc>
          <w:tcPr>
            <w:tcW w:w="5240" w:type="dxa"/>
            <w:vAlign w:val="bottom"/>
          </w:tcPr>
          <w:p>
            <w:pPr>
              <w:spacing w:after="0"/>
              <w:rPr>
                <w:sz w:val="20"/>
                <w:szCs w:val="20"/>
                <w:color w:val="auto"/>
              </w:rPr>
            </w:pPr>
            <w:r>
              <w:rPr>
                <w:rFonts w:ascii="Arial" w:cs="Arial" w:eastAsia="Arial" w:hAnsi="Arial"/>
                <w:sz w:val="16"/>
                <w:szCs w:val="16"/>
                <w:b w:val="1"/>
                <w:bCs w:val="1"/>
                <w:color w:val="auto"/>
              </w:rPr>
              <w:t>OPERATING EXPENSES</w:t>
            </w:r>
          </w:p>
        </w:tc>
      </w:tr>
      <w:tr>
        <w:trPr>
          <w:trHeight w:val="226"/>
        </w:trPr>
        <w:tc>
          <w:tcPr>
            <w:tcW w:w="52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millions except percentages)</w:t>
            </w:r>
          </w:p>
        </w:tc>
        <w:tc>
          <w:tcPr>
            <w:tcW w:w="760" w:type="dxa"/>
            <w:vAlign w:val="bottom"/>
          </w:tcPr>
          <w:p>
            <w:pPr>
              <w:spacing w:after="0"/>
              <w:rPr>
                <w:sz w:val="19"/>
                <w:szCs w:val="19"/>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millions except percentages)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3813810</wp:posOffset>
            </wp:positionH>
            <wp:positionV relativeFrom="paragraph">
              <wp:posOffset>42545</wp:posOffset>
            </wp:positionV>
            <wp:extent cx="2780030" cy="20320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780030" cy="20320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DILUTED EPS / ADJUSTED EPS</w:t>
      </w:r>
      <w:r>
        <w:rPr>
          <w:rFonts w:ascii="Arial" w:cs="Arial" w:eastAsia="Arial" w:hAnsi="Arial"/>
          <w:sz w:val="24"/>
          <w:szCs w:val="24"/>
          <w:b w:val="1"/>
          <w:bCs w:val="1"/>
          <w:color w:val="auto"/>
          <w:vertAlign w:val="superscript"/>
        </w:rPr>
        <w:t>*</w:t>
      </w:r>
    </w:p>
    <w:p>
      <w:pPr>
        <w:ind w:left="20"/>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3324225" cy="19894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24225" cy="19894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CASH FROM OPERATING ACTIVITIES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millions except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wp:posOffset>
            </wp:positionV>
            <wp:extent cx="3324225" cy="19894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24225" cy="19894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720"/>
            <w:col w:w="522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0" w:right="100" w:hanging="193"/>
        <w:spacing w:after="0" w:line="244" w:lineRule="auto"/>
        <w:tabs>
          <w:tab w:leader="none" w:pos="2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MSCI has presented supplemental non-GAAP financial measures as part of this Proxy Statement. Definitions of each non-GAAP measure and a reconciliation of each non-GAAP financial measure with the most comparable GAAP measure are set forth in Annex B. The non-GAAP financial measures presented in this Proxy Statement should not be considered as alternative measures for the most directly comparable GAAP financial measures. The non-GAAP financial measures presented in this Proxy Statement are used by management to monitor the financial performance of the business, inform business decision making and forecast future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55245</wp:posOffset>
            </wp:positionV>
            <wp:extent cx="715454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149860</wp:posOffset>
            </wp:positionV>
            <wp:extent cx="7133590" cy="2127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3590" cy="212725"/>
                    </a:xfrm>
                    <a:prstGeom prst="rect">
                      <a:avLst/>
                    </a:prstGeom>
                    <a:noFill/>
                  </pic:spPr>
                </pic:pic>
              </a:graphicData>
            </a:graphic>
          </wp:anchor>
        </w:drawing>
      </w:r>
    </w:p>
    <w:p>
      <w:pPr>
        <w:spacing w:after="0" w:line="283"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4"/>
          <w:szCs w:val="14"/>
          <w:b w:val="1"/>
          <w:bCs w:val="1"/>
          <w:color w:val="16479F"/>
        </w:rPr>
        <w:t>10</w:t>
      </w:r>
      <w:r>
        <w:rPr>
          <w:sz w:val="20"/>
          <w:szCs w:val="20"/>
          <w:color w:val="auto"/>
        </w:rPr>
        <w:tab/>
      </w:r>
      <w:r>
        <w:rPr>
          <w:rFonts w:ascii="Arial" w:cs="Arial" w:eastAsia="Arial" w:hAnsi="Arial"/>
          <w:sz w:val="14"/>
          <w:szCs w:val="14"/>
          <w:b w:val="1"/>
          <w:bCs w:val="1"/>
          <w:color w:val="16479F"/>
        </w:rPr>
        <w:t>MSCI  |  PROXY SUMMARY</w:t>
      </w:r>
    </w:p>
    <w:p>
      <w:pPr>
        <w:sectPr>
          <w:pgSz w:w="11900" w:h="16838" w:orient="portrait"/>
          <w:cols w:equalWidth="0" w:num="1">
            <w:col w:w="11240"/>
          </w:cols>
          <w:pgMar w:left="320" w:top="121" w:right="339" w:bottom="1440" w:gutter="0" w:footer="0" w:header="0"/>
        </w:sectPr>
      </w:pPr>
    </w:p>
    <w:p>
      <w:pPr>
        <w:spacing w:after="0" w:line="286"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Our Capital Allocation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164465</wp:posOffset>
            </wp:positionV>
            <wp:extent cx="2355215" cy="9010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355215" cy="901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60"/>
        <w:spacing w:after="0"/>
        <w:rPr>
          <w:sz w:val="20"/>
          <w:szCs w:val="20"/>
          <w:color w:val="auto"/>
        </w:rPr>
      </w:pPr>
      <w:r>
        <w:rPr>
          <w:rFonts w:ascii="Arial" w:cs="Arial" w:eastAsia="Arial" w:hAnsi="Arial"/>
          <w:sz w:val="16"/>
          <w:szCs w:val="16"/>
          <w:b w:val="1"/>
          <w:bCs w:val="1"/>
          <w:color w:val="08B5AA"/>
        </w:rPr>
        <w:t xml:space="preserve">~$3.1 </w:t>
      </w:r>
      <w:r>
        <w:rPr>
          <w:rFonts w:ascii="Arial" w:cs="Arial" w:eastAsia="Arial" w:hAnsi="Arial"/>
          <w:sz w:val="16"/>
          <w:szCs w:val="16"/>
          <w:color w:val="00B5AA"/>
        </w:rPr>
        <w:t>billion</w:t>
      </w:r>
    </w:p>
    <w:p>
      <w:pPr>
        <w:spacing w:after="0" w:line="23" w:lineRule="exact"/>
        <w:rPr>
          <w:sz w:val="20"/>
          <w:szCs w:val="20"/>
          <w:color w:val="auto"/>
        </w:rPr>
      </w:pPr>
    </w:p>
    <w:p>
      <w:pPr>
        <w:jc w:val="center"/>
        <w:ind w:right="260"/>
        <w:spacing w:after="0" w:line="250" w:lineRule="auto"/>
        <w:rPr>
          <w:sz w:val="20"/>
          <w:szCs w:val="20"/>
          <w:color w:val="auto"/>
        </w:rPr>
      </w:pPr>
      <w:r>
        <w:rPr>
          <w:rFonts w:ascii="Arial" w:cs="Arial" w:eastAsia="Arial" w:hAnsi="Arial"/>
          <w:sz w:val="16"/>
          <w:szCs w:val="16"/>
          <w:color w:val="FFFFFF"/>
        </w:rPr>
        <w:t>Capital returned in the last five years (as of December 31, 2021) (includes dividends)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6"/>
        </w:trPr>
        <w:tc>
          <w:tcPr>
            <w:tcW w:w="2920" w:type="dxa"/>
            <w:vAlign w:val="bottom"/>
            <w:vMerge w:val="restart"/>
          </w:tcPr>
          <w:p>
            <w:pPr>
              <w:jc w:val="center"/>
              <w:ind w:right="744"/>
              <w:spacing w:after="0"/>
              <w:rPr>
                <w:sz w:val="20"/>
                <w:szCs w:val="20"/>
                <w:color w:val="auto"/>
              </w:rPr>
            </w:pPr>
            <w:r>
              <w:rPr>
                <w:rFonts w:ascii="Arial" w:cs="Arial" w:eastAsia="Arial" w:hAnsi="Arial"/>
                <w:sz w:val="61"/>
                <w:szCs w:val="61"/>
                <w:b w:val="1"/>
                <w:bCs w:val="1"/>
                <w:color w:val="08B5AA"/>
                <w:w w:val="94"/>
              </w:rPr>
              <w:t xml:space="preserve">~11.3 </w:t>
            </w:r>
            <w:r>
              <w:rPr>
                <w:rFonts w:ascii="Arial" w:cs="Arial" w:eastAsia="Arial" w:hAnsi="Arial"/>
                <w:sz w:val="16"/>
                <w:szCs w:val="16"/>
                <w:color w:val="00B5AA"/>
                <w:w w:val="94"/>
              </w:rPr>
              <w:t>million</w:t>
            </w:r>
          </w:p>
        </w:tc>
        <w:tc>
          <w:tcPr>
            <w:tcW w:w="20" w:type="dxa"/>
            <w:vAlign w:val="bottom"/>
          </w:tcPr>
          <w:p>
            <w:pPr>
              <w:spacing w:after="0"/>
              <w:rPr>
                <w:sz w:val="6"/>
                <w:szCs w:val="6"/>
                <w:color w:val="auto"/>
              </w:rPr>
            </w:pPr>
          </w:p>
        </w:tc>
        <w:tc>
          <w:tcPr>
            <w:tcW w:w="3680" w:type="dxa"/>
            <w:vAlign w:val="bottom"/>
            <w:vMerge w:val="restart"/>
          </w:tcPr>
          <w:p>
            <w:pPr>
              <w:jc w:val="center"/>
              <w:spacing w:after="0"/>
              <w:rPr>
                <w:sz w:val="20"/>
                <w:szCs w:val="20"/>
                <w:color w:val="auto"/>
              </w:rPr>
            </w:pPr>
            <w:r>
              <w:rPr>
                <w:rFonts w:ascii="Arial" w:cs="Arial" w:eastAsia="Arial" w:hAnsi="Arial"/>
                <w:sz w:val="61"/>
                <w:szCs w:val="61"/>
                <w:b w:val="1"/>
                <w:bCs w:val="1"/>
                <w:color w:val="08B5AA"/>
                <w:w w:val="94"/>
              </w:rPr>
              <w:t xml:space="preserve">~33.3 </w:t>
            </w:r>
            <w:r>
              <w:rPr>
                <w:rFonts w:ascii="Arial" w:cs="Arial" w:eastAsia="Arial" w:hAnsi="Arial"/>
                <w:sz w:val="16"/>
                <w:szCs w:val="16"/>
                <w:color w:val="00B5AA"/>
                <w:w w:val="94"/>
              </w:rPr>
              <w:t>percent</w:t>
            </w:r>
          </w:p>
        </w:tc>
        <w:tc>
          <w:tcPr>
            <w:tcW w:w="0" w:type="dxa"/>
            <w:vAlign w:val="bottom"/>
          </w:tcPr>
          <w:p>
            <w:pPr>
              <w:spacing w:after="0"/>
              <w:rPr>
                <w:sz w:val="1"/>
                <w:szCs w:val="1"/>
                <w:color w:val="auto"/>
              </w:rPr>
            </w:pPr>
          </w:p>
        </w:tc>
      </w:tr>
      <w:tr>
        <w:trPr>
          <w:trHeight w:val="698"/>
        </w:trPr>
        <w:tc>
          <w:tcPr>
            <w:tcW w:w="2920" w:type="dxa"/>
            <w:vAlign w:val="bottom"/>
            <w:vMerge w:val="continue"/>
          </w:tcPr>
          <w:p>
            <w:pPr>
              <w:spacing w:after="0"/>
              <w:rPr>
                <w:sz w:val="24"/>
                <w:szCs w:val="24"/>
                <w:color w:val="auto"/>
              </w:rPr>
            </w:pPr>
          </w:p>
        </w:tc>
        <w:tc>
          <w:tcPr>
            <w:tcW w:w="20" w:type="dxa"/>
            <w:vAlign w:val="bottom"/>
            <w:shd w:val="clear" w:color="auto" w:fill="00B5AA"/>
          </w:tcPr>
          <w:p>
            <w:pPr>
              <w:spacing w:after="0"/>
              <w:rPr>
                <w:sz w:val="24"/>
                <w:szCs w:val="24"/>
                <w:color w:val="auto"/>
              </w:rPr>
            </w:pPr>
          </w:p>
        </w:tc>
        <w:tc>
          <w:tcPr>
            <w:tcW w:w="3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920" w:type="dxa"/>
            <w:vAlign w:val="bottom"/>
          </w:tcPr>
          <w:p>
            <w:pPr>
              <w:jc w:val="center"/>
              <w:ind w:right="744"/>
              <w:spacing w:after="0"/>
              <w:rPr>
                <w:sz w:val="20"/>
                <w:szCs w:val="20"/>
                <w:color w:val="auto"/>
              </w:rPr>
            </w:pPr>
            <w:r>
              <w:rPr>
                <w:rFonts w:ascii="Arial" w:cs="Arial" w:eastAsia="Arial" w:hAnsi="Arial"/>
                <w:sz w:val="16"/>
                <w:szCs w:val="16"/>
                <w:color w:val="FFFFFF"/>
              </w:rPr>
              <w:t>Shares repurchased in the</w:t>
            </w:r>
          </w:p>
        </w:tc>
        <w:tc>
          <w:tcPr>
            <w:tcW w:w="20" w:type="dxa"/>
            <w:vAlign w:val="bottom"/>
            <w:shd w:val="clear" w:color="auto" w:fill="00B5AA"/>
          </w:tcPr>
          <w:p>
            <w:pPr>
              <w:spacing w:after="0"/>
              <w:rPr>
                <w:sz w:val="16"/>
                <w:szCs w:val="16"/>
                <w:color w:val="auto"/>
              </w:rPr>
            </w:pPr>
          </w:p>
        </w:tc>
        <w:tc>
          <w:tcPr>
            <w:tcW w:w="3680" w:type="dxa"/>
            <w:vAlign w:val="bottom"/>
          </w:tcPr>
          <w:p>
            <w:pPr>
              <w:jc w:val="center"/>
              <w:spacing w:after="0"/>
              <w:rPr>
                <w:sz w:val="20"/>
                <w:szCs w:val="20"/>
                <w:color w:val="auto"/>
              </w:rPr>
            </w:pPr>
            <w:r>
              <w:rPr>
                <w:rFonts w:ascii="Arial" w:cs="Arial" w:eastAsia="Arial" w:hAnsi="Arial"/>
                <w:sz w:val="16"/>
                <w:szCs w:val="16"/>
                <w:color w:val="FFFFFF"/>
              </w:rPr>
              <w:t>2021 increase in quarterly per-share</w:t>
            </w:r>
          </w:p>
        </w:tc>
        <w:tc>
          <w:tcPr>
            <w:tcW w:w="0" w:type="dxa"/>
            <w:vAlign w:val="bottom"/>
          </w:tcPr>
          <w:p>
            <w:pPr>
              <w:spacing w:after="0"/>
              <w:rPr>
                <w:sz w:val="1"/>
                <w:szCs w:val="1"/>
                <w:color w:val="auto"/>
              </w:rPr>
            </w:pPr>
          </w:p>
        </w:tc>
      </w:tr>
      <w:tr>
        <w:trPr>
          <w:trHeight w:val="187"/>
        </w:trPr>
        <w:tc>
          <w:tcPr>
            <w:tcW w:w="2920" w:type="dxa"/>
            <w:vAlign w:val="bottom"/>
          </w:tcPr>
          <w:p>
            <w:pPr>
              <w:jc w:val="center"/>
              <w:ind w:right="764"/>
              <w:spacing w:after="0"/>
              <w:rPr>
                <w:sz w:val="20"/>
                <w:szCs w:val="20"/>
                <w:color w:val="auto"/>
              </w:rPr>
            </w:pPr>
            <w:r>
              <w:rPr>
                <w:rFonts w:ascii="Arial" w:cs="Arial" w:eastAsia="Arial" w:hAnsi="Arial"/>
                <w:sz w:val="16"/>
                <w:szCs w:val="16"/>
                <w:color w:val="FFFFFF"/>
              </w:rPr>
              <w:t>last five years</w:t>
            </w:r>
          </w:p>
        </w:tc>
        <w:tc>
          <w:tcPr>
            <w:tcW w:w="20" w:type="dxa"/>
            <w:vAlign w:val="bottom"/>
            <w:shd w:val="clear" w:color="auto" w:fill="00B5AA"/>
          </w:tcPr>
          <w:p>
            <w:pPr>
              <w:spacing w:after="0"/>
              <w:rPr>
                <w:sz w:val="16"/>
                <w:szCs w:val="16"/>
                <w:color w:val="auto"/>
              </w:rPr>
            </w:pPr>
          </w:p>
        </w:tc>
        <w:tc>
          <w:tcPr>
            <w:tcW w:w="3680" w:type="dxa"/>
            <w:vAlign w:val="bottom"/>
          </w:tcPr>
          <w:p>
            <w:pPr>
              <w:jc w:val="center"/>
              <w:spacing w:after="0"/>
              <w:rPr>
                <w:sz w:val="20"/>
                <w:szCs w:val="20"/>
                <w:color w:val="auto"/>
              </w:rPr>
            </w:pPr>
            <w:r>
              <w:rPr>
                <w:rFonts w:ascii="Arial" w:cs="Arial" w:eastAsia="Arial" w:hAnsi="Arial"/>
                <w:sz w:val="16"/>
                <w:szCs w:val="16"/>
                <w:color w:val="FFFFFF"/>
                <w:w w:val="99"/>
              </w:rPr>
              <w:t>dividend from $0.78 quarterly to</w:t>
            </w:r>
          </w:p>
        </w:tc>
        <w:tc>
          <w:tcPr>
            <w:tcW w:w="0" w:type="dxa"/>
            <w:vAlign w:val="bottom"/>
          </w:tcPr>
          <w:p>
            <w:pPr>
              <w:spacing w:after="0"/>
              <w:rPr>
                <w:sz w:val="1"/>
                <w:szCs w:val="1"/>
                <w:color w:val="auto"/>
              </w:rPr>
            </w:pPr>
          </w:p>
        </w:tc>
      </w:tr>
      <w:tr>
        <w:trPr>
          <w:trHeight w:val="186"/>
        </w:trPr>
        <w:tc>
          <w:tcPr>
            <w:tcW w:w="2920" w:type="dxa"/>
            <w:vAlign w:val="bottom"/>
          </w:tcPr>
          <w:p>
            <w:pPr>
              <w:jc w:val="center"/>
              <w:ind w:right="744"/>
              <w:spacing w:after="0"/>
              <w:rPr>
                <w:sz w:val="20"/>
                <w:szCs w:val="20"/>
                <w:color w:val="auto"/>
              </w:rPr>
            </w:pPr>
            <w:r>
              <w:rPr>
                <w:rFonts w:ascii="Arial" w:cs="Arial" w:eastAsia="Arial" w:hAnsi="Arial"/>
                <w:sz w:val="16"/>
                <w:szCs w:val="16"/>
                <w:color w:val="FFFFFF"/>
              </w:rPr>
              <w:t>(as of December 31, 2021)</w:t>
            </w:r>
          </w:p>
        </w:tc>
        <w:tc>
          <w:tcPr>
            <w:tcW w:w="20" w:type="dxa"/>
            <w:vAlign w:val="bottom"/>
            <w:shd w:val="clear" w:color="auto" w:fill="00B5AA"/>
          </w:tcPr>
          <w:p>
            <w:pPr>
              <w:spacing w:after="0"/>
              <w:rPr>
                <w:sz w:val="16"/>
                <w:szCs w:val="16"/>
                <w:color w:val="auto"/>
              </w:rPr>
            </w:pPr>
          </w:p>
        </w:tc>
        <w:tc>
          <w:tcPr>
            <w:tcW w:w="3680" w:type="dxa"/>
            <w:vAlign w:val="bottom"/>
          </w:tcPr>
          <w:p>
            <w:pPr>
              <w:jc w:val="center"/>
              <w:spacing w:after="0"/>
              <w:rPr>
                <w:sz w:val="20"/>
                <w:szCs w:val="20"/>
                <w:color w:val="auto"/>
              </w:rPr>
            </w:pPr>
            <w:r>
              <w:rPr>
                <w:rFonts w:ascii="Arial" w:cs="Arial" w:eastAsia="Arial" w:hAnsi="Arial"/>
                <w:sz w:val="16"/>
                <w:szCs w:val="16"/>
                <w:color w:val="FFFFFF"/>
              </w:rPr>
              <w:t>$1.04 quarterly</w:t>
            </w:r>
          </w:p>
        </w:tc>
        <w:tc>
          <w:tcPr>
            <w:tcW w:w="0" w:type="dxa"/>
            <w:vAlign w:val="bottom"/>
          </w:tcPr>
          <w:p>
            <w:pPr>
              <w:spacing w:after="0"/>
              <w:rPr>
                <w:sz w:val="1"/>
                <w:szCs w:val="1"/>
                <w:color w:val="auto"/>
              </w:rPr>
            </w:pPr>
          </w:p>
        </w:tc>
      </w:tr>
      <w:tr>
        <w:trPr>
          <w:trHeight w:val="80"/>
        </w:trPr>
        <w:tc>
          <w:tcPr>
            <w:tcW w:w="2920" w:type="dxa"/>
            <w:vAlign w:val="bottom"/>
          </w:tcPr>
          <w:p>
            <w:pPr>
              <w:spacing w:after="0"/>
              <w:rPr>
                <w:sz w:val="6"/>
                <w:szCs w:val="6"/>
                <w:color w:val="auto"/>
              </w:rPr>
            </w:pPr>
          </w:p>
        </w:tc>
        <w:tc>
          <w:tcPr>
            <w:tcW w:w="20" w:type="dxa"/>
            <w:vAlign w:val="bottom"/>
            <w:tcBorders>
              <w:bottom w:val="single" w:sz="8" w:color="auto"/>
            </w:tcBorders>
            <w:shd w:val="clear" w:color="auto" w:fill="002739"/>
          </w:tcPr>
          <w:p>
            <w:pPr>
              <w:spacing w:after="0"/>
              <w:rPr>
                <w:sz w:val="6"/>
                <w:szCs w:val="6"/>
                <w:color w:val="auto"/>
              </w:rPr>
            </w:pPr>
          </w:p>
        </w:tc>
        <w:tc>
          <w:tcPr>
            <w:tcW w:w="3680" w:type="dxa"/>
            <w:vAlign w:val="bottom"/>
            <w:tcBorders>
              <w:bottom w:val="single" w:sz="8" w:color="auto"/>
            </w:tcBorders>
            <w:shd w:val="clear" w:color="auto" w:fill="002739"/>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-909320</wp:posOffset>
            </wp:positionV>
            <wp:extent cx="7133590" cy="909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3590" cy="909955"/>
                    </a:xfrm>
                    <a:prstGeom prst="rect">
                      <a:avLst/>
                    </a:prstGeom>
                    <a:noFill/>
                  </pic:spPr>
                </pic:pic>
              </a:graphicData>
            </a:graphic>
          </wp:anchor>
        </w:drawing>
      </w:r>
    </w:p>
    <w:p>
      <w:pPr>
        <w:spacing w:after="0" w:line="143" w:lineRule="exact"/>
        <w:rPr>
          <w:sz w:val="20"/>
          <w:szCs w:val="20"/>
          <w:color w:val="auto"/>
        </w:rPr>
      </w:pPr>
    </w:p>
    <w:p>
      <w:pPr>
        <w:sectPr>
          <w:pgSz w:w="11900" w:h="16838" w:orient="portrait"/>
          <w:cols w:equalWidth="0" w:num="2">
            <w:col w:w="3980" w:space="640"/>
            <w:col w:w="6620"/>
          </w:cols>
          <w:pgMar w:left="320" w:top="121" w:right="3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ANNUALIZED DIVIDEND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30480</wp:posOffset>
            </wp:positionV>
            <wp:extent cx="7133590" cy="18453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3590" cy="1845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00" w:hanging="293"/>
        <w:spacing w:after="0"/>
        <w:tabs>
          <w:tab w:leader="none" w:pos="300" w:val="left"/>
        </w:tabs>
        <w:numPr>
          <w:ilvl w:val="0"/>
          <w:numId w:val="29"/>
        </w:numPr>
        <w:rPr>
          <w:rFonts w:ascii="Arial" w:cs="Arial" w:eastAsia="Arial" w:hAnsi="Arial"/>
          <w:sz w:val="24"/>
          <w:szCs w:val="24"/>
          <w:color w:val="auto"/>
          <w:vertAlign w:val="superscript"/>
        </w:rPr>
      </w:pPr>
      <w:r>
        <w:rPr>
          <w:rFonts w:ascii="Arial" w:cs="Arial" w:eastAsia="Arial" w:hAnsi="Arial"/>
          <w:sz w:val="14"/>
          <w:szCs w:val="14"/>
          <w:color w:val="auto"/>
        </w:rPr>
        <w:t>MSCI began paying quarterly dividends in September 2014 at an annualized rate of $0.72 per share.</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b w:val="1"/>
          <w:bCs w:val="1"/>
          <w:color w:val="16479F"/>
        </w:rPr>
        <w:t>Capital Optimization Activities in 2021</w:t>
      </w:r>
    </w:p>
    <w:p>
      <w:pPr>
        <w:spacing w:after="0" w:line="248" w:lineRule="exact"/>
        <w:rPr>
          <w:sz w:val="20"/>
          <w:szCs w:val="20"/>
          <w:color w:val="auto"/>
        </w:rPr>
      </w:pPr>
    </w:p>
    <w:p>
      <w:pPr>
        <w:ind w:left="240" w:hanging="233"/>
        <w:spacing w:after="0"/>
        <w:tabs>
          <w:tab w:leader="none" w:pos="240" w:val="left"/>
        </w:tabs>
        <w:numPr>
          <w:ilvl w:val="0"/>
          <w:numId w:val="30"/>
        </w:numPr>
        <w:rPr>
          <w:rFonts w:ascii="Arial" w:cs="Arial" w:eastAsia="Arial" w:hAnsi="Arial"/>
          <w:sz w:val="16"/>
          <w:szCs w:val="16"/>
          <w:b w:val="1"/>
          <w:bCs w:val="1"/>
          <w:color w:val="16479F"/>
        </w:rPr>
      </w:pPr>
      <w:r>
        <w:rPr>
          <w:rFonts w:ascii="Arial" w:cs="Arial" w:eastAsia="Arial" w:hAnsi="Arial"/>
          <w:sz w:val="16"/>
          <w:szCs w:val="16"/>
          <w:color w:val="auto"/>
        </w:rPr>
        <w:t>Increased regular quarterly cash dividend by approximately 33.3% to $1.04 per share, representing $4.16 per share on an annualized basis.</w:t>
      </w:r>
    </w:p>
    <w:p>
      <w:pPr>
        <w:spacing w:after="0" w:line="83" w:lineRule="exact"/>
        <w:rPr>
          <w:rFonts w:ascii="Arial" w:cs="Arial" w:eastAsia="Arial" w:hAnsi="Arial"/>
          <w:sz w:val="16"/>
          <w:szCs w:val="16"/>
          <w:b w:val="1"/>
          <w:bCs w:val="1"/>
          <w:color w:val="16479F"/>
        </w:rPr>
      </w:pPr>
    </w:p>
    <w:p>
      <w:pPr>
        <w:ind w:left="240" w:hanging="233"/>
        <w:spacing w:after="0"/>
        <w:tabs>
          <w:tab w:leader="none" w:pos="240" w:val="left"/>
        </w:tabs>
        <w:numPr>
          <w:ilvl w:val="0"/>
          <w:numId w:val="30"/>
        </w:numPr>
        <w:rPr>
          <w:rFonts w:ascii="Arial" w:cs="Arial" w:eastAsia="Arial" w:hAnsi="Arial"/>
          <w:sz w:val="16"/>
          <w:szCs w:val="16"/>
          <w:b w:val="1"/>
          <w:bCs w:val="1"/>
          <w:color w:val="16479F"/>
        </w:rPr>
      </w:pPr>
      <w:r>
        <w:rPr>
          <w:rFonts w:ascii="Arial" w:cs="Arial" w:eastAsia="Arial" w:hAnsi="Arial"/>
          <w:sz w:val="16"/>
          <w:szCs w:val="16"/>
          <w:color w:val="auto"/>
        </w:rPr>
        <w:t>Repurchased over 300,000 shares of our common stock at an average price of $412.25 per share for a total value of $140 million.</w:t>
      </w:r>
    </w:p>
    <w:p>
      <w:pPr>
        <w:spacing w:after="0" w:line="83" w:lineRule="exact"/>
        <w:rPr>
          <w:rFonts w:ascii="Arial" w:cs="Arial" w:eastAsia="Arial" w:hAnsi="Arial"/>
          <w:sz w:val="16"/>
          <w:szCs w:val="16"/>
          <w:b w:val="1"/>
          <w:bCs w:val="1"/>
          <w:color w:val="16479F"/>
        </w:rPr>
      </w:pPr>
    </w:p>
    <w:p>
      <w:pPr>
        <w:ind w:left="240" w:right="480" w:hanging="233"/>
        <w:spacing w:after="0" w:line="256" w:lineRule="auto"/>
        <w:tabs>
          <w:tab w:leader="none" w:pos="240" w:val="left"/>
        </w:tabs>
        <w:numPr>
          <w:ilvl w:val="0"/>
          <w:numId w:val="30"/>
        </w:numPr>
        <w:rPr>
          <w:rFonts w:ascii="Arial" w:cs="Arial" w:eastAsia="Arial" w:hAnsi="Arial"/>
          <w:sz w:val="16"/>
          <w:szCs w:val="16"/>
          <w:b w:val="1"/>
          <w:bCs w:val="1"/>
          <w:color w:val="16479F"/>
        </w:rPr>
      </w:pPr>
      <w:r>
        <w:rPr>
          <w:rFonts w:ascii="Arial" w:cs="Arial" w:eastAsia="Arial" w:hAnsi="Arial"/>
          <w:sz w:val="16"/>
          <w:szCs w:val="16"/>
          <w:color w:val="auto"/>
        </w:rPr>
        <w:t>Issued $500 million of 3.625% senior unsecured notes due 2030; leveraged lower coupon rate for pre-maturity redemption of $500 million of 4.750% senior unsecured notes due 2026.</w:t>
      </w:r>
    </w:p>
    <w:p>
      <w:pPr>
        <w:spacing w:after="0" w:line="62" w:lineRule="exact"/>
        <w:rPr>
          <w:rFonts w:ascii="Arial" w:cs="Arial" w:eastAsia="Arial" w:hAnsi="Arial"/>
          <w:sz w:val="16"/>
          <w:szCs w:val="16"/>
          <w:b w:val="1"/>
          <w:bCs w:val="1"/>
          <w:color w:val="16479F"/>
        </w:rPr>
      </w:pPr>
    </w:p>
    <w:p>
      <w:pPr>
        <w:ind w:left="240" w:hanging="233"/>
        <w:spacing w:after="0"/>
        <w:tabs>
          <w:tab w:leader="none" w:pos="240" w:val="left"/>
        </w:tabs>
        <w:numPr>
          <w:ilvl w:val="0"/>
          <w:numId w:val="30"/>
        </w:numPr>
        <w:rPr>
          <w:rFonts w:ascii="Arial" w:cs="Arial" w:eastAsia="Arial" w:hAnsi="Arial"/>
          <w:sz w:val="16"/>
          <w:szCs w:val="16"/>
          <w:b w:val="1"/>
          <w:bCs w:val="1"/>
          <w:color w:val="16479F"/>
        </w:rPr>
      </w:pPr>
      <w:r>
        <w:rPr>
          <w:rFonts w:ascii="Arial" w:cs="Arial" w:eastAsia="Arial" w:hAnsi="Arial"/>
          <w:sz w:val="16"/>
          <w:szCs w:val="16"/>
          <w:color w:val="auto"/>
        </w:rPr>
        <w:t>Issued $600 million of 3.625% senior unsecured notes due 2031.</w:t>
      </w:r>
    </w:p>
    <w:p>
      <w:pPr>
        <w:spacing w:after="0" w:line="83" w:lineRule="exact"/>
        <w:rPr>
          <w:rFonts w:ascii="Arial" w:cs="Arial" w:eastAsia="Arial" w:hAnsi="Arial"/>
          <w:sz w:val="16"/>
          <w:szCs w:val="16"/>
          <w:b w:val="1"/>
          <w:bCs w:val="1"/>
          <w:color w:val="16479F"/>
        </w:rPr>
      </w:pPr>
    </w:p>
    <w:p>
      <w:pPr>
        <w:ind w:left="240" w:right="480" w:hanging="233"/>
        <w:spacing w:after="0" w:line="256" w:lineRule="auto"/>
        <w:tabs>
          <w:tab w:leader="none" w:pos="240" w:val="left"/>
        </w:tabs>
        <w:numPr>
          <w:ilvl w:val="0"/>
          <w:numId w:val="30"/>
        </w:numPr>
        <w:rPr>
          <w:rFonts w:ascii="Arial" w:cs="Arial" w:eastAsia="Arial" w:hAnsi="Arial"/>
          <w:sz w:val="16"/>
          <w:szCs w:val="16"/>
          <w:b w:val="1"/>
          <w:bCs w:val="1"/>
          <w:color w:val="16479F"/>
        </w:rPr>
      </w:pPr>
      <w:r>
        <w:rPr>
          <w:rFonts w:ascii="Arial" w:cs="Arial" w:eastAsia="Arial" w:hAnsi="Arial"/>
          <w:sz w:val="16"/>
          <w:szCs w:val="16"/>
          <w:color w:val="auto"/>
        </w:rPr>
        <w:t>Issued $700 million of 3.250% senior unsecured notes due 2033; leveraged lower coupon rate for pre-maturity redemption of $500 million of 5.375% senior unsecured notes due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715454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00" w:type="dxa"/>
            <w:vAlign w:val="bottom"/>
            <w:tcBorders>
              <w:right w:val="single" w:sz="8" w:color="16479F"/>
            </w:tcBorders>
          </w:tcPr>
          <w:p>
            <w:pPr>
              <w:ind w:left="8740"/>
              <w:spacing w:after="0"/>
              <w:rPr>
                <w:sz w:val="20"/>
                <w:szCs w:val="20"/>
                <w:color w:val="auto"/>
              </w:rPr>
            </w:pPr>
            <w:r>
              <w:rPr>
                <w:rFonts w:ascii="Arial" w:cs="Arial" w:eastAsia="Arial" w:hAnsi="Arial"/>
                <w:sz w:val="14"/>
                <w:szCs w:val="14"/>
                <w:b w:val="1"/>
                <w:bCs w:val="1"/>
                <w:color w:val="16479F"/>
              </w:rPr>
              <w:t>2022 PROXY STATEMENT</w:t>
            </w:r>
          </w:p>
        </w:tc>
        <w:tc>
          <w:tcPr>
            <w:tcW w:w="640" w:type="dxa"/>
            <w:vAlign w:val="bottom"/>
          </w:tcPr>
          <w:p>
            <w:pPr>
              <w:jc w:val="right"/>
              <w:ind w:right="9"/>
              <w:spacing w:after="0"/>
              <w:rPr>
                <w:sz w:val="20"/>
                <w:szCs w:val="20"/>
                <w:color w:val="auto"/>
              </w:rPr>
            </w:pPr>
            <w:r>
              <w:rPr>
                <w:rFonts w:ascii="Arial" w:cs="Arial" w:eastAsia="Arial" w:hAnsi="Arial"/>
                <w:sz w:val="14"/>
                <w:szCs w:val="14"/>
                <w:b w:val="1"/>
                <w:bCs w:val="1"/>
                <w:color w:val="16479F"/>
              </w:rPr>
              <w:t>11</w:t>
            </w:r>
          </w:p>
        </w:tc>
      </w:tr>
      <w:tr>
        <w:trPr>
          <w:trHeight w:val="65"/>
        </w:trPr>
        <w:tc>
          <w:tcPr>
            <w:tcW w:w="10600" w:type="dxa"/>
            <w:vAlign w:val="bottom"/>
            <w:tcBorders>
              <w:bottom w:val="single" w:sz="8" w:color="16479F"/>
              <w:right w:val="single" w:sz="8" w:color="16479F"/>
            </w:tcBorders>
          </w:tcPr>
          <w:p>
            <w:pPr>
              <w:spacing w:after="0"/>
              <w:rPr>
                <w:sz w:val="5"/>
                <w:szCs w:val="5"/>
                <w:color w:val="auto"/>
              </w:rPr>
            </w:pPr>
          </w:p>
        </w:tc>
        <w:tc>
          <w:tcPr>
            <w:tcW w:w="640" w:type="dxa"/>
            <w:vAlign w:val="bottom"/>
            <w:tcBorders>
              <w:bottom w:val="single" w:sz="8" w:color="16479F"/>
            </w:tcBorders>
          </w:tcPr>
          <w:p>
            <w:pPr>
              <w:spacing w:after="0"/>
              <w:rPr>
                <w:sz w:val="5"/>
                <w:szCs w:val="5"/>
                <w:color w:val="auto"/>
              </w:rPr>
            </w:pPr>
          </w:p>
        </w:tc>
      </w:tr>
    </w:tbl>
    <w:p>
      <w:pPr>
        <w:spacing w:after="0" w:line="232"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Total Shareholder Return</w:t>
      </w:r>
    </w:p>
    <w:p>
      <w:pPr>
        <w:spacing w:after="0" w:line="195"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The following graph compares the cumulative total shareholders’ return (“TSR”) of our common stock, the Standard &amp; Poor’s 500 Stock Index and the NYSE Composite Index since December 31, 2011 assuming an investment of $100 at the closing price of each respective investment on December 31, 2011. In calculating annual TSR, we have assumed the reinvestment of dividends, if any. The indexes are included for comparative purposes only. They do not necessarily reflect management’s opinion that such indexes are an appropriate measure of the relative performance of our common stock.</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COMPARISON OF CUMULATIVE TEN YEAR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30480</wp:posOffset>
            </wp:positionV>
            <wp:extent cx="7133590" cy="2431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3590" cy="2431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60"/>
        <w:spacing w:after="0" w:line="250" w:lineRule="auto"/>
        <w:rPr>
          <w:sz w:val="20"/>
          <w:szCs w:val="20"/>
          <w:color w:val="auto"/>
        </w:rPr>
      </w:pPr>
      <w:r>
        <w:rPr>
          <w:rFonts w:ascii="Arial" w:cs="Arial" w:eastAsia="Arial" w:hAnsi="Arial"/>
          <w:sz w:val="16"/>
          <w:szCs w:val="16"/>
          <w:color w:val="auto"/>
        </w:rPr>
        <w:t>The above graph is not “soliciting material,” is not to be deemed filed with the SEC and is not to be incorporated by reference in any of our filings under the Securities Act of 1933 or the Securities Exchange Act of 1934, as amended (the “Exchange Act”), whether made before or after the date hereof and irrespective of any general incorporation language in any such filing.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00" w:type="dxa"/>
            <w:vAlign w:val="bottom"/>
          </w:tcPr>
          <w:p>
            <w:pPr>
              <w:ind w:left="40"/>
              <w:spacing w:after="0"/>
              <w:rPr>
                <w:sz w:val="20"/>
                <w:szCs w:val="20"/>
                <w:color w:val="auto"/>
              </w:rPr>
            </w:pPr>
            <w:r>
              <w:rPr>
                <w:rFonts w:ascii="Arial" w:cs="Arial" w:eastAsia="Arial" w:hAnsi="Arial"/>
                <w:sz w:val="12"/>
                <w:szCs w:val="12"/>
                <w:b w:val="1"/>
                <w:bCs w:val="1"/>
                <w:color w:val="auto"/>
              </w:rPr>
              <w:t>Company</w:t>
            </w:r>
          </w:p>
        </w:tc>
        <w:tc>
          <w:tcPr>
            <w:tcW w:w="1760" w:type="dxa"/>
            <w:vAlign w:val="bottom"/>
          </w:tcPr>
          <w:p>
            <w:pPr>
              <w:spacing w:after="0"/>
              <w:rPr>
                <w:sz w:val="12"/>
                <w:szCs w:val="12"/>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12/31/12</w:t>
            </w: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12/31/20</w:t>
            </w:r>
          </w:p>
        </w:tc>
        <w:tc>
          <w:tcPr>
            <w:tcW w:w="1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12/31/21</w:t>
            </w:r>
          </w:p>
        </w:tc>
        <w:tc>
          <w:tcPr>
            <w:tcW w:w="0" w:type="dxa"/>
            <w:vAlign w:val="bottom"/>
          </w:tcPr>
          <w:p>
            <w:pPr>
              <w:spacing w:after="0"/>
              <w:rPr>
                <w:sz w:val="1"/>
                <w:szCs w:val="1"/>
                <w:color w:val="auto"/>
              </w:rPr>
            </w:pPr>
          </w:p>
        </w:tc>
      </w:tr>
      <w:tr>
        <w:trPr>
          <w:trHeight w:val="175"/>
        </w:trPr>
        <w:tc>
          <w:tcPr>
            <w:tcW w:w="2800" w:type="dxa"/>
            <w:vAlign w:val="bottom"/>
            <w:tcBorders>
              <w:bottom w:val="single" w:sz="8" w:color="16479F"/>
            </w:tcBorders>
          </w:tcPr>
          <w:p>
            <w:pPr>
              <w:ind w:left="40"/>
              <w:spacing w:after="0"/>
              <w:rPr>
                <w:sz w:val="20"/>
                <w:szCs w:val="20"/>
                <w:color w:val="auto"/>
              </w:rPr>
            </w:pPr>
            <w:r>
              <w:rPr>
                <w:rFonts w:ascii="Arial" w:cs="Arial" w:eastAsia="Arial" w:hAnsi="Arial"/>
                <w:sz w:val="12"/>
                <w:szCs w:val="12"/>
                <w:b w:val="1"/>
                <w:bCs w:val="1"/>
                <w:color w:val="auto"/>
              </w:rPr>
              <w:t>Name/Index</w:t>
            </w:r>
          </w:p>
        </w:tc>
        <w:tc>
          <w:tcPr>
            <w:tcW w:w="1760" w:type="dxa"/>
            <w:vAlign w:val="bottom"/>
            <w:tcBorders>
              <w:bottom w:val="single" w:sz="8" w:color="16479F"/>
            </w:tcBorders>
          </w:tcPr>
          <w:p>
            <w:pPr>
              <w:jc w:val="right"/>
              <w:spacing w:after="0"/>
              <w:rPr>
                <w:sz w:val="20"/>
                <w:szCs w:val="20"/>
                <w:color w:val="auto"/>
              </w:rPr>
            </w:pPr>
            <w:r>
              <w:rPr>
                <w:rFonts w:ascii="Arial" w:cs="Arial" w:eastAsia="Arial" w:hAnsi="Arial"/>
                <w:sz w:val="12"/>
                <w:szCs w:val="12"/>
                <w:b w:val="1"/>
                <w:bCs w:val="1"/>
                <w:color w:val="auto"/>
              </w:rPr>
              <w:t>12/31/11</w:t>
            </w:r>
          </w:p>
        </w:tc>
        <w:tc>
          <w:tcPr>
            <w:tcW w:w="680" w:type="dxa"/>
            <w:vAlign w:val="bottom"/>
            <w:tcBorders>
              <w:bottom w:val="single" w:sz="8" w:color="16479F"/>
            </w:tcBorders>
            <w:gridSpan w:val="2"/>
            <w:vMerge w:val="continue"/>
          </w:tcPr>
          <w:p>
            <w:pPr>
              <w:spacing w:after="0"/>
              <w:rPr>
                <w:sz w:val="15"/>
                <w:szCs w:val="15"/>
                <w:color w:val="auto"/>
              </w:rPr>
            </w:pPr>
          </w:p>
        </w:tc>
        <w:tc>
          <w:tcPr>
            <w:tcW w:w="620" w:type="dxa"/>
            <w:vAlign w:val="bottom"/>
            <w:tcBorders>
              <w:bottom w:val="single" w:sz="8" w:color="16479F"/>
            </w:tcBorders>
          </w:tcPr>
          <w:p>
            <w:pPr>
              <w:jc w:val="right"/>
              <w:spacing w:after="0"/>
              <w:rPr>
                <w:sz w:val="20"/>
                <w:szCs w:val="20"/>
                <w:color w:val="auto"/>
              </w:rPr>
            </w:pPr>
            <w:r>
              <w:rPr>
                <w:rFonts w:ascii="Arial" w:cs="Arial" w:eastAsia="Arial" w:hAnsi="Arial"/>
                <w:sz w:val="12"/>
                <w:szCs w:val="12"/>
                <w:b w:val="1"/>
                <w:bCs w:val="1"/>
                <w:color w:val="auto"/>
              </w:rPr>
              <w:t>12/31/13</w:t>
            </w:r>
          </w:p>
        </w:tc>
        <w:tc>
          <w:tcPr>
            <w:tcW w:w="640" w:type="dxa"/>
            <w:vAlign w:val="bottom"/>
            <w:tcBorders>
              <w:bottom w:val="single" w:sz="8" w:color="16479F"/>
            </w:tcBorders>
          </w:tcPr>
          <w:p>
            <w:pPr>
              <w:jc w:val="right"/>
              <w:spacing w:after="0"/>
              <w:rPr>
                <w:sz w:val="20"/>
                <w:szCs w:val="20"/>
                <w:color w:val="auto"/>
              </w:rPr>
            </w:pPr>
            <w:r>
              <w:rPr>
                <w:rFonts w:ascii="Arial" w:cs="Arial" w:eastAsia="Arial" w:hAnsi="Arial"/>
                <w:sz w:val="12"/>
                <w:szCs w:val="12"/>
                <w:b w:val="1"/>
                <w:bCs w:val="1"/>
                <w:color w:val="auto"/>
              </w:rPr>
              <w:t>12/31/14</w:t>
            </w:r>
          </w:p>
        </w:tc>
        <w:tc>
          <w:tcPr>
            <w:tcW w:w="620" w:type="dxa"/>
            <w:vAlign w:val="bottom"/>
            <w:tcBorders>
              <w:bottom w:val="single" w:sz="8" w:color="16479F"/>
            </w:tcBorders>
          </w:tcPr>
          <w:p>
            <w:pPr>
              <w:jc w:val="right"/>
              <w:spacing w:after="0"/>
              <w:rPr>
                <w:sz w:val="20"/>
                <w:szCs w:val="20"/>
                <w:color w:val="auto"/>
              </w:rPr>
            </w:pPr>
            <w:r>
              <w:rPr>
                <w:rFonts w:ascii="Arial" w:cs="Arial" w:eastAsia="Arial" w:hAnsi="Arial"/>
                <w:sz w:val="12"/>
                <w:szCs w:val="12"/>
                <w:b w:val="1"/>
                <w:bCs w:val="1"/>
                <w:color w:val="auto"/>
              </w:rPr>
              <w:t>12/31/15</w:t>
            </w:r>
          </w:p>
        </w:tc>
        <w:tc>
          <w:tcPr>
            <w:tcW w:w="620" w:type="dxa"/>
            <w:vAlign w:val="bottom"/>
            <w:tcBorders>
              <w:bottom w:val="single" w:sz="8" w:color="16479F"/>
            </w:tcBorders>
          </w:tcPr>
          <w:p>
            <w:pPr>
              <w:jc w:val="right"/>
              <w:spacing w:after="0"/>
              <w:rPr>
                <w:sz w:val="20"/>
                <w:szCs w:val="20"/>
                <w:color w:val="auto"/>
              </w:rPr>
            </w:pPr>
            <w:r>
              <w:rPr>
                <w:rFonts w:ascii="Arial" w:cs="Arial" w:eastAsia="Arial" w:hAnsi="Arial"/>
                <w:sz w:val="12"/>
                <w:szCs w:val="12"/>
                <w:b w:val="1"/>
                <w:bCs w:val="1"/>
                <w:color w:val="auto"/>
              </w:rPr>
              <w:t>12/31/16</w:t>
            </w:r>
          </w:p>
        </w:tc>
        <w:tc>
          <w:tcPr>
            <w:tcW w:w="640" w:type="dxa"/>
            <w:vAlign w:val="bottom"/>
            <w:tcBorders>
              <w:bottom w:val="single" w:sz="8" w:color="16479F"/>
            </w:tcBorders>
          </w:tcPr>
          <w:p>
            <w:pPr>
              <w:jc w:val="right"/>
              <w:spacing w:after="0"/>
              <w:rPr>
                <w:sz w:val="20"/>
                <w:szCs w:val="20"/>
                <w:color w:val="auto"/>
              </w:rPr>
            </w:pPr>
            <w:r>
              <w:rPr>
                <w:rFonts w:ascii="Arial" w:cs="Arial" w:eastAsia="Arial" w:hAnsi="Arial"/>
                <w:sz w:val="12"/>
                <w:szCs w:val="12"/>
                <w:b w:val="1"/>
                <w:bCs w:val="1"/>
                <w:color w:val="auto"/>
              </w:rPr>
              <w:t>12/31/17</w:t>
            </w:r>
          </w:p>
        </w:tc>
        <w:tc>
          <w:tcPr>
            <w:tcW w:w="620" w:type="dxa"/>
            <w:vAlign w:val="bottom"/>
            <w:tcBorders>
              <w:bottom w:val="single" w:sz="8" w:color="16479F"/>
            </w:tcBorders>
          </w:tcPr>
          <w:p>
            <w:pPr>
              <w:jc w:val="right"/>
              <w:spacing w:after="0"/>
              <w:rPr>
                <w:sz w:val="20"/>
                <w:szCs w:val="20"/>
                <w:color w:val="auto"/>
              </w:rPr>
            </w:pPr>
            <w:r>
              <w:rPr>
                <w:rFonts w:ascii="Arial" w:cs="Arial" w:eastAsia="Arial" w:hAnsi="Arial"/>
                <w:sz w:val="12"/>
                <w:szCs w:val="12"/>
                <w:b w:val="1"/>
                <w:bCs w:val="1"/>
                <w:color w:val="auto"/>
              </w:rPr>
              <w:t>12/31/18</w:t>
            </w:r>
          </w:p>
        </w:tc>
        <w:tc>
          <w:tcPr>
            <w:tcW w:w="640" w:type="dxa"/>
            <w:vAlign w:val="bottom"/>
            <w:tcBorders>
              <w:bottom w:val="single" w:sz="8" w:color="16479F"/>
            </w:tcBorders>
          </w:tcPr>
          <w:p>
            <w:pPr>
              <w:jc w:val="right"/>
              <w:spacing w:after="0"/>
              <w:rPr>
                <w:sz w:val="20"/>
                <w:szCs w:val="20"/>
                <w:color w:val="auto"/>
              </w:rPr>
            </w:pPr>
            <w:r>
              <w:rPr>
                <w:rFonts w:ascii="Arial" w:cs="Arial" w:eastAsia="Arial" w:hAnsi="Arial"/>
                <w:sz w:val="12"/>
                <w:szCs w:val="12"/>
                <w:b w:val="1"/>
                <w:bCs w:val="1"/>
                <w:color w:val="auto"/>
              </w:rPr>
              <w:t>12/31/19</w:t>
            </w:r>
          </w:p>
        </w:tc>
        <w:tc>
          <w:tcPr>
            <w:tcW w:w="140" w:type="dxa"/>
            <w:vAlign w:val="bottom"/>
            <w:tcBorders>
              <w:bottom w:val="single" w:sz="8" w:color="16479F"/>
            </w:tcBorders>
          </w:tcPr>
          <w:p>
            <w:pPr>
              <w:spacing w:after="0"/>
              <w:rPr>
                <w:sz w:val="15"/>
                <w:szCs w:val="15"/>
                <w:color w:val="auto"/>
              </w:rPr>
            </w:pPr>
          </w:p>
        </w:tc>
        <w:tc>
          <w:tcPr>
            <w:tcW w:w="640" w:type="dxa"/>
            <w:vAlign w:val="bottom"/>
            <w:tcBorders>
              <w:bottom w:val="single" w:sz="8" w:color="16479F"/>
            </w:tcBorders>
            <w:vMerge w:val="continue"/>
          </w:tcPr>
          <w:p>
            <w:pPr>
              <w:spacing w:after="0"/>
              <w:rPr>
                <w:sz w:val="15"/>
                <w:szCs w:val="15"/>
                <w:color w:val="auto"/>
              </w:rPr>
            </w:pPr>
          </w:p>
        </w:tc>
        <w:tc>
          <w:tcPr>
            <w:tcW w:w="180" w:type="dxa"/>
            <w:vAlign w:val="bottom"/>
            <w:tcBorders>
              <w:bottom w:val="single" w:sz="8" w:color="16479F"/>
            </w:tcBorders>
          </w:tcPr>
          <w:p>
            <w:pPr>
              <w:spacing w:after="0"/>
              <w:rPr>
                <w:sz w:val="15"/>
                <w:szCs w:val="15"/>
                <w:color w:val="auto"/>
              </w:rPr>
            </w:pPr>
          </w:p>
        </w:tc>
        <w:tc>
          <w:tcPr>
            <w:tcW w:w="640" w:type="dxa"/>
            <w:vAlign w:val="bottom"/>
            <w:tcBorders>
              <w:bottom w:val="single" w:sz="8" w:color="16479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800" w:type="dxa"/>
            <w:vAlign w:val="bottom"/>
            <w:shd w:val="clear" w:color="auto" w:fill="F0F1F8"/>
          </w:tcPr>
          <w:p>
            <w:pPr>
              <w:ind w:left="40"/>
              <w:spacing w:after="0"/>
              <w:rPr>
                <w:sz w:val="20"/>
                <w:szCs w:val="20"/>
                <w:color w:val="auto"/>
              </w:rPr>
            </w:pPr>
            <w:r>
              <w:rPr>
                <w:rFonts w:ascii="Arial" w:cs="Arial" w:eastAsia="Arial" w:hAnsi="Arial"/>
                <w:sz w:val="14"/>
                <w:szCs w:val="14"/>
                <w:b w:val="1"/>
                <w:bCs w:val="1"/>
                <w:color w:val="16479F"/>
              </w:rPr>
              <w:t>MSCI Inc.</w:t>
            </w:r>
          </w:p>
        </w:tc>
        <w:tc>
          <w:tcPr>
            <w:tcW w:w="1760" w:type="dxa"/>
            <w:vAlign w:val="bottom"/>
            <w:shd w:val="clear" w:color="auto" w:fill="F0F1F8"/>
          </w:tcPr>
          <w:p>
            <w:pPr>
              <w:jc w:val="right"/>
              <w:spacing w:after="0"/>
              <w:rPr>
                <w:sz w:val="20"/>
                <w:szCs w:val="20"/>
                <w:color w:val="auto"/>
              </w:rPr>
            </w:pPr>
            <w:r>
              <w:rPr>
                <w:rFonts w:ascii="Arial" w:cs="Arial" w:eastAsia="Arial" w:hAnsi="Arial"/>
                <w:sz w:val="14"/>
                <w:szCs w:val="14"/>
                <w:color w:val="auto"/>
              </w:rPr>
              <w:t>$100.00</w:t>
            </w:r>
          </w:p>
        </w:tc>
        <w:tc>
          <w:tcPr>
            <w:tcW w:w="180" w:type="dxa"/>
            <w:vAlign w:val="bottom"/>
            <w:shd w:val="clear" w:color="auto" w:fill="F0F1F8"/>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F0F1F8"/>
          </w:tcPr>
          <w:p>
            <w:pPr>
              <w:jc w:val="right"/>
              <w:spacing w:after="0"/>
              <w:rPr>
                <w:sz w:val="20"/>
                <w:szCs w:val="20"/>
                <w:color w:val="auto"/>
              </w:rPr>
            </w:pPr>
            <w:r>
              <w:rPr>
                <w:rFonts w:ascii="Arial" w:cs="Arial" w:eastAsia="Arial" w:hAnsi="Arial"/>
                <w:sz w:val="14"/>
                <w:szCs w:val="14"/>
                <w:color w:val="auto"/>
              </w:rPr>
              <w:t>94.11</w:t>
            </w:r>
          </w:p>
        </w:tc>
        <w:tc>
          <w:tcPr>
            <w:tcW w:w="620" w:type="dxa"/>
            <w:vAlign w:val="bottom"/>
            <w:shd w:val="clear" w:color="auto" w:fill="F0F1F8"/>
          </w:tcPr>
          <w:p>
            <w:pPr>
              <w:jc w:val="right"/>
              <w:spacing w:after="0"/>
              <w:rPr>
                <w:sz w:val="20"/>
                <w:szCs w:val="20"/>
                <w:color w:val="auto"/>
              </w:rPr>
            </w:pPr>
            <w:r>
              <w:rPr>
                <w:rFonts w:ascii="Arial" w:cs="Arial" w:eastAsia="Arial" w:hAnsi="Arial"/>
                <w:sz w:val="14"/>
                <w:szCs w:val="14"/>
                <w:color w:val="auto"/>
              </w:rPr>
              <w:t>$132.77</w:t>
            </w:r>
          </w:p>
        </w:tc>
        <w:tc>
          <w:tcPr>
            <w:tcW w:w="640" w:type="dxa"/>
            <w:vAlign w:val="bottom"/>
            <w:shd w:val="clear" w:color="auto" w:fill="F0F1F8"/>
          </w:tcPr>
          <w:p>
            <w:pPr>
              <w:jc w:val="right"/>
              <w:spacing w:after="0"/>
              <w:rPr>
                <w:sz w:val="20"/>
                <w:szCs w:val="20"/>
                <w:color w:val="auto"/>
              </w:rPr>
            </w:pPr>
            <w:r>
              <w:rPr>
                <w:rFonts w:ascii="Arial" w:cs="Arial" w:eastAsia="Arial" w:hAnsi="Arial"/>
                <w:sz w:val="14"/>
                <w:szCs w:val="14"/>
                <w:color w:val="auto"/>
              </w:rPr>
              <w:t>$144.65</w:t>
            </w:r>
          </w:p>
        </w:tc>
        <w:tc>
          <w:tcPr>
            <w:tcW w:w="620" w:type="dxa"/>
            <w:vAlign w:val="bottom"/>
            <w:shd w:val="clear" w:color="auto" w:fill="F0F1F8"/>
          </w:tcPr>
          <w:p>
            <w:pPr>
              <w:jc w:val="right"/>
              <w:spacing w:after="0"/>
              <w:rPr>
                <w:sz w:val="20"/>
                <w:szCs w:val="20"/>
                <w:color w:val="auto"/>
              </w:rPr>
            </w:pPr>
            <w:r>
              <w:rPr>
                <w:rFonts w:ascii="Arial" w:cs="Arial" w:eastAsia="Arial" w:hAnsi="Arial"/>
                <w:sz w:val="14"/>
                <w:szCs w:val="14"/>
                <w:color w:val="auto"/>
              </w:rPr>
              <w:t>$222.77</w:t>
            </w:r>
          </w:p>
        </w:tc>
        <w:tc>
          <w:tcPr>
            <w:tcW w:w="620" w:type="dxa"/>
            <w:vAlign w:val="bottom"/>
            <w:shd w:val="clear" w:color="auto" w:fill="F0F1F8"/>
          </w:tcPr>
          <w:p>
            <w:pPr>
              <w:jc w:val="right"/>
              <w:spacing w:after="0"/>
              <w:rPr>
                <w:sz w:val="20"/>
                <w:szCs w:val="20"/>
                <w:color w:val="auto"/>
              </w:rPr>
            </w:pPr>
            <w:r>
              <w:rPr>
                <w:rFonts w:ascii="Arial" w:cs="Arial" w:eastAsia="Arial" w:hAnsi="Arial"/>
                <w:sz w:val="14"/>
                <w:szCs w:val="14"/>
                <w:color w:val="auto"/>
              </w:rPr>
              <w:t>$246.44</w:t>
            </w:r>
          </w:p>
        </w:tc>
        <w:tc>
          <w:tcPr>
            <w:tcW w:w="640" w:type="dxa"/>
            <w:vAlign w:val="bottom"/>
            <w:shd w:val="clear" w:color="auto" w:fill="F0F1F8"/>
          </w:tcPr>
          <w:p>
            <w:pPr>
              <w:jc w:val="right"/>
              <w:spacing w:after="0"/>
              <w:rPr>
                <w:sz w:val="20"/>
                <w:szCs w:val="20"/>
                <w:color w:val="auto"/>
              </w:rPr>
            </w:pPr>
            <w:r>
              <w:rPr>
                <w:rFonts w:ascii="Arial" w:cs="Arial" w:eastAsia="Arial" w:hAnsi="Arial"/>
                <w:sz w:val="14"/>
                <w:szCs w:val="14"/>
                <w:color w:val="auto"/>
              </w:rPr>
              <w:t>$400.77</w:t>
            </w:r>
          </w:p>
        </w:tc>
        <w:tc>
          <w:tcPr>
            <w:tcW w:w="620" w:type="dxa"/>
            <w:vAlign w:val="bottom"/>
            <w:shd w:val="clear" w:color="auto" w:fill="F0F1F8"/>
          </w:tcPr>
          <w:p>
            <w:pPr>
              <w:jc w:val="right"/>
              <w:spacing w:after="0"/>
              <w:rPr>
                <w:sz w:val="20"/>
                <w:szCs w:val="20"/>
                <w:color w:val="auto"/>
              </w:rPr>
            </w:pPr>
            <w:r>
              <w:rPr>
                <w:rFonts w:ascii="Arial" w:cs="Arial" w:eastAsia="Arial" w:hAnsi="Arial"/>
                <w:sz w:val="14"/>
                <w:szCs w:val="14"/>
                <w:color w:val="auto"/>
              </w:rPr>
              <w:t>$472.71</w:t>
            </w:r>
          </w:p>
        </w:tc>
        <w:tc>
          <w:tcPr>
            <w:tcW w:w="640" w:type="dxa"/>
            <w:vAlign w:val="bottom"/>
            <w:shd w:val="clear" w:color="auto" w:fill="F0F1F8"/>
          </w:tcPr>
          <w:p>
            <w:pPr>
              <w:jc w:val="right"/>
              <w:spacing w:after="0"/>
              <w:rPr>
                <w:sz w:val="20"/>
                <w:szCs w:val="20"/>
                <w:color w:val="auto"/>
              </w:rPr>
            </w:pPr>
            <w:r>
              <w:rPr>
                <w:rFonts w:ascii="Arial" w:cs="Arial" w:eastAsia="Arial" w:hAnsi="Arial"/>
                <w:sz w:val="14"/>
                <w:szCs w:val="14"/>
                <w:color w:val="auto"/>
              </w:rPr>
              <w:t>$837.61</w:t>
            </w:r>
          </w:p>
        </w:tc>
        <w:tc>
          <w:tcPr>
            <w:tcW w:w="140" w:type="dxa"/>
            <w:vAlign w:val="bottom"/>
            <w:shd w:val="clear" w:color="auto" w:fill="F0F1F8"/>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F0F1F8"/>
          </w:tcPr>
          <w:p>
            <w:pPr>
              <w:jc w:val="right"/>
              <w:spacing w:after="0"/>
              <w:rPr>
                <w:sz w:val="20"/>
                <w:szCs w:val="20"/>
                <w:color w:val="auto"/>
              </w:rPr>
            </w:pPr>
            <w:r>
              <w:rPr>
                <w:rFonts w:ascii="Arial" w:cs="Arial" w:eastAsia="Arial" w:hAnsi="Arial"/>
                <w:sz w:val="14"/>
                <w:szCs w:val="14"/>
                <w:color w:val="auto"/>
              </w:rPr>
              <w:t>1,460.66</w:t>
            </w:r>
          </w:p>
        </w:tc>
        <w:tc>
          <w:tcPr>
            <w:tcW w:w="180" w:type="dxa"/>
            <w:vAlign w:val="bottom"/>
            <w:shd w:val="clear" w:color="auto" w:fill="F0F1F8"/>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F0F1F8"/>
          </w:tcPr>
          <w:p>
            <w:pPr>
              <w:jc w:val="right"/>
              <w:spacing w:after="0"/>
              <w:rPr>
                <w:sz w:val="20"/>
                <w:szCs w:val="20"/>
                <w:color w:val="auto"/>
              </w:rPr>
            </w:pPr>
            <w:r>
              <w:rPr>
                <w:rFonts w:ascii="Arial" w:cs="Arial" w:eastAsia="Arial" w:hAnsi="Arial"/>
                <w:sz w:val="14"/>
                <w:szCs w:val="14"/>
                <w:color w:val="auto"/>
              </w:rPr>
              <w:t>2,017.74</w:t>
            </w:r>
          </w:p>
        </w:tc>
        <w:tc>
          <w:tcPr>
            <w:tcW w:w="0" w:type="dxa"/>
            <w:vAlign w:val="bottom"/>
          </w:tcPr>
          <w:p>
            <w:pPr>
              <w:spacing w:after="0"/>
              <w:rPr>
                <w:sz w:val="1"/>
                <w:szCs w:val="1"/>
                <w:color w:val="auto"/>
              </w:rPr>
            </w:pPr>
          </w:p>
        </w:tc>
      </w:tr>
      <w:tr>
        <w:trPr>
          <w:trHeight w:val="208"/>
        </w:trPr>
        <w:tc>
          <w:tcPr>
            <w:tcW w:w="2800" w:type="dxa"/>
            <w:vAlign w:val="bottom"/>
          </w:tcPr>
          <w:p>
            <w:pPr>
              <w:ind w:left="40"/>
              <w:spacing w:after="0"/>
              <w:rPr>
                <w:sz w:val="20"/>
                <w:szCs w:val="20"/>
                <w:color w:val="auto"/>
              </w:rPr>
            </w:pPr>
            <w:r>
              <w:rPr>
                <w:rFonts w:ascii="Arial" w:cs="Arial" w:eastAsia="Arial" w:hAnsi="Arial"/>
                <w:sz w:val="14"/>
                <w:szCs w:val="14"/>
                <w:b w:val="1"/>
                <w:bCs w:val="1"/>
                <w:color w:val="002739"/>
              </w:rPr>
              <w:t>S&amp;P 500 Index</w:t>
            </w:r>
          </w:p>
        </w:tc>
        <w:tc>
          <w:tcPr>
            <w:tcW w:w="1760" w:type="dxa"/>
            <w:vAlign w:val="bottom"/>
          </w:tcPr>
          <w:p>
            <w:pPr>
              <w:jc w:val="right"/>
              <w:spacing w:after="0"/>
              <w:rPr>
                <w:sz w:val="20"/>
                <w:szCs w:val="20"/>
                <w:color w:val="auto"/>
              </w:rPr>
            </w:pPr>
            <w:r>
              <w:rPr>
                <w:rFonts w:ascii="Arial" w:cs="Arial" w:eastAsia="Arial" w:hAnsi="Arial"/>
                <w:sz w:val="14"/>
                <w:szCs w:val="14"/>
                <w:color w:val="auto"/>
              </w:rPr>
              <w:t>$100.00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7"/>
              </w:rPr>
              <w:t>116.00</w:t>
            </w:r>
          </w:p>
        </w:tc>
        <w:tc>
          <w:tcPr>
            <w:tcW w:w="620" w:type="dxa"/>
            <w:vAlign w:val="bottom"/>
          </w:tcPr>
          <w:p>
            <w:pPr>
              <w:jc w:val="right"/>
              <w:spacing w:after="0"/>
              <w:rPr>
                <w:sz w:val="20"/>
                <w:szCs w:val="20"/>
                <w:color w:val="auto"/>
              </w:rPr>
            </w:pPr>
            <w:r>
              <w:rPr>
                <w:rFonts w:ascii="Arial" w:cs="Arial" w:eastAsia="Arial" w:hAnsi="Arial"/>
                <w:sz w:val="14"/>
                <w:szCs w:val="14"/>
                <w:color w:val="auto"/>
              </w:rPr>
              <w:t>$153.57</w:t>
            </w:r>
          </w:p>
        </w:tc>
        <w:tc>
          <w:tcPr>
            <w:tcW w:w="640" w:type="dxa"/>
            <w:vAlign w:val="bottom"/>
          </w:tcPr>
          <w:p>
            <w:pPr>
              <w:jc w:val="right"/>
              <w:spacing w:after="0"/>
              <w:rPr>
                <w:sz w:val="20"/>
                <w:szCs w:val="20"/>
                <w:color w:val="auto"/>
              </w:rPr>
            </w:pPr>
            <w:r>
              <w:rPr>
                <w:rFonts w:ascii="Arial" w:cs="Arial" w:eastAsia="Arial" w:hAnsi="Arial"/>
                <w:sz w:val="14"/>
                <w:szCs w:val="14"/>
                <w:color w:val="auto"/>
              </w:rPr>
              <w:t>$174.60</w:t>
            </w:r>
          </w:p>
        </w:tc>
        <w:tc>
          <w:tcPr>
            <w:tcW w:w="620" w:type="dxa"/>
            <w:vAlign w:val="bottom"/>
          </w:tcPr>
          <w:p>
            <w:pPr>
              <w:jc w:val="right"/>
              <w:spacing w:after="0"/>
              <w:rPr>
                <w:sz w:val="20"/>
                <w:szCs w:val="20"/>
                <w:color w:val="auto"/>
              </w:rPr>
            </w:pPr>
            <w:r>
              <w:rPr>
                <w:rFonts w:ascii="Arial" w:cs="Arial" w:eastAsia="Arial" w:hAnsi="Arial"/>
                <w:sz w:val="14"/>
                <w:szCs w:val="14"/>
                <w:color w:val="auto"/>
              </w:rPr>
              <w:t>$177.01</w:t>
            </w:r>
          </w:p>
        </w:tc>
        <w:tc>
          <w:tcPr>
            <w:tcW w:w="620" w:type="dxa"/>
            <w:vAlign w:val="bottom"/>
          </w:tcPr>
          <w:p>
            <w:pPr>
              <w:jc w:val="right"/>
              <w:spacing w:after="0"/>
              <w:rPr>
                <w:sz w:val="20"/>
                <w:szCs w:val="20"/>
                <w:color w:val="auto"/>
              </w:rPr>
            </w:pPr>
            <w:r>
              <w:rPr>
                <w:rFonts w:ascii="Arial" w:cs="Arial" w:eastAsia="Arial" w:hAnsi="Arial"/>
                <w:sz w:val="14"/>
                <w:szCs w:val="14"/>
                <w:color w:val="auto"/>
              </w:rPr>
              <w:t>$198.18</w:t>
            </w:r>
          </w:p>
        </w:tc>
        <w:tc>
          <w:tcPr>
            <w:tcW w:w="640" w:type="dxa"/>
            <w:vAlign w:val="bottom"/>
          </w:tcPr>
          <w:p>
            <w:pPr>
              <w:jc w:val="right"/>
              <w:spacing w:after="0"/>
              <w:rPr>
                <w:sz w:val="20"/>
                <w:szCs w:val="20"/>
                <w:color w:val="auto"/>
              </w:rPr>
            </w:pPr>
            <w:r>
              <w:rPr>
                <w:rFonts w:ascii="Arial" w:cs="Arial" w:eastAsia="Arial" w:hAnsi="Arial"/>
                <w:sz w:val="14"/>
                <w:szCs w:val="14"/>
                <w:color w:val="auto"/>
              </w:rPr>
              <w:t>$241.45</w:t>
            </w:r>
          </w:p>
        </w:tc>
        <w:tc>
          <w:tcPr>
            <w:tcW w:w="620" w:type="dxa"/>
            <w:vAlign w:val="bottom"/>
          </w:tcPr>
          <w:p>
            <w:pPr>
              <w:jc w:val="right"/>
              <w:spacing w:after="0"/>
              <w:rPr>
                <w:sz w:val="20"/>
                <w:szCs w:val="20"/>
                <w:color w:val="auto"/>
              </w:rPr>
            </w:pPr>
            <w:r>
              <w:rPr>
                <w:rFonts w:ascii="Arial" w:cs="Arial" w:eastAsia="Arial" w:hAnsi="Arial"/>
                <w:sz w:val="14"/>
                <w:szCs w:val="14"/>
                <w:color w:val="auto"/>
              </w:rPr>
              <w:t>$230.86</w:t>
            </w:r>
          </w:p>
        </w:tc>
        <w:tc>
          <w:tcPr>
            <w:tcW w:w="640" w:type="dxa"/>
            <w:vAlign w:val="bottom"/>
          </w:tcPr>
          <w:p>
            <w:pPr>
              <w:jc w:val="right"/>
              <w:spacing w:after="0"/>
              <w:rPr>
                <w:sz w:val="20"/>
                <w:szCs w:val="20"/>
                <w:color w:val="auto"/>
              </w:rPr>
            </w:pPr>
            <w:r>
              <w:rPr>
                <w:rFonts w:ascii="Arial" w:cs="Arial" w:eastAsia="Arial" w:hAnsi="Arial"/>
                <w:sz w:val="14"/>
                <w:szCs w:val="14"/>
                <w:color w:val="auto"/>
              </w:rPr>
              <w:t>$303.56</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359.41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462.57</w:t>
            </w:r>
          </w:p>
        </w:tc>
        <w:tc>
          <w:tcPr>
            <w:tcW w:w="0" w:type="dxa"/>
            <w:vAlign w:val="bottom"/>
          </w:tcPr>
          <w:p>
            <w:pPr>
              <w:spacing w:after="0"/>
              <w:rPr>
                <w:sz w:val="1"/>
                <w:szCs w:val="1"/>
                <w:color w:val="auto"/>
              </w:rPr>
            </w:pPr>
          </w:p>
        </w:tc>
      </w:tr>
      <w:tr>
        <w:trPr>
          <w:trHeight w:val="214"/>
        </w:trPr>
        <w:tc>
          <w:tcPr>
            <w:tcW w:w="2800" w:type="dxa"/>
            <w:vAlign w:val="bottom"/>
            <w:tcBorders>
              <w:bottom w:val="single" w:sz="8" w:color="16479F"/>
            </w:tcBorders>
            <w:shd w:val="clear" w:color="auto" w:fill="F0F1F8"/>
          </w:tcPr>
          <w:p>
            <w:pPr>
              <w:ind w:left="40"/>
              <w:spacing w:after="0"/>
              <w:rPr>
                <w:sz w:val="20"/>
                <w:szCs w:val="20"/>
                <w:color w:val="auto"/>
              </w:rPr>
            </w:pPr>
            <w:r>
              <w:rPr>
                <w:rFonts w:ascii="Arial" w:cs="Arial" w:eastAsia="Arial" w:hAnsi="Arial"/>
                <w:sz w:val="14"/>
                <w:szCs w:val="14"/>
                <w:b w:val="1"/>
                <w:bCs w:val="1"/>
                <w:color w:val="00B5AA"/>
              </w:rPr>
              <w:t>NYSE Composite Index</w:t>
            </w:r>
          </w:p>
        </w:tc>
        <w:tc>
          <w:tcPr>
            <w:tcW w:w="1760" w:type="dxa"/>
            <w:vAlign w:val="bottom"/>
            <w:tcBorders>
              <w:bottom w:val="single" w:sz="8" w:color="16479F"/>
            </w:tcBorders>
            <w:shd w:val="clear" w:color="auto" w:fill="F0F1F8"/>
          </w:tcPr>
          <w:p>
            <w:pPr>
              <w:jc w:val="right"/>
              <w:spacing w:after="0"/>
              <w:rPr>
                <w:sz w:val="20"/>
                <w:szCs w:val="20"/>
                <w:color w:val="auto"/>
              </w:rPr>
            </w:pPr>
            <w:r>
              <w:rPr>
                <w:rFonts w:ascii="Arial" w:cs="Arial" w:eastAsia="Arial" w:hAnsi="Arial"/>
                <w:sz w:val="14"/>
                <w:szCs w:val="14"/>
                <w:color w:val="auto"/>
              </w:rPr>
              <w:t>$100.00</w:t>
            </w:r>
          </w:p>
        </w:tc>
        <w:tc>
          <w:tcPr>
            <w:tcW w:w="180" w:type="dxa"/>
            <w:vAlign w:val="bottom"/>
            <w:tcBorders>
              <w:bottom w:val="single" w:sz="8" w:color="16479F"/>
            </w:tcBorders>
            <w:shd w:val="clear" w:color="auto" w:fill="F0F1F8"/>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16479F"/>
            </w:tcBorders>
            <w:shd w:val="clear" w:color="auto" w:fill="F0F1F8"/>
          </w:tcPr>
          <w:p>
            <w:pPr>
              <w:jc w:val="right"/>
              <w:spacing w:after="0"/>
              <w:rPr>
                <w:sz w:val="20"/>
                <w:szCs w:val="20"/>
                <w:color w:val="auto"/>
              </w:rPr>
            </w:pPr>
            <w:r>
              <w:rPr>
                <w:rFonts w:ascii="Arial" w:cs="Arial" w:eastAsia="Arial" w:hAnsi="Arial"/>
                <w:sz w:val="14"/>
                <w:szCs w:val="14"/>
                <w:color w:val="auto"/>
                <w:w w:val="97"/>
              </w:rPr>
              <w:t>116.03</w:t>
            </w:r>
          </w:p>
        </w:tc>
        <w:tc>
          <w:tcPr>
            <w:tcW w:w="620" w:type="dxa"/>
            <w:vAlign w:val="bottom"/>
            <w:tcBorders>
              <w:bottom w:val="single" w:sz="8" w:color="16479F"/>
            </w:tcBorders>
            <w:shd w:val="clear" w:color="auto" w:fill="F0F1F8"/>
          </w:tcPr>
          <w:p>
            <w:pPr>
              <w:jc w:val="right"/>
              <w:spacing w:after="0"/>
              <w:rPr>
                <w:sz w:val="20"/>
                <w:szCs w:val="20"/>
                <w:color w:val="auto"/>
              </w:rPr>
            </w:pPr>
            <w:r>
              <w:rPr>
                <w:rFonts w:ascii="Arial" w:cs="Arial" w:eastAsia="Arial" w:hAnsi="Arial"/>
                <w:sz w:val="14"/>
                <w:szCs w:val="14"/>
                <w:color w:val="auto"/>
              </w:rPr>
              <w:t>$146.52</w:t>
            </w:r>
          </w:p>
        </w:tc>
        <w:tc>
          <w:tcPr>
            <w:tcW w:w="640" w:type="dxa"/>
            <w:vAlign w:val="bottom"/>
            <w:tcBorders>
              <w:bottom w:val="single" w:sz="8" w:color="16479F"/>
            </w:tcBorders>
            <w:shd w:val="clear" w:color="auto" w:fill="F0F1F8"/>
          </w:tcPr>
          <w:p>
            <w:pPr>
              <w:jc w:val="right"/>
              <w:spacing w:after="0"/>
              <w:rPr>
                <w:sz w:val="20"/>
                <w:szCs w:val="20"/>
                <w:color w:val="auto"/>
              </w:rPr>
            </w:pPr>
            <w:r>
              <w:rPr>
                <w:rFonts w:ascii="Arial" w:cs="Arial" w:eastAsia="Arial" w:hAnsi="Arial"/>
                <w:sz w:val="14"/>
                <w:szCs w:val="14"/>
                <w:color w:val="auto"/>
              </w:rPr>
              <w:t>$156.41</w:t>
            </w:r>
          </w:p>
        </w:tc>
        <w:tc>
          <w:tcPr>
            <w:tcW w:w="620" w:type="dxa"/>
            <w:vAlign w:val="bottom"/>
            <w:tcBorders>
              <w:bottom w:val="single" w:sz="8" w:color="16479F"/>
            </w:tcBorders>
            <w:shd w:val="clear" w:color="auto" w:fill="F0F1F8"/>
          </w:tcPr>
          <w:p>
            <w:pPr>
              <w:jc w:val="right"/>
              <w:spacing w:after="0"/>
              <w:rPr>
                <w:sz w:val="20"/>
                <w:szCs w:val="20"/>
                <w:color w:val="auto"/>
              </w:rPr>
            </w:pPr>
            <w:r>
              <w:rPr>
                <w:rFonts w:ascii="Arial" w:cs="Arial" w:eastAsia="Arial" w:hAnsi="Arial"/>
                <w:sz w:val="14"/>
                <w:szCs w:val="14"/>
                <w:color w:val="auto"/>
              </w:rPr>
              <w:t>$150.02</w:t>
            </w:r>
          </w:p>
        </w:tc>
        <w:tc>
          <w:tcPr>
            <w:tcW w:w="620" w:type="dxa"/>
            <w:vAlign w:val="bottom"/>
            <w:tcBorders>
              <w:bottom w:val="single" w:sz="8" w:color="16479F"/>
            </w:tcBorders>
            <w:shd w:val="clear" w:color="auto" w:fill="F0F1F8"/>
          </w:tcPr>
          <w:p>
            <w:pPr>
              <w:jc w:val="right"/>
              <w:spacing w:after="0"/>
              <w:rPr>
                <w:sz w:val="20"/>
                <w:szCs w:val="20"/>
                <w:color w:val="auto"/>
              </w:rPr>
            </w:pPr>
            <w:r>
              <w:rPr>
                <w:rFonts w:ascii="Arial" w:cs="Arial" w:eastAsia="Arial" w:hAnsi="Arial"/>
                <w:sz w:val="14"/>
                <w:szCs w:val="14"/>
                <w:color w:val="auto"/>
              </w:rPr>
              <w:t>$167.92</w:t>
            </w:r>
          </w:p>
        </w:tc>
        <w:tc>
          <w:tcPr>
            <w:tcW w:w="640" w:type="dxa"/>
            <w:vAlign w:val="bottom"/>
            <w:tcBorders>
              <w:bottom w:val="single" w:sz="8" w:color="16479F"/>
            </w:tcBorders>
            <w:shd w:val="clear" w:color="auto" w:fill="F0F1F8"/>
          </w:tcPr>
          <w:p>
            <w:pPr>
              <w:jc w:val="right"/>
              <w:spacing w:after="0"/>
              <w:rPr>
                <w:sz w:val="20"/>
                <w:szCs w:val="20"/>
                <w:color w:val="auto"/>
              </w:rPr>
            </w:pPr>
            <w:r>
              <w:rPr>
                <w:rFonts w:ascii="Arial" w:cs="Arial" w:eastAsia="Arial" w:hAnsi="Arial"/>
                <w:sz w:val="14"/>
                <w:szCs w:val="14"/>
                <w:color w:val="auto"/>
              </w:rPr>
              <w:t>$199.37</w:t>
            </w:r>
          </w:p>
        </w:tc>
        <w:tc>
          <w:tcPr>
            <w:tcW w:w="620" w:type="dxa"/>
            <w:vAlign w:val="bottom"/>
            <w:tcBorders>
              <w:bottom w:val="single" w:sz="8" w:color="16479F"/>
            </w:tcBorders>
            <w:shd w:val="clear" w:color="auto" w:fill="F0F1F8"/>
          </w:tcPr>
          <w:p>
            <w:pPr>
              <w:jc w:val="right"/>
              <w:spacing w:after="0"/>
              <w:rPr>
                <w:sz w:val="20"/>
                <w:szCs w:val="20"/>
                <w:color w:val="auto"/>
              </w:rPr>
            </w:pPr>
            <w:r>
              <w:rPr>
                <w:rFonts w:ascii="Arial" w:cs="Arial" w:eastAsia="Arial" w:hAnsi="Arial"/>
                <w:sz w:val="14"/>
                <w:szCs w:val="14"/>
                <w:color w:val="auto"/>
              </w:rPr>
              <w:t>$181.53</w:t>
            </w:r>
          </w:p>
        </w:tc>
        <w:tc>
          <w:tcPr>
            <w:tcW w:w="640" w:type="dxa"/>
            <w:vAlign w:val="bottom"/>
            <w:tcBorders>
              <w:bottom w:val="single" w:sz="8" w:color="16479F"/>
            </w:tcBorders>
            <w:shd w:val="clear" w:color="auto" w:fill="F0F1F8"/>
          </w:tcPr>
          <w:p>
            <w:pPr>
              <w:jc w:val="right"/>
              <w:spacing w:after="0"/>
              <w:rPr>
                <w:sz w:val="20"/>
                <w:szCs w:val="20"/>
                <w:color w:val="auto"/>
              </w:rPr>
            </w:pPr>
            <w:r>
              <w:rPr>
                <w:rFonts w:ascii="Arial" w:cs="Arial" w:eastAsia="Arial" w:hAnsi="Arial"/>
                <w:sz w:val="14"/>
                <w:szCs w:val="14"/>
                <w:color w:val="auto"/>
              </w:rPr>
              <w:t>$227.84</w:t>
            </w:r>
          </w:p>
        </w:tc>
        <w:tc>
          <w:tcPr>
            <w:tcW w:w="140" w:type="dxa"/>
            <w:vAlign w:val="bottom"/>
            <w:tcBorders>
              <w:bottom w:val="single" w:sz="8" w:color="16479F"/>
            </w:tcBorders>
            <w:shd w:val="clear" w:color="auto" w:fill="F0F1F8"/>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16479F"/>
            </w:tcBorders>
            <w:shd w:val="clear" w:color="auto" w:fill="F0F1F8"/>
          </w:tcPr>
          <w:p>
            <w:pPr>
              <w:jc w:val="right"/>
              <w:spacing w:after="0"/>
              <w:rPr>
                <w:sz w:val="20"/>
                <w:szCs w:val="20"/>
                <w:color w:val="auto"/>
              </w:rPr>
            </w:pPr>
            <w:r>
              <w:rPr>
                <w:rFonts w:ascii="Arial" w:cs="Arial" w:eastAsia="Arial" w:hAnsi="Arial"/>
                <w:sz w:val="14"/>
                <w:szCs w:val="14"/>
                <w:color w:val="auto"/>
              </w:rPr>
              <w:t>243.76</w:t>
            </w:r>
          </w:p>
        </w:tc>
        <w:tc>
          <w:tcPr>
            <w:tcW w:w="180" w:type="dxa"/>
            <w:vAlign w:val="bottom"/>
            <w:tcBorders>
              <w:bottom w:val="single" w:sz="8" w:color="16479F"/>
            </w:tcBorders>
            <w:shd w:val="clear" w:color="auto" w:fill="F0F1F8"/>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16479F"/>
            </w:tcBorders>
            <w:shd w:val="clear" w:color="auto" w:fill="F0F1F8"/>
          </w:tcPr>
          <w:p>
            <w:pPr>
              <w:jc w:val="right"/>
              <w:spacing w:after="0"/>
              <w:rPr>
                <w:sz w:val="20"/>
                <w:szCs w:val="20"/>
                <w:color w:val="auto"/>
              </w:rPr>
            </w:pPr>
            <w:r>
              <w:rPr>
                <w:rFonts w:ascii="Arial" w:cs="Arial" w:eastAsia="Arial" w:hAnsi="Arial"/>
                <w:sz w:val="14"/>
                <w:szCs w:val="14"/>
                <w:color w:val="auto"/>
              </w:rPr>
              <w:t>294.16</w:t>
            </w:r>
          </w:p>
        </w:tc>
        <w:tc>
          <w:tcPr>
            <w:tcW w:w="0" w:type="dxa"/>
            <w:vAlign w:val="bottom"/>
          </w:tcPr>
          <w:p>
            <w:pPr>
              <w:spacing w:after="0"/>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Source: S&amp;P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15454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149860</wp:posOffset>
            </wp:positionV>
            <wp:extent cx="7133590" cy="2127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3590" cy="212725"/>
                    </a:xfrm>
                    <a:prstGeom prst="rect">
                      <a:avLst/>
                    </a:prstGeom>
                    <a:noFill/>
                  </pic:spPr>
                </pic:pic>
              </a:graphicData>
            </a:graphic>
          </wp:anchor>
        </w:drawing>
      </w:r>
    </w:p>
    <w:p>
      <w:pPr>
        <w:spacing w:after="0" w:line="283"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4"/>
          <w:szCs w:val="14"/>
          <w:b w:val="1"/>
          <w:bCs w:val="1"/>
          <w:color w:val="16479F"/>
        </w:rPr>
        <w:t>12</w:t>
      </w:r>
      <w:r>
        <w:rPr>
          <w:sz w:val="20"/>
          <w:szCs w:val="20"/>
          <w:color w:val="auto"/>
        </w:rPr>
        <w:tab/>
      </w:r>
      <w:r>
        <w:rPr>
          <w:rFonts w:ascii="Arial" w:cs="Arial" w:eastAsia="Arial" w:hAnsi="Arial"/>
          <w:sz w:val="14"/>
          <w:szCs w:val="14"/>
          <w:b w:val="1"/>
          <w:bCs w:val="1"/>
          <w:color w:val="16479F"/>
        </w:rPr>
        <w:t>MSCI  |  PROXY SUMMARY</w:t>
      </w:r>
    </w:p>
    <w:p>
      <w:pPr>
        <w:spacing w:after="0" w:line="285" w:lineRule="exact"/>
        <w:rPr>
          <w:sz w:val="20"/>
          <w:szCs w:val="20"/>
          <w:color w:val="auto"/>
        </w:rPr>
      </w:pPr>
    </w:p>
    <w:p>
      <w:pPr>
        <w:spacing w:after="0"/>
        <w:rPr>
          <w:sz w:val="20"/>
          <w:szCs w:val="20"/>
          <w:color w:val="auto"/>
        </w:rPr>
      </w:pPr>
      <w:r>
        <w:rPr>
          <w:rFonts w:ascii="Arial" w:cs="Arial" w:eastAsia="Arial" w:hAnsi="Arial"/>
          <w:sz w:val="32"/>
          <w:szCs w:val="32"/>
          <w:b w:val="1"/>
          <w:bCs w:val="1"/>
          <w:color w:val="16479F"/>
        </w:rPr>
        <w:t>Corporate Responsibility</w:t>
      </w:r>
    </w:p>
    <w:p>
      <w:pPr>
        <w:spacing w:after="0" w:line="25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believe, and our research shows, that sound ESG and climate practices are commonly linked to better business results. We provide the global financial community with innovative products and services that enable investors to make better investment decisions for a better world. As a leader in providing ESG and climate solutions to investors, we also aim to demonstrate leading corporate responsibility practices.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Our commitment to corporate responsibility is embodied in the following four pillars: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133590" cy="28060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3590" cy="2806065"/>
                    </a:xfrm>
                    <a:prstGeom prst="rect">
                      <a:avLst/>
                    </a:prstGeom>
                    <a:noFill/>
                  </pic:spPr>
                </pic:pic>
              </a:graphicData>
            </a:graphic>
          </wp:anchor>
        </w:drawing>
      </w:r>
    </w:p>
    <w:p>
      <w:pPr>
        <w:spacing w:after="0" w:line="271" w:lineRule="exact"/>
        <w:rPr>
          <w:sz w:val="20"/>
          <w:szCs w:val="20"/>
          <w:color w:val="auto"/>
        </w:rPr>
      </w:pPr>
    </w:p>
    <w:p>
      <w:pPr>
        <w:ind w:left="1040"/>
        <w:spacing w:after="0"/>
        <w:rPr>
          <w:sz w:val="20"/>
          <w:szCs w:val="20"/>
          <w:color w:val="auto"/>
        </w:rPr>
      </w:pPr>
      <w:r>
        <w:rPr>
          <w:rFonts w:ascii="Arial" w:cs="Arial" w:eastAsia="Arial" w:hAnsi="Arial"/>
          <w:sz w:val="21"/>
          <w:szCs w:val="21"/>
          <w:b w:val="1"/>
          <w:bCs w:val="1"/>
          <w:color w:val="002739"/>
        </w:rPr>
        <w:t>Better Investments for a Better World</w:t>
      </w:r>
    </w:p>
    <w:p>
      <w:pPr>
        <w:spacing w:after="0" w:line="195" w:lineRule="exact"/>
        <w:rPr>
          <w:sz w:val="20"/>
          <w:szCs w:val="20"/>
          <w:color w:val="auto"/>
        </w:rPr>
      </w:pPr>
    </w:p>
    <w:p>
      <w:pPr>
        <w:ind w:left="1040"/>
        <w:spacing w:after="0"/>
        <w:rPr>
          <w:sz w:val="20"/>
          <w:szCs w:val="20"/>
          <w:color w:val="auto"/>
        </w:rPr>
      </w:pPr>
      <w:r>
        <w:rPr>
          <w:rFonts w:ascii="Arial" w:cs="Arial" w:eastAsia="Arial" w:hAnsi="Arial"/>
          <w:sz w:val="16"/>
          <w:szCs w:val="16"/>
          <w:color w:val="002739"/>
        </w:rPr>
        <w:t>Offer tools and content for investors globally to manage their ESG and climate risks and opportunities</w:t>
      </w:r>
    </w:p>
    <w:p>
      <w:pPr>
        <w:sectPr>
          <w:pgSz w:w="11900" w:h="16838" w:orient="portrait"/>
          <w:cols w:equalWidth="0" w:num="1">
            <w:col w:w="11020"/>
          </w:cols>
          <w:pgMar w:left="320" w:top="121" w:right="559" w:bottom="1440" w:gutter="0" w:footer="0" w:header="0"/>
        </w:sectPr>
      </w:pPr>
    </w:p>
    <w:p>
      <w:pPr>
        <w:spacing w:after="0" w:line="251"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002739"/>
        </w:rPr>
        <w:t>RECENT HIGHLIGHTS</w:t>
      </w:r>
    </w:p>
    <w:p>
      <w:pPr>
        <w:spacing w:after="0" w:line="62" w:lineRule="exact"/>
        <w:rPr>
          <w:sz w:val="20"/>
          <w:szCs w:val="20"/>
          <w:color w:val="auto"/>
        </w:rPr>
      </w:pPr>
    </w:p>
    <w:p>
      <w:pPr>
        <w:ind w:left="420" w:hanging="163"/>
        <w:spacing w:after="0"/>
        <w:tabs>
          <w:tab w:leader="none" w:pos="420" w:val="left"/>
        </w:tabs>
        <w:numPr>
          <w:ilvl w:val="0"/>
          <w:numId w:val="31"/>
        </w:numPr>
        <w:rPr>
          <w:rFonts w:ascii="Arial" w:cs="Arial" w:eastAsia="Arial" w:hAnsi="Arial"/>
          <w:sz w:val="14"/>
          <w:szCs w:val="14"/>
          <w:b w:val="1"/>
          <w:bCs w:val="1"/>
          <w:color w:val="16479F"/>
        </w:rPr>
      </w:pPr>
      <w:r>
        <w:rPr>
          <w:rFonts w:ascii="Arial" w:cs="Arial" w:eastAsia="Arial" w:hAnsi="Arial"/>
          <w:sz w:val="14"/>
          <w:szCs w:val="14"/>
          <w:b w:val="1"/>
          <w:bCs w:val="1"/>
          <w:color w:val="auto"/>
        </w:rPr>
        <w:t>ESG and Climate Research</w:t>
      </w:r>
    </w:p>
    <w:p>
      <w:pPr>
        <w:spacing w:after="0" w:line="71" w:lineRule="exact"/>
        <w:rPr>
          <w:rFonts w:ascii="Arial" w:cs="Arial" w:eastAsia="Arial" w:hAnsi="Arial"/>
          <w:sz w:val="14"/>
          <w:szCs w:val="14"/>
          <w:b w:val="1"/>
          <w:bCs w:val="1"/>
          <w:color w:val="16479F"/>
        </w:rPr>
      </w:pPr>
    </w:p>
    <w:p>
      <w:pPr>
        <w:ind w:left="620" w:hanging="185"/>
        <w:spacing w:after="0" w:line="254" w:lineRule="auto"/>
        <w:tabs>
          <w:tab w:leader="none" w:pos="607" w:val="left"/>
        </w:tabs>
        <w:numPr>
          <w:ilvl w:val="1"/>
          <w:numId w:val="31"/>
        </w:numPr>
        <w:rPr>
          <w:rFonts w:ascii="Arial" w:cs="Arial" w:eastAsia="Arial" w:hAnsi="Arial"/>
          <w:sz w:val="14"/>
          <w:szCs w:val="14"/>
          <w:b w:val="1"/>
          <w:bCs w:val="1"/>
          <w:color w:val="16479F"/>
        </w:rPr>
      </w:pPr>
      <w:r>
        <w:rPr>
          <w:rFonts w:ascii="Arial" w:cs="Arial" w:eastAsia="Arial" w:hAnsi="Arial"/>
          <w:sz w:val="14"/>
          <w:szCs w:val="14"/>
          <w:color w:val="auto"/>
        </w:rPr>
        <w:t>Published “The Role of Capital in the Net-Zero Revolution” to identify specific steps to drive to a net-zero economy by 2050</w:t>
      </w:r>
    </w:p>
    <w:p>
      <w:pPr>
        <w:spacing w:after="0" w:line="34" w:lineRule="exact"/>
        <w:rPr>
          <w:rFonts w:ascii="Arial" w:cs="Arial" w:eastAsia="Arial" w:hAnsi="Arial"/>
          <w:sz w:val="14"/>
          <w:szCs w:val="14"/>
          <w:b w:val="1"/>
          <w:bCs w:val="1"/>
          <w:color w:val="16479F"/>
        </w:rPr>
      </w:pPr>
    </w:p>
    <w:p>
      <w:pPr>
        <w:ind w:left="620" w:right="200" w:hanging="185"/>
        <w:spacing w:after="0" w:line="254" w:lineRule="auto"/>
        <w:tabs>
          <w:tab w:leader="none" w:pos="607" w:val="left"/>
        </w:tabs>
        <w:numPr>
          <w:ilvl w:val="1"/>
          <w:numId w:val="31"/>
        </w:numPr>
        <w:rPr>
          <w:rFonts w:ascii="Arial" w:cs="Arial" w:eastAsia="Arial" w:hAnsi="Arial"/>
          <w:sz w:val="14"/>
          <w:szCs w:val="14"/>
          <w:b w:val="1"/>
          <w:bCs w:val="1"/>
          <w:color w:val="16479F"/>
        </w:rPr>
      </w:pPr>
      <w:r>
        <w:rPr>
          <w:rFonts w:ascii="Arial" w:cs="Arial" w:eastAsia="Arial" w:hAnsi="Arial"/>
          <w:sz w:val="14"/>
          <w:szCs w:val="14"/>
          <w:color w:val="auto"/>
        </w:rPr>
        <w:t>Published the “Women on Boards Progress Report,” our annual survey on the state of women’s representation on corporate boards</w:t>
      </w:r>
    </w:p>
    <w:p>
      <w:pPr>
        <w:spacing w:after="0" w:line="34" w:lineRule="exact"/>
        <w:rPr>
          <w:rFonts w:ascii="Arial" w:cs="Arial" w:eastAsia="Arial" w:hAnsi="Arial"/>
          <w:sz w:val="14"/>
          <w:szCs w:val="14"/>
          <w:b w:val="1"/>
          <w:bCs w:val="1"/>
          <w:color w:val="16479F"/>
        </w:rPr>
      </w:pPr>
    </w:p>
    <w:p>
      <w:pPr>
        <w:ind w:left="620" w:right="40" w:hanging="185"/>
        <w:spacing w:after="0" w:line="254" w:lineRule="auto"/>
        <w:tabs>
          <w:tab w:leader="none" w:pos="607" w:val="left"/>
        </w:tabs>
        <w:numPr>
          <w:ilvl w:val="1"/>
          <w:numId w:val="31"/>
        </w:numPr>
        <w:rPr>
          <w:rFonts w:ascii="Arial" w:cs="Arial" w:eastAsia="Arial" w:hAnsi="Arial"/>
          <w:sz w:val="14"/>
          <w:szCs w:val="14"/>
          <w:b w:val="1"/>
          <w:bCs w:val="1"/>
          <w:color w:val="16479F"/>
        </w:rPr>
      </w:pPr>
      <w:r>
        <w:rPr>
          <w:rFonts w:ascii="Arial" w:cs="Arial" w:eastAsia="Arial" w:hAnsi="Arial"/>
          <w:sz w:val="14"/>
          <w:szCs w:val="14"/>
          <w:color w:val="auto"/>
        </w:rPr>
        <w:t>Published “Breaking Down Corporate Net-Zero Climate Targets” to provide a framework to assess companies’ decarbonization targets</w:t>
      </w:r>
    </w:p>
    <w:p>
      <w:pPr>
        <w:spacing w:after="0" w:line="69" w:lineRule="exact"/>
        <w:rPr>
          <w:rFonts w:ascii="Arial" w:cs="Arial" w:eastAsia="Arial" w:hAnsi="Arial"/>
          <w:sz w:val="14"/>
          <w:szCs w:val="14"/>
          <w:b w:val="1"/>
          <w:bCs w:val="1"/>
          <w:color w:val="16479F"/>
        </w:rPr>
      </w:pPr>
    </w:p>
    <w:p>
      <w:pPr>
        <w:ind w:left="420" w:hanging="163"/>
        <w:spacing w:after="0"/>
        <w:tabs>
          <w:tab w:leader="none" w:pos="420" w:val="left"/>
        </w:tabs>
        <w:numPr>
          <w:ilvl w:val="0"/>
          <w:numId w:val="31"/>
        </w:numPr>
        <w:rPr>
          <w:rFonts w:ascii="Arial" w:cs="Arial" w:eastAsia="Arial" w:hAnsi="Arial"/>
          <w:sz w:val="14"/>
          <w:szCs w:val="14"/>
          <w:b w:val="1"/>
          <w:bCs w:val="1"/>
          <w:color w:val="16479F"/>
        </w:rPr>
      </w:pPr>
      <w:r>
        <w:rPr>
          <w:rFonts w:ascii="Arial" w:cs="Arial" w:eastAsia="Arial" w:hAnsi="Arial"/>
          <w:sz w:val="14"/>
          <w:szCs w:val="14"/>
          <w:b w:val="1"/>
          <w:bCs w:val="1"/>
          <w:color w:val="auto"/>
        </w:rPr>
        <w:t>Data and Metrics Published</w:t>
      </w:r>
    </w:p>
    <w:p>
      <w:pPr>
        <w:spacing w:after="0" w:line="71" w:lineRule="exact"/>
        <w:rPr>
          <w:rFonts w:ascii="Arial" w:cs="Arial" w:eastAsia="Arial" w:hAnsi="Arial"/>
          <w:sz w:val="14"/>
          <w:szCs w:val="14"/>
          <w:b w:val="1"/>
          <w:bCs w:val="1"/>
          <w:color w:val="16479F"/>
        </w:rPr>
      </w:pPr>
    </w:p>
    <w:p>
      <w:pPr>
        <w:ind w:left="620" w:right="220" w:hanging="185"/>
        <w:spacing w:after="0" w:line="247" w:lineRule="auto"/>
        <w:tabs>
          <w:tab w:leader="none" w:pos="607" w:val="left"/>
        </w:tabs>
        <w:numPr>
          <w:ilvl w:val="1"/>
          <w:numId w:val="31"/>
        </w:numPr>
        <w:rPr>
          <w:rFonts w:ascii="Arial" w:cs="Arial" w:eastAsia="Arial" w:hAnsi="Arial"/>
          <w:sz w:val="14"/>
          <w:szCs w:val="14"/>
          <w:b w:val="1"/>
          <w:bCs w:val="1"/>
          <w:color w:val="16479F"/>
        </w:rPr>
      </w:pPr>
      <w:r>
        <w:rPr>
          <w:rFonts w:ascii="Arial" w:cs="Arial" w:eastAsia="Arial" w:hAnsi="Arial"/>
          <w:sz w:val="14"/>
          <w:szCs w:val="14"/>
          <w:color w:val="auto"/>
        </w:rPr>
        <w:t>Launched our Implied Temperature Rise search tool, which discloses how individual companies align with different climate pathways and decarbonization targets</w:t>
      </w:r>
    </w:p>
    <w:p>
      <w:pPr>
        <w:spacing w:after="0" w:line="38" w:lineRule="exact"/>
        <w:rPr>
          <w:rFonts w:ascii="Arial" w:cs="Arial" w:eastAsia="Arial" w:hAnsi="Arial"/>
          <w:sz w:val="14"/>
          <w:szCs w:val="14"/>
          <w:b w:val="1"/>
          <w:bCs w:val="1"/>
          <w:color w:val="16479F"/>
        </w:rPr>
      </w:pPr>
    </w:p>
    <w:p>
      <w:pPr>
        <w:ind w:left="620" w:right="380" w:hanging="185"/>
        <w:spacing w:after="0" w:line="254" w:lineRule="auto"/>
        <w:tabs>
          <w:tab w:leader="none" w:pos="607" w:val="left"/>
        </w:tabs>
        <w:numPr>
          <w:ilvl w:val="1"/>
          <w:numId w:val="31"/>
        </w:numPr>
        <w:rPr>
          <w:rFonts w:ascii="Arial" w:cs="Arial" w:eastAsia="Arial" w:hAnsi="Arial"/>
          <w:sz w:val="14"/>
          <w:szCs w:val="14"/>
          <w:b w:val="1"/>
          <w:bCs w:val="1"/>
          <w:color w:val="16479F"/>
        </w:rPr>
      </w:pPr>
      <w:r>
        <w:rPr>
          <w:rFonts w:ascii="Arial" w:cs="Arial" w:eastAsia="Arial" w:hAnsi="Arial"/>
          <w:sz w:val="14"/>
          <w:szCs w:val="14"/>
          <w:color w:val="auto"/>
        </w:rPr>
        <w:t>Launched the MSCI Net-Zero Tracker to gauge progress by the world’s public companies toward curbing climate risk</w:t>
      </w:r>
    </w:p>
    <w:p>
      <w:pPr>
        <w:spacing w:after="0" w:line="34" w:lineRule="exact"/>
        <w:rPr>
          <w:rFonts w:ascii="Arial" w:cs="Arial" w:eastAsia="Arial" w:hAnsi="Arial"/>
          <w:sz w:val="14"/>
          <w:szCs w:val="14"/>
          <w:b w:val="1"/>
          <w:bCs w:val="1"/>
          <w:color w:val="16479F"/>
        </w:rPr>
      </w:pPr>
    </w:p>
    <w:p>
      <w:pPr>
        <w:jc w:val="both"/>
        <w:ind w:left="620" w:right="340" w:hanging="185"/>
        <w:spacing w:after="0" w:line="247" w:lineRule="auto"/>
        <w:tabs>
          <w:tab w:leader="none" w:pos="607" w:val="left"/>
        </w:tabs>
        <w:numPr>
          <w:ilvl w:val="1"/>
          <w:numId w:val="31"/>
        </w:numPr>
        <w:rPr>
          <w:rFonts w:ascii="Arial" w:cs="Arial" w:eastAsia="Arial" w:hAnsi="Arial"/>
          <w:sz w:val="14"/>
          <w:szCs w:val="14"/>
          <w:b w:val="1"/>
          <w:bCs w:val="1"/>
          <w:color w:val="16479F"/>
        </w:rPr>
      </w:pPr>
      <w:r>
        <w:rPr>
          <w:rFonts w:ascii="Arial" w:cs="Arial" w:eastAsia="Arial" w:hAnsi="Arial"/>
          <w:sz w:val="14"/>
          <w:szCs w:val="14"/>
          <w:color w:val="auto"/>
        </w:rPr>
        <w:t>Released the U.S. Racial and Ethnic Data Set to provide information on select U.S. companies’ disclosure practices and policies with regards to racial and ethnic diversity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ind w:left="163" w:hanging="163"/>
        <w:spacing w:after="0"/>
        <w:tabs>
          <w:tab w:leader="none" w:pos="163" w:val="left"/>
        </w:tabs>
        <w:numPr>
          <w:ilvl w:val="0"/>
          <w:numId w:val="32"/>
        </w:numPr>
        <w:rPr>
          <w:rFonts w:ascii="Arial" w:cs="Arial" w:eastAsia="Arial" w:hAnsi="Arial"/>
          <w:sz w:val="14"/>
          <w:szCs w:val="14"/>
          <w:b w:val="1"/>
          <w:bCs w:val="1"/>
          <w:color w:val="16479F"/>
        </w:rPr>
      </w:pPr>
      <w:r>
        <w:rPr>
          <w:rFonts w:ascii="Arial" w:cs="Arial" w:eastAsia="Arial" w:hAnsi="Arial"/>
          <w:sz w:val="14"/>
          <w:szCs w:val="14"/>
          <w:b w:val="1"/>
          <w:bCs w:val="1"/>
          <w:color w:val="auto"/>
        </w:rPr>
        <w:t>Product Launches and Initiatives</w:t>
      </w:r>
    </w:p>
    <w:p>
      <w:pPr>
        <w:spacing w:after="0" w:line="71" w:lineRule="exact"/>
        <w:rPr>
          <w:rFonts w:ascii="Arial" w:cs="Arial" w:eastAsia="Arial" w:hAnsi="Arial"/>
          <w:sz w:val="14"/>
          <w:szCs w:val="14"/>
          <w:b w:val="1"/>
          <w:bCs w:val="1"/>
          <w:color w:val="16479F"/>
        </w:rPr>
      </w:pPr>
    </w:p>
    <w:p>
      <w:pPr>
        <w:ind w:left="363" w:right="180" w:hanging="184"/>
        <w:spacing w:after="0" w:line="254" w:lineRule="auto"/>
        <w:tabs>
          <w:tab w:leader="none" w:pos="349" w:val="left"/>
        </w:tabs>
        <w:numPr>
          <w:ilvl w:val="1"/>
          <w:numId w:val="32"/>
        </w:numPr>
        <w:rPr>
          <w:rFonts w:ascii="Arial" w:cs="Arial" w:eastAsia="Arial" w:hAnsi="Arial"/>
          <w:sz w:val="14"/>
          <w:szCs w:val="14"/>
          <w:b w:val="1"/>
          <w:bCs w:val="1"/>
          <w:color w:val="16479F"/>
        </w:rPr>
      </w:pPr>
      <w:r>
        <w:rPr>
          <w:rFonts w:ascii="Arial" w:cs="Arial" w:eastAsia="Arial" w:hAnsi="Arial"/>
          <w:sz w:val="14"/>
          <w:szCs w:val="14"/>
          <w:color w:val="auto"/>
        </w:rPr>
        <w:t>Launched our MSCI Climate Lab Enterprise product to help investors monitor and manage climate risk across the investment process</w:t>
      </w:r>
    </w:p>
    <w:p>
      <w:pPr>
        <w:spacing w:after="0" w:line="34" w:lineRule="exact"/>
        <w:rPr>
          <w:rFonts w:ascii="Arial" w:cs="Arial" w:eastAsia="Arial" w:hAnsi="Arial"/>
          <w:sz w:val="14"/>
          <w:szCs w:val="14"/>
          <w:b w:val="1"/>
          <w:bCs w:val="1"/>
          <w:color w:val="16479F"/>
        </w:rPr>
      </w:pPr>
    </w:p>
    <w:p>
      <w:pPr>
        <w:ind w:left="363" w:right="80" w:hanging="184"/>
        <w:spacing w:after="0" w:line="247" w:lineRule="auto"/>
        <w:tabs>
          <w:tab w:leader="none" w:pos="349" w:val="left"/>
        </w:tabs>
        <w:numPr>
          <w:ilvl w:val="1"/>
          <w:numId w:val="32"/>
        </w:numPr>
        <w:rPr>
          <w:rFonts w:ascii="Arial" w:cs="Arial" w:eastAsia="Arial" w:hAnsi="Arial"/>
          <w:sz w:val="14"/>
          <w:szCs w:val="14"/>
          <w:b w:val="1"/>
          <w:bCs w:val="1"/>
          <w:color w:val="16479F"/>
        </w:rPr>
      </w:pPr>
      <w:r>
        <w:rPr>
          <w:rFonts w:ascii="Arial" w:cs="Arial" w:eastAsia="Arial" w:hAnsi="Arial"/>
          <w:sz w:val="14"/>
          <w:szCs w:val="14"/>
          <w:color w:val="auto"/>
        </w:rPr>
        <w:t>Expanded our toolkit of climate data and reporting capabilities to help investors meet the requirements of the E.U. Sustainable Finance Disclosure Regulation (“SFDR”)</w:t>
      </w:r>
    </w:p>
    <w:p>
      <w:pPr>
        <w:spacing w:after="0" w:line="38" w:lineRule="exact"/>
        <w:rPr>
          <w:rFonts w:ascii="Arial" w:cs="Arial" w:eastAsia="Arial" w:hAnsi="Arial"/>
          <w:sz w:val="14"/>
          <w:szCs w:val="14"/>
          <w:b w:val="1"/>
          <w:bCs w:val="1"/>
          <w:color w:val="16479F"/>
        </w:rPr>
      </w:pPr>
    </w:p>
    <w:p>
      <w:pPr>
        <w:ind w:left="363" w:right="180" w:hanging="184"/>
        <w:spacing w:after="0" w:line="247" w:lineRule="auto"/>
        <w:tabs>
          <w:tab w:leader="none" w:pos="349" w:val="left"/>
        </w:tabs>
        <w:numPr>
          <w:ilvl w:val="1"/>
          <w:numId w:val="32"/>
        </w:numPr>
        <w:rPr>
          <w:rFonts w:ascii="Arial" w:cs="Arial" w:eastAsia="Arial" w:hAnsi="Arial"/>
          <w:sz w:val="14"/>
          <w:szCs w:val="14"/>
          <w:b w:val="1"/>
          <w:bCs w:val="1"/>
          <w:color w:val="16479F"/>
        </w:rPr>
      </w:pPr>
      <w:r>
        <w:rPr>
          <w:rFonts w:ascii="Arial" w:cs="Arial" w:eastAsia="Arial" w:hAnsi="Arial"/>
          <w:sz w:val="14"/>
          <w:szCs w:val="14"/>
          <w:color w:val="auto"/>
        </w:rPr>
        <w:t>Together with The Burgiss Group, LLC (“Burgiss”), launched the Carbon Footprinting of Private Equity and Debt Funds product to measure the carbon intensity of private assets</w:t>
      </w:r>
    </w:p>
    <w:p>
      <w:pPr>
        <w:spacing w:after="0" w:line="74" w:lineRule="exact"/>
        <w:rPr>
          <w:rFonts w:ascii="Arial" w:cs="Arial" w:eastAsia="Arial" w:hAnsi="Arial"/>
          <w:sz w:val="14"/>
          <w:szCs w:val="14"/>
          <w:b w:val="1"/>
          <w:bCs w:val="1"/>
          <w:color w:val="16479F"/>
        </w:rPr>
      </w:pPr>
    </w:p>
    <w:p>
      <w:pPr>
        <w:ind w:left="163" w:hanging="163"/>
        <w:spacing w:after="0"/>
        <w:tabs>
          <w:tab w:leader="none" w:pos="163" w:val="left"/>
        </w:tabs>
        <w:numPr>
          <w:ilvl w:val="0"/>
          <w:numId w:val="32"/>
        </w:numPr>
        <w:rPr>
          <w:rFonts w:ascii="Arial" w:cs="Arial" w:eastAsia="Arial" w:hAnsi="Arial"/>
          <w:sz w:val="14"/>
          <w:szCs w:val="14"/>
          <w:b w:val="1"/>
          <w:bCs w:val="1"/>
          <w:color w:val="16479F"/>
        </w:rPr>
      </w:pPr>
      <w:r>
        <w:rPr>
          <w:rFonts w:ascii="Arial" w:cs="Arial" w:eastAsia="Arial" w:hAnsi="Arial"/>
          <w:sz w:val="14"/>
          <w:szCs w:val="14"/>
          <w:b w:val="1"/>
          <w:bCs w:val="1"/>
          <w:color w:val="auto"/>
        </w:rPr>
        <w:t>ESG and Climate Index Launches</w:t>
      </w:r>
    </w:p>
    <w:p>
      <w:pPr>
        <w:spacing w:after="0" w:line="71" w:lineRule="exact"/>
        <w:rPr>
          <w:rFonts w:ascii="Arial" w:cs="Arial" w:eastAsia="Arial" w:hAnsi="Arial"/>
          <w:sz w:val="14"/>
          <w:szCs w:val="14"/>
          <w:b w:val="1"/>
          <w:bCs w:val="1"/>
          <w:color w:val="16479F"/>
        </w:rPr>
      </w:pPr>
    </w:p>
    <w:p>
      <w:pPr>
        <w:ind w:left="363" w:right="100" w:hanging="184"/>
        <w:spacing w:after="0" w:line="254" w:lineRule="auto"/>
        <w:tabs>
          <w:tab w:leader="none" w:pos="349" w:val="left"/>
        </w:tabs>
        <w:numPr>
          <w:ilvl w:val="1"/>
          <w:numId w:val="32"/>
        </w:numPr>
        <w:rPr>
          <w:rFonts w:ascii="Arial" w:cs="Arial" w:eastAsia="Arial" w:hAnsi="Arial"/>
          <w:sz w:val="14"/>
          <w:szCs w:val="14"/>
          <w:b w:val="1"/>
          <w:bCs w:val="1"/>
          <w:color w:val="16479F"/>
        </w:rPr>
      </w:pPr>
      <w:r>
        <w:rPr>
          <w:rFonts w:ascii="Arial" w:cs="Arial" w:eastAsia="Arial" w:hAnsi="Arial"/>
          <w:sz w:val="14"/>
          <w:szCs w:val="14"/>
          <w:color w:val="auto"/>
        </w:rPr>
        <w:t>Introduced MSCI Climate Paris Aligned Indexes, designed to support investors seeking to reduce their exposure to transition and physical climate risks</w:t>
      </w:r>
    </w:p>
    <w:p>
      <w:pPr>
        <w:spacing w:after="0" w:line="34" w:lineRule="exact"/>
        <w:rPr>
          <w:rFonts w:ascii="Arial" w:cs="Arial" w:eastAsia="Arial" w:hAnsi="Arial"/>
          <w:sz w:val="14"/>
          <w:szCs w:val="14"/>
          <w:b w:val="1"/>
          <w:bCs w:val="1"/>
          <w:color w:val="16479F"/>
        </w:rPr>
      </w:pPr>
    </w:p>
    <w:p>
      <w:pPr>
        <w:ind w:left="363" w:right="220" w:hanging="184"/>
        <w:spacing w:after="0" w:line="244" w:lineRule="auto"/>
        <w:tabs>
          <w:tab w:leader="none" w:pos="349" w:val="left"/>
        </w:tabs>
        <w:numPr>
          <w:ilvl w:val="1"/>
          <w:numId w:val="32"/>
        </w:numPr>
        <w:rPr>
          <w:rFonts w:ascii="Arial" w:cs="Arial" w:eastAsia="Arial" w:hAnsi="Arial"/>
          <w:sz w:val="14"/>
          <w:szCs w:val="14"/>
          <w:b w:val="1"/>
          <w:bCs w:val="1"/>
          <w:color w:val="16479F"/>
        </w:rPr>
      </w:pPr>
      <w:r>
        <w:rPr>
          <w:rFonts w:ascii="Arial" w:cs="Arial" w:eastAsia="Arial" w:hAnsi="Arial"/>
          <w:sz w:val="14"/>
          <w:szCs w:val="14"/>
          <w:color w:val="auto"/>
        </w:rPr>
        <w:t>Launched a new suite of Circular Economy Indexes that aim to represent the performance of companies that facilitate a transition to a circular economy, addressing global resource challenges such as energy scarcity, biodiversity loss, waste and pollution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-3561715</wp:posOffset>
            </wp:positionH>
            <wp:positionV relativeFrom="paragraph">
              <wp:posOffset>261620</wp:posOffset>
            </wp:positionV>
            <wp:extent cx="7133590" cy="25336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3590" cy="2533650"/>
                    </a:xfrm>
                    <a:prstGeom prst="rect">
                      <a:avLst/>
                    </a:prstGeom>
                    <a:noFill/>
                  </pic:spPr>
                </pic:pic>
              </a:graphicData>
            </a:graphic>
          </wp:anchor>
        </w:drawing>
      </w:r>
    </w:p>
    <w:p>
      <w:pPr>
        <w:spacing w:after="0" w:line="283" w:lineRule="exact"/>
        <w:rPr>
          <w:sz w:val="20"/>
          <w:szCs w:val="20"/>
          <w:color w:val="auto"/>
        </w:rPr>
      </w:pPr>
    </w:p>
    <w:p>
      <w:pPr>
        <w:sectPr>
          <w:pgSz w:w="11900" w:h="16838" w:orient="portrait"/>
          <w:cols w:equalWidth="0" w:num="2">
            <w:col w:w="5460" w:space="157"/>
            <w:col w:w="5403"/>
          </w:cols>
          <w:pgMar w:left="320" w:top="121" w:right="559" w:bottom="1440" w:gutter="0" w:footer="0" w:header="0"/>
          <w:type w:val="continuous"/>
        </w:sectPr>
      </w:pPr>
    </w:p>
    <w:p>
      <w:pPr>
        <w:spacing w:after="0" w:line="243" w:lineRule="exact"/>
        <w:rPr>
          <w:sz w:val="20"/>
          <w:szCs w:val="20"/>
          <w:color w:val="auto"/>
        </w:rPr>
      </w:pPr>
    </w:p>
    <w:p>
      <w:pPr>
        <w:ind w:left="1040"/>
        <w:spacing w:after="0"/>
        <w:rPr>
          <w:sz w:val="20"/>
          <w:szCs w:val="20"/>
          <w:color w:val="auto"/>
        </w:rPr>
      </w:pPr>
      <w:r>
        <w:rPr>
          <w:rFonts w:ascii="Arial" w:cs="Arial" w:eastAsia="Arial" w:hAnsi="Arial"/>
          <w:sz w:val="21"/>
          <w:szCs w:val="21"/>
          <w:b w:val="1"/>
          <w:bCs w:val="1"/>
          <w:color w:val="6A7278"/>
        </w:rPr>
        <w:t>Social Responsibility</w:t>
      </w:r>
    </w:p>
    <w:p>
      <w:pPr>
        <w:spacing w:after="0" w:line="195" w:lineRule="exact"/>
        <w:rPr>
          <w:sz w:val="20"/>
          <w:szCs w:val="20"/>
          <w:color w:val="auto"/>
        </w:rPr>
      </w:pPr>
    </w:p>
    <w:p>
      <w:pPr>
        <w:ind w:left="1040"/>
        <w:spacing w:after="0"/>
        <w:rPr>
          <w:sz w:val="20"/>
          <w:szCs w:val="20"/>
          <w:color w:val="auto"/>
        </w:rPr>
      </w:pPr>
      <w:r>
        <w:rPr>
          <w:rFonts w:ascii="Arial" w:cs="Arial" w:eastAsia="Arial" w:hAnsi="Arial"/>
          <w:sz w:val="16"/>
          <w:szCs w:val="16"/>
          <w:color w:val="6A7278"/>
        </w:rPr>
        <w:t>Build a highly engaged workforce, including through learning and development efforts and DE&amp;I initiatives</w:t>
      </w:r>
    </w:p>
    <w:p>
      <w:pPr>
        <w:sectPr>
          <w:pgSz w:w="11900" w:h="16838" w:orient="portrait"/>
          <w:cols w:equalWidth="0" w:num="1">
            <w:col w:w="11020"/>
          </w:cols>
          <w:pgMar w:left="320" w:top="121" w:right="559" w:bottom="1440" w:gutter="0" w:footer="0" w:header="0"/>
          <w:type w:val="continuous"/>
        </w:sectPr>
      </w:pPr>
    </w:p>
    <w:p>
      <w:pPr>
        <w:spacing w:after="0" w:line="251"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002739"/>
        </w:rPr>
        <w:t>RECENT HIGHLIGHTS</w:t>
      </w:r>
    </w:p>
    <w:p>
      <w:pPr>
        <w:spacing w:after="0" w:line="62" w:lineRule="exact"/>
        <w:rPr>
          <w:sz w:val="20"/>
          <w:szCs w:val="20"/>
          <w:color w:val="auto"/>
        </w:rPr>
      </w:pPr>
    </w:p>
    <w:p>
      <w:pPr>
        <w:ind w:left="420" w:hanging="163"/>
        <w:spacing w:after="0"/>
        <w:tabs>
          <w:tab w:leader="none" w:pos="420" w:val="left"/>
        </w:tabs>
        <w:numPr>
          <w:ilvl w:val="0"/>
          <w:numId w:val="33"/>
        </w:numPr>
        <w:rPr>
          <w:rFonts w:ascii="Arial" w:cs="Arial" w:eastAsia="Arial" w:hAnsi="Arial"/>
          <w:sz w:val="14"/>
          <w:szCs w:val="14"/>
          <w:b w:val="1"/>
          <w:bCs w:val="1"/>
          <w:color w:val="16479F"/>
        </w:rPr>
      </w:pPr>
      <w:r>
        <w:rPr>
          <w:rFonts w:ascii="Arial" w:cs="Arial" w:eastAsia="Arial" w:hAnsi="Arial"/>
          <w:sz w:val="14"/>
          <w:szCs w:val="14"/>
          <w:b w:val="1"/>
          <w:bCs w:val="1"/>
          <w:color w:val="auto"/>
        </w:rPr>
        <w:t>Diversity Equity &amp; Inclusion (DE&amp;I)</w:t>
      </w:r>
    </w:p>
    <w:p>
      <w:pPr>
        <w:spacing w:after="0" w:line="71" w:lineRule="exact"/>
        <w:rPr>
          <w:rFonts w:ascii="Arial" w:cs="Arial" w:eastAsia="Arial" w:hAnsi="Arial"/>
          <w:sz w:val="14"/>
          <w:szCs w:val="14"/>
          <w:b w:val="1"/>
          <w:bCs w:val="1"/>
          <w:color w:val="16479F"/>
        </w:rPr>
      </w:pPr>
    </w:p>
    <w:p>
      <w:pPr>
        <w:ind w:left="620" w:hanging="185"/>
        <w:spacing w:after="0" w:line="244" w:lineRule="auto"/>
        <w:tabs>
          <w:tab w:leader="none" w:pos="607" w:val="left"/>
        </w:tabs>
        <w:numPr>
          <w:ilvl w:val="1"/>
          <w:numId w:val="33"/>
        </w:numPr>
        <w:rPr>
          <w:rFonts w:ascii="Arial" w:cs="Arial" w:eastAsia="Arial" w:hAnsi="Arial"/>
          <w:sz w:val="14"/>
          <w:szCs w:val="14"/>
          <w:b w:val="1"/>
          <w:bCs w:val="1"/>
          <w:color w:val="16479F"/>
        </w:rPr>
      </w:pPr>
      <w:r>
        <w:rPr>
          <w:rFonts w:ascii="Arial" w:cs="Arial" w:eastAsia="Arial" w:hAnsi="Arial"/>
          <w:sz w:val="14"/>
          <w:szCs w:val="14"/>
          <w:color w:val="auto"/>
        </w:rPr>
        <w:t>Hired our first Chief Diversity Officer, responsible for operating across MSCI to align our DE&amp;I goals with business outcomes, help embed DE&amp;I considerations in the way we do business, attract and retain the best diverse talent and increase the impact of our internal workplace initiatives</w:t>
      </w:r>
    </w:p>
    <w:p>
      <w:pPr>
        <w:spacing w:after="0" w:line="41" w:lineRule="exact"/>
        <w:rPr>
          <w:rFonts w:ascii="Arial" w:cs="Arial" w:eastAsia="Arial" w:hAnsi="Arial"/>
          <w:sz w:val="14"/>
          <w:szCs w:val="14"/>
          <w:b w:val="1"/>
          <w:bCs w:val="1"/>
          <w:color w:val="16479F"/>
        </w:rPr>
      </w:pPr>
    </w:p>
    <w:p>
      <w:pPr>
        <w:jc w:val="both"/>
        <w:ind w:left="620" w:right="300" w:hanging="185"/>
        <w:spacing w:after="0" w:line="247" w:lineRule="auto"/>
        <w:tabs>
          <w:tab w:leader="none" w:pos="607" w:val="left"/>
        </w:tabs>
        <w:numPr>
          <w:ilvl w:val="1"/>
          <w:numId w:val="33"/>
        </w:numPr>
        <w:rPr>
          <w:rFonts w:ascii="Arial" w:cs="Arial" w:eastAsia="Arial" w:hAnsi="Arial"/>
          <w:sz w:val="14"/>
          <w:szCs w:val="14"/>
          <w:b w:val="1"/>
          <w:bCs w:val="1"/>
          <w:color w:val="16479F"/>
        </w:rPr>
      </w:pPr>
      <w:r>
        <w:rPr>
          <w:rFonts w:ascii="Arial" w:cs="Arial" w:eastAsia="Arial" w:hAnsi="Arial"/>
          <w:sz w:val="14"/>
          <w:szCs w:val="14"/>
          <w:color w:val="auto"/>
        </w:rPr>
        <w:t>Published our 2020 and 2019 U.S. Consolidated EEO- 1 Report data, in addition to disclosing diversity data aligned to Sustainability Accounting Standards Board (“SASB”) categories</w:t>
      </w:r>
    </w:p>
    <w:p>
      <w:pPr>
        <w:spacing w:after="0" w:line="38" w:lineRule="exact"/>
        <w:rPr>
          <w:rFonts w:ascii="Arial" w:cs="Arial" w:eastAsia="Arial" w:hAnsi="Arial"/>
          <w:sz w:val="14"/>
          <w:szCs w:val="14"/>
          <w:b w:val="1"/>
          <w:bCs w:val="1"/>
          <w:color w:val="16479F"/>
        </w:rPr>
      </w:pPr>
    </w:p>
    <w:p>
      <w:pPr>
        <w:ind w:left="620" w:right="300" w:hanging="185"/>
        <w:spacing w:after="0" w:line="254" w:lineRule="auto"/>
        <w:tabs>
          <w:tab w:leader="none" w:pos="607" w:val="left"/>
        </w:tabs>
        <w:numPr>
          <w:ilvl w:val="1"/>
          <w:numId w:val="33"/>
        </w:numPr>
        <w:rPr>
          <w:rFonts w:ascii="Arial" w:cs="Arial" w:eastAsia="Arial" w:hAnsi="Arial"/>
          <w:sz w:val="14"/>
          <w:szCs w:val="14"/>
          <w:b w:val="1"/>
          <w:bCs w:val="1"/>
          <w:color w:val="16479F"/>
        </w:rPr>
      </w:pPr>
      <w:r>
        <w:rPr>
          <w:rFonts w:ascii="Arial" w:cs="Arial" w:eastAsia="Arial" w:hAnsi="Arial"/>
          <w:sz w:val="14"/>
          <w:szCs w:val="14"/>
          <w:color w:val="auto"/>
        </w:rPr>
        <w:t>Formed three new DE&amp;I employee resource groups (“ERGs”), the Asian Support Network, All Abilities Network and Hola! MSCI</w:t>
      </w:r>
    </w:p>
    <w:p>
      <w:pPr>
        <w:spacing w:after="0" w:line="34" w:lineRule="exact"/>
        <w:rPr>
          <w:rFonts w:ascii="Arial" w:cs="Arial" w:eastAsia="Arial" w:hAnsi="Arial"/>
          <w:sz w:val="14"/>
          <w:szCs w:val="14"/>
          <w:b w:val="1"/>
          <w:bCs w:val="1"/>
          <w:color w:val="16479F"/>
        </w:rPr>
      </w:pPr>
    </w:p>
    <w:p>
      <w:pPr>
        <w:ind w:left="620" w:right="40" w:hanging="185"/>
        <w:spacing w:after="0" w:line="254" w:lineRule="auto"/>
        <w:tabs>
          <w:tab w:leader="none" w:pos="607" w:val="left"/>
        </w:tabs>
        <w:numPr>
          <w:ilvl w:val="1"/>
          <w:numId w:val="33"/>
        </w:numPr>
        <w:rPr>
          <w:rFonts w:ascii="Arial" w:cs="Arial" w:eastAsia="Arial" w:hAnsi="Arial"/>
          <w:sz w:val="14"/>
          <w:szCs w:val="14"/>
          <w:b w:val="1"/>
          <w:bCs w:val="1"/>
          <w:color w:val="16479F"/>
        </w:rPr>
      </w:pPr>
      <w:r>
        <w:rPr>
          <w:rFonts w:ascii="Arial" w:cs="Arial" w:eastAsia="Arial" w:hAnsi="Arial"/>
          <w:sz w:val="14"/>
          <w:szCs w:val="14"/>
          <w:color w:val="auto"/>
        </w:rPr>
        <w:t>Executed 4th Annual Global DE&amp;I Summit, an internal event that focuses on leadership development and strategic planning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ind w:left="163" w:hanging="163"/>
        <w:spacing w:after="0"/>
        <w:tabs>
          <w:tab w:leader="none" w:pos="163" w:val="left"/>
        </w:tabs>
        <w:numPr>
          <w:ilvl w:val="0"/>
          <w:numId w:val="34"/>
        </w:numPr>
        <w:rPr>
          <w:rFonts w:ascii="Arial" w:cs="Arial" w:eastAsia="Arial" w:hAnsi="Arial"/>
          <w:sz w:val="14"/>
          <w:szCs w:val="14"/>
          <w:b w:val="1"/>
          <w:bCs w:val="1"/>
          <w:color w:val="16479F"/>
        </w:rPr>
      </w:pPr>
      <w:r>
        <w:rPr>
          <w:rFonts w:ascii="Arial" w:cs="Arial" w:eastAsia="Arial" w:hAnsi="Arial"/>
          <w:sz w:val="14"/>
          <w:szCs w:val="14"/>
          <w:b w:val="1"/>
          <w:bCs w:val="1"/>
          <w:color w:val="auto"/>
        </w:rPr>
        <w:t>Compensation</w:t>
      </w:r>
    </w:p>
    <w:p>
      <w:pPr>
        <w:spacing w:after="0" w:line="71" w:lineRule="exact"/>
        <w:rPr>
          <w:rFonts w:ascii="Arial" w:cs="Arial" w:eastAsia="Arial" w:hAnsi="Arial"/>
          <w:sz w:val="14"/>
          <w:szCs w:val="14"/>
          <w:b w:val="1"/>
          <w:bCs w:val="1"/>
          <w:color w:val="16479F"/>
        </w:rPr>
      </w:pPr>
    </w:p>
    <w:p>
      <w:pPr>
        <w:ind w:left="363" w:right="80" w:hanging="184"/>
        <w:spacing w:after="0" w:line="254" w:lineRule="auto"/>
        <w:tabs>
          <w:tab w:leader="none" w:pos="349" w:val="left"/>
        </w:tabs>
        <w:numPr>
          <w:ilvl w:val="1"/>
          <w:numId w:val="34"/>
        </w:numPr>
        <w:rPr>
          <w:rFonts w:ascii="Arial" w:cs="Arial" w:eastAsia="Arial" w:hAnsi="Arial"/>
          <w:sz w:val="14"/>
          <w:szCs w:val="14"/>
          <w:b w:val="1"/>
          <w:bCs w:val="1"/>
          <w:color w:val="16479F"/>
        </w:rPr>
      </w:pPr>
      <w:r>
        <w:rPr>
          <w:rFonts w:ascii="Arial" w:cs="Arial" w:eastAsia="Arial" w:hAnsi="Arial"/>
          <w:sz w:val="14"/>
          <w:szCs w:val="14"/>
          <w:color w:val="auto"/>
        </w:rPr>
        <w:t>All Managing Directors created, and were held accountable for, individual DE&amp;I Goals directly linked to their 2021 compensation</w:t>
      </w:r>
    </w:p>
    <w:p>
      <w:pPr>
        <w:spacing w:after="0" w:line="34" w:lineRule="exact"/>
        <w:rPr>
          <w:rFonts w:ascii="Arial" w:cs="Arial" w:eastAsia="Arial" w:hAnsi="Arial"/>
          <w:sz w:val="14"/>
          <w:szCs w:val="14"/>
          <w:b w:val="1"/>
          <w:bCs w:val="1"/>
          <w:color w:val="16479F"/>
        </w:rPr>
      </w:pPr>
    </w:p>
    <w:p>
      <w:pPr>
        <w:ind w:left="363" w:right="140" w:hanging="184"/>
        <w:spacing w:after="0" w:line="247" w:lineRule="auto"/>
        <w:tabs>
          <w:tab w:leader="none" w:pos="349" w:val="left"/>
        </w:tabs>
        <w:numPr>
          <w:ilvl w:val="1"/>
          <w:numId w:val="34"/>
        </w:numPr>
        <w:rPr>
          <w:rFonts w:ascii="Arial" w:cs="Arial" w:eastAsia="Arial" w:hAnsi="Arial"/>
          <w:sz w:val="14"/>
          <w:szCs w:val="14"/>
          <w:b w:val="1"/>
          <w:bCs w:val="1"/>
          <w:color w:val="16479F"/>
        </w:rPr>
      </w:pPr>
      <w:r>
        <w:rPr>
          <w:rFonts w:ascii="Arial" w:cs="Arial" w:eastAsia="Arial" w:hAnsi="Arial"/>
          <w:sz w:val="14"/>
          <w:szCs w:val="14"/>
          <w:color w:val="auto"/>
        </w:rPr>
        <w:t>Enhanced Executive Committee Share Ownership Guidelines to be one of the most robust in our peer group and to reflect MSCI’s deep commitment to an “owner-operator” mindset</w:t>
      </w:r>
    </w:p>
    <w:p>
      <w:pPr>
        <w:spacing w:after="0" w:line="74" w:lineRule="exact"/>
        <w:rPr>
          <w:rFonts w:ascii="Arial" w:cs="Arial" w:eastAsia="Arial" w:hAnsi="Arial"/>
          <w:sz w:val="14"/>
          <w:szCs w:val="14"/>
          <w:b w:val="1"/>
          <w:bCs w:val="1"/>
          <w:color w:val="16479F"/>
        </w:rPr>
      </w:pPr>
    </w:p>
    <w:p>
      <w:pPr>
        <w:ind w:left="183" w:right="200" w:hanging="183"/>
        <w:spacing w:after="0" w:line="253" w:lineRule="auto"/>
        <w:tabs>
          <w:tab w:leader="none" w:pos="169" w:val="left"/>
        </w:tabs>
        <w:numPr>
          <w:ilvl w:val="0"/>
          <w:numId w:val="34"/>
        </w:numPr>
        <w:rPr>
          <w:rFonts w:ascii="Arial" w:cs="Arial" w:eastAsia="Arial" w:hAnsi="Arial"/>
          <w:sz w:val="14"/>
          <w:szCs w:val="14"/>
          <w:b w:val="1"/>
          <w:bCs w:val="1"/>
          <w:color w:val="16479F"/>
        </w:rPr>
      </w:pPr>
      <w:r>
        <w:rPr>
          <w:rFonts w:ascii="Arial" w:cs="Arial" w:eastAsia="Arial" w:hAnsi="Arial"/>
          <w:sz w:val="14"/>
          <w:szCs w:val="14"/>
          <w:b w:val="1"/>
          <w:bCs w:val="1"/>
          <w:color w:val="auto"/>
        </w:rPr>
        <w:t xml:space="preserve">Employee Engagement: </w:t>
      </w:r>
      <w:r>
        <w:rPr>
          <w:rFonts w:ascii="Arial" w:cs="Arial" w:eastAsia="Arial" w:hAnsi="Arial"/>
          <w:sz w:val="14"/>
          <w:szCs w:val="14"/>
          <w:color w:val="auto"/>
        </w:rPr>
        <w:t>In our most recent employee engagement survey (not</w:t>
      </w:r>
      <w:r>
        <w:rPr>
          <w:rFonts w:ascii="Arial" w:cs="Arial" w:eastAsia="Arial" w:hAnsi="Arial"/>
          <w:sz w:val="14"/>
          <w:szCs w:val="14"/>
          <w:b w:val="1"/>
          <w:bCs w:val="1"/>
          <w:color w:val="auto"/>
        </w:rPr>
        <w:t xml:space="preserve"> </w:t>
      </w:r>
      <w:r>
        <w:rPr>
          <w:rFonts w:ascii="Arial" w:cs="Arial" w:eastAsia="Arial" w:hAnsi="Arial"/>
          <w:sz w:val="14"/>
          <w:szCs w:val="14"/>
          <w:color w:val="auto"/>
        </w:rPr>
        <w:t>including employees from newly acquired companies), the percentage of respondents characterized as “fully engaged” equaled the highest since implementing the survey</w:t>
      </w:r>
    </w:p>
    <w:p>
      <w:pPr>
        <w:spacing w:after="0" w:line="70" w:lineRule="exact"/>
        <w:rPr>
          <w:rFonts w:ascii="Arial" w:cs="Arial" w:eastAsia="Arial" w:hAnsi="Arial"/>
          <w:sz w:val="14"/>
          <w:szCs w:val="14"/>
          <w:b w:val="1"/>
          <w:bCs w:val="1"/>
          <w:color w:val="16479F"/>
        </w:rPr>
      </w:pPr>
    </w:p>
    <w:p>
      <w:pPr>
        <w:ind w:left="183" w:right="100" w:hanging="183"/>
        <w:spacing w:after="0" w:line="253" w:lineRule="auto"/>
        <w:tabs>
          <w:tab w:leader="none" w:pos="169" w:val="left"/>
        </w:tabs>
        <w:numPr>
          <w:ilvl w:val="0"/>
          <w:numId w:val="34"/>
        </w:numPr>
        <w:rPr>
          <w:rFonts w:ascii="Arial" w:cs="Arial" w:eastAsia="Arial" w:hAnsi="Arial"/>
          <w:sz w:val="14"/>
          <w:szCs w:val="14"/>
          <w:b w:val="1"/>
          <w:bCs w:val="1"/>
          <w:color w:val="16479F"/>
        </w:rPr>
      </w:pPr>
      <w:r>
        <w:rPr>
          <w:rFonts w:ascii="Arial" w:cs="Arial" w:eastAsia="Arial" w:hAnsi="Arial"/>
          <w:sz w:val="14"/>
          <w:szCs w:val="14"/>
          <w:b w:val="1"/>
          <w:bCs w:val="1"/>
          <w:color w:val="auto"/>
        </w:rPr>
        <w:t xml:space="preserve">Future of Work: </w:t>
      </w:r>
      <w:r>
        <w:rPr>
          <w:rFonts w:ascii="Arial" w:cs="Arial" w:eastAsia="Arial" w:hAnsi="Arial"/>
          <w:sz w:val="14"/>
          <w:szCs w:val="14"/>
          <w:color w:val="auto"/>
        </w:rPr>
        <w:t>Launched our Future of Work initiative that introduces increased</w:t>
      </w:r>
      <w:r>
        <w:rPr>
          <w:rFonts w:ascii="Arial" w:cs="Arial" w:eastAsia="Arial" w:hAnsi="Arial"/>
          <w:sz w:val="14"/>
          <w:szCs w:val="14"/>
          <w:b w:val="1"/>
          <w:bCs w:val="1"/>
          <w:color w:val="auto"/>
        </w:rPr>
        <w:t xml:space="preserve"> </w:t>
      </w:r>
      <w:r>
        <w:rPr>
          <w:rFonts w:ascii="Arial" w:cs="Arial" w:eastAsia="Arial" w:hAnsi="Arial"/>
          <w:sz w:val="14"/>
          <w:szCs w:val="14"/>
          <w:color w:val="auto"/>
        </w:rPr>
        <w:t>flexibility of when and where employees work, reimagines the use of our offices and ramps up the use of technology to enhance our interactions with clients and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179070</wp:posOffset>
            </wp:positionV>
            <wp:extent cx="715454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2">
            <w:col w:w="5440" w:space="177"/>
            <w:col w:w="5403"/>
          </w:cols>
          <w:pgMar w:left="320" w:top="121" w:right="559" w:bottom="1440" w:gutter="0" w:footer="0" w:header="0"/>
          <w:type w:val="continuous"/>
        </w:sectPr>
      </w:pPr>
    </w:p>
    <w:bookmarkStart w:id="13" w:name="page14"/>
    <w:bookmarkEnd w:id="13"/>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00" w:type="dxa"/>
            <w:vAlign w:val="bottom"/>
            <w:tcBorders>
              <w:right w:val="single" w:sz="8" w:color="16479F"/>
            </w:tcBorders>
          </w:tcPr>
          <w:p>
            <w:pPr>
              <w:ind w:left="8740"/>
              <w:spacing w:after="0"/>
              <w:rPr>
                <w:sz w:val="20"/>
                <w:szCs w:val="20"/>
                <w:color w:val="auto"/>
              </w:rPr>
            </w:pPr>
            <w:r>
              <w:rPr>
                <w:rFonts w:ascii="Arial" w:cs="Arial" w:eastAsia="Arial" w:hAnsi="Arial"/>
                <w:sz w:val="14"/>
                <w:szCs w:val="14"/>
                <w:b w:val="1"/>
                <w:bCs w:val="1"/>
                <w:color w:val="16479F"/>
              </w:rPr>
              <w:t>2022 PROXY STATEMENT</w:t>
            </w:r>
          </w:p>
        </w:tc>
        <w:tc>
          <w:tcPr>
            <w:tcW w:w="640" w:type="dxa"/>
            <w:vAlign w:val="bottom"/>
          </w:tcPr>
          <w:p>
            <w:pPr>
              <w:jc w:val="right"/>
              <w:ind w:right="9"/>
              <w:spacing w:after="0"/>
              <w:rPr>
                <w:sz w:val="20"/>
                <w:szCs w:val="20"/>
                <w:color w:val="auto"/>
              </w:rPr>
            </w:pPr>
            <w:r>
              <w:rPr>
                <w:rFonts w:ascii="Arial" w:cs="Arial" w:eastAsia="Arial" w:hAnsi="Arial"/>
                <w:sz w:val="14"/>
                <w:szCs w:val="14"/>
                <w:b w:val="1"/>
                <w:bCs w:val="1"/>
                <w:color w:val="16479F"/>
              </w:rPr>
              <w:t>13</w:t>
            </w:r>
          </w:p>
        </w:tc>
      </w:tr>
      <w:tr>
        <w:trPr>
          <w:trHeight w:val="65"/>
        </w:trPr>
        <w:tc>
          <w:tcPr>
            <w:tcW w:w="10600" w:type="dxa"/>
            <w:vAlign w:val="bottom"/>
            <w:tcBorders>
              <w:bottom w:val="single" w:sz="8" w:color="16479F"/>
              <w:right w:val="single" w:sz="8" w:color="16479F"/>
            </w:tcBorders>
          </w:tcPr>
          <w:p>
            <w:pPr>
              <w:spacing w:after="0"/>
              <w:rPr>
                <w:sz w:val="5"/>
                <w:szCs w:val="5"/>
                <w:color w:val="auto"/>
              </w:rPr>
            </w:pPr>
          </w:p>
        </w:tc>
        <w:tc>
          <w:tcPr>
            <w:tcW w:w="640" w:type="dxa"/>
            <w:vAlign w:val="bottom"/>
            <w:tcBorders>
              <w:bottom w:val="single" w:sz="8" w:color="16479F"/>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7133590" cy="27889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3590" cy="2788920"/>
                    </a:xfrm>
                    <a:prstGeom prst="rect">
                      <a:avLst/>
                    </a:prstGeom>
                    <a:noFill/>
                  </pic:spPr>
                </pic:pic>
              </a:graphicData>
            </a:graphic>
          </wp:anchor>
        </w:drawing>
      </w:r>
    </w:p>
    <w:p>
      <w:pPr>
        <w:spacing w:after="0" w:line="282" w:lineRule="exact"/>
        <w:rPr>
          <w:sz w:val="20"/>
          <w:szCs w:val="20"/>
          <w:color w:val="auto"/>
        </w:rPr>
      </w:pPr>
    </w:p>
    <w:p>
      <w:pPr>
        <w:ind w:left="980"/>
        <w:spacing w:after="0"/>
        <w:rPr>
          <w:sz w:val="20"/>
          <w:szCs w:val="20"/>
          <w:color w:val="auto"/>
        </w:rPr>
      </w:pPr>
      <w:r>
        <w:rPr>
          <w:rFonts w:ascii="Arial" w:cs="Arial" w:eastAsia="Arial" w:hAnsi="Arial"/>
          <w:sz w:val="21"/>
          <w:szCs w:val="21"/>
          <w:b w:val="1"/>
          <w:bCs w:val="1"/>
          <w:color w:val="00B5AA"/>
        </w:rPr>
        <w:t>Sustainable Operations</w:t>
      </w:r>
    </w:p>
    <w:p>
      <w:pPr>
        <w:spacing w:after="0" w:line="195" w:lineRule="exact"/>
        <w:rPr>
          <w:sz w:val="20"/>
          <w:szCs w:val="20"/>
          <w:color w:val="auto"/>
        </w:rPr>
      </w:pPr>
    </w:p>
    <w:p>
      <w:pPr>
        <w:ind w:left="980"/>
        <w:spacing w:after="0"/>
        <w:rPr>
          <w:sz w:val="20"/>
          <w:szCs w:val="20"/>
          <w:color w:val="auto"/>
        </w:rPr>
      </w:pPr>
      <w:r>
        <w:rPr>
          <w:rFonts w:ascii="Arial" w:cs="Arial" w:eastAsia="Arial" w:hAnsi="Arial"/>
          <w:sz w:val="16"/>
          <w:szCs w:val="16"/>
          <w:color w:val="00B5AA"/>
        </w:rPr>
        <w:t>Manage carbon emissions and climate risks, and implement sustainable operational practices</w:t>
      </w:r>
    </w:p>
    <w:p>
      <w:pPr>
        <w:sectPr>
          <w:pgSz w:w="11900" w:h="16838" w:orient="portrait"/>
          <w:cols w:equalWidth="0" w:num="1">
            <w:col w:w="11240"/>
          </w:cols>
          <w:pgMar w:left="320" w:top="121" w:right="339" w:bottom="1440" w:gutter="0" w:footer="0" w:header="0"/>
        </w:sectPr>
      </w:pPr>
    </w:p>
    <w:p>
      <w:pPr>
        <w:spacing w:after="0" w:line="251"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002739"/>
        </w:rPr>
        <w:t>RECENT HIGHLIGHTS</w:t>
      </w:r>
    </w:p>
    <w:p>
      <w:pPr>
        <w:spacing w:after="0" w:line="62" w:lineRule="exact"/>
        <w:rPr>
          <w:sz w:val="20"/>
          <w:szCs w:val="20"/>
          <w:color w:val="auto"/>
        </w:rPr>
      </w:pPr>
    </w:p>
    <w:p>
      <w:pPr>
        <w:ind w:left="420" w:hanging="163"/>
        <w:spacing w:after="0"/>
        <w:tabs>
          <w:tab w:leader="none" w:pos="420" w:val="left"/>
        </w:tabs>
        <w:numPr>
          <w:ilvl w:val="0"/>
          <w:numId w:val="35"/>
        </w:numPr>
        <w:rPr>
          <w:rFonts w:ascii="Arial" w:cs="Arial" w:eastAsia="Arial" w:hAnsi="Arial"/>
          <w:sz w:val="14"/>
          <w:szCs w:val="14"/>
          <w:b w:val="1"/>
          <w:bCs w:val="1"/>
          <w:color w:val="16479F"/>
        </w:rPr>
      </w:pPr>
      <w:r>
        <w:rPr>
          <w:rFonts w:ascii="Arial" w:cs="Arial" w:eastAsia="Arial" w:hAnsi="Arial"/>
          <w:sz w:val="14"/>
          <w:szCs w:val="14"/>
          <w:b w:val="1"/>
          <w:bCs w:val="1"/>
          <w:color w:val="auto"/>
        </w:rPr>
        <w:t>New Commitments</w:t>
      </w:r>
    </w:p>
    <w:p>
      <w:pPr>
        <w:spacing w:after="0" w:line="71" w:lineRule="exact"/>
        <w:rPr>
          <w:rFonts w:ascii="Arial" w:cs="Arial" w:eastAsia="Arial" w:hAnsi="Arial"/>
          <w:sz w:val="14"/>
          <w:szCs w:val="14"/>
          <w:b w:val="1"/>
          <w:bCs w:val="1"/>
          <w:color w:val="16479F"/>
        </w:rPr>
      </w:pPr>
    </w:p>
    <w:p>
      <w:pPr>
        <w:ind w:left="620" w:right="180" w:hanging="185"/>
        <w:spacing w:after="0" w:line="247" w:lineRule="auto"/>
        <w:tabs>
          <w:tab w:leader="none" w:pos="607" w:val="left"/>
        </w:tabs>
        <w:numPr>
          <w:ilvl w:val="1"/>
          <w:numId w:val="35"/>
        </w:numPr>
        <w:rPr>
          <w:rFonts w:ascii="Arial" w:cs="Arial" w:eastAsia="Arial" w:hAnsi="Arial"/>
          <w:sz w:val="14"/>
          <w:szCs w:val="14"/>
          <w:b w:val="1"/>
          <w:bCs w:val="1"/>
          <w:color w:val="16479F"/>
        </w:rPr>
      </w:pPr>
      <w:r>
        <w:rPr>
          <w:rFonts w:ascii="Arial" w:cs="Arial" w:eastAsia="Arial" w:hAnsi="Arial"/>
          <w:sz w:val="14"/>
          <w:szCs w:val="14"/>
          <w:color w:val="auto"/>
        </w:rPr>
        <w:t>Committed to a goal of net-zero carbon emissions before 2040 throughout our operations, prioritizing reducing our most material and controllable emissions and engaging with our suppliers</w:t>
      </w:r>
    </w:p>
    <w:p>
      <w:pPr>
        <w:spacing w:after="0" w:line="38" w:lineRule="exact"/>
        <w:rPr>
          <w:rFonts w:ascii="Arial" w:cs="Arial" w:eastAsia="Arial" w:hAnsi="Arial"/>
          <w:sz w:val="14"/>
          <w:szCs w:val="14"/>
          <w:b w:val="1"/>
          <w:bCs w:val="1"/>
          <w:color w:val="16479F"/>
        </w:rPr>
      </w:pPr>
    </w:p>
    <w:p>
      <w:pPr>
        <w:ind w:left="620" w:right="80" w:hanging="185"/>
        <w:spacing w:after="0" w:line="244" w:lineRule="auto"/>
        <w:tabs>
          <w:tab w:leader="none" w:pos="607" w:val="left"/>
        </w:tabs>
        <w:numPr>
          <w:ilvl w:val="1"/>
          <w:numId w:val="35"/>
        </w:numPr>
        <w:rPr>
          <w:rFonts w:ascii="Arial" w:cs="Arial" w:eastAsia="Arial" w:hAnsi="Arial"/>
          <w:sz w:val="14"/>
          <w:szCs w:val="14"/>
          <w:b w:val="1"/>
          <w:bCs w:val="1"/>
          <w:color w:val="16479F"/>
        </w:rPr>
      </w:pPr>
      <w:r>
        <w:rPr>
          <w:rFonts w:ascii="Arial" w:cs="Arial" w:eastAsia="Arial" w:hAnsi="Arial"/>
          <w:sz w:val="14"/>
          <w:szCs w:val="14"/>
          <w:color w:val="auto"/>
        </w:rPr>
        <w:t>Committed to support all of the United Nations (“UN”) Sustainability Development Goals (“SDGs”) and aim to measure impact for SDGs relating to gender equality, decent work and economic growth, reduced inequality and climate action</w:t>
      </w:r>
    </w:p>
    <w:p>
      <w:pPr>
        <w:spacing w:after="0" w:line="77" w:lineRule="exact"/>
        <w:rPr>
          <w:rFonts w:ascii="Arial" w:cs="Arial" w:eastAsia="Arial" w:hAnsi="Arial"/>
          <w:sz w:val="14"/>
          <w:szCs w:val="14"/>
          <w:b w:val="1"/>
          <w:bCs w:val="1"/>
          <w:color w:val="16479F"/>
        </w:rPr>
      </w:pPr>
    </w:p>
    <w:p>
      <w:pPr>
        <w:ind w:left="440" w:right="160" w:hanging="183"/>
        <w:spacing w:after="0" w:line="281" w:lineRule="auto"/>
        <w:tabs>
          <w:tab w:leader="none" w:pos="427" w:val="left"/>
        </w:tabs>
        <w:numPr>
          <w:ilvl w:val="0"/>
          <w:numId w:val="35"/>
        </w:numPr>
        <w:rPr>
          <w:rFonts w:ascii="Arial" w:cs="Arial" w:eastAsia="Arial" w:hAnsi="Arial"/>
          <w:sz w:val="14"/>
          <w:szCs w:val="14"/>
          <w:b w:val="1"/>
          <w:bCs w:val="1"/>
          <w:color w:val="16479F"/>
        </w:rPr>
      </w:pPr>
      <w:r>
        <w:rPr>
          <w:rFonts w:ascii="Arial" w:cs="Arial" w:eastAsia="Arial" w:hAnsi="Arial"/>
          <w:sz w:val="14"/>
          <w:szCs w:val="14"/>
          <w:b w:val="1"/>
          <w:bCs w:val="1"/>
          <w:color w:val="auto"/>
        </w:rPr>
        <w:t xml:space="preserve">External Recognition: </w:t>
      </w:r>
      <w:r>
        <w:rPr>
          <w:rFonts w:ascii="Arial" w:cs="Arial" w:eastAsia="Arial" w:hAnsi="Arial"/>
          <w:sz w:val="14"/>
          <w:szCs w:val="14"/>
          <w:color w:val="auto"/>
        </w:rPr>
        <w:t>Improved our CDP score to reach leadership score of</w:t>
      </w:r>
      <w:r>
        <w:rPr>
          <w:rFonts w:ascii="Arial" w:cs="Arial" w:eastAsia="Arial" w:hAnsi="Arial"/>
          <w:sz w:val="14"/>
          <w:szCs w:val="14"/>
          <w:b w:val="1"/>
          <w:bCs w:val="1"/>
          <w:color w:val="auto"/>
        </w:rPr>
        <w:t xml:space="preserve"> </w:t>
      </w:r>
      <w:r>
        <w:rPr>
          <w:rFonts w:ascii="Arial" w:cs="Arial" w:eastAsia="Arial" w:hAnsi="Arial"/>
          <w:sz w:val="14"/>
          <w:szCs w:val="14"/>
          <w:color w:val="auto"/>
        </w:rPr>
        <w:t>A-</w:t>
      </w:r>
    </w:p>
    <w:p>
      <w:pPr>
        <w:spacing w:after="0" w:line="51" w:lineRule="exact"/>
        <w:rPr>
          <w:rFonts w:ascii="Arial" w:cs="Arial" w:eastAsia="Arial" w:hAnsi="Arial"/>
          <w:sz w:val="14"/>
          <w:szCs w:val="14"/>
          <w:b w:val="1"/>
          <w:bCs w:val="1"/>
          <w:color w:val="16479F"/>
        </w:rPr>
      </w:pPr>
    </w:p>
    <w:p>
      <w:pPr>
        <w:ind w:left="420" w:hanging="163"/>
        <w:spacing w:after="0"/>
        <w:tabs>
          <w:tab w:leader="none" w:pos="420" w:val="left"/>
        </w:tabs>
        <w:numPr>
          <w:ilvl w:val="0"/>
          <w:numId w:val="35"/>
        </w:numPr>
        <w:rPr>
          <w:rFonts w:ascii="Arial" w:cs="Arial" w:eastAsia="Arial" w:hAnsi="Arial"/>
          <w:sz w:val="14"/>
          <w:szCs w:val="14"/>
          <w:b w:val="1"/>
          <w:bCs w:val="1"/>
          <w:color w:val="16479F"/>
        </w:rPr>
      </w:pPr>
      <w:r>
        <w:rPr>
          <w:rFonts w:ascii="Arial" w:cs="Arial" w:eastAsia="Arial" w:hAnsi="Arial"/>
          <w:sz w:val="14"/>
          <w:szCs w:val="14"/>
          <w:b w:val="1"/>
          <w:bCs w:val="1"/>
          <w:color w:val="auto"/>
        </w:rPr>
        <w:t>Expanding Alliances</w:t>
      </w:r>
    </w:p>
    <w:p>
      <w:pPr>
        <w:spacing w:after="0" w:line="71" w:lineRule="exact"/>
        <w:rPr>
          <w:rFonts w:ascii="Arial" w:cs="Arial" w:eastAsia="Arial" w:hAnsi="Arial"/>
          <w:sz w:val="14"/>
          <w:szCs w:val="14"/>
          <w:b w:val="1"/>
          <w:bCs w:val="1"/>
          <w:color w:val="16479F"/>
        </w:rPr>
      </w:pPr>
    </w:p>
    <w:p>
      <w:pPr>
        <w:ind w:left="620" w:right="80" w:hanging="185"/>
        <w:spacing w:after="0" w:line="247" w:lineRule="auto"/>
        <w:tabs>
          <w:tab w:leader="none" w:pos="607" w:val="left"/>
        </w:tabs>
        <w:numPr>
          <w:ilvl w:val="1"/>
          <w:numId w:val="35"/>
        </w:numPr>
        <w:rPr>
          <w:rFonts w:ascii="Arial" w:cs="Arial" w:eastAsia="Arial" w:hAnsi="Arial"/>
          <w:sz w:val="14"/>
          <w:szCs w:val="14"/>
          <w:b w:val="1"/>
          <w:bCs w:val="1"/>
          <w:color w:val="16479F"/>
        </w:rPr>
      </w:pPr>
      <w:r>
        <w:rPr>
          <w:rFonts w:ascii="Arial" w:cs="Arial" w:eastAsia="Arial" w:hAnsi="Arial"/>
          <w:sz w:val="14"/>
          <w:szCs w:val="14"/>
          <w:color w:val="auto"/>
        </w:rPr>
        <w:t>Became a founding member of the Net Zero Financial Service Providers Alliance, committing to align our relevant services and products with a 2050 net-zero emissions target</w:t>
      </w:r>
    </w:p>
    <w:p>
      <w:pPr>
        <w:spacing w:after="0" w:line="38" w:lineRule="exact"/>
        <w:rPr>
          <w:rFonts w:ascii="Arial" w:cs="Arial" w:eastAsia="Arial" w:hAnsi="Arial"/>
          <w:sz w:val="14"/>
          <w:szCs w:val="14"/>
          <w:b w:val="1"/>
          <w:bCs w:val="1"/>
          <w:color w:val="16479F"/>
        </w:rPr>
      </w:pPr>
    </w:p>
    <w:p>
      <w:pPr>
        <w:ind w:left="620" w:hanging="185"/>
        <w:spacing w:after="0" w:line="254" w:lineRule="auto"/>
        <w:tabs>
          <w:tab w:leader="none" w:pos="607" w:val="left"/>
        </w:tabs>
        <w:numPr>
          <w:ilvl w:val="1"/>
          <w:numId w:val="35"/>
        </w:numPr>
        <w:rPr>
          <w:rFonts w:ascii="Arial" w:cs="Arial" w:eastAsia="Arial" w:hAnsi="Arial"/>
          <w:sz w:val="14"/>
          <w:szCs w:val="14"/>
          <w:b w:val="1"/>
          <w:bCs w:val="1"/>
          <w:color w:val="16479F"/>
        </w:rPr>
      </w:pPr>
      <w:r>
        <w:rPr>
          <w:rFonts w:ascii="Arial" w:cs="Arial" w:eastAsia="Arial" w:hAnsi="Arial"/>
          <w:sz w:val="14"/>
          <w:szCs w:val="14"/>
          <w:color w:val="auto"/>
        </w:rPr>
        <w:t>Participated in, and met with policymakers and financial regulators at, the UN Climate Change Conference (COP26)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ind w:left="163" w:hanging="163"/>
        <w:spacing w:after="0"/>
        <w:tabs>
          <w:tab w:leader="none" w:pos="163" w:val="left"/>
        </w:tabs>
        <w:numPr>
          <w:ilvl w:val="0"/>
          <w:numId w:val="36"/>
        </w:numPr>
        <w:rPr>
          <w:rFonts w:ascii="Arial" w:cs="Arial" w:eastAsia="Arial" w:hAnsi="Arial"/>
          <w:sz w:val="14"/>
          <w:szCs w:val="14"/>
          <w:b w:val="1"/>
          <w:bCs w:val="1"/>
          <w:color w:val="16479F"/>
        </w:rPr>
      </w:pPr>
      <w:r>
        <w:rPr>
          <w:rFonts w:ascii="Arial" w:cs="Arial" w:eastAsia="Arial" w:hAnsi="Arial"/>
          <w:sz w:val="14"/>
          <w:szCs w:val="14"/>
          <w:b w:val="1"/>
          <w:bCs w:val="1"/>
          <w:color w:val="auto"/>
        </w:rPr>
        <w:t>Engaging with our Suppliers</w:t>
      </w:r>
    </w:p>
    <w:p>
      <w:pPr>
        <w:spacing w:after="0" w:line="71" w:lineRule="exact"/>
        <w:rPr>
          <w:rFonts w:ascii="Arial" w:cs="Arial" w:eastAsia="Arial" w:hAnsi="Arial"/>
          <w:sz w:val="14"/>
          <w:szCs w:val="14"/>
          <w:b w:val="1"/>
          <w:bCs w:val="1"/>
          <w:color w:val="16479F"/>
        </w:rPr>
      </w:pPr>
    </w:p>
    <w:p>
      <w:pPr>
        <w:ind w:left="363" w:right="440" w:hanging="184"/>
        <w:spacing w:after="0" w:line="254" w:lineRule="auto"/>
        <w:tabs>
          <w:tab w:leader="none" w:pos="349" w:val="left"/>
        </w:tabs>
        <w:numPr>
          <w:ilvl w:val="1"/>
          <w:numId w:val="36"/>
        </w:numPr>
        <w:rPr>
          <w:rFonts w:ascii="Arial" w:cs="Arial" w:eastAsia="Arial" w:hAnsi="Arial"/>
          <w:sz w:val="14"/>
          <w:szCs w:val="14"/>
          <w:b w:val="1"/>
          <w:bCs w:val="1"/>
          <w:color w:val="16479F"/>
        </w:rPr>
      </w:pPr>
      <w:r>
        <w:rPr>
          <w:rFonts w:ascii="Arial" w:cs="Arial" w:eastAsia="Arial" w:hAnsi="Arial"/>
          <w:sz w:val="14"/>
          <w:szCs w:val="14"/>
          <w:color w:val="auto"/>
        </w:rPr>
        <w:t>Updated Supplier Code of Conduct to address emissions in the MSCI supply chain. Prioritized engagement with major suppliers to align net-zero goals</w:t>
      </w:r>
    </w:p>
    <w:p>
      <w:pPr>
        <w:spacing w:after="0" w:line="34" w:lineRule="exact"/>
        <w:rPr>
          <w:rFonts w:ascii="Arial" w:cs="Arial" w:eastAsia="Arial" w:hAnsi="Arial"/>
          <w:sz w:val="14"/>
          <w:szCs w:val="14"/>
          <w:b w:val="1"/>
          <w:bCs w:val="1"/>
          <w:color w:val="16479F"/>
        </w:rPr>
      </w:pPr>
    </w:p>
    <w:p>
      <w:pPr>
        <w:ind w:left="363" w:right="340" w:hanging="184"/>
        <w:spacing w:after="0" w:line="247" w:lineRule="auto"/>
        <w:tabs>
          <w:tab w:leader="none" w:pos="349" w:val="left"/>
        </w:tabs>
        <w:numPr>
          <w:ilvl w:val="1"/>
          <w:numId w:val="36"/>
        </w:numPr>
        <w:rPr>
          <w:rFonts w:ascii="Arial" w:cs="Arial" w:eastAsia="Arial" w:hAnsi="Arial"/>
          <w:sz w:val="14"/>
          <w:szCs w:val="14"/>
          <w:b w:val="1"/>
          <w:bCs w:val="1"/>
          <w:color w:val="16479F"/>
        </w:rPr>
      </w:pPr>
      <w:r>
        <w:rPr>
          <w:rFonts w:ascii="Arial" w:cs="Arial" w:eastAsia="Arial" w:hAnsi="Arial"/>
          <w:sz w:val="14"/>
          <w:szCs w:val="14"/>
          <w:color w:val="auto"/>
        </w:rPr>
        <w:t>Developed an internal Sustainable Supplier Management Team to support efforts to learn about our suppliers’ corporate responsibility practices and seek alignment with our own commitments</w:t>
      </w:r>
    </w:p>
    <w:p>
      <w:pPr>
        <w:spacing w:after="0" w:line="74" w:lineRule="exact"/>
        <w:rPr>
          <w:rFonts w:ascii="Arial" w:cs="Arial" w:eastAsia="Arial" w:hAnsi="Arial"/>
          <w:sz w:val="14"/>
          <w:szCs w:val="14"/>
          <w:b w:val="1"/>
          <w:bCs w:val="1"/>
          <w:color w:val="16479F"/>
        </w:rPr>
      </w:pPr>
    </w:p>
    <w:p>
      <w:pPr>
        <w:ind w:left="163" w:hanging="163"/>
        <w:spacing w:after="0"/>
        <w:tabs>
          <w:tab w:leader="none" w:pos="163" w:val="left"/>
        </w:tabs>
        <w:numPr>
          <w:ilvl w:val="0"/>
          <w:numId w:val="36"/>
        </w:numPr>
        <w:rPr>
          <w:rFonts w:ascii="Arial" w:cs="Arial" w:eastAsia="Arial" w:hAnsi="Arial"/>
          <w:sz w:val="14"/>
          <w:szCs w:val="14"/>
          <w:b w:val="1"/>
          <w:bCs w:val="1"/>
          <w:color w:val="16479F"/>
        </w:rPr>
      </w:pPr>
      <w:r>
        <w:rPr>
          <w:rFonts w:ascii="Arial" w:cs="Arial" w:eastAsia="Arial" w:hAnsi="Arial"/>
          <w:sz w:val="14"/>
          <w:szCs w:val="14"/>
          <w:b w:val="1"/>
          <w:bCs w:val="1"/>
          <w:color w:val="auto"/>
        </w:rPr>
        <w:t>New Reporting</w:t>
      </w:r>
    </w:p>
    <w:p>
      <w:pPr>
        <w:spacing w:after="0" w:line="71" w:lineRule="exact"/>
        <w:rPr>
          <w:rFonts w:ascii="Arial" w:cs="Arial" w:eastAsia="Arial" w:hAnsi="Arial"/>
          <w:sz w:val="14"/>
          <w:szCs w:val="14"/>
          <w:b w:val="1"/>
          <w:bCs w:val="1"/>
          <w:color w:val="16479F"/>
        </w:rPr>
      </w:pPr>
    </w:p>
    <w:p>
      <w:pPr>
        <w:ind w:left="343" w:hanging="164"/>
        <w:spacing w:after="0"/>
        <w:tabs>
          <w:tab w:leader="none" w:pos="343" w:val="left"/>
        </w:tabs>
        <w:numPr>
          <w:ilvl w:val="1"/>
          <w:numId w:val="36"/>
        </w:numPr>
        <w:rPr>
          <w:rFonts w:ascii="Arial" w:cs="Arial" w:eastAsia="Arial" w:hAnsi="Arial"/>
          <w:sz w:val="14"/>
          <w:szCs w:val="14"/>
          <w:b w:val="1"/>
          <w:bCs w:val="1"/>
          <w:color w:val="16479F"/>
        </w:rPr>
      </w:pPr>
      <w:r>
        <w:rPr>
          <w:rFonts w:ascii="Arial" w:cs="Arial" w:eastAsia="Arial" w:hAnsi="Arial"/>
          <w:sz w:val="14"/>
          <w:szCs w:val="14"/>
          <w:color w:val="auto"/>
        </w:rPr>
        <w:t>Published first SFDR report</w:t>
      </w:r>
    </w:p>
    <w:p>
      <w:pPr>
        <w:spacing w:after="0" w:line="53" w:lineRule="exact"/>
        <w:rPr>
          <w:rFonts w:ascii="Arial" w:cs="Arial" w:eastAsia="Arial" w:hAnsi="Arial"/>
          <w:sz w:val="14"/>
          <w:szCs w:val="14"/>
          <w:b w:val="1"/>
          <w:bCs w:val="1"/>
          <w:color w:val="16479F"/>
        </w:rPr>
      </w:pPr>
    </w:p>
    <w:p>
      <w:pPr>
        <w:ind w:left="343" w:hanging="164"/>
        <w:spacing w:after="0"/>
        <w:tabs>
          <w:tab w:leader="none" w:pos="343" w:val="left"/>
        </w:tabs>
        <w:numPr>
          <w:ilvl w:val="1"/>
          <w:numId w:val="36"/>
        </w:numPr>
        <w:rPr>
          <w:rFonts w:ascii="Arial" w:cs="Arial" w:eastAsia="Arial" w:hAnsi="Arial"/>
          <w:sz w:val="14"/>
          <w:szCs w:val="14"/>
          <w:b w:val="1"/>
          <w:bCs w:val="1"/>
          <w:color w:val="16479F"/>
        </w:rPr>
      </w:pPr>
      <w:r>
        <w:rPr>
          <w:rFonts w:ascii="Arial" w:cs="Arial" w:eastAsia="Arial" w:hAnsi="Arial"/>
          <w:sz w:val="14"/>
          <w:szCs w:val="14"/>
          <w:color w:val="auto"/>
        </w:rPr>
        <w:t>Published first UN SDGs report</w:t>
      </w:r>
    </w:p>
    <w:p>
      <w:pPr>
        <w:spacing w:after="0" w:line="88" w:lineRule="exact"/>
        <w:rPr>
          <w:rFonts w:ascii="Arial" w:cs="Arial" w:eastAsia="Arial" w:hAnsi="Arial"/>
          <w:sz w:val="14"/>
          <w:szCs w:val="14"/>
          <w:b w:val="1"/>
          <w:bCs w:val="1"/>
          <w:color w:val="16479F"/>
        </w:rPr>
      </w:pPr>
    </w:p>
    <w:p>
      <w:pPr>
        <w:ind w:left="163" w:hanging="163"/>
        <w:spacing w:after="0"/>
        <w:tabs>
          <w:tab w:leader="none" w:pos="163" w:val="left"/>
        </w:tabs>
        <w:numPr>
          <w:ilvl w:val="0"/>
          <w:numId w:val="36"/>
        </w:numPr>
        <w:rPr>
          <w:rFonts w:ascii="Arial" w:cs="Arial" w:eastAsia="Arial" w:hAnsi="Arial"/>
          <w:sz w:val="14"/>
          <w:szCs w:val="14"/>
          <w:b w:val="1"/>
          <w:bCs w:val="1"/>
          <w:color w:val="16479F"/>
        </w:rPr>
      </w:pPr>
      <w:r>
        <w:rPr>
          <w:rFonts w:ascii="Arial" w:cs="Arial" w:eastAsia="Arial" w:hAnsi="Arial"/>
          <w:sz w:val="14"/>
          <w:szCs w:val="14"/>
          <w:b w:val="1"/>
          <w:bCs w:val="1"/>
          <w:color w:val="auto"/>
        </w:rPr>
        <w:t>Updating our Policies</w:t>
      </w:r>
    </w:p>
    <w:p>
      <w:pPr>
        <w:spacing w:after="0" w:line="71" w:lineRule="exact"/>
        <w:rPr>
          <w:rFonts w:ascii="Arial" w:cs="Arial" w:eastAsia="Arial" w:hAnsi="Arial"/>
          <w:sz w:val="14"/>
          <w:szCs w:val="14"/>
          <w:b w:val="1"/>
          <w:bCs w:val="1"/>
          <w:color w:val="16479F"/>
        </w:rPr>
      </w:pPr>
    </w:p>
    <w:p>
      <w:pPr>
        <w:ind w:left="363" w:right="260" w:hanging="184"/>
        <w:spacing w:after="0" w:line="254" w:lineRule="auto"/>
        <w:tabs>
          <w:tab w:leader="none" w:pos="349" w:val="left"/>
        </w:tabs>
        <w:numPr>
          <w:ilvl w:val="1"/>
          <w:numId w:val="36"/>
        </w:numPr>
        <w:rPr>
          <w:rFonts w:ascii="Arial" w:cs="Arial" w:eastAsia="Arial" w:hAnsi="Arial"/>
          <w:sz w:val="14"/>
          <w:szCs w:val="14"/>
          <w:b w:val="1"/>
          <w:bCs w:val="1"/>
          <w:color w:val="16479F"/>
        </w:rPr>
      </w:pPr>
      <w:r>
        <w:rPr>
          <w:rFonts w:ascii="Arial" w:cs="Arial" w:eastAsia="Arial" w:hAnsi="Arial"/>
          <w:sz w:val="14"/>
          <w:szCs w:val="14"/>
          <w:color w:val="auto"/>
        </w:rPr>
        <w:t>Updated our Environmental Policy to include our commitment to net-zero and to environmental issues (e.g., biodiversity, waste and water)</w:t>
      </w:r>
    </w:p>
    <w:p>
      <w:pPr>
        <w:spacing w:after="0" w:line="34" w:lineRule="exact"/>
        <w:rPr>
          <w:rFonts w:ascii="Arial" w:cs="Arial" w:eastAsia="Arial" w:hAnsi="Arial"/>
          <w:sz w:val="14"/>
          <w:szCs w:val="14"/>
          <w:b w:val="1"/>
          <w:bCs w:val="1"/>
          <w:color w:val="16479F"/>
        </w:rPr>
      </w:pPr>
    </w:p>
    <w:p>
      <w:pPr>
        <w:ind w:left="363" w:right="260" w:hanging="184"/>
        <w:spacing w:after="0" w:line="254" w:lineRule="auto"/>
        <w:tabs>
          <w:tab w:leader="none" w:pos="349" w:val="left"/>
        </w:tabs>
        <w:numPr>
          <w:ilvl w:val="1"/>
          <w:numId w:val="36"/>
        </w:numPr>
        <w:rPr>
          <w:rFonts w:ascii="Arial" w:cs="Arial" w:eastAsia="Arial" w:hAnsi="Arial"/>
          <w:sz w:val="14"/>
          <w:szCs w:val="14"/>
          <w:b w:val="1"/>
          <w:bCs w:val="1"/>
          <w:color w:val="16479F"/>
        </w:rPr>
      </w:pPr>
      <w:r>
        <w:rPr>
          <w:rFonts w:ascii="Arial" w:cs="Arial" w:eastAsia="Arial" w:hAnsi="Arial"/>
          <w:sz w:val="14"/>
          <w:szCs w:val="14"/>
          <w:color w:val="auto"/>
        </w:rPr>
        <w:t>Updated our Travel Policy to encourage employees to prioritize virtual meetings and use of low carbon travel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-3561715</wp:posOffset>
            </wp:positionH>
            <wp:positionV relativeFrom="paragraph">
              <wp:posOffset>358775</wp:posOffset>
            </wp:positionV>
            <wp:extent cx="7133590" cy="19983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3590" cy="1998345"/>
                    </a:xfrm>
                    <a:prstGeom prst="rect">
                      <a:avLst/>
                    </a:prstGeom>
                    <a:noFill/>
                  </pic:spPr>
                </pic:pic>
              </a:graphicData>
            </a:graphic>
          </wp:anchor>
        </w:drawing>
      </w:r>
    </w:p>
    <w:p>
      <w:pPr>
        <w:spacing w:after="0" w:line="441" w:lineRule="exact"/>
        <w:rPr>
          <w:sz w:val="20"/>
          <w:szCs w:val="20"/>
          <w:color w:val="auto"/>
        </w:rPr>
      </w:pPr>
    </w:p>
    <w:p>
      <w:pPr>
        <w:sectPr>
          <w:pgSz w:w="11900" w:h="16838" w:orient="portrait"/>
          <w:cols w:equalWidth="0" w:num="2">
            <w:col w:w="5460" w:space="157"/>
            <w:col w:w="5623"/>
          </w:cols>
          <w:pgMar w:left="320" w:top="121" w:right="339" w:bottom="1440" w:gutter="0" w:footer="0" w:header="0"/>
          <w:type w:val="continuous"/>
        </w:sectPr>
      </w:pPr>
    </w:p>
    <w:p>
      <w:pPr>
        <w:spacing w:after="0" w:line="212" w:lineRule="exact"/>
        <w:rPr>
          <w:sz w:val="20"/>
          <w:szCs w:val="20"/>
          <w:color w:val="auto"/>
        </w:rPr>
      </w:pPr>
    </w:p>
    <w:p>
      <w:pPr>
        <w:ind w:left="1040"/>
        <w:spacing w:after="0"/>
        <w:rPr>
          <w:sz w:val="20"/>
          <w:szCs w:val="20"/>
          <w:color w:val="auto"/>
        </w:rPr>
      </w:pPr>
      <w:r>
        <w:rPr>
          <w:rFonts w:ascii="Arial" w:cs="Arial" w:eastAsia="Arial" w:hAnsi="Arial"/>
          <w:sz w:val="21"/>
          <w:szCs w:val="21"/>
          <w:b w:val="1"/>
          <w:bCs w:val="1"/>
          <w:color w:val="16479F"/>
        </w:rPr>
        <w:t>Robust Governance</w:t>
      </w:r>
    </w:p>
    <w:p>
      <w:pPr>
        <w:spacing w:after="0" w:line="195" w:lineRule="exact"/>
        <w:rPr>
          <w:sz w:val="20"/>
          <w:szCs w:val="20"/>
          <w:color w:val="auto"/>
        </w:rPr>
      </w:pPr>
    </w:p>
    <w:p>
      <w:pPr>
        <w:ind w:left="1040"/>
        <w:spacing w:after="0"/>
        <w:rPr>
          <w:sz w:val="20"/>
          <w:szCs w:val="20"/>
          <w:color w:val="auto"/>
        </w:rPr>
      </w:pPr>
      <w:r>
        <w:rPr>
          <w:rFonts w:ascii="Arial" w:cs="Arial" w:eastAsia="Arial" w:hAnsi="Arial"/>
          <w:sz w:val="16"/>
          <w:szCs w:val="16"/>
          <w:color w:val="16479F"/>
        </w:rPr>
        <w:t>Implement policies and practices that reflect MSCI’s commitment to strong governance practices</w:t>
      </w:r>
    </w:p>
    <w:p>
      <w:pPr>
        <w:sectPr>
          <w:pgSz w:w="11900" w:h="16838" w:orient="portrait"/>
          <w:cols w:equalWidth="0" w:num="1">
            <w:col w:w="11240"/>
          </w:cols>
          <w:pgMar w:left="320" w:top="121" w:right="339" w:bottom="1440" w:gutter="0" w:footer="0" w:header="0"/>
          <w:type w:val="continuous"/>
        </w:sectPr>
      </w:pPr>
    </w:p>
    <w:p>
      <w:pPr>
        <w:spacing w:after="0" w:line="251"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002739"/>
        </w:rPr>
        <w:t>RECENT HIGHLIGHTS</w:t>
      </w:r>
    </w:p>
    <w:p>
      <w:pPr>
        <w:spacing w:after="0" w:line="62" w:lineRule="exact"/>
        <w:rPr>
          <w:sz w:val="20"/>
          <w:szCs w:val="20"/>
          <w:color w:val="auto"/>
        </w:rPr>
      </w:pPr>
    </w:p>
    <w:p>
      <w:pPr>
        <w:ind w:left="420" w:hanging="163"/>
        <w:spacing w:after="0"/>
        <w:tabs>
          <w:tab w:leader="none" w:pos="420" w:val="left"/>
        </w:tabs>
        <w:numPr>
          <w:ilvl w:val="0"/>
          <w:numId w:val="37"/>
        </w:numPr>
        <w:rPr>
          <w:rFonts w:ascii="Arial" w:cs="Arial" w:eastAsia="Arial" w:hAnsi="Arial"/>
          <w:sz w:val="14"/>
          <w:szCs w:val="14"/>
          <w:b w:val="1"/>
          <w:bCs w:val="1"/>
          <w:color w:val="16479F"/>
        </w:rPr>
      </w:pPr>
      <w:r>
        <w:rPr>
          <w:rFonts w:ascii="Arial" w:cs="Arial" w:eastAsia="Arial" w:hAnsi="Arial"/>
          <w:sz w:val="14"/>
          <w:szCs w:val="14"/>
          <w:b w:val="1"/>
          <w:bCs w:val="1"/>
          <w:color w:val="auto"/>
        </w:rPr>
        <w:t>Board Developments</w:t>
      </w:r>
    </w:p>
    <w:p>
      <w:pPr>
        <w:spacing w:after="0" w:line="71" w:lineRule="exact"/>
        <w:rPr>
          <w:rFonts w:ascii="Arial" w:cs="Arial" w:eastAsia="Arial" w:hAnsi="Arial"/>
          <w:sz w:val="14"/>
          <w:szCs w:val="14"/>
          <w:b w:val="1"/>
          <w:bCs w:val="1"/>
          <w:color w:val="16479F"/>
        </w:rPr>
      </w:pPr>
    </w:p>
    <w:p>
      <w:pPr>
        <w:ind w:left="620" w:right="640" w:hanging="185"/>
        <w:spacing w:after="0" w:line="254" w:lineRule="auto"/>
        <w:tabs>
          <w:tab w:leader="none" w:pos="607" w:val="left"/>
        </w:tabs>
        <w:numPr>
          <w:ilvl w:val="1"/>
          <w:numId w:val="37"/>
        </w:numPr>
        <w:rPr>
          <w:rFonts w:ascii="Arial" w:cs="Arial" w:eastAsia="Arial" w:hAnsi="Arial"/>
          <w:sz w:val="14"/>
          <w:szCs w:val="14"/>
          <w:b w:val="1"/>
          <w:bCs w:val="1"/>
          <w:color w:val="16479F"/>
        </w:rPr>
      </w:pPr>
      <w:r>
        <w:rPr>
          <w:rFonts w:ascii="Arial" w:cs="Arial" w:eastAsia="Arial" w:hAnsi="Arial"/>
          <w:sz w:val="14"/>
          <w:szCs w:val="14"/>
          <w:color w:val="auto"/>
        </w:rPr>
        <w:t>Appointed Rajat Taneja, a new director with a deep background in technology</w:t>
      </w:r>
    </w:p>
    <w:p>
      <w:pPr>
        <w:spacing w:after="0" w:line="34" w:lineRule="exact"/>
        <w:rPr>
          <w:rFonts w:ascii="Arial" w:cs="Arial" w:eastAsia="Arial" w:hAnsi="Arial"/>
          <w:sz w:val="14"/>
          <w:szCs w:val="14"/>
          <w:b w:val="1"/>
          <w:bCs w:val="1"/>
          <w:color w:val="16479F"/>
        </w:rPr>
      </w:pPr>
    </w:p>
    <w:p>
      <w:pPr>
        <w:ind w:left="620" w:right="60" w:hanging="185"/>
        <w:spacing w:after="0" w:line="244" w:lineRule="auto"/>
        <w:tabs>
          <w:tab w:leader="none" w:pos="607" w:val="left"/>
        </w:tabs>
        <w:numPr>
          <w:ilvl w:val="1"/>
          <w:numId w:val="37"/>
        </w:numPr>
        <w:rPr>
          <w:rFonts w:ascii="Arial" w:cs="Arial" w:eastAsia="Arial" w:hAnsi="Arial"/>
          <w:sz w:val="14"/>
          <w:szCs w:val="14"/>
          <w:b w:val="1"/>
          <w:bCs w:val="1"/>
          <w:color w:val="16479F"/>
        </w:rPr>
      </w:pPr>
      <w:r>
        <w:rPr>
          <w:rFonts w:ascii="Arial" w:cs="Arial" w:eastAsia="Arial" w:hAnsi="Arial"/>
          <w:sz w:val="14"/>
          <w:szCs w:val="14"/>
          <w:color w:val="auto"/>
        </w:rPr>
        <w:t>Enhanced Board Committee Charters to reflect leading practices and renamed the Audit and Risk Committee, Compensation, Talent and Culture Committee and Governance and Corporate Responsibility Committee to provide more clarity and transparency on Board committee-level oversight</w:t>
      </w:r>
    </w:p>
    <w:p>
      <w:pPr>
        <w:spacing w:after="0" w:line="41" w:lineRule="exact"/>
        <w:rPr>
          <w:rFonts w:ascii="Arial" w:cs="Arial" w:eastAsia="Arial" w:hAnsi="Arial"/>
          <w:sz w:val="14"/>
          <w:szCs w:val="14"/>
          <w:b w:val="1"/>
          <w:bCs w:val="1"/>
          <w:color w:val="16479F"/>
        </w:rPr>
      </w:pPr>
    </w:p>
    <w:p>
      <w:pPr>
        <w:ind w:left="620" w:hanging="185"/>
        <w:spacing w:after="0" w:line="247" w:lineRule="auto"/>
        <w:tabs>
          <w:tab w:leader="none" w:pos="607" w:val="left"/>
        </w:tabs>
        <w:numPr>
          <w:ilvl w:val="1"/>
          <w:numId w:val="37"/>
        </w:numPr>
        <w:rPr>
          <w:rFonts w:ascii="Arial" w:cs="Arial" w:eastAsia="Arial" w:hAnsi="Arial"/>
          <w:sz w:val="14"/>
          <w:szCs w:val="14"/>
          <w:b w:val="1"/>
          <w:bCs w:val="1"/>
          <w:color w:val="16479F"/>
        </w:rPr>
      </w:pPr>
      <w:r>
        <w:rPr>
          <w:rFonts w:ascii="Arial" w:cs="Arial" w:eastAsia="Arial" w:hAnsi="Arial"/>
          <w:sz w:val="14"/>
          <w:szCs w:val="14"/>
          <w:color w:val="auto"/>
        </w:rPr>
        <w:t>Conducted board education sessions to strengthen the Board’s expertise on climate, including sessions on climate science, climate investing, climate reporting solutions and net-zero commitments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ind w:left="163" w:hanging="163"/>
        <w:spacing w:after="0"/>
        <w:tabs>
          <w:tab w:leader="none" w:pos="163" w:val="left"/>
        </w:tabs>
        <w:numPr>
          <w:ilvl w:val="0"/>
          <w:numId w:val="38"/>
        </w:numPr>
        <w:rPr>
          <w:rFonts w:ascii="Arial" w:cs="Arial" w:eastAsia="Arial" w:hAnsi="Arial"/>
          <w:sz w:val="14"/>
          <w:szCs w:val="14"/>
          <w:b w:val="1"/>
          <w:bCs w:val="1"/>
          <w:color w:val="16479F"/>
        </w:rPr>
      </w:pPr>
      <w:r>
        <w:rPr>
          <w:rFonts w:ascii="Arial" w:cs="Arial" w:eastAsia="Arial" w:hAnsi="Arial"/>
          <w:sz w:val="14"/>
          <w:szCs w:val="14"/>
          <w:b w:val="1"/>
          <w:bCs w:val="1"/>
          <w:color w:val="auto"/>
        </w:rPr>
        <w:t>Corporate Responsibility Governance</w:t>
      </w:r>
    </w:p>
    <w:p>
      <w:pPr>
        <w:spacing w:after="0" w:line="71" w:lineRule="exact"/>
        <w:rPr>
          <w:rFonts w:ascii="Arial" w:cs="Arial" w:eastAsia="Arial" w:hAnsi="Arial"/>
          <w:sz w:val="14"/>
          <w:szCs w:val="14"/>
          <w:b w:val="1"/>
          <w:bCs w:val="1"/>
          <w:color w:val="16479F"/>
        </w:rPr>
      </w:pPr>
    </w:p>
    <w:p>
      <w:pPr>
        <w:ind w:left="363" w:right="280" w:hanging="184"/>
        <w:spacing w:after="0" w:line="254" w:lineRule="auto"/>
        <w:tabs>
          <w:tab w:leader="none" w:pos="349" w:val="left"/>
        </w:tabs>
        <w:numPr>
          <w:ilvl w:val="1"/>
          <w:numId w:val="38"/>
        </w:numPr>
        <w:rPr>
          <w:rFonts w:ascii="Arial" w:cs="Arial" w:eastAsia="Arial" w:hAnsi="Arial"/>
          <w:sz w:val="14"/>
          <w:szCs w:val="14"/>
          <w:b w:val="1"/>
          <w:bCs w:val="1"/>
          <w:color w:val="16479F"/>
        </w:rPr>
      </w:pPr>
      <w:r>
        <w:rPr>
          <w:rFonts w:ascii="Arial" w:cs="Arial" w:eastAsia="Arial" w:hAnsi="Arial"/>
          <w:sz w:val="14"/>
          <w:szCs w:val="14"/>
          <w:color w:val="auto"/>
        </w:rPr>
        <w:t>Formed a Corporate Responsibility Policy Committee (“CRPC”), responsible for reviewing strategic corporate responsibility initiatives</w:t>
      </w:r>
    </w:p>
    <w:p>
      <w:pPr>
        <w:spacing w:after="0" w:line="34" w:lineRule="exact"/>
        <w:rPr>
          <w:rFonts w:ascii="Arial" w:cs="Arial" w:eastAsia="Arial" w:hAnsi="Arial"/>
          <w:sz w:val="14"/>
          <w:szCs w:val="14"/>
          <w:b w:val="1"/>
          <w:bCs w:val="1"/>
          <w:color w:val="16479F"/>
        </w:rPr>
      </w:pPr>
    </w:p>
    <w:p>
      <w:pPr>
        <w:ind w:left="363" w:right="580" w:hanging="184"/>
        <w:spacing w:after="0" w:line="247" w:lineRule="auto"/>
        <w:tabs>
          <w:tab w:leader="none" w:pos="349" w:val="left"/>
        </w:tabs>
        <w:numPr>
          <w:ilvl w:val="1"/>
          <w:numId w:val="38"/>
        </w:numPr>
        <w:rPr>
          <w:rFonts w:ascii="Arial" w:cs="Arial" w:eastAsia="Arial" w:hAnsi="Arial"/>
          <w:sz w:val="14"/>
          <w:szCs w:val="14"/>
          <w:b w:val="1"/>
          <w:bCs w:val="1"/>
          <w:color w:val="16479F"/>
        </w:rPr>
      </w:pPr>
      <w:r>
        <w:rPr>
          <w:rFonts w:ascii="Arial" w:cs="Arial" w:eastAsia="Arial" w:hAnsi="Arial"/>
          <w:sz w:val="14"/>
          <w:szCs w:val="14"/>
          <w:color w:val="auto"/>
        </w:rPr>
        <w:t>Expanded the Corporate Responsibility Committee (“CRC”) to include new members from DE&amp;I, Technology, Data Management, Client Coverage, Controllership and Financial Planning &amp; Analysis teams.</w:t>
      </w:r>
    </w:p>
    <w:p>
      <w:pPr>
        <w:spacing w:after="0" w:line="74" w:lineRule="exact"/>
        <w:rPr>
          <w:rFonts w:ascii="Arial" w:cs="Arial" w:eastAsia="Arial" w:hAnsi="Arial"/>
          <w:sz w:val="14"/>
          <w:szCs w:val="14"/>
          <w:b w:val="1"/>
          <w:bCs w:val="1"/>
          <w:color w:val="16479F"/>
        </w:rPr>
      </w:pPr>
    </w:p>
    <w:p>
      <w:pPr>
        <w:ind w:left="183" w:right="320" w:hanging="183"/>
        <w:spacing w:after="0" w:line="281" w:lineRule="auto"/>
        <w:tabs>
          <w:tab w:leader="none" w:pos="169" w:val="left"/>
        </w:tabs>
        <w:numPr>
          <w:ilvl w:val="0"/>
          <w:numId w:val="38"/>
        </w:numPr>
        <w:rPr>
          <w:rFonts w:ascii="Arial" w:cs="Arial" w:eastAsia="Arial" w:hAnsi="Arial"/>
          <w:sz w:val="14"/>
          <w:szCs w:val="14"/>
          <w:b w:val="1"/>
          <w:bCs w:val="1"/>
          <w:color w:val="16479F"/>
        </w:rPr>
      </w:pPr>
      <w:r>
        <w:rPr>
          <w:rFonts w:ascii="Arial" w:cs="Arial" w:eastAsia="Arial" w:hAnsi="Arial"/>
          <w:sz w:val="14"/>
          <w:szCs w:val="14"/>
          <w:b w:val="1"/>
          <w:bCs w:val="1"/>
          <w:color w:val="auto"/>
        </w:rPr>
        <w:t xml:space="preserve">Risk Oversight: </w:t>
      </w:r>
      <w:r>
        <w:rPr>
          <w:rFonts w:ascii="Arial" w:cs="Arial" w:eastAsia="Arial" w:hAnsi="Arial"/>
          <w:sz w:val="14"/>
          <w:szCs w:val="14"/>
          <w:color w:val="auto"/>
        </w:rPr>
        <w:t>Integrated climate and DE&amp;I into our risk management program,</w:t>
      </w:r>
      <w:r>
        <w:rPr>
          <w:rFonts w:ascii="Arial" w:cs="Arial" w:eastAsia="Arial" w:hAnsi="Arial"/>
          <w:sz w:val="14"/>
          <w:szCs w:val="14"/>
          <w:b w:val="1"/>
          <w:bCs w:val="1"/>
          <w:color w:val="auto"/>
        </w:rPr>
        <w:t xml:space="preserve"> </w:t>
      </w:r>
      <w:r>
        <w:rPr>
          <w:rFonts w:ascii="Arial" w:cs="Arial" w:eastAsia="Arial" w:hAnsi="Arial"/>
          <w:sz w:val="14"/>
          <w:szCs w:val="14"/>
          <w:color w:val="auto"/>
        </w:rPr>
        <w:t>with reporting to the Audit and Risk Committee</w:t>
      </w:r>
    </w:p>
    <w:p>
      <w:pPr>
        <w:spacing w:after="0" w:line="471" w:lineRule="exact"/>
        <w:rPr>
          <w:sz w:val="20"/>
          <w:szCs w:val="20"/>
          <w:color w:val="auto"/>
        </w:rPr>
      </w:pPr>
    </w:p>
    <w:p>
      <w:pPr>
        <w:sectPr>
          <w:pgSz w:w="11900" w:h="16838" w:orient="portrait"/>
          <w:cols w:equalWidth="0" w:num="2">
            <w:col w:w="5400" w:space="217"/>
            <w:col w:w="5623"/>
          </w:cols>
          <w:pgMar w:left="320" w:top="121" w:right="339" w:bottom="1440" w:gutter="0" w:footer="0" w:header="0"/>
          <w:type w:val="continuous"/>
        </w:sectPr>
      </w:pP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For additional information about our Corporate Responsibility Program, please see page 45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100965</wp:posOffset>
            </wp:positionV>
            <wp:extent cx="715454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149860</wp:posOffset>
            </wp:positionV>
            <wp:extent cx="7133590" cy="2127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3590" cy="212725"/>
                    </a:xfrm>
                    <a:prstGeom prst="rect">
                      <a:avLst/>
                    </a:prstGeom>
                    <a:noFill/>
                  </pic:spPr>
                </pic:pic>
              </a:graphicData>
            </a:graphic>
          </wp:anchor>
        </w:drawing>
      </w:r>
    </w:p>
    <w:p>
      <w:pPr>
        <w:spacing w:after="0" w:line="283"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4"/>
          <w:szCs w:val="14"/>
          <w:b w:val="1"/>
          <w:bCs w:val="1"/>
          <w:color w:val="16479F"/>
        </w:rPr>
        <w:t>14</w:t>
      </w:r>
      <w:r>
        <w:rPr>
          <w:sz w:val="20"/>
          <w:szCs w:val="20"/>
          <w:color w:val="auto"/>
        </w:rPr>
        <w:tab/>
      </w:r>
      <w:r>
        <w:rPr>
          <w:rFonts w:ascii="Arial" w:cs="Arial" w:eastAsia="Arial" w:hAnsi="Arial"/>
          <w:sz w:val="14"/>
          <w:szCs w:val="14"/>
          <w:b w:val="1"/>
          <w:bCs w:val="1"/>
          <w:color w:val="16479F"/>
        </w:rPr>
        <w:t>MSCI  |  PROXY SUMMARY</w:t>
      </w:r>
    </w:p>
    <w:p>
      <w:pPr>
        <w:spacing w:after="0" w:line="285" w:lineRule="exact"/>
        <w:rPr>
          <w:sz w:val="20"/>
          <w:szCs w:val="20"/>
          <w:color w:val="auto"/>
        </w:rPr>
      </w:pPr>
    </w:p>
    <w:p>
      <w:pPr>
        <w:spacing w:after="0"/>
        <w:rPr>
          <w:sz w:val="20"/>
          <w:szCs w:val="20"/>
          <w:color w:val="auto"/>
        </w:rPr>
      </w:pPr>
      <w:r>
        <w:rPr>
          <w:rFonts w:ascii="Arial" w:cs="Arial" w:eastAsia="Arial" w:hAnsi="Arial"/>
          <w:sz w:val="32"/>
          <w:szCs w:val="32"/>
          <w:b w:val="1"/>
          <w:bCs w:val="1"/>
          <w:color w:val="16479F"/>
        </w:rPr>
        <w:t>Governance Highlights</w:t>
      </w:r>
    </w:p>
    <w:p>
      <w:pPr>
        <w:spacing w:after="0" w:line="222"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Our Board of Directors Nominees</w:t>
      </w:r>
    </w:p>
    <w:p>
      <w:pPr>
        <w:spacing w:after="0" w:line="249"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Each of our current directors is standing for election to hold office until the next annual meeting of shareholders or until the director’s earlier resignation, death or removal. The table below provides information on each of our director nominees, including which of our four standing committees the director nominee sits on. Our four standing committees are the Audit and Risk Committee (the “Audit Committee”), the Compensation, Talent and Culture Committee (the “Compensation Committee”), the Governance and Corporate Responsibility Committee (the “Governance Committee”) and the Strategy and Finance Committee (the “Strategy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128905</wp:posOffset>
            </wp:positionV>
            <wp:extent cx="7154545" cy="55454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4545" cy="554545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5" w:name="page16"/>
    <w:bookmarkEnd w:id="15"/>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00" w:type="dxa"/>
            <w:vAlign w:val="bottom"/>
            <w:tcBorders>
              <w:right w:val="single" w:sz="8" w:color="16479F"/>
            </w:tcBorders>
          </w:tcPr>
          <w:p>
            <w:pPr>
              <w:ind w:left="8740"/>
              <w:spacing w:after="0"/>
              <w:rPr>
                <w:sz w:val="20"/>
                <w:szCs w:val="20"/>
                <w:color w:val="auto"/>
              </w:rPr>
            </w:pPr>
            <w:r>
              <w:rPr>
                <w:rFonts w:ascii="Arial" w:cs="Arial" w:eastAsia="Arial" w:hAnsi="Arial"/>
                <w:sz w:val="14"/>
                <w:szCs w:val="14"/>
                <w:b w:val="1"/>
                <w:bCs w:val="1"/>
                <w:color w:val="16479F"/>
              </w:rPr>
              <w:t>2022 PROXY STATEMENT</w:t>
            </w:r>
          </w:p>
        </w:tc>
        <w:tc>
          <w:tcPr>
            <w:tcW w:w="640" w:type="dxa"/>
            <w:vAlign w:val="bottom"/>
          </w:tcPr>
          <w:p>
            <w:pPr>
              <w:jc w:val="right"/>
              <w:ind w:right="9"/>
              <w:spacing w:after="0"/>
              <w:rPr>
                <w:sz w:val="20"/>
                <w:szCs w:val="20"/>
                <w:color w:val="auto"/>
              </w:rPr>
            </w:pPr>
            <w:r>
              <w:rPr>
                <w:rFonts w:ascii="Arial" w:cs="Arial" w:eastAsia="Arial" w:hAnsi="Arial"/>
                <w:sz w:val="14"/>
                <w:szCs w:val="14"/>
                <w:b w:val="1"/>
                <w:bCs w:val="1"/>
                <w:color w:val="16479F"/>
              </w:rPr>
              <w:t>15</w:t>
            </w:r>
          </w:p>
        </w:tc>
      </w:tr>
      <w:tr>
        <w:trPr>
          <w:trHeight w:val="65"/>
        </w:trPr>
        <w:tc>
          <w:tcPr>
            <w:tcW w:w="10600" w:type="dxa"/>
            <w:vAlign w:val="bottom"/>
            <w:tcBorders>
              <w:bottom w:val="single" w:sz="8" w:color="16479F"/>
              <w:right w:val="single" w:sz="8" w:color="16479F"/>
            </w:tcBorders>
          </w:tcPr>
          <w:p>
            <w:pPr>
              <w:spacing w:after="0"/>
              <w:rPr>
                <w:sz w:val="5"/>
                <w:szCs w:val="5"/>
                <w:color w:val="auto"/>
              </w:rPr>
            </w:pPr>
          </w:p>
        </w:tc>
        <w:tc>
          <w:tcPr>
            <w:tcW w:w="640" w:type="dxa"/>
            <w:vAlign w:val="bottom"/>
            <w:tcBorders>
              <w:bottom w:val="single" w:sz="8" w:color="16479F"/>
            </w:tcBorders>
          </w:tcPr>
          <w:p>
            <w:pPr>
              <w:spacing w:after="0"/>
              <w:rPr>
                <w:sz w:val="5"/>
                <w:szCs w:val="5"/>
                <w:color w:val="auto"/>
              </w:rPr>
            </w:pPr>
          </w:p>
        </w:tc>
      </w:tr>
    </w:tbl>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343"/>
        </w:trPr>
        <w:tc>
          <w:tcPr>
            <w:tcW w:w="8100" w:type="dxa"/>
            <w:vAlign w:val="bottom"/>
            <w:shd w:val="clear" w:color="auto" w:fill="F0F1F8"/>
          </w:tcPr>
          <w:p>
            <w:pPr>
              <w:ind w:left="180"/>
              <w:spacing w:after="0"/>
              <w:rPr>
                <w:sz w:val="20"/>
                <w:szCs w:val="20"/>
                <w:color w:val="auto"/>
              </w:rPr>
            </w:pPr>
            <w:r>
              <w:rPr>
                <w:rFonts w:ascii="Arial" w:cs="Arial" w:eastAsia="Arial" w:hAnsi="Arial"/>
                <w:sz w:val="18"/>
                <w:szCs w:val="18"/>
                <w:b w:val="1"/>
                <w:bCs w:val="1"/>
                <w:color w:val="16479F"/>
              </w:rPr>
              <w:t>Proposal 1</w:t>
            </w:r>
          </w:p>
        </w:tc>
        <w:tc>
          <w:tcPr>
            <w:tcW w:w="3140" w:type="dxa"/>
            <w:vAlign w:val="bottom"/>
            <w:shd w:val="clear" w:color="auto" w:fill="002739"/>
          </w:tcPr>
          <w:p>
            <w:pPr>
              <w:ind w:left="180"/>
              <w:spacing w:after="0"/>
              <w:rPr>
                <w:sz w:val="20"/>
                <w:szCs w:val="20"/>
                <w:color w:val="auto"/>
              </w:rPr>
            </w:pPr>
            <w:r>
              <w:rPr>
                <w:rFonts w:ascii="Arial" w:cs="Arial" w:eastAsia="Arial" w:hAnsi="Arial"/>
                <w:sz w:val="16"/>
                <w:szCs w:val="16"/>
                <w:b w:val="1"/>
                <w:bCs w:val="1"/>
                <w:color w:val="FFFFFF"/>
              </w:rPr>
              <w:t>The Board recommends a vote</w:t>
            </w:r>
          </w:p>
        </w:tc>
        <w:tc>
          <w:tcPr>
            <w:tcW w:w="0" w:type="dxa"/>
            <w:vAlign w:val="bottom"/>
          </w:tcPr>
          <w:p>
            <w:pPr>
              <w:spacing w:after="0"/>
              <w:rPr>
                <w:sz w:val="1"/>
                <w:szCs w:val="1"/>
                <w:color w:val="auto"/>
              </w:rPr>
            </w:pPr>
          </w:p>
        </w:tc>
      </w:tr>
      <w:tr>
        <w:trPr>
          <w:trHeight w:val="213"/>
        </w:trPr>
        <w:tc>
          <w:tcPr>
            <w:tcW w:w="8100" w:type="dxa"/>
            <w:vAlign w:val="bottom"/>
            <w:vMerge w:val="restart"/>
            <w:shd w:val="clear" w:color="auto" w:fill="F0F1F8"/>
          </w:tcPr>
          <w:p>
            <w:pPr>
              <w:ind w:left="180"/>
              <w:spacing w:after="0"/>
              <w:rPr>
                <w:sz w:val="20"/>
                <w:szCs w:val="20"/>
                <w:color w:val="auto"/>
              </w:rPr>
            </w:pPr>
            <w:r>
              <w:rPr>
                <w:rFonts w:ascii="Arial" w:cs="Arial" w:eastAsia="Arial" w:hAnsi="Arial"/>
                <w:sz w:val="27"/>
                <w:szCs w:val="27"/>
                <w:b w:val="1"/>
                <w:bCs w:val="1"/>
                <w:color w:val="002739"/>
              </w:rPr>
              <w:t>Election of Directors</w:t>
            </w:r>
          </w:p>
        </w:tc>
        <w:tc>
          <w:tcPr>
            <w:tcW w:w="3140" w:type="dxa"/>
            <w:vAlign w:val="bottom"/>
            <w:shd w:val="clear" w:color="auto" w:fill="002739"/>
          </w:tcPr>
          <w:p>
            <w:pPr>
              <w:ind w:left="180"/>
              <w:spacing w:after="0"/>
              <w:rPr>
                <w:sz w:val="20"/>
                <w:szCs w:val="20"/>
                <w:color w:val="auto"/>
              </w:rPr>
            </w:pPr>
            <w:r>
              <w:rPr>
                <w:rFonts w:ascii="Arial" w:cs="Arial" w:eastAsia="Arial" w:hAnsi="Arial"/>
                <w:sz w:val="16"/>
                <w:szCs w:val="16"/>
                <w:b w:val="1"/>
                <w:bCs w:val="1"/>
                <w:color w:val="00B5AA"/>
              </w:rPr>
              <w:t xml:space="preserve">FOR </w:t>
            </w:r>
            <w:r>
              <w:rPr>
                <w:rFonts w:ascii="Arial" w:cs="Arial" w:eastAsia="Arial" w:hAnsi="Arial"/>
                <w:sz w:val="16"/>
                <w:szCs w:val="16"/>
                <w:color w:val="FFFFFF"/>
              </w:rPr>
              <w:t>each director nominee.</w:t>
            </w:r>
          </w:p>
        </w:tc>
        <w:tc>
          <w:tcPr>
            <w:tcW w:w="0" w:type="dxa"/>
            <w:vAlign w:val="bottom"/>
          </w:tcPr>
          <w:p>
            <w:pPr>
              <w:spacing w:after="0"/>
              <w:rPr>
                <w:sz w:val="1"/>
                <w:szCs w:val="1"/>
                <w:color w:val="auto"/>
              </w:rPr>
            </w:pPr>
          </w:p>
        </w:tc>
      </w:tr>
      <w:tr>
        <w:trPr>
          <w:trHeight w:val="300"/>
        </w:trPr>
        <w:tc>
          <w:tcPr>
            <w:tcW w:w="8100" w:type="dxa"/>
            <w:vAlign w:val="bottom"/>
            <w:vMerge w:val="continue"/>
            <w:shd w:val="clear" w:color="auto" w:fill="F0F1F8"/>
          </w:tcPr>
          <w:p>
            <w:pPr>
              <w:spacing w:after="0"/>
              <w:rPr>
                <w:sz w:val="24"/>
                <w:szCs w:val="24"/>
                <w:color w:val="auto"/>
              </w:rPr>
            </w:pPr>
          </w:p>
        </w:tc>
        <w:tc>
          <w:tcPr>
            <w:tcW w:w="3140" w:type="dxa"/>
            <w:vAlign w:val="bottom"/>
            <w:shd w:val="clear" w:color="auto" w:fill="002739"/>
          </w:tcPr>
          <w:p>
            <w:pPr>
              <w:ind w:left="400"/>
              <w:spacing w:after="0"/>
              <w:rPr>
                <w:sz w:val="20"/>
                <w:szCs w:val="20"/>
                <w:color w:val="auto"/>
              </w:rPr>
            </w:pPr>
            <w:r>
              <w:rPr>
                <w:rFonts w:ascii="Arial" w:cs="Arial" w:eastAsia="Arial" w:hAnsi="Arial"/>
                <w:sz w:val="14"/>
                <w:szCs w:val="14"/>
                <w:color w:val="FFFFFF"/>
              </w:rPr>
              <w:t xml:space="preserve">SEE </w:t>
            </w:r>
            <w:r>
              <w:rPr>
                <w:rFonts w:ascii="Arial" w:cs="Arial" w:eastAsia="Arial" w:hAnsi="Arial"/>
                <w:sz w:val="14"/>
                <w:szCs w:val="14"/>
                <w:b w:val="1"/>
                <w:bCs w:val="1"/>
                <w:color w:val="FFFFFF"/>
              </w:rPr>
              <w:t>PAGE 20</w:t>
            </w:r>
          </w:p>
        </w:tc>
        <w:tc>
          <w:tcPr>
            <w:tcW w:w="0" w:type="dxa"/>
            <w:vAlign w:val="bottom"/>
          </w:tcPr>
          <w:p>
            <w:pPr>
              <w:spacing w:after="0"/>
              <w:rPr>
                <w:sz w:val="1"/>
                <w:szCs w:val="1"/>
                <w:color w:val="auto"/>
              </w:rPr>
            </w:pPr>
          </w:p>
        </w:tc>
      </w:tr>
      <w:tr>
        <w:trPr>
          <w:trHeight w:val="161"/>
        </w:trPr>
        <w:tc>
          <w:tcPr>
            <w:tcW w:w="8100" w:type="dxa"/>
            <w:vAlign w:val="bottom"/>
            <w:shd w:val="clear" w:color="auto" w:fill="F0F1F8"/>
          </w:tcPr>
          <w:p>
            <w:pPr>
              <w:spacing w:after="0"/>
              <w:rPr>
                <w:sz w:val="14"/>
                <w:szCs w:val="14"/>
                <w:color w:val="auto"/>
              </w:rPr>
            </w:pPr>
          </w:p>
        </w:tc>
        <w:tc>
          <w:tcPr>
            <w:tcW w:w="3140" w:type="dxa"/>
            <w:vAlign w:val="bottom"/>
            <w:shd w:val="clear" w:color="auto" w:fill="002739"/>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-237490</wp:posOffset>
            </wp:positionV>
            <wp:extent cx="7154545" cy="65487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4545" cy="65487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149860</wp:posOffset>
            </wp:positionV>
            <wp:extent cx="7133590" cy="2127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3590" cy="212725"/>
                    </a:xfrm>
                    <a:prstGeom prst="rect">
                      <a:avLst/>
                    </a:prstGeom>
                    <a:noFill/>
                  </pic:spPr>
                </pic:pic>
              </a:graphicData>
            </a:graphic>
          </wp:anchor>
        </w:drawing>
      </w:r>
    </w:p>
    <w:p>
      <w:pPr>
        <w:spacing w:after="0" w:line="283"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4"/>
          <w:szCs w:val="14"/>
          <w:b w:val="1"/>
          <w:bCs w:val="1"/>
          <w:color w:val="16479F"/>
        </w:rPr>
        <w:t>16</w:t>
      </w:r>
      <w:r>
        <w:rPr>
          <w:sz w:val="20"/>
          <w:szCs w:val="20"/>
          <w:color w:val="auto"/>
        </w:rPr>
        <w:tab/>
      </w:r>
      <w:r>
        <w:rPr>
          <w:rFonts w:ascii="Arial" w:cs="Arial" w:eastAsia="Arial" w:hAnsi="Arial"/>
          <w:sz w:val="14"/>
          <w:szCs w:val="14"/>
          <w:b w:val="1"/>
          <w:bCs w:val="1"/>
          <w:color w:val="16479F"/>
        </w:rPr>
        <w:t>MSCI  |  PROXY SUMMARY</w:t>
      </w:r>
    </w:p>
    <w:p>
      <w:pPr>
        <w:spacing w:after="0" w:line="286"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Engaging with our Shareholders</w:t>
      </w:r>
    </w:p>
    <w:p>
      <w:pPr>
        <w:spacing w:after="0" w:line="249"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We believe that engaging with our shareholders, prospective shareholders and sell-side analysts is the best way to address the issues that matter most to them. During 2021, we held over 300 meetings covering a wide range of matters. While we aim to engage with our shareholders year-round through investor meetings and industry conferences, our key shareholder engagement activities for 2021 included our Investor Day held in February 2021 and our Corporate Responsibility Roadshow conducted in the winter of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128270</wp:posOffset>
            </wp:positionV>
            <wp:extent cx="713359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359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Deep</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Shareholder</w:t>
      </w:r>
    </w:p>
    <w:p>
      <w:pPr>
        <w:spacing w:after="0"/>
        <w:rPr>
          <w:sz w:val="20"/>
          <w:szCs w:val="20"/>
          <w:color w:val="auto"/>
        </w:rPr>
      </w:pPr>
      <w:r>
        <w:rPr>
          <w:rFonts w:ascii="Arial" w:cs="Arial" w:eastAsia="Arial" w:hAnsi="Arial"/>
          <w:sz w:val="21"/>
          <w:szCs w:val="21"/>
          <w:b w:val="1"/>
          <w:bCs w:val="1"/>
          <w:color w:val="auto"/>
        </w:rPr>
        <w:t>Outreach</w:t>
      </w:r>
    </w:p>
    <w:p>
      <w:pPr>
        <w:spacing w:after="0"/>
        <w:rPr>
          <w:sz w:val="20"/>
          <w:szCs w:val="20"/>
          <w:color w:val="auto"/>
        </w:rPr>
      </w:pPr>
      <w:r>
        <w:rPr>
          <w:rFonts w:ascii="Arial" w:cs="Arial" w:eastAsia="Arial" w:hAnsi="Arial"/>
          <w:sz w:val="21"/>
          <w:szCs w:val="21"/>
          <w:b w:val="1"/>
          <w:bCs w:val="1"/>
          <w:color w:val="auto"/>
        </w:rPr>
        <w:t>Team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60" w:type="dxa"/>
            <w:vAlign w:val="bottom"/>
            <w:vMerge w:val="restart"/>
          </w:tcPr>
          <w:p>
            <w:pPr>
              <w:spacing w:after="0"/>
              <w:rPr>
                <w:sz w:val="20"/>
                <w:szCs w:val="20"/>
                <w:color w:val="auto"/>
              </w:rPr>
            </w:pPr>
            <w:r>
              <w:rPr>
                <w:rFonts w:ascii="Arial" w:cs="Arial" w:eastAsia="Arial" w:hAnsi="Arial"/>
                <w:sz w:val="14"/>
                <w:szCs w:val="14"/>
                <w:b w:val="1"/>
                <w:bCs w:val="1"/>
                <w:color w:val="auto"/>
              </w:rPr>
              <w:t>Senior</w:t>
            </w:r>
          </w:p>
        </w:tc>
        <w:tc>
          <w:tcPr>
            <w:tcW w:w="42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4"/>
                <w:szCs w:val="14"/>
                <w:b w:val="1"/>
                <w:bCs w:val="1"/>
                <w:color w:val="auto"/>
              </w:rPr>
              <w:t>Finance and</w:t>
            </w:r>
          </w:p>
        </w:tc>
        <w:tc>
          <w:tcPr>
            <w:tcW w:w="132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Corporate</w:t>
            </w:r>
          </w:p>
        </w:tc>
        <w:tc>
          <w:tcPr>
            <w:tcW w:w="380" w:type="dxa"/>
            <w:vAlign w:val="bottom"/>
          </w:tcPr>
          <w:p>
            <w:pPr>
              <w:spacing w:after="0"/>
              <w:rPr>
                <w:sz w:val="14"/>
                <w:szCs w:val="14"/>
                <w:color w:val="auto"/>
              </w:rPr>
            </w:pP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Human Resources</w:t>
            </w:r>
          </w:p>
        </w:tc>
        <w:tc>
          <w:tcPr>
            <w:tcW w:w="440" w:type="dxa"/>
            <w:vAlign w:val="bottom"/>
          </w:tcPr>
          <w:p>
            <w:pPr>
              <w:spacing w:after="0"/>
              <w:rPr>
                <w:sz w:val="14"/>
                <w:szCs w:val="14"/>
                <w:color w:val="auto"/>
              </w:rPr>
            </w:pPr>
          </w:p>
        </w:tc>
        <w:tc>
          <w:tcPr>
            <w:tcW w:w="2060" w:type="dxa"/>
            <w:vAlign w:val="bottom"/>
          </w:tcPr>
          <w:p>
            <w:pPr>
              <w:ind w:left="80"/>
              <w:spacing w:after="0"/>
              <w:rPr>
                <w:sz w:val="20"/>
                <w:szCs w:val="20"/>
                <w:color w:val="auto"/>
              </w:rPr>
            </w:pPr>
            <w:r>
              <w:rPr>
                <w:rFonts w:ascii="Arial" w:cs="Arial" w:eastAsia="Arial" w:hAnsi="Arial"/>
                <w:sz w:val="14"/>
                <w:szCs w:val="14"/>
                <w:b w:val="1"/>
                <w:bCs w:val="1"/>
                <w:color w:val="auto"/>
              </w:rPr>
              <w:t>Corporate Responsibility</w:t>
            </w:r>
          </w:p>
        </w:tc>
        <w:tc>
          <w:tcPr>
            <w:tcW w:w="50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4"/>
                <w:szCs w:val="14"/>
                <w:b w:val="1"/>
                <w:bCs w:val="1"/>
                <w:color w:val="auto"/>
              </w:rPr>
              <w:t>Board</w:t>
            </w:r>
          </w:p>
        </w:tc>
        <w:tc>
          <w:tcPr>
            <w:tcW w:w="0" w:type="dxa"/>
            <w:vAlign w:val="bottom"/>
          </w:tcPr>
          <w:p>
            <w:pPr>
              <w:spacing w:after="0"/>
              <w:rPr>
                <w:sz w:val="1"/>
                <w:szCs w:val="1"/>
                <w:color w:val="auto"/>
              </w:rPr>
            </w:pPr>
          </w:p>
        </w:tc>
      </w:tr>
      <w:tr>
        <w:trPr>
          <w:trHeight w:val="67"/>
        </w:trPr>
        <w:tc>
          <w:tcPr>
            <w:tcW w:w="86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1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Investor</w:t>
            </w:r>
          </w:p>
        </w:tc>
        <w:tc>
          <w:tcPr>
            <w:tcW w:w="132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15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Team, including</w:t>
            </w:r>
          </w:p>
        </w:tc>
        <w:tc>
          <w:tcPr>
            <w:tcW w:w="440" w:type="dxa"/>
            <w:vAlign w:val="bottom"/>
          </w:tcPr>
          <w:p>
            <w:pPr>
              <w:spacing w:after="0"/>
              <w:rPr>
                <w:sz w:val="5"/>
                <w:szCs w:val="5"/>
                <w:color w:val="auto"/>
              </w:rPr>
            </w:pPr>
          </w:p>
        </w:tc>
        <w:tc>
          <w:tcPr>
            <w:tcW w:w="20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Team and Global</w:t>
            </w:r>
          </w:p>
        </w:tc>
        <w:tc>
          <w:tcPr>
            <w:tcW w:w="500" w:type="dxa"/>
            <w:vAlign w:val="bottom"/>
          </w:tcPr>
          <w:p>
            <w:pPr>
              <w:spacing w:after="0"/>
              <w:rPr>
                <w:sz w:val="5"/>
                <w:szCs w:val="5"/>
                <w:color w:val="auto"/>
              </w:rPr>
            </w:pPr>
          </w:p>
        </w:tc>
        <w:tc>
          <w:tcPr>
            <w:tcW w:w="7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Members</w:t>
            </w:r>
          </w:p>
        </w:tc>
        <w:tc>
          <w:tcPr>
            <w:tcW w:w="0" w:type="dxa"/>
            <w:vAlign w:val="bottom"/>
          </w:tcPr>
          <w:p>
            <w:pPr>
              <w:spacing w:after="0"/>
              <w:rPr>
                <w:sz w:val="1"/>
                <w:szCs w:val="1"/>
                <w:color w:val="auto"/>
              </w:rPr>
            </w:pPr>
          </w:p>
        </w:tc>
      </w:tr>
      <w:tr>
        <w:trPr>
          <w:trHeight w:val="94"/>
        </w:trPr>
        <w:tc>
          <w:tcPr>
            <w:tcW w:w="860" w:type="dxa"/>
            <w:vAlign w:val="bottom"/>
            <w:vMerge w:val="restart"/>
          </w:tcPr>
          <w:p>
            <w:pPr>
              <w:spacing w:after="0"/>
              <w:rPr>
                <w:sz w:val="20"/>
                <w:szCs w:val="20"/>
                <w:color w:val="auto"/>
              </w:rPr>
            </w:pPr>
            <w:r>
              <w:rPr>
                <w:rFonts w:ascii="Arial" w:cs="Arial" w:eastAsia="Arial" w:hAnsi="Arial"/>
                <w:sz w:val="14"/>
                <w:szCs w:val="14"/>
                <w:b w:val="1"/>
                <w:bCs w:val="1"/>
                <w:color w:val="auto"/>
              </w:rPr>
              <w:t>Business</w:t>
            </w:r>
          </w:p>
        </w:tc>
        <w:tc>
          <w:tcPr>
            <w:tcW w:w="420" w:type="dxa"/>
            <w:vAlign w:val="bottom"/>
            <w:vMerge w:val="restart"/>
          </w:tcPr>
          <w:p>
            <w:pPr>
              <w:jc w:val="right"/>
              <w:spacing w:after="0"/>
              <w:rPr>
                <w:sz w:val="20"/>
                <w:szCs w:val="20"/>
                <w:color w:val="auto"/>
              </w:rPr>
            </w:pPr>
            <w:r>
              <w:rPr>
                <w:rFonts w:ascii="Arial" w:cs="Arial" w:eastAsia="Arial" w:hAnsi="Arial"/>
                <w:sz w:val="21"/>
                <w:szCs w:val="21"/>
                <w:b w:val="1"/>
                <w:bCs w:val="1"/>
                <w:color w:val="00B5AA"/>
              </w:rPr>
              <w:t>+</w:t>
            </w:r>
          </w:p>
        </w:tc>
        <w:tc>
          <w:tcPr>
            <w:tcW w:w="1100" w:type="dxa"/>
            <w:vAlign w:val="bottom"/>
            <w:vMerge w:val="continue"/>
          </w:tcPr>
          <w:p>
            <w:pPr>
              <w:spacing w:after="0"/>
              <w:rPr>
                <w:sz w:val="8"/>
                <w:szCs w:val="8"/>
                <w:color w:val="auto"/>
              </w:rPr>
            </w:pPr>
          </w:p>
        </w:tc>
        <w:tc>
          <w:tcPr>
            <w:tcW w:w="1320" w:type="dxa"/>
            <w:vAlign w:val="bottom"/>
            <w:vMerge w:val="restart"/>
          </w:tcPr>
          <w:p>
            <w:pPr>
              <w:ind w:left="160"/>
              <w:spacing w:after="0"/>
              <w:rPr>
                <w:sz w:val="20"/>
                <w:szCs w:val="20"/>
                <w:color w:val="auto"/>
              </w:rPr>
            </w:pPr>
            <w:r>
              <w:rPr>
                <w:rFonts w:ascii="Arial" w:cs="Arial" w:eastAsia="Arial" w:hAnsi="Arial"/>
                <w:sz w:val="21"/>
                <w:szCs w:val="21"/>
                <w:b w:val="1"/>
                <w:bCs w:val="1"/>
                <w:color w:val="00B5AA"/>
              </w:rPr>
              <w:t xml:space="preserve">+  </w:t>
            </w:r>
            <w:r>
              <w:rPr>
                <w:rFonts w:ascii="Arial" w:cs="Arial" w:eastAsia="Arial" w:hAnsi="Arial"/>
                <w:sz w:val="14"/>
                <w:szCs w:val="14"/>
                <w:b w:val="1"/>
                <w:bCs w:val="1"/>
                <w:color w:val="000000"/>
              </w:rPr>
              <w:t>Secretary</w:t>
            </w:r>
          </w:p>
        </w:tc>
        <w:tc>
          <w:tcPr>
            <w:tcW w:w="380" w:type="dxa"/>
            <w:vAlign w:val="bottom"/>
            <w:vMerge w:val="restart"/>
          </w:tcPr>
          <w:p>
            <w:pPr>
              <w:jc w:val="right"/>
              <w:spacing w:after="0"/>
              <w:rPr>
                <w:sz w:val="20"/>
                <w:szCs w:val="20"/>
                <w:color w:val="auto"/>
              </w:rPr>
            </w:pPr>
            <w:r>
              <w:rPr>
                <w:rFonts w:ascii="Arial" w:cs="Arial" w:eastAsia="Arial" w:hAnsi="Arial"/>
                <w:sz w:val="21"/>
                <w:szCs w:val="21"/>
                <w:b w:val="1"/>
                <w:bCs w:val="1"/>
                <w:color w:val="00B5AA"/>
              </w:rPr>
              <w:t>+</w:t>
            </w:r>
          </w:p>
        </w:tc>
        <w:tc>
          <w:tcPr>
            <w:tcW w:w="1580" w:type="dxa"/>
            <w:vAlign w:val="bottom"/>
            <w:vMerge w:val="continue"/>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21"/>
                <w:szCs w:val="21"/>
                <w:b w:val="1"/>
                <w:bCs w:val="1"/>
                <w:color w:val="00B5AA"/>
              </w:rPr>
              <w:t>+</w:t>
            </w:r>
          </w:p>
        </w:tc>
        <w:tc>
          <w:tcPr>
            <w:tcW w:w="2060" w:type="dxa"/>
            <w:vAlign w:val="bottom"/>
            <w:vMerge w:val="continue"/>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Arial" w:cs="Arial" w:eastAsia="Arial" w:hAnsi="Arial"/>
                <w:sz w:val="21"/>
                <w:szCs w:val="21"/>
                <w:b w:val="1"/>
                <w:bCs w:val="1"/>
                <w:color w:val="00B5AA"/>
              </w:rPr>
              <w:t>+</w:t>
            </w: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860" w:type="dxa"/>
            <w:vAlign w:val="bottom"/>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1100" w:type="dxa"/>
            <w:vAlign w:val="bottom"/>
          </w:tcPr>
          <w:p>
            <w:pPr>
              <w:ind w:left="80"/>
              <w:spacing w:after="0" w:line="147" w:lineRule="exact"/>
              <w:rPr>
                <w:sz w:val="20"/>
                <w:szCs w:val="20"/>
                <w:color w:val="auto"/>
              </w:rPr>
            </w:pPr>
            <w:r>
              <w:rPr>
                <w:rFonts w:ascii="Arial" w:cs="Arial" w:eastAsia="Arial" w:hAnsi="Arial"/>
                <w:sz w:val="14"/>
                <w:szCs w:val="14"/>
                <w:b w:val="1"/>
                <w:bCs w:val="1"/>
                <w:color w:val="auto"/>
              </w:rPr>
              <w:t>Relations</w:t>
            </w:r>
          </w:p>
        </w:tc>
        <w:tc>
          <w:tcPr>
            <w:tcW w:w="1320" w:type="dxa"/>
            <w:vAlign w:val="bottom"/>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1580" w:type="dxa"/>
            <w:vAlign w:val="bottom"/>
          </w:tcPr>
          <w:p>
            <w:pPr>
              <w:ind w:left="80"/>
              <w:spacing w:after="0" w:line="147" w:lineRule="exact"/>
              <w:rPr>
                <w:sz w:val="20"/>
                <w:szCs w:val="20"/>
                <w:color w:val="auto"/>
              </w:rPr>
            </w:pPr>
            <w:r>
              <w:rPr>
                <w:rFonts w:ascii="Arial" w:cs="Arial" w:eastAsia="Arial" w:hAnsi="Arial"/>
                <w:sz w:val="14"/>
                <w:szCs w:val="14"/>
                <w:b w:val="1"/>
                <w:bCs w:val="1"/>
                <w:color w:val="auto"/>
              </w:rPr>
              <w:t>Chief Diversity</w:t>
            </w:r>
          </w:p>
        </w:tc>
        <w:tc>
          <w:tcPr>
            <w:tcW w:w="440" w:type="dxa"/>
            <w:vAlign w:val="bottom"/>
            <w:vMerge w:val="continue"/>
          </w:tcPr>
          <w:p>
            <w:pPr>
              <w:spacing w:after="0"/>
              <w:rPr>
                <w:sz w:val="12"/>
                <w:szCs w:val="12"/>
                <w:color w:val="auto"/>
              </w:rPr>
            </w:pPr>
          </w:p>
        </w:tc>
        <w:tc>
          <w:tcPr>
            <w:tcW w:w="2060" w:type="dxa"/>
            <w:vAlign w:val="bottom"/>
          </w:tcPr>
          <w:p>
            <w:pPr>
              <w:ind w:left="80"/>
              <w:spacing w:after="0" w:line="147" w:lineRule="exact"/>
              <w:rPr>
                <w:sz w:val="20"/>
                <w:szCs w:val="20"/>
                <w:color w:val="auto"/>
              </w:rPr>
            </w:pPr>
            <w:r>
              <w:rPr>
                <w:rFonts w:ascii="Arial" w:cs="Arial" w:eastAsia="Arial" w:hAnsi="Arial"/>
                <w:sz w:val="14"/>
                <w:szCs w:val="14"/>
                <w:b w:val="1"/>
                <w:bCs w:val="1"/>
                <w:color w:val="auto"/>
              </w:rPr>
              <w:t>Corporate Services</w:t>
            </w:r>
          </w:p>
        </w:tc>
        <w:tc>
          <w:tcPr>
            <w:tcW w:w="500" w:type="dxa"/>
            <w:vAlign w:val="bottom"/>
            <w:vMerge w:val="continue"/>
          </w:tcPr>
          <w:p>
            <w:pPr>
              <w:spacing w:after="0"/>
              <w:rPr>
                <w:sz w:val="12"/>
                <w:szCs w:val="12"/>
                <w:color w:val="auto"/>
              </w:rPr>
            </w:pPr>
          </w:p>
        </w:tc>
        <w:tc>
          <w:tcPr>
            <w:tcW w:w="760" w:type="dxa"/>
            <w:vAlign w:val="bottom"/>
          </w:tcPr>
          <w:p>
            <w:pPr>
              <w:ind w:left="80"/>
              <w:spacing w:after="0" w:line="147" w:lineRule="exact"/>
              <w:rPr>
                <w:sz w:val="20"/>
                <w:szCs w:val="20"/>
                <w:color w:val="auto"/>
              </w:rPr>
            </w:pPr>
            <w:r>
              <w:rPr>
                <w:rFonts w:ascii="Arial" w:cs="Arial" w:eastAsia="Arial" w:hAnsi="Arial"/>
                <w:sz w:val="14"/>
                <w:szCs w:val="14"/>
                <w:b w:val="1"/>
                <w:bCs w:val="1"/>
                <w:color w:val="auto"/>
              </w:rPr>
              <w:t>(select</w:t>
            </w:r>
          </w:p>
        </w:tc>
        <w:tc>
          <w:tcPr>
            <w:tcW w:w="0" w:type="dxa"/>
            <w:vAlign w:val="bottom"/>
          </w:tcPr>
          <w:p>
            <w:pPr>
              <w:spacing w:after="0"/>
              <w:rPr>
                <w:sz w:val="1"/>
                <w:szCs w:val="1"/>
                <w:color w:val="auto"/>
              </w:rPr>
            </w:pPr>
          </w:p>
        </w:tc>
      </w:tr>
      <w:tr>
        <w:trPr>
          <w:trHeight w:val="161"/>
        </w:trPr>
        <w:tc>
          <w:tcPr>
            <w:tcW w:w="860" w:type="dxa"/>
            <w:vAlign w:val="bottom"/>
          </w:tcPr>
          <w:p>
            <w:pPr>
              <w:spacing w:after="0"/>
              <w:rPr>
                <w:sz w:val="20"/>
                <w:szCs w:val="20"/>
                <w:color w:val="auto"/>
              </w:rPr>
            </w:pPr>
            <w:r>
              <w:rPr>
                <w:rFonts w:ascii="Arial" w:cs="Arial" w:eastAsia="Arial" w:hAnsi="Arial"/>
                <w:sz w:val="14"/>
                <w:szCs w:val="14"/>
                <w:b w:val="1"/>
                <w:bCs w:val="1"/>
                <w:color w:val="auto"/>
              </w:rPr>
              <w:t>Leaders</w:t>
            </w:r>
          </w:p>
        </w:tc>
        <w:tc>
          <w:tcPr>
            <w:tcW w:w="420" w:type="dxa"/>
            <w:vAlign w:val="bottom"/>
          </w:tcPr>
          <w:p>
            <w:pPr>
              <w:spacing w:after="0"/>
              <w:rPr>
                <w:sz w:val="13"/>
                <w:szCs w:val="13"/>
                <w:color w:val="auto"/>
              </w:rPr>
            </w:pPr>
          </w:p>
        </w:tc>
        <w:tc>
          <w:tcPr>
            <w:tcW w:w="11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Team</w:t>
            </w:r>
          </w:p>
        </w:tc>
        <w:tc>
          <w:tcPr>
            <w:tcW w:w="1320" w:type="dxa"/>
            <w:vAlign w:val="bottom"/>
          </w:tcPr>
          <w:p>
            <w:pPr>
              <w:ind w:left="440"/>
              <w:spacing w:after="0"/>
              <w:rPr>
                <w:sz w:val="20"/>
                <w:szCs w:val="20"/>
                <w:color w:val="auto"/>
              </w:rPr>
            </w:pPr>
            <w:r>
              <w:rPr>
                <w:rFonts w:ascii="Arial" w:cs="Arial" w:eastAsia="Arial" w:hAnsi="Arial"/>
                <w:sz w:val="14"/>
                <w:szCs w:val="14"/>
                <w:b w:val="1"/>
                <w:bCs w:val="1"/>
                <w:color w:val="auto"/>
              </w:rPr>
              <w:t>Team</w:t>
            </w:r>
          </w:p>
        </w:tc>
        <w:tc>
          <w:tcPr>
            <w:tcW w:w="380" w:type="dxa"/>
            <w:vAlign w:val="bottom"/>
          </w:tcPr>
          <w:p>
            <w:pPr>
              <w:spacing w:after="0"/>
              <w:rPr>
                <w:sz w:val="13"/>
                <w:szCs w:val="13"/>
                <w:color w:val="auto"/>
              </w:rPr>
            </w:pPr>
          </w:p>
        </w:tc>
        <w:tc>
          <w:tcPr>
            <w:tcW w:w="15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Officer</w:t>
            </w:r>
          </w:p>
        </w:tc>
        <w:tc>
          <w:tcPr>
            <w:tcW w:w="440" w:type="dxa"/>
            <w:vAlign w:val="bottom"/>
          </w:tcPr>
          <w:p>
            <w:pPr>
              <w:spacing w:after="0"/>
              <w:rPr>
                <w:sz w:val="13"/>
                <w:szCs w:val="13"/>
                <w:color w:val="auto"/>
              </w:rPr>
            </w:pPr>
          </w:p>
        </w:tc>
        <w:tc>
          <w:tcPr>
            <w:tcW w:w="20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Team</w:t>
            </w:r>
          </w:p>
        </w:tc>
        <w:tc>
          <w:tcPr>
            <w:tcW w:w="500" w:type="dxa"/>
            <w:vAlign w:val="bottom"/>
          </w:tcPr>
          <w:p>
            <w:pPr>
              <w:spacing w:after="0"/>
              <w:rPr>
                <w:sz w:val="13"/>
                <w:szCs w:val="13"/>
                <w:color w:val="auto"/>
              </w:rPr>
            </w:pPr>
          </w:p>
        </w:tc>
        <w:tc>
          <w:tcPr>
            <w:tcW w:w="760" w:type="dxa"/>
            <w:vAlign w:val="bottom"/>
            <w:vMerge w:val="restart"/>
          </w:tcPr>
          <w:p>
            <w:pPr>
              <w:ind w:left="80"/>
              <w:spacing w:after="0"/>
              <w:rPr>
                <w:sz w:val="20"/>
                <w:szCs w:val="20"/>
                <w:color w:val="auto"/>
              </w:rPr>
            </w:pPr>
            <w:r>
              <w:rPr>
                <w:rFonts w:ascii="Arial" w:cs="Arial" w:eastAsia="Arial" w:hAnsi="Arial"/>
                <w:sz w:val="14"/>
                <w:szCs w:val="14"/>
                <w:b w:val="1"/>
                <w:bCs w:val="1"/>
                <w:color w:val="auto"/>
                <w:w w:val="99"/>
              </w:rPr>
              <w:t>meetings)</w:t>
            </w:r>
          </w:p>
        </w:tc>
        <w:tc>
          <w:tcPr>
            <w:tcW w:w="0" w:type="dxa"/>
            <w:vAlign w:val="bottom"/>
          </w:tcPr>
          <w:p>
            <w:pPr>
              <w:spacing w:after="0"/>
              <w:rPr>
                <w:sz w:val="1"/>
                <w:szCs w:val="1"/>
                <w:color w:val="auto"/>
              </w:rPr>
            </w:pPr>
          </w:p>
        </w:tc>
      </w:tr>
      <w:tr>
        <w:trPr>
          <w:trHeight w:val="42"/>
        </w:trPr>
        <w:tc>
          <w:tcPr>
            <w:tcW w:w="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1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5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20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-1010920</wp:posOffset>
            </wp:positionH>
            <wp:positionV relativeFrom="paragraph">
              <wp:posOffset>228600</wp:posOffset>
            </wp:positionV>
            <wp:extent cx="7133590" cy="10629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3590" cy="1062990"/>
                    </a:xfrm>
                    <a:prstGeom prst="rect">
                      <a:avLst/>
                    </a:prstGeom>
                    <a:noFill/>
                  </pic:spPr>
                </pic:pic>
              </a:graphicData>
            </a:graphic>
          </wp:anchor>
        </w:drawing>
      </w:r>
    </w:p>
    <w:p>
      <w:pPr>
        <w:spacing w:after="0" w:line="339" w:lineRule="exact"/>
        <w:rPr>
          <w:sz w:val="20"/>
          <w:szCs w:val="20"/>
          <w:color w:val="auto"/>
        </w:rPr>
      </w:pPr>
    </w:p>
    <w:p>
      <w:pPr>
        <w:sectPr>
          <w:pgSz w:w="11900" w:h="16838" w:orient="portrait"/>
          <w:cols w:equalWidth="0" w:num="2">
            <w:col w:w="1260" w:space="340"/>
            <w:col w:w="9640"/>
          </w:cols>
          <w:pgMar w:left="320" w:top="121" w:right="339" w:bottom="1440" w:gutter="0" w:footer="0" w:header="0"/>
          <w:type w:val="continuous"/>
        </w:sectPr>
      </w:pPr>
    </w:p>
    <w:p>
      <w:pPr>
        <w:spacing w:after="0" w:line="202" w:lineRule="exact"/>
        <w:rPr>
          <w:sz w:val="20"/>
          <w:szCs w:val="20"/>
          <w:color w:val="auto"/>
        </w:rPr>
      </w:pPr>
    </w:p>
    <w:p>
      <w:pPr>
        <w:spacing w:after="0" w:line="281" w:lineRule="auto"/>
        <w:rPr>
          <w:sz w:val="20"/>
          <w:szCs w:val="20"/>
          <w:color w:val="auto"/>
        </w:rPr>
      </w:pPr>
      <w:r>
        <w:rPr>
          <w:rFonts w:ascii="Arial" w:cs="Arial" w:eastAsia="Arial" w:hAnsi="Arial"/>
          <w:sz w:val="21"/>
          <w:szCs w:val="21"/>
          <w:b w:val="1"/>
          <w:bCs w:val="1"/>
          <w:color w:val="auto"/>
        </w:rPr>
        <w:t>What We Discussed</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BUSINESS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Market Trends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Competitive Environment</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Product Development</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Financial Performance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Overall Outlook</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CORPORATE RESPONSIBILITY EFFORTS</w:t>
      </w:r>
    </w:p>
    <w:p>
      <w:pPr>
        <w:spacing w:after="0" w:line="111" w:lineRule="exact"/>
        <w:rPr>
          <w:sz w:val="20"/>
          <w:szCs w:val="20"/>
          <w:color w:val="auto"/>
        </w:rPr>
      </w:pPr>
    </w:p>
    <w:p>
      <w:pPr>
        <w:spacing w:after="0" w:line="254" w:lineRule="auto"/>
        <w:rPr>
          <w:sz w:val="20"/>
          <w:szCs w:val="20"/>
          <w:color w:val="auto"/>
        </w:rPr>
      </w:pPr>
      <w:r>
        <w:rPr>
          <w:rFonts w:ascii="Arial" w:cs="Arial" w:eastAsia="Arial" w:hAnsi="Arial"/>
          <w:sz w:val="14"/>
          <w:szCs w:val="14"/>
          <w:color w:val="auto"/>
        </w:rPr>
        <w:t>Corporate Responsibility Practices and Disclosures, including ESG &amp; Climate</w:t>
      </w:r>
    </w:p>
    <w:p>
      <w:pPr>
        <w:spacing w:after="0" w:line="61" w:lineRule="exact"/>
        <w:rPr>
          <w:sz w:val="20"/>
          <w:szCs w:val="20"/>
          <w:color w:val="auto"/>
        </w:rPr>
      </w:pPr>
    </w:p>
    <w:p>
      <w:pPr>
        <w:ind w:right="440"/>
        <w:spacing w:after="0" w:line="394" w:lineRule="auto"/>
        <w:rPr>
          <w:sz w:val="20"/>
          <w:szCs w:val="20"/>
          <w:color w:val="auto"/>
        </w:rPr>
      </w:pPr>
      <w:r>
        <w:rPr>
          <w:rFonts w:ascii="Arial" w:cs="Arial" w:eastAsia="Arial" w:hAnsi="Arial"/>
          <w:sz w:val="14"/>
          <w:szCs w:val="14"/>
          <w:color w:val="auto"/>
        </w:rPr>
        <w:t>Human Capital Management, including DE&amp;I Executive Compensation Program</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 300</w:t>
      </w:r>
    </w:p>
    <w:p>
      <w:pPr>
        <w:spacing w:after="0" w:line="111"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meetings with our shareholders, prospective shareholders and sell-side analysts, including successful Investor Day and Corporate Responsibility Roadshow</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~58% of our shares outstanding</w:t>
      </w:r>
    </w:p>
    <w:p>
      <w:pPr>
        <w:spacing w:after="0" w:line="18" w:lineRule="exact"/>
        <w:rPr>
          <w:sz w:val="20"/>
          <w:szCs w:val="20"/>
          <w:color w:val="auto"/>
        </w:rPr>
      </w:pPr>
    </w:p>
    <w:p>
      <w:pPr>
        <w:ind w:right="280"/>
        <w:spacing w:after="0" w:line="254" w:lineRule="auto"/>
        <w:rPr>
          <w:sz w:val="20"/>
          <w:szCs w:val="20"/>
          <w:color w:val="auto"/>
        </w:rPr>
      </w:pPr>
      <w:r>
        <w:rPr>
          <w:rFonts w:ascii="Arial" w:cs="Arial" w:eastAsia="Arial" w:hAnsi="Arial"/>
          <w:sz w:val="14"/>
          <w:szCs w:val="14"/>
          <w:color w:val="auto"/>
        </w:rPr>
        <w:t>represented across our shareholder engagement meetings in 2021</w:t>
      </w:r>
    </w:p>
    <w:p>
      <w:pPr>
        <w:spacing w:after="0" w:line="192" w:lineRule="exact"/>
        <w:rPr>
          <w:sz w:val="20"/>
          <w:szCs w:val="20"/>
          <w:color w:val="auto"/>
        </w:rPr>
      </w:pPr>
    </w:p>
    <w:p>
      <w:pPr>
        <w:sectPr>
          <w:pgSz w:w="11900" w:h="16838" w:orient="portrait"/>
          <w:cols w:equalWidth="0" w:num="4">
            <w:col w:w="1080" w:space="620"/>
            <w:col w:w="1860" w:space="720"/>
            <w:col w:w="3260" w:space="320"/>
            <w:col w:w="3380"/>
          </w:cols>
          <w:pgMar w:left="320" w:top="121" w:right="339" w:bottom="1440" w:gutter="0" w:footer="0" w:header="0"/>
          <w:type w:val="continuous"/>
        </w:sectPr>
      </w:pPr>
    </w:p>
    <w:p>
      <w:pPr>
        <w:spacing w:after="0"/>
        <w:rPr>
          <w:sz w:val="20"/>
          <w:szCs w:val="20"/>
          <w:color w:val="auto"/>
        </w:rPr>
      </w:pPr>
      <w:r>
        <w:rPr>
          <w:rFonts w:ascii="Arial" w:cs="Arial" w:eastAsia="Arial" w:hAnsi="Arial"/>
          <w:sz w:val="16"/>
          <w:szCs w:val="16"/>
          <w:color w:val="auto"/>
        </w:rPr>
        <w:t>See “Shareholder Engagement” on page 40 for more information on our year-round shareholder engagement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715454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00" w:type="dxa"/>
            <w:vAlign w:val="bottom"/>
            <w:tcBorders>
              <w:right w:val="single" w:sz="8" w:color="16479F"/>
            </w:tcBorders>
          </w:tcPr>
          <w:p>
            <w:pPr>
              <w:ind w:left="8740"/>
              <w:spacing w:after="0"/>
              <w:rPr>
                <w:sz w:val="20"/>
                <w:szCs w:val="20"/>
                <w:color w:val="auto"/>
              </w:rPr>
            </w:pPr>
            <w:r>
              <w:rPr>
                <w:rFonts w:ascii="Arial" w:cs="Arial" w:eastAsia="Arial" w:hAnsi="Arial"/>
                <w:sz w:val="14"/>
                <w:szCs w:val="14"/>
                <w:b w:val="1"/>
                <w:bCs w:val="1"/>
                <w:color w:val="16479F"/>
              </w:rPr>
              <w:t>2022 PROXY STATEMENT</w:t>
            </w:r>
          </w:p>
        </w:tc>
        <w:tc>
          <w:tcPr>
            <w:tcW w:w="640" w:type="dxa"/>
            <w:vAlign w:val="bottom"/>
          </w:tcPr>
          <w:p>
            <w:pPr>
              <w:jc w:val="right"/>
              <w:ind w:right="9"/>
              <w:spacing w:after="0"/>
              <w:rPr>
                <w:sz w:val="20"/>
                <w:szCs w:val="20"/>
                <w:color w:val="auto"/>
              </w:rPr>
            </w:pPr>
            <w:r>
              <w:rPr>
                <w:rFonts w:ascii="Arial" w:cs="Arial" w:eastAsia="Arial" w:hAnsi="Arial"/>
                <w:sz w:val="14"/>
                <w:szCs w:val="14"/>
                <w:b w:val="1"/>
                <w:bCs w:val="1"/>
                <w:color w:val="16479F"/>
              </w:rPr>
              <w:t>17</w:t>
            </w:r>
          </w:p>
        </w:tc>
      </w:tr>
      <w:tr>
        <w:trPr>
          <w:trHeight w:val="65"/>
        </w:trPr>
        <w:tc>
          <w:tcPr>
            <w:tcW w:w="10600" w:type="dxa"/>
            <w:vAlign w:val="bottom"/>
            <w:tcBorders>
              <w:bottom w:val="single" w:sz="8" w:color="16479F"/>
              <w:right w:val="single" w:sz="8" w:color="16479F"/>
            </w:tcBorders>
          </w:tcPr>
          <w:p>
            <w:pPr>
              <w:spacing w:after="0"/>
              <w:rPr>
                <w:sz w:val="5"/>
                <w:szCs w:val="5"/>
                <w:color w:val="auto"/>
              </w:rPr>
            </w:pPr>
          </w:p>
        </w:tc>
        <w:tc>
          <w:tcPr>
            <w:tcW w:w="640" w:type="dxa"/>
            <w:vAlign w:val="bottom"/>
            <w:tcBorders>
              <w:bottom w:val="single" w:sz="8" w:color="16479F"/>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102235</wp:posOffset>
            </wp:positionV>
            <wp:extent cx="7133590" cy="8420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3590" cy="8420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1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16479F"/>
        </w:rPr>
        <w:t>Proposal 2</w:t>
      </w:r>
    </w:p>
    <w:p>
      <w:pPr>
        <w:spacing w:after="0" w:line="142" w:lineRule="exact"/>
        <w:rPr>
          <w:sz w:val="20"/>
          <w:szCs w:val="20"/>
          <w:color w:val="auto"/>
        </w:rPr>
      </w:pPr>
    </w:p>
    <w:p>
      <w:pPr>
        <w:ind w:left="180"/>
        <w:spacing w:after="0" w:line="273" w:lineRule="auto"/>
        <w:rPr>
          <w:sz w:val="20"/>
          <w:szCs w:val="20"/>
          <w:color w:val="auto"/>
        </w:rPr>
      </w:pPr>
      <w:r>
        <w:rPr>
          <w:rFonts w:ascii="Arial" w:cs="Arial" w:eastAsia="Arial" w:hAnsi="Arial"/>
          <w:sz w:val="27"/>
          <w:szCs w:val="27"/>
          <w:b w:val="1"/>
          <w:bCs w:val="1"/>
          <w:color w:val="002739"/>
        </w:rPr>
        <w:t>Advisory Vote to Approve Executive Compensation (Say-on-Pay)</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ind w:right="600"/>
        <w:spacing w:after="0" w:line="282" w:lineRule="auto"/>
        <w:rPr>
          <w:sz w:val="20"/>
          <w:szCs w:val="20"/>
          <w:color w:val="auto"/>
        </w:rPr>
      </w:pPr>
      <w:r>
        <w:rPr>
          <w:rFonts w:ascii="Arial" w:cs="Arial" w:eastAsia="Arial" w:hAnsi="Arial"/>
          <w:sz w:val="16"/>
          <w:szCs w:val="16"/>
          <w:b w:val="1"/>
          <w:bCs w:val="1"/>
          <w:color w:val="FFFFFF"/>
        </w:rPr>
        <w:t xml:space="preserve">The Board recommends a vote </w:t>
      </w:r>
      <w:r>
        <w:rPr>
          <w:rFonts w:ascii="Arial" w:cs="Arial" w:eastAsia="Arial" w:hAnsi="Arial"/>
          <w:sz w:val="16"/>
          <w:szCs w:val="16"/>
          <w:b w:val="1"/>
          <w:bCs w:val="1"/>
          <w:color w:val="00B5AA"/>
        </w:rPr>
        <w:t xml:space="preserve">FOR </w:t>
      </w:r>
      <w:r>
        <w:rPr>
          <w:rFonts w:ascii="Arial" w:cs="Arial" w:eastAsia="Arial" w:hAnsi="Arial"/>
          <w:sz w:val="16"/>
          <w:szCs w:val="16"/>
          <w:color w:val="FFFFFF"/>
        </w:rPr>
        <w:t>this proposal.</w:t>
      </w:r>
    </w:p>
    <w:p>
      <w:pPr>
        <w:spacing w:after="0" w:line="55" w:lineRule="exact"/>
        <w:rPr>
          <w:sz w:val="20"/>
          <w:szCs w:val="20"/>
          <w:color w:val="auto"/>
        </w:rPr>
      </w:pPr>
    </w:p>
    <w:p>
      <w:pPr>
        <w:ind w:left="220"/>
        <w:spacing w:after="0"/>
        <w:rPr>
          <w:sz w:val="20"/>
          <w:szCs w:val="20"/>
          <w:color w:val="auto"/>
        </w:rPr>
      </w:pPr>
      <w:r>
        <w:rPr>
          <w:rFonts w:ascii="Arial" w:cs="Arial" w:eastAsia="Arial" w:hAnsi="Arial"/>
          <w:sz w:val="14"/>
          <w:szCs w:val="14"/>
          <w:color w:val="FFFFFF"/>
        </w:rPr>
        <w:t xml:space="preserve">SEE </w:t>
      </w:r>
      <w:r>
        <w:rPr>
          <w:rFonts w:ascii="Arial" w:cs="Arial" w:eastAsia="Arial" w:hAnsi="Arial"/>
          <w:sz w:val="14"/>
          <w:szCs w:val="14"/>
          <w:b w:val="1"/>
          <w:bCs w:val="1"/>
          <w:color w:val="FFFFFF"/>
        </w:rPr>
        <w:t>PAGE 55</w:t>
      </w:r>
    </w:p>
    <w:p>
      <w:pPr>
        <w:spacing w:after="0" w:line="602" w:lineRule="exact"/>
        <w:rPr>
          <w:sz w:val="20"/>
          <w:szCs w:val="20"/>
          <w:color w:val="auto"/>
        </w:rPr>
      </w:pPr>
    </w:p>
    <w:p>
      <w:pPr>
        <w:sectPr>
          <w:pgSz w:w="11900" w:h="16838" w:orient="portrait"/>
          <w:cols w:equalWidth="0" w:num="2">
            <w:col w:w="7860" w:space="420"/>
            <w:col w:w="2960"/>
          </w:cols>
          <w:pgMar w:left="320" w:top="121" w:right="339" w:bottom="1440" w:gutter="0" w:footer="0" w:header="0"/>
          <w:type w:val="continuous"/>
        </w:sectPr>
      </w:pPr>
    </w:p>
    <w:p>
      <w:pPr>
        <w:spacing w:after="0" w:line="97" w:lineRule="exact"/>
        <w:rPr>
          <w:sz w:val="20"/>
          <w:szCs w:val="20"/>
          <w:color w:val="auto"/>
        </w:rPr>
      </w:pPr>
    </w:p>
    <w:p>
      <w:pPr>
        <w:ind w:right="440"/>
        <w:spacing w:after="0" w:line="282" w:lineRule="auto"/>
        <w:rPr>
          <w:sz w:val="20"/>
          <w:szCs w:val="20"/>
          <w:color w:val="auto"/>
        </w:rPr>
      </w:pPr>
      <w:r>
        <w:rPr>
          <w:rFonts w:ascii="Arial" w:cs="Arial" w:eastAsia="Arial" w:hAnsi="Arial"/>
          <w:sz w:val="32"/>
          <w:szCs w:val="32"/>
          <w:b w:val="1"/>
          <w:bCs w:val="1"/>
          <w:color w:val="16479F"/>
        </w:rPr>
        <w:t>Aligning Executive Compensation with Company Strategy, Culture and Performance</w:t>
      </w:r>
    </w:p>
    <w:p>
      <w:pPr>
        <w:spacing w:after="0" w:line="137" w:lineRule="exact"/>
        <w:rPr>
          <w:sz w:val="20"/>
          <w:szCs w:val="20"/>
          <w:color w:val="auto"/>
        </w:rPr>
      </w:pPr>
    </w:p>
    <w:p>
      <w:pPr>
        <w:ind w:right="140"/>
        <w:spacing w:after="0" w:line="247" w:lineRule="auto"/>
        <w:rPr>
          <w:sz w:val="20"/>
          <w:szCs w:val="20"/>
          <w:color w:val="auto"/>
        </w:rPr>
      </w:pPr>
      <w:r>
        <w:rPr>
          <w:rFonts w:ascii="Arial" w:cs="Arial" w:eastAsia="Arial" w:hAnsi="Arial"/>
          <w:sz w:val="16"/>
          <w:szCs w:val="16"/>
          <w:color w:val="auto"/>
        </w:rPr>
        <w:t>We believe our executive compensation program was integral to our successful financial performance in 2021. Our executive compensation program is designed not only to closely align the compensation and interests of our named executive officers (“NEOs”) with the long-term interests of our shareholders, but also to reflect the economic realities of our operating environment. MSCI’s executive compensation program emphasizes performance-based compensation in the form of cash incentive awards under our Annual Incentive Plan (“AIP”) and equity incentive awards under our Long-Term Incentive Plan (“LTIP”) that focus respectively on the achievement of short- and long-term financial and strategic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3303270</wp:posOffset>
            </wp:positionH>
            <wp:positionV relativeFrom="paragraph">
              <wp:posOffset>128905</wp:posOffset>
            </wp:positionV>
            <wp:extent cx="135890" cy="13519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5890" cy="1351915"/>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335"/>
        </w:trPr>
        <w:tc>
          <w:tcPr>
            <w:tcW w:w="120" w:type="dxa"/>
            <w:vAlign w:val="bottom"/>
            <w:shd w:val="clear" w:color="auto" w:fill="E9F6F4"/>
          </w:tcPr>
          <w:p>
            <w:pPr>
              <w:spacing w:after="0"/>
              <w:rPr>
                <w:sz w:val="24"/>
                <w:szCs w:val="24"/>
                <w:color w:val="auto"/>
              </w:rPr>
            </w:pPr>
          </w:p>
        </w:tc>
        <w:tc>
          <w:tcPr>
            <w:tcW w:w="4980" w:type="dxa"/>
            <w:vAlign w:val="bottom"/>
            <w:shd w:val="clear" w:color="auto" w:fill="E9F6F4"/>
          </w:tcPr>
          <w:p>
            <w:pPr>
              <w:spacing w:after="0"/>
              <w:rPr>
                <w:sz w:val="20"/>
                <w:szCs w:val="20"/>
                <w:color w:val="auto"/>
              </w:rPr>
            </w:pPr>
            <w:r>
              <w:rPr>
                <w:rFonts w:ascii="Arial" w:cs="Arial" w:eastAsia="Arial" w:hAnsi="Arial"/>
                <w:sz w:val="14"/>
                <w:szCs w:val="14"/>
                <w:b w:val="1"/>
                <w:bCs w:val="1"/>
                <w:color w:val="auto"/>
              </w:rPr>
              <w:t>SHORT-TERM</w:t>
            </w:r>
          </w:p>
        </w:tc>
        <w:tc>
          <w:tcPr>
            <w:tcW w:w="420" w:type="dxa"/>
            <w:vAlign w:val="bottom"/>
            <w:shd w:val="clear" w:color="auto" w:fill="E9F6F4"/>
          </w:tcPr>
          <w:p>
            <w:pPr>
              <w:spacing w:after="0"/>
              <w:rPr>
                <w:sz w:val="24"/>
                <w:szCs w:val="24"/>
                <w:color w:val="auto"/>
              </w:rPr>
            </w:pPr>
          </w:p>
        </w:tc>
        <w:tc>
          <w:tcPr>
            <w:tcW w:w="5720" w:type="dxa"/>
            <w:vAlign w:val="bottom"/>
            <w:gridSpan w:val="2"/>
            <w:shd w:val="clear" w:color="auto" w:fill="E9F6F4"/>
          </w:tcPr>
          <w:p>
            <w:pPr>
              <w:spacing w:after="0"/>
              <w:rPr>
                <w:sz w:val="20"/>
                <w:szCs w:val="20"/>
                <w:color w:val="auto"/>
              </w:rPr>
            </w:pPr>
            <w:r>
              <w:rPr>
                <w:rFonts w:ascii="Arial" w:cs="Arial" w:eastAsia="Arial" w:hAnsi="Arial"/>
                <w:sz w:val="14"/>
                <w:szCs w:val="14"/>
                <w:b w:val="1"/>
                <w:bCs w:val="1"/>
                <w:color w:val="auto"/>
              </w:rPr>
              <w:t>LONG-TERM</w:t>
            </w:r>
          </w:p>
        </w:tc>
      </w:tr>
      <w:tr>
        <w:trPr>
          <w:trHeight w:val="174"/>
        </w:trPr>
        <w:tc>
          <w:tcPr>
            <w:tcW w:w="120" w:type="dxa"/>
            <w:vAlign w:val="bottom"/>
            <w:tcBorders>
              <w:bottom w:val="single" w:sz="8" w:color="E9F6F4"/>
            </w:tcBorders>
            <w:shd w:val="clear" w:color="auto" w:fill="E9F6F4"/>
          </w:tcPr>
          <w:p>
            <w:pPr>
              <w:spacing w:after="0"/>
              <w:rPr>
                <w:sz w:val="15"/>
                <w:szCs w:val="15"/>
                <w:color w:val="auto"/>
              </w:rPr>
            </w:pPr>
          </w:p>
        </w:tc>
        <w:tc>
          <w:tcPr>
            <w:tcW w:w="4980" w:type="dxa"/>
            <w:vAlign w:val="bottom"/>
            <w:tcBorders>
              <w:bottom w:val="single" w:sz="8" w:color="auto"/>
            </w:tcBorders>
            <w:shd w:val="clear" w:color="auto" w:fill="E9F6F4"/>
          </w:tcPr>
          <w:p>
            <w:pPr>
              <w:spacing w:after="0"/>
              <w:rPr>
                <w:sz w:val="20"/>
                <w:szCs w:val="20"/>
                <w:color w:val="auto"/>
              </w:rPr>
            </w:pPr>
            <w:r>
              <w:rPr>
                <w:rFonts w:ascii="Arial" w:cs="Arial" w:eastAsia="Arial" w:hAnsi="Arial"/>
                <w:sz w:val="14"/>
                <w:szCs w:val="14"/>
                <w:b w:val="1"/>
                <w:bCs w:val="1"/>
                <w:color w:val="auto"/>
              </w:rPr>
              <w:t>(ANNUAL INCENTIVE PLAN CASH BONUS)</w:t>
            </w:r>
          </w:p>
        </w:tc>
        <w:tc>
          <w:tcPr>
            <w:tcW w:w="420" w:type="dxa"/>
            <w:vAlign w:val="bottom"/>
            <w:tcBorders>
              <w:bottom w:val="single" w:sz="8" w:color="E9F6F4"/>
            </w:tcBorders>
            <w:shd w:val="clear" w:color="auto" w:fill="E9F6F4"/>
          </w:tcPr>
          <w:p>
            <w:pPr>
              <w:spacing w:after="0"/>
              <w:rPr>
                <w:sz w:val="15"/>
                <w:szCs w:val="15"/>
                <w:color w:val="auto"/>
              </w:rPr>
            </w:pPr>
          </w:p>
        </w:tc>
        <w:tc>
          <w:tcPr>
            <w:tcW w:w="5620" w:type="dxa"/>
            <w:vAlign w:val="bottom"/>
            <w:tcBorders>
              <w:bottom w:val="single" w:sz="8" w:color="auto"/>
            </w:tcBorders>
            <w:shd w:val="clear" w:color="auto" w:fill="E9F6F4"/>
          </w:tcPr>
          <w:p>
            <w:pPr>
              <w:spacing w:after="0"/>
              <w:rPr>
                <w:sz w:val="20"/>
                <w:szCs w:val="20"/>
                <w:color w:val="auto"/>
              </w:rPr>
            </w:pPr>
            <w:r>
              <w:rPr>
                <w:rFonts w:ascii="Arial" w:cs="Arial" w:eastAsia="Arial" w:hAnsi="Arial"/>
                <w:sz w:val="14"/>
                <w:szCs w:val="14"/>
                <w:b w:val="1"/>
                <w:bCs w:val="1"/>
                <w:color w:val="auto"/>
              </w:rPr>
              <w:t>(EQUITY GRANTS)</w:t>
            </w:r>
          </w:p>
        </w:tc>
        <w:tc>
          <w:tcPr>
            <w:tcW w:w="100" w:type="dxa"/>
            <w:vAlign w:val="bottom"/>
            <w:tcBorders>
              <w:bottom w:val="single" w:sz="8" w:color="E9F6F4"/>
            </w:tcBorders>
            <w:shd w:val="clear" w:color="auto" w:fill="E9F6F4"/>
          </w:tcPr>
          <w:p>
            <w:pPr>
              <w:spacing w:after="0"/>
              <w:rPr>
                <w:sz w:val="15"/>
                <w:szCs w:val="15"/>
                <w:color w:val="auto"/>
              </w:rPr>
            </w:pPr>
          </w:p>
        </w:tc>
      </w:tr>
      <w:tr>
        <w:trPr>
          <w:trHeight w:val="357"/>
        </w:trPr>
        <w:tc>
          <w:tcPr>
            <w:tcW w:w="120" w:type="dxa"/>
            <w:vAlign w:val="bottom"/>
            <w:shd w:val="clear" w:color="auto" w:fill="E9F6F4"/>
          </w:tcPr>
          <w:p>
            <w:pPr>
              <w:spacing w:after="0"/>
              <w:rPr>
                <w:sz w:val="24"/>
                <w:szCs w:val="24"/>
                <w:color w:val="auto"/>
              </w:rPr>
            </w:pPr>
          </w:p>
        </w:tc>
        <w:tc>
          <w:tcPr>
            <w:tcW w:w="4980" w:type="dxa"/>
            <w:vAlign w:val="bottom"/>
            <w:shd w:val="clear" w:color="auto" w:fill="E9F6F4"/>
          </w:tcPr>
          <w:p>
            <w:pPr>
              <w:spacing w:after="0"/>
              <w:rPr>
                <w:sz w:val="24"/>
                <w:szCs w:val="24"/>
                <w:color w:val="auto"/>
              </w:rPr>
            </w:pPr>
          </w:p>
        </w:tc>
        <w:tc>
          <w:tcPr>
            <w:tcW w:w="420" w:type="dxa"/>
            <w:vAlign w:val="bottom"/>
            <w:shd w:val="clear" w:color="auto" w:fill="E9F6F4"/>
          </w:tcPr>
          <w:p>
            <w:pPr>
              <w:spacing w:after="0"/>
              <w:rPr>
                <w:sz w:val="24"/>
                <w:szCs w:val="24"/>
                <w:color w:val="auto"/>
              </w:rPr>
            </w:pPr>
          </w:p>
        </w:tc>
        <w:tc>
          <w:tcPr>
            <w:tcW w:w="5720" w:type="dxa"/>
            <w:vAlign w:val="bottom"/>
            <w:gridSpan w:val="2"/>
            <w:shd w:val="clear" w:color="auto" w:fill="E9F6F4"/>
          </w:tcPr>
          <w:p>
            <w:pPr>
              <w:spacing w:after="0"/>
              <w:rPr>
                <w:sz w:val="20"/>
                <w:szCs w:val="20"/>
                <w:color w:val="auto"/>
              </w:rPr>
            </w:pPr>
            <w:r>
              <w:rPr>
                <w:rFonts w:ascii="Arial" w:cs="Arial" w:eastAsia="Arial" w:hAnsi="Arial"/>
                <w:sz w:val="16"/>
                <w:szCs w:val="16"/>
                <w:color w:val="16479F"/>
              </w:rPr>
              <w:t xml:space="preserve">● </w:t>
            </w:r>
            <w:r>
              <w:rPr>
                <w:rFonts w:ascii="Arial" w:cs="Arial" w:eastAsia="Arial" w:hAnsi="Arial"/>
                <w:sz w:val="16"/>
                <w:szCs w:val="16"/>
                <w:color w:val="000000"/>
              </w:rPr>
              <w:t>Restricted Stock Units (for 2021, ratable vest, and for 2022, cliff-vest after a</w:t>
            </w:r>
          </w:p>
        </w:tc>
      </w:tr>
      <w:tr>
        <w:trPr>
          <w:trHeight w:val="193"/>
        </w:trPr>
        <w:tc>
          <w:tcPr>
            <w:tcW w:w="120" w:type="dxa"/>
            <w:vAlign w:val="bottom"/>
            <w:shd w:val="clear" w:color="auto" w:fill="E9F6F4"/>
          </w:tcPr>
          <w:p>
            <w:pPr>
              <w:spacing w:after="0"/>
              <w:rPr>
                <w:sz w:val="16"/>
                <w:szCs w:val="16"/>
                <w:color w:val="auto"/>
              </w:rPr>
            </w:pPr>
          </w:p>
        </w:tc>
        <w:tc>
          <w:tcPr>
            <w:tcW w:w="4980" w:type="dxa"/>
            <w:vAlign w:val="bottom"/>
            <w:shd w:val="clear" w:color="auto" w:fill="E9F6F4"/>
          </w:tcPr>
          <w:p>
            <w:pPr>
              <w:spacing w:after="0"/>
              <w:rPr>
                <w:sz w:val="16"/>
                <w:szCs w:val="16"/>
                <w:color w:val="auto"/>
              </w:rPr>
            </w:pPr>
          </w:p>
        </w:tc>
        <w:tc>
          <w:tcPr>
            <w:tcW w:w="420" w:type="dxa"/>
            <w:vAlign w:val="bottom"/>
            <w:shd w:val="clear" w:color="auto" w:fill="E9F6F4"/>
          </w:tcPr>
          <w:p>
            <w:pPr>
              <w:spacing w:after="0"/>
              <w:rPr>
                <w:sz w:val="16"/>
                <w:szCs w:val="16"/>
                <w:color w:val="auto"/>
              </w:rPr>
            </w:pPr>
          </w:p>
        </w:tc>
        <w:tc>
          <w:tcPr>
            <w:tcW w:w="5720" w:type="dxa"/>
            <w:vAlign w:val="bottom"/>
            <w:gridSpan w:val="2"/>
            <w:shd w:val="clear" w:color="auto" w:fill="E9F6F4"/>
          </w:tcPr>
          <w:p>
            <w:pPr>
              <w:ind w:left="180"/>
              <w:spacing w:after="0"/>
              <w:rPr>
                <w:sz w:val="20"/>
                <w:szCs w:val="20"/>
                <w:color w:val="auto"/>
              </w:rPr>
            </w:pPr>
            <w:r>
              <w:rPr>
                <w:rFonts w:ascii="Arial" w:cs="Arial" w:eastAsia="Arial" w:hAnsi="Arial"/>
                <w:sz w:val="16"/>
                <w:szCs w:val="16"/>
                <w:color w:val="auto"/>
              </w:rPr>
              <w:t>three-year service period)</w:t>
            </w:r>
          </w:p>
        </w:tc>
      </w:tr>
      <w:tr>
        <w:trPr>
          <w:trHeight w:val="262"/>
        </w:trPr>
        <w:tc>
          <w:tcPr>
            <w:tcW w:w="120" w:type="dxa"/>
            <w:vAlign w:val="bottom"/>
            <w:shd w:val="clear" w:color="auto" w:fill="E9F6F4"/>
          </w:tcPr>
          <w:p>
            <w:pPr>
              <w:spacing w:after="0"/>
              <w:rPr>
                <w:sz w:val="22"/>
                <w:szCs w:val="22"/>
                <w:color w:val="auto"/>
              </w:rPr>
            </w:pPr>
          </w:p>
        </w:tc>
        <w:tc>
          <w:tcPr>
            <w:tcW w:w="4980" w:type="dxa"/>
            <w:vAlign w:val="bottom"/>
            <w:shd w:val="clear" w:color="auto" w:fill="E9F6F4"/>
          </w:tcPr>
          <w:p>
            <w:pPr>
              <w:spacing w:after="0"/>
              <w:rPr>
                <w:sz w:val="22"/>
                <w:szCs w:val="22"/>
                <w:color w:val="auto"/>
              </w:rPr>
            </w:pPr>
          </w:p>
        </w:tc>
        <w:tc>
          <w:tcPr>
            <w:tcW w:w="420" w:type="dxa"/>
            <w:vAlign w:val="bottom"/>
            <w:shd w:val="clear" w:color="auto" w:fill="E9F6F4"/>
          </w:tcPr>
          <w:p>
            <w:pPr>
              <w:spacing w:after="0"/>
              <w:rPr>
                <w:sz w:val="22"/>
                <w:szCs w:val="22"/>
                <w:color w:val="auto"/>
              </w:rPr>
            </w:pPr>
          </w:p>
        </w:tc>
        <w:tc>
          <w:tcPr>
            <w:tcW w:w="5720" w:type="dxa"/>
            <w:vAlign w:val="bottom"/>
            <w:gridSpan w:val="2"/>
            <w:shd w:val="clear" w:color="auto" w:fill="E9F6F4"/>
          </w:tcPr>
          <w:p>
            <w:pPr>
              <w:spacing w:after="0"/>
              <w:rPr>
                <w:sz w:val="20"/>
                <w:szCs w:val="20"/>
                <w:color w:val="auto"/>
              </w:rPr>
            </w:pPr>
            <w:r>
              <w:rPr>
                <w:rFonts w:ascii="Arial" w:cs="Arial" w:eastAsia="Arial" w:hAnsi="Arial"/>
                <w:sz w:val="16"/>
                <w:szCs w:val="16"/>
                <w:color w:val="16479F"/>
              </w:rPr>
              <w:t xml:space="preserve">● </w:t>
            </w:r>
            <w:r>
              <w:rPr>
                <w:rFonts w:ascii="Arial" w:cs="Arial" w:eastAsia="Arial" w:hAnsi="Arial"/>
                <w:sz w:val="16"/>
                <w:szCs w:val="16"/>
                <w:color w:val="000000"/>
              </w:rPr>
              <w:t>Performance Stock Units (earned based on absolute TSR CAGR) with a 1-</w:t>
            </w:r>
          </w:p>
        </w:tc>
      </w:tr>
      <w:tr>
        <w:trPr>
          <w:trHeight w:val="193"/>
        </w:trPr>
        <w:tc>
          <w:tcPr>
            <w:tcW w:w="120" w:type="dxa"/>
            <w:vAlign w:val="bottom"/>
            <w:shd w:val="clear" w:color="auto" w:fill="E9F6F4"/>
          </w:tcPr>
          <w:p>
            <w:pPr>
              <w:spacing w:after="0"/>
              <w:rPr>
                <w:sz w:val="16"/>
                <w:szCs w:val="16"/>
                <w:color w:val="auto"/>
              </w:rPr>
            </w:pPr>
          </w:p>
        </w:tc>
        <w:tc>
          <w:tcPr>
            <w:tcW w:w="4980" w:type="dxa"/>
            <w:vAlign w:val="bottom"/>
            <w:shd w:val="clear" w:color="auto" w:fill="E9F6F4"/>
          </w:tcPr>
          <w:p>
            <w:pPr>
              <w:spacing w:after="0"/>
              <w:rPr>
                <w:sz w:val="16"/>
                <w:szCs w:val="16"/>
                <w:color w:val="auto"/>
              </w:rPr>
            </w:pPr>
          </w:p>
        </w:tc>
        <w:tc>
          <w:tcPr>
            <w:tcW w:w="420" w:type="dxa"/>
            <w:vAlign w:val="bottom"/>
            <w:shd w:val="clear" w:color="auto" w:fill="E9F6F4"/>
          </w:tcPr>
          <w:p>
            <w:pPr>
              <w:spacing w:after="0"/>
              <w:rPr>
                <w:sz w:val="16"/>
                <w:szCs w:val="16"/>
                <w:color w:val="auto"/>
              </w:rPr>
            </w:pPr>
          </w:p>
        </w:tc>
        <w:tc>
          <w:tcPr>
            <w:tcW w:w="5720" w:type="dxa"/>
            <w:vAlign w:val="bottom"/>
            <w:gridSpan w:val="2"/>
            <w:shd w:val="clear" w:color="auto" w:fill="E9F6F4"/>
          </w:tcPr>
          <w:p>
            <w:pPr>
              <w:ind w:left="180"/>
              <w:spacing w:after="0"/>
              <w:rPr>
                <w:sz w:val="20"/>
                <w:szCs w:val="20"/>
                <w:color w:val="auto"/>
              </w:rPr>
            </w:pPr>
            <w:r>
              <w:rPr>
                <w:rFonts w:ascii="Arial" w:cs="Arial" w:eastAsia="Arial" w:hAnsi="Arial"/>
                <w:sz w:val="16"/>
                <w:szCs w:val="16"/>
                <w:color w:val="auto"/>
              </w:rPr>
              <w:t>year post vesting mandatory holding period for 3-Year PSUs</w:t>
            </w:r>
          </w:p>
        </w:tc>
      </w:tr>
      <w:tr>
        <w:trPr>
          <w:trHeight w:val="275"/>
        </w:trPr>
        <w:tc>
          <w:tcPr>
            <w:tcW w:w="120" w:type="dxa"/>
            <w:vAlign w:val="bottom"/>
            <w:shd w:val="clear" w:color="auto" w:fill="E9F6F4"/>
          </w:tcPr>
          <w:p>
            <w:pPr>
              <w:spacing w:after="0"/>
              <w:rPr>
                <w:sz w:val="23"/>
                <w:szCs w:val="23"/>
                <w:color w:val="auto"/>
              </w:rPr>
            </w:pPr>
          </w:p>
        </w:tc>
        <w:tc>
          <w:tcPr>
            <w:tcW w:w="4980" w:type="dxa"/>
            <w:vAlign w:val="bottom"/>
            <w:shd w:val="clear" w:color="auto" w:fill="E9F6F4"/>
          </w:tcPr>
          <w:p>
            <w:pPr>
              <w:spacing w:after="0"/>
              <w:rPr>
                <w:sz w:val="23"/>
                <w:szCs w:val="23"/>
                <w:color w:val="auto"/>
              </w:rPr>
            </w:pPr>
          </w:p>
        </w:tc>
        <w:tc>
          <w:tcPr>
            <w:tcW w:w="420" w:type="dxa"/>
            <w:vAlign w:val="bottom"/>
            <w:shd w:val="clear" w:color="auto" w:fill="E9F6F4"/>
          </w:tcPr>
          <w:p>
            <w:pPr>
              <w:spacing w:after="0"/>
              <w:rPr>
                <w:sz w:val="23"/>
                <w:szCs w:val="23"/>
                <w:color w:val="auto"/>
              </w:rPr>
            </w:pPr>
          </w:p>
        </w:tc>
        <w:tc>
          <w:tcPr>
            <w:tcW w:w="5720" w:type="dxa"/>
            <w:vAlign w:val="bottom"/>
            <w:gridSpan w:val="2"/>
            <w:shd w:val="clear" w:color="auto" w:fill="E9F6F4"/>
          </w:tcPr>
          <w:p>
            <w:pPr>
              <w:spacing w:after="0"/>
              <w:rPr>
                <w:sz w:val="20"/>
                <w:szCs w:val="20"/>
                <w:color w:val="auto"/>
              </w:rPr>
            </w:pPr>
            <w:r>
              <w:rPr>
                <w:rFonts w:ascii="Arial" w:cs="Arial" w:eastAsia="Arial" w:hAnsi="Arial"/>
                <w:sz w:val="16"/>
                <w:szCs w:val="16"/>
                <w:color w:val="16479F"/>
              </w:rPr>
              <w:t xml:space="preserve">● </w:t>
            </w:r>
            <w:r>
              <w:rPr>
                <w:rFonts w:ascii="Arial" w:cs="Arial" w:eastAsia="Arial" w:hAnsi="Arial"/>
                <w:sz w:val="16"/>
                <w:szCs w:val="16"/>
                <w:color w:val="000000"/>
              </w:rPr>
              <w:t>Performance Stock Options (earned based on cumulative revenue and</w:t>
            </w:r>
          </w:p>
        </w:tc>
      </w:tr>
      <w:tr>
        <w:trPr>
          <w:trHeight w:val="193"/>
        </w:trPr>
        <w:tc>
          <w:tcPr>
            <w:tcW w:w="120" w:type="dxa"/>
            <w:vAlign w:val="bottom"/>
            <w:shd w:val="clear" w:color="auto" w:fill="E9F6F4"/>
          </w:tcPr>
          <w:p>
            <w:pPr>
              <w:spacing w:after="0"/>
              <w:rPr>
                <w:sz w:val="16"/>
                <w:szCs w:val="16"/>
                <w:color w:val="auto"/>
              </w:rPr>
            </w:pPr>
          </w:p>
        </w:tc>
        <w:tc>
          <w:tcPr>
            <w:tcW w:w="4980" w:type="dxa"/>
            <w:vAlign w:val="bottom"/>
            <w:shd w:val="clear" w:color="auto" w:fill="E9F6F4"/>
          </w:tcPr>
          <w:p>
            <w:pPr>
              <w:spacing w:after="0"/>
              <w:rPr>
                <w:sz w:val="16"/>
                <w:szCs w:val="16"/>
                <w:color w:val="auto"/>
              </w:rPr>
            </w:pPr>
          </w:p>
        </w:tc>
        <w:tc>
          <w:tcPr>
            <w:tcW w:w="420" w:type="dxa"/>
            <w:vAlign w:val="bottom"/>
            <w:shd w:val="clear" w:color="auto" w:fill="E9F6F4"/>
          </w:tcPr>
          <w:p>
            <w:pPr>
              <w:spacing w:after="0"/>
              <w:rPr>
                <w:sz w:val="16"/>
                <w:szCs w:val="16"/>
                <w:color w:val="auto"/>
              </w:rPr>
            </w:pPr>
          </w:p>
        </w:tc>
        <w:tc>
          <w:tcPr>
            <w:tcW w:w="5720" w:type="dxa"/>
            <w:vAlign w:val="bottom"/>
            <w:gridSpan w:val="2"/>
            <w:shd w:val="clear" w:color="auto" w:fill="E9F6F4"/>
          </w:tcPr>
          <w:p>
            <w:pPr>
              <w:ind w:left="180"/>
              <w:spacing w:after="0"/>
              <w:rPr>
                <w:sz w:val="20"/>
                <w:szCs w:val="20"/>
                <w:color w:val="auto"/>
              </w:rPr>
            </w:pPr>
            <w:r>
              <w:rPr>
                <w:rFonts w:ascii="Arial" w:cs="Arial" w:eastAsia="Arial" w:hAnsi="Arial"/>
                <w:sz w:val="16"/>
                <w:szCs w:val="16"/>
                <w:color w:val="auto"/>
              </w:rPr>
              <w:t>cumulative Adjusted EPS) (new for 2022)</w:t>
            </w:r>
          </w:p>
        </w:tc>
      </w:tr>
      <w:tr>
        <w:trPr>
          <w:trHeight w:val="126"/>
        </w:trPr>
        <w:tc>
          <w:tcPr>
            <w:tcW w:w="5100" w:type="dxa"/>
            <w:vAlign w:val="bottom"/>
            <w:gridSpan w:val="2"/>
            <w:shd w:val="clear" w:color="auto" w:fill="E9F6F4"/>
          </w:tcPr>
          <w:p>
            <w:pPr>
              <w:spacing w:after="0"/>
              <w:rPr>
                <w:sz w:val="10"/>
                <w:szCs w:val="10"/>
                <w:color w:val="auto"/>
              </w:rPr>
            </w:pPr>
          </w:p>
        </w:tc>
        <w:tc>
          <w:tcPr>
            <w:tcW w:w="420" w:type="dxa"/>
            <w:vAlign w:val="bottom"/>
            <w:shd w:val="clear" w:color="auto" w:fill="E9F6F4"/>
          </w:tcPr>
          <w:p>
            <w:pPr>
              <w:spacing w:after="0"/>
              <w:rPr>
                <w:sz w:val="10"/>
                <w:szCs w:val="10"/>
                <w:color w:val="auto"/>
              </w:rPr>
            </w:pPr>
          </w:p>
        </w:tc>
        <w:tc>
          <w:tcPr>
            <w:tcW w:w="5620" w:type="dxa"/>
            <w:vAlign w:val="bottom"/>
            <w:shd w:val="clear" w:color="auto" w:fill="E9F6F4"/>
          </w:tcPr>
          <w:p>
            <w:pPr>
              <w:spacing w:after="0"/>
              <w:rPr>
                <w:sz w:val="10"/>
                <w:szCs w:val="10"/>
                <w:color w:val="auto"/>
              </w:rPr>
            </w:pPr>
          </w:p>
        </w:tc>
        <w:tc>
          <w:tcPr>
            <w:tcW w:w="100" w:type="dxa"/>
            <w:vAlign w:val="bottom"/>
            <w:shd w:val="clear" w:color="auto" w:fill="E9F6F4"/>
          </w:tcPr>
          <w:p>
            <w:pPr>
              <w:spacing w:after="0"/>
              <w:rPr>
                <w:sz w:val="10"/>
                <w:szCs w:val="10"/>
                <w:color w:val="auto"/>
              </w:rPr>
            </w:pPr>
          </w:p>
        </w:tc>
      </w:tr>
      <w:tr>
        <w:trPr>
          <w:trHeight w:val="427"/>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2021 ANNUALIZED CEO</w:t>
            </w:r>
          </w:p>
        </w:tc>
        <w:tc>
          <w:tcPr>
            <w:tcW w:w="420" w:type="dxa"/>
            <w:vAlign w:val="bottom"/>
          </w:tcPr>
          <w:p>
            <w:pPr>
              <w:spacing w:after="0"/>
              <w:rPr>
                <w:sz w:val="24"/>
                <w:szCs w:val="24"/>
                <w:color w:val="auto"/>
              </w:rPr>
            </w:pPr>
          </w:p>
        </w:tc>
        <w:tc>
          <w:tcPr>
            <w:tcW w:w="5720" w:type="dxa"/>
            <w:vAlign w:val="bottom"/>
            <w:gridSpan w:val="2"/>
          </w:tcPr>
          <w:p>
            <w:pPr>
              <w:ind w:left="120"/>
              <w:spacing w:after="0"/>
              <w:rPr>
                <w:sz w:val="20"/>
                <w:szCs w:val="20"/>
                <w:color w:val="auto"/>
              </w:rPr>
            </w:pPr>
            <w:r>
              <w:rPr>
                <w:rFonts w:ascii="Arial" w:cs="Arial" w:eastAsia="Arial" w:hAnsi="Arial"/>
                <w:sz w:val="18"/>
                <w:szCs w:val="18"/>
                <w:b w:val="1"/>
                <w:bCs w:val="1"/>
                <w:color w:val="auto"/>
              </w:rPr>
              <w:t>2021 AVERAGE ANNUALIZED OTHER NEOS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-1290955</wp:posOffset>
            </wp:positionV>
            <wp:extent cx="3009900" cy="9436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009900" cy="943610"/>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128270</wp:posOffset>
            </wp:positionV>
            <wp:extent cx="1700530" cy="15386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00530" cy="1538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In 2021, our CEO received over 90% of his compensation in the form of “at-risk” variable compensation under the AIP and LTIP (on average, over 85% in the case of our other NEOs).</w:t>
      </w:r>
    </w:p>
    <w:p>
      <w:pPr>
        <w:spacing w:after="0" w:line="106"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Annual Incentive Plan</w:t>
      </w:r>
    </w:p>
    <w:p>
      <w:pPr>
        <w:spacing w:after="0" w:line="195" w:lineRule="exact"/>
        <w:rPr>
          <w:sz w:val="20"/>
          <w:szCs w:val="20"/>
          <w:color w:val="auto"/>
        </w:rPr>
      </w:pPr>
    </w:p>
    <w:p>
      <w:pPr>
        <w:ind w:right="60"/>
        <w:spacing w:after="0" w:line="246" w:lineRule="auto"/>
        <w:rPr>
          <w:sz w:val="20"/>
          <w:szCs w:val="20"/>
          <w:color w:val="auto"/>
        </w:rPr>
      </w:pPr>
      <w:r>
        <w:rPr>
          <w:rFonts w:ascii="Arial" w:cs="Arial" w:eastAsia="Arial" w:hAnsi="Arial"/>
          <w:sz w:val="16"/>
          <w:szCs w:val="16"/>
          <w:color w:val="auto"/>
        </w:rPr>
        <w:t>The AIP closely aligns the interests of our NEOs with those of our shareholders by emphasizing a formulaic approach to determine annual cash incentive awards, which are based on the achievement of specified annual financial criteria aligned with our Board-approved Operating Plan (70% of the target annual cash bonus under the AIP), individual key performance indicators (“KPIs”) (20% of the target annual cash bonus under the AIP) and specific DE&amp;I goals (“DE&amp;I Goals”) (10% of the target annual cash bonus under the AIP) that serve to focus our senior management team on enhancing DE&amp;I progress within the Company. The Compensation Committee regularly assesses the components and metrics used in the AIP and the weighting of those components and metrics, in addition to taking into account shareholder feedback.</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For additional information about the 2021 AIP program, please see the discussion on page 71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715454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149860</wp:posOffset>
            </wp:positionV>
            <wp:extent cx="7133590" cy="2127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3590" cy="212725"/>
                    </a:xfrm>
                    <a:prstGeom prst="rect">
                      <a:avLst/>
                    </a:prstGeom>
                    <a:noFill/>
                  </pic:spPr>
                </pic:pic>
              </a:graphicData>
            </a:graphic>
          </wp:anchor>
        </w:drawing>
      </w:r>
    </w:p>
    <w:p>
      <w:pPr>
        <w:spacing w:after="0" w:line="283"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4"/>
          <w:szCs w:val="14"/>
          <w:b w:val="1"/>
          <w:bCs w:val="1"/>
          <w:color w:val="16479F"/>
        </w:rPr>
        <w:t>18</w:t>
      </w:r>
      <w:r>
        <w:rPr>
          <w:sz w:val="20"/>
          <w:szCs w:val="20"/>
          <w:color w:val="auto"/>
        </w:rPr>
        <w:tab/>
      </w:r>
      <w:r>
        <w:rPr>
          <w:rFonts w:ascii="Arial" w:cs="Arial" w:eastAsia="Arial" w:hAnsi="Arial"/>
          <w:sz w:val="14"/>
          <w:szCs w:val="14"/>
          <w:b w:val="1"/>
          <w:bCs w:val="1"/>
          <w:color w:val="16479F"/>
        </w:rPr>
        <w:t>MSCI  |  PROXY SUMMARY</w:t>
      </w:r>
    </w:p>
    <w:p>
      <w:pPr>
        <w:spacing w:after="0" w:line="286"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Long-Term Incentive Plan</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The LTIP is designed to prioritize shareholder value creation and facilitate an “owner-operator” mindset among our senior executives.</w:t>
      </w:r>
    </w:p>
    <w:p>
      <w:pPr>
        <w:spacing w:after="0" w:line="218" w:lineRule="exact"/>
        <w:rPr>
          <w:sz w:val="20"/>
          <w:szCs w:val="20"/>
          <w:color w:val="auto"/>
        </w:rPr>
      </w:pPr>
    </w:p>
    <w:p>
      <w:pPr>
        <w:ind w:right="120"/>
        <w:spacing w:after="0" w:line="247" w:lineRule="auto"/>
        <w:rPr>
          <w:sz w:val="20"/>
          <w:szCs w:val="20"/>
          <w:color w:val="auto"/>
        </w:rPr>
      </w:pPr>
      <w:r>
        <w:rPr>
          <w:rFonts w:ascii="Arial" w:cs="Arial" w:eastAsia="Arial" w:hAnsi="Arial"/>
          <w:sz w:val="16"/>
          <w:szCs w:val="16"/>
          <w:color w:val="auto"/>
        </w:rPr>
        <w:t>In 2021, we granted our NEOs a mix of RSUs and PSUs (including separate awards of PSUs with a 3-year cumulative performance period (“3-Year PSUs”) and PSUs with a 5-year cumulative performance period (“5-Year PSUs”)), the mix of which varies based on the executive’s position. Consistent with our recent practice, each of our CEO and President &amp; COO received 100% of his equity incentive compensation in 2021 in the form of PSUs. In addition, for 2021, the Compensation Committee increased the proportion of our President &amp; COO’s 5-Year PSUs from 50% to 60% of his overall equity incentive compensation (with the remaining 40% granted in the form of 3-Year PSUs), commensurate with our CEO.</w:t>
      </w:r>
    </w:p>
    <w:p>
      <w:pPr>
        <w:spacing w:after="0" w:line="205"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In 2022, the Compensation Committee enhanced our LTIP by introducing a new award vehicle into the program: financial-based performance stock options (“PSOs”) that cover a cumulative three-year performance period and replace the grant of 5-Year PSUs.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2022 LTIP comprises a mix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137160</wp:posOffset>
            </wp:positionV>
            <wp:extent cx="7133590" cy="7054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3590" cy="70548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p>
      <w:pPr>
        <w:spacing w:after="0" w:line="36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2022</w:t>
      </w:r>
    </w:p>
    <w:p>
      <w:pPr>
        <w:spacing w:after="0" w:line="29"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FFFFFF"/>
        </w:rPr>
        <w:t>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335915</wp:posOffset>
            </wp:positionV>
            <wp:extent cx="714375" cy="7569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375" cy="756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2022</w:t>
      </w:r>
    </w:p>
    <w:p>
      <w:pPr>
        <w:spacing w:after="0" w:line="2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379730</wp:posOffset>
            </wp:positionV>
            <wp:extent cx="714375" cy="5778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375" cy="577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2022</w:t>
      </w:r>
    </w:p>
    <w:p>
      <w:pPr>
        <w:spacing w:after="0" w:line="29"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FFFFFF"/>
        </w:rPr>
        <w:t>PSOs</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Annual grant of RSUs to our NEOs (other than our CEO and President &amp; COO) that cliff-vest at the end of a three-year service period. This reflects a change from ratable vesting over three years for RSUs granted prior to 2022.</w:t>
      </w:r>
    </w:p>
    <w:p>
      <w:pPr>
        <w:spacing w:after="0" w:line="76" w:lineRule="exact"/>
        <w:rPr>
          <w:sz w:val="20"/>
          <w:szCs w:val="20"/>
          <w:color w:val="auto"/>
        </w:rPr>
      </w:pPr>
    </w:p>
    <w:p>
      <w:pPr>
        <w:ind w:left="360" w:right="40" w:hanging="180"/>
        <w:spacing w:after="0" w:line="274" w:lineRule="auto"/>
        <w:tabs>
          <w:tab w:leader="none" w:pos="359" w:val="left"/>
        </w:tabs>
        <w:numPr>
          <w:ilvl w:val="0"/>
          <w:numId w:val="39"/>
        </w:numPr>
        <w:rPr>
          <w:rFonts w:ascii="Arial" w:cs="Arial" w:eastAsia="Arial" w:hAnsi="Arial"/>
          <w:sz w:val="16"/>
          <w:szCs w:val="16"/>
          <w:color w:val="16479F"/>
        </w:rPr>
      </w:pPr>
      <w:r>
        <w:rPr>
          <w:rFonts w:ascii="Arial" w:cs="Arial" w:eastAsia="Arial" w:hAnsi="Arial"/>
          <w:sz w:val="16"/>
          <w:szCs w:val="16"/>
          <w:color w:val="auto"/>
        </w:rPr>
        <w:t>Our CEO and President &amp; COO were not granted any RSUs in 2021 or 2022, and instead all of their LTIP awards for such years were granted in the form of PSUs and PSOs tied to performance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29845</wp:posOffset>
            </wp:positionV>
            <wp:extent cx="6419215" cy="596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419215" cy="596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Annual grant of PSUs which cover a cumulative three-year performance period.</w:t>
      </w:r>
    </w:p>
    <w:p>
      <w:pPr>
        <w:spacing w:after="0" w:line="97" w:lineRule="exact"/>
        <w:rPr>
          <w:sz w:val="20"/>
          <w:szCs w:val="20"/>
          <w:color w:val="auto"/>
        </w:rPr>
      </w:pPr>
    </w:p>
    <w:p>
      <w:pPr>
        <w:ind w:right="120"/>
        <w:spacing w:after="0" w:line="274" w:lineRule="auto"/>
        <w:rPr>
          <w:sz w:val="20"/>
          <w:szCs w:val="20"/>
          <w:color w:val="auto"/>
        </w:rPr>
      </w:pPr>
      <w:r>
        <w:rPr>
          <w:rFonts w:ascii="Arial" w:cs="Arial" w:eastAsia="Arial" w:hAnsi="Arial"/>
          <w:sz w:val="16"/>
          <w:szCs w:val="16"/>
          <w:color w:val="auto"/>
        </w:rPr>
        <w:t>The 3-Year PSUs are eligible to vest between 0% and 300% based on the achievement of an absolute total shareholder return compound annual growth rate (“TSR CAGR”) performance metric.</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The 3-Year PSUs include a one-year post-vest mandatory holding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52070</wp:posOffset>
            </wp:positionV>
            <wp:extent cx="6419215" cy="596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419215" cy="59690"/>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Annual grant of PSOs which cover a cumulative three-year performance period.</w:t>
      </w:r>
    </w:p>
    <w:p>
      <w:pPr>
        <w:spacing w:after="0" w:line="97"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PSOs are eligible to vest between 0% and 200% based on the combined level of achievement of (i) a cumulative revenue performance goal and (ii) a cumulative adjusted EPS performance goal (each weighted at 50%).</w:t>
      </w:r>
    </w:p>
    <w:p>
      <w:pPr>
        <w:spacing w:after="0" w:line="200" w:lineRule="exact"/>
        <w:rPr>
          <w:sz w:val="20"/>
          <w:szCs w:val="20"/>
          <w:color w:val="auto"/>
        </w:rPr>
      </w:pPr>
    </w:p>
    <w:p>
      <w:pPr>
        <w:sectPr>
          <w:pgSz w:w="11900" w:h="16838" w:orient="portrait"/>
          <w:cols w:equalWidth="0" w:num="2">
            <w:col w:w="580" w:space="680"/>
            <w:col w:w="9880"/>
          </w:cols>
          <w:pgMar w:left="320" w:top="121" w:right="439" w:bottom="1440" w:gutter="0" w:footer="0" w:header="0"/>
          <w:type w:val="continuous"/>
        </w:sectPr>
      </w:pP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For additional information about the LTIP, please see the discussion beginning on page 79 of this Proxy Statement.</w:t>
      </w:r>
    </w:p>
    <w:p>
      <w:pPr>
        <w:spacing w:after="0" w:line="180"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Increased Stock Ownership and Retention Requirements</w:t>
      </w:r>
    </w:p>
    <w:p>
      <w:pPr>
        <w:spacing w:after="0" w:line="249"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In 2022, in order to further enhance an “owner-operator” mindset among senior executives, our Compensation Committee amended our existing share ownership and retention guidelines to require that all members of our Executive Committee, including our NEOs, must hold shares equivalent, in the aggregate, to 25% of the “net shares” they receive (i.e., after payment of taxes, exercise price and related costs) from equity awards granted to them after January 1, 2022. The Compensation Committee also approved revisions to the minimum ownership guidelines to increase the thresholds applicable to members of our Executive Committee, including our NEOs, to among the highest in our peer group (including 12x base salary for our CEO and President &amp; COO). For additional information about our Share Ownership and Retention Guidelines applicable to our NEOs, please see page 83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60325</wp:posOffset>
            </wp:positionV>
            <wp:extent cx="715454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type w:val="continuous"/>
        </w:sectPr>
      </w:pPr>
    </w:p>
    <w:bookmarkStart w:id="19" w:name="page20"/>
    <w:bookmarkEnd w:id="19"/>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00" w:type="dxa"/>
            <w:vAlign w:val="bottom"/>
            <w:tcBorders>
              <w:right w:val="single" w:sz="8" w:color="16479F"/>
            </w:tcBorders>
          </w:tcPr>
          <w:p>
            <w:pPr>
              <w:ind w:left="8740"/>
              <w:spacing w:after="0"/>
              <w:rPr>
                <w:sz w:val="20"/>
                <w:szCs w:val="20"/>
                <w:color w:val="auto"/>
              </w:rPr>
            </w:pPr>
            <w:r>
              <w:rPr>
                <w:rFonts w:ascii="Arial" w:cs="Arial" w:eastAsia="Arial" w:hAnsi="Arial"/>
                <w:sz w:val="14"/>
                <w:szCs w:val="14"/>
                <w:b w:val="1"/>
                <w:bCs w:val="1"/>
                <w:color w:val="16479F"/>
              </w:rPr>
              <w:t>2022 PROXY STATEMENT</w:t>
            </w:r>
          </w:p>
        </w:tc>
        <w:tc>
          <w:tcPr>
            <w:tcW w:w="640" w:type="dxa"/>
            <w:vAlign w:val="bottom"/>
          </w:tcPr>
          <w:p>
            <w:pPr>
              <w:jc w:val="right"/>
              <w:ind w:right="9"/>
              <w:spacing w:after="0"/>
              <w:rPr>
                <w:sz w:val="20"/>
                <w:szCs w:val="20"/>
                <w:color w:val="auto"/>
              </w:rPr>
            </w:pPr>
            <w:r>
              <w:rPr>
                <w:rFonts w:ascii="Arial" w:cs="Arial" w:eastAsia="Arial" w:hAnsi="Arial"/>
                <w:sz w:val="14"/>
                <w:szCs w:val="14"/>
                <w:b w:val="1"/>
                <w:bCs w:val="1"/>
                <w:color w:val="16479F"/>
              </w:rPr>
              <w:t>19</w:t>
            </w:r>
          </w:p>
        </w:tc>
      </w:tr>
      <w:tr>
        <w:trPr>
          <w:trHeight w:val="65"/>
        </w:trPr>
        <w:tc>
          <w:tcPr>
            <w:tcW w:w="10600" w:type="dxa"/>
            <w:vAlign w:val="bottom"/>
            <w:tcBorders>
              <w:bottom w:val="single" w:sz="8" w:color="16479F"/>
              <w:right w:val="single" w:sz="8" w:color="16479F"/>
            </w:tcBorders>
          </w:tcPr>
          <w:p>
            <w:pPr>
              <w:spacing w:after="0"/>
              <w:rPr>
                <w:sz w:val="5"/>
                <w:szCs w:val="5"/>
                <w:color w:val="auto"/>
              </w:rPr>
            </w:pPr>
          </w:p>
        </w:tc>
        <w:tc>
          <w:tcPr>
            <w:tcW w:w="640" w:type="dxa"/>
            <w:vAlign w:val="bottom"/>
            <w:tcBorders>
              <w:bottom w:val="single" w:sz="8" w:color="16479F"/>
            </w:tcBorders>
          </w:tcPr>
          <w:p>
            <w:pPr>
              <w:spacing w:after="0"/>
              <w:rPr>
                <w:sz w:val="5"/>
                <w:szCs w:val="5"/>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32"/>
          <w:szCs w:val="32"/>
          <w:b w:val="1"/>
          <w:bCs w:val="1"/>
          <w:color w:val="16479F"/>
        </w:rPr>
        <w:t>Executive Compensation Highlights</w:t>
      </w:r>
    </w:p>
    <w:p>
      <w:pPr>
        <w:spacing w:after="0" w:line="259"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Over the past several years, we have continued to enhance our executive compensation program to align with shareholder interests more closely and to further incentivize our executives to focus on the long-term execution of our strategic priorities to create shareholder value. The table below highlights certain key elements of, and enhancements to, our executive compensation program over the past several years.</w:t>
      </w:r>
    </w:p>
    <w:p>
      <w:pPr>
        <w:spacing w:after="0" w:line="167" w:lineRule="exact"/>
        <w:rPr>
          <w:sz w:val="20"/>
          <w:szCs w:val="20"/>
          <w:color w:val="auto"/>
        </w:rPr>
      </w:pPr>
    </w:p>
    <w:p>
      <w:pPr>
        <w:spacing w:after="0"/>
        <w:tabs>
          <w:tab w:leader="none" w:pos="3700" w:val="left"/>
          <w:tab w:leader="none" w:pos="7400" w:val="left"/>
        </w:tabs>
        <w:rPr>
          <w:sz w:val="20"/>
          <w:szCs w:val="20"/>
          <w:color w:val="auto"/>
        </w:rPr>
      </w:pPr>
      <w:r>
        <w:rPr>
          <w:rFonts w:ascii="Arial" w:cs="Arial" w:eastAsia="Arial" w:hAnsi="Arial"/>
          <w:sz w:val="21"/>
          <w:szCs w:val="21"/>
          <w:b w:val="1"/>
          <w:bCs w:val="1"/>
          <w:color w:val="16479F"/>
        </w:rPr>
        <w:t>2020</w:t>
      </w:r>
      <w:r>
        <w:rPr>
          <w:sz w:val="20"/>
          <w:szCs w:val="20"/>
          <w:color w:val="auto"/>
        </w:rPr>
        <w:tab/>
      </w:r>
      <w:r>
        <w:rPr>
          <w:rFonts w:ascii="Arial" w:cs="Arial" w:eastAsia="Arial" w:hAnsi="Arial"/>
          <w:sz w:val="21"/>
          <w:szCs w:val="21"/>
          <w:b w:val="1"/>
          <w:bCs w:val="1"/>
          <w:color w:val="16479F"/>
        </w:rPr>
        <w:t>2021</w:t>
      </w:r>
      <w:r>
        <w:rPr>
          <w:sz w:val="20"/>
          <w:szCs w:val="20"/>
          <w:color w:val="auto"/>
        </w:rPr>
        <w:tab/>
      </w:r>
      <w:r>
        <w:rPr>
          <w:rFonts w:ascii="Arial" w:cs="Arial" w:eastAsia="Arial" w:hAnsi="Arial"/>
          <w:sz w:val="21"/>
          <w:szCs w:val="21"/>
          <w:b w:val="1"/>
          <w:bCs w:val="1"/>
          <w:color w:val="16479F"/>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3590" cy="2381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3590" cy="23812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62" w:lineRule="exact"/>
        <w:rPr>
          <w:sz w:val="20"/>
          <w:szCs w:val="20"/>
          <w:color w:val="auto"/>
        </w:rPr>
      </w:pPr>
    </w:p>
    <w:p>
      <w:pPr>
        <w:ind w:left="200" w:right="240" w:hanging="193"/>
        <w:spacing w:after="0" w:line="248" w:lineRule="auto"/>
        <w:tabs>
          <w:tab w:leader="none" w:pos="199" w:val="left"/>
        </w:tabs>
        <w:numPr>
          <w:ilvl w:val="0"/>
          <w:numId w:val="40"/>
        </w:numPr>
        <w:rPr>
          <w:rFonts w:ascii="Arial" w:cs="Arial" w:eastAsia="Arial" w:hAnsi="Arial"/>
          <w:sz w:val="16"/>
          <w:szCs w:val="16"/>
          <w:color w:val="16479F"/>
        </w:rPr>
      </w:pPr>
      <w:r>
        <w:rPr>
          <w:rFonts w:ascii="Arial" w:cs="Arial" w:eastAsia="Arial" w:hAnsi="Arial"/>
          <w:sz w:val="16"/>
          <w:szCs w:val="16"/>
          <w:color w:val="auto"/>
        </w:rPr>
        <w:t>No changes made to 2020 Operating Plan or annual cash incentive targets for 2020 under AIP in response to challenging operating environment</w:t>
      </w:r>
    </w:p>
    <w:p>
      <w:pPr>
        <w:spacing w:after="0" w:line="83" w:lineRule="exact"/>
        <w:rPr>
          <w:rFonts w:ascii="Arial" w:cs="Arial" w:eastAsia="Arial" w:hAnsi="Arial"/>
          <w:sz w:val="16"/>
          <w:szCs w:val="16"/>
          <w:color w:val="16479F"/>
        </w:rPr>
      </w:pPr>
    </w:p>
    <w:p>
      <w:pPr>
        <w:ind w:left="180" w:right="280" w:hanging="173"/>
        <w:spacing w:after="0" w:line="248" w:lineRule="auto"/>
        <w:tabs>
          <w:tab w:leader="none" w:pos="188" w:val="left"/>
        </w:tabs>
        <w:numPr>
          <w:ilvl w:val="0"/>
          <w:numId w:val="40"/>
        </w:numPr>
        <w:rPr>
          <w:rFonts w:ascii="Arial" w:cs="Arial" w:eastAsia="Arial" w:hAnsi="Arial"/>
          <w:sz w:val="16"/>
          <w:szCs w:val="16"/>
          <w:color w:val="16479F"/>
        </w:rPr>
      </w:pPr>
      <w:r>
        <w:rPr>
          <w:rFonts w:ascii="Arial" w:cs="Arial" w:eastAsia="Arial" w:hAnsi="Arial"/>
          <w:sz w:val="16"/>
          <w:szCs w:val="16"/>
          <w:color w:val="auto"/>
        </w:rPr>
        <w:t>97.8% of the votes cast on the Say-on-Pay Advisory Vote at the 2020 annual meeting of shareholders were in support of the compensation of our NEOs</w:t>
      </w:r>
    </w:p>
    <w:p>
      <w:pPr>
        <w:spacing w:after="0" w:line="69" w:lineRule="exact"/>
        <w:rPr>
          <w:rFonts w:ascii="Arial" w:cs="Arial" w:eastAsia="Arial" w:hAnsi="Arial"/>
          <w:sz w:val="16"/>
          <w:szCs w:val="16"/>
          <w:color w:val="16479F"/>
        </w:rPr>
      </w:pPr>
    </w:p>
    <w:p>
      <w:pPr>
        <w:ind w:left="180" w:right="140" w:hanging="173"/>
        <w:spacing w:after="0" w:line="256" w:lineRule="auto"/>
        <w:tabs>
          <w:tab w:leader="none" w:pos="188" w:val="left"/>
        </w:tabs>
        <w:numPr>
          <w:ilvl w:val="0"/>
          <w:numId w:val="40"/>
        </w:numPr>
        <w:rPr>
          <w:rFonts w:ascii="Arial" w:cs="Arial" w:eastAsia="Arial" w:hAnsi="Arial"/>
          <w:sz w:val="16"/>
          <w:szCs w:val="16"/>
          <w:color w:val="16479F"/>
        </w:rPr>
      </w:pPr>
      <w:r>
        <w:rPr>
          <w:rFonts w:ascii="Arial" w:cs="Arial" w:eastAsia="Arial" w:hAnsi="Arial"/>
          <w:sz w:val="16"/>
          <w:szCs w:val="16"/>
          <w:color w:val="auto"/>
        </w:rPr>
        <w:t>No increase to CEO base salary or total target cash incentive award for 2020</w:t>
      </w:r>
    </w:p>
    <w:p>
      <w:pPr>
        <w:spacing w:after="0" w:line="76" w:lineRule="exact"/>
        <w:rPr>
          <w:rFonts w:ascii="Arial" w:cs="Arial" w:eastAsia="Arial" w:hAnsi="Arial"/>
          <w:sz w:val="16"/>
          <w:szCs w:val="16"/>
          <w:color w:val="16479F"/>
        </w:rPr>
      </w:pPr>
    </w:p>
    <w:p>
      <w:pPr>
        <w:ind w:left="180" w:right="40" w:hanging="173"/>
        <w:spacing w:after="0" w:line="248" w:lineRule="auto"/>
        <w:tabs>
          <w:tab w:leader="none" w:pos="188" w:val="left"/>
        </w:tabs>
        <w:numPr>
          <w:ilvl w:val="0"/>
          <w:numId w:val="40"/>
        </w:numPr>
        <w:rPr>
          <w:rFonts w:ascii="Arial" w:cs="Arial" w:eastAsia="Arial" w:hAnsi="Arial"/>
          <w:sz w:val="16"/>
          <w:szCs w:val="16"/>
          <w:color w:val="16479F"/>
        </w:rPr>
      </w:pPr>
      <w:r>
        <w:rPr>
          <w:rFonts w:ascii="Arial" w:cs="Arial" w:eastAsia="Arial" w:hAnsi="Arial"/>
          <w:sz w:val="16"/>
          <w:szCs w:val="16"/>
          <w:color w:val="auto"/>
        </w:rPr>
        <w:t>CEO received all of his LTIP awards in the form of PSUs, and increased proportion of his 5-Year PSUs from 50% to 60% of total CEO equity compensation for 2020</w:t>
      </w:r>
    </w:p>
    <w:p>
      <w:pPr>
        <w:spacing w:after="0" w:line="83" w:lineRule="exact"/>
        <w:rPr>
          <w:rFonts w:ascii="Arial" w:cs="Arial" w:eastAsia="Arial" w:hAnsi="Arial"/>
          <w:sz w:val="16"/>
          <w:szCs w:val="16"/>
          <w:color w:val="16479F"/>
        </w:rPr>
      </w:pPr>
    </w:p>
    <w:p>
      <w:pPr>
        <w:ind w:left="180" w:hanging="173"/>
        <w:spacing w:after="0" w:line="256" w:lineRule="auto"/>
        <w:tabs>
          <w:tab w:leader="none" w:pos="188" w:val="left"/>
        </w:tabs>
        <w:numPr>
          <w:ilvl w:val="0"/>
          <w:numId w:val="40"/>
        </w:numPr>
        <w:rPr>
          <w:rFonts w:ascii="Arial" w:cs="Arial" w:eastAsia="Arial" w:hAnsi="Arial"/>
          <w:sz w:val="16"/>
          <w:szCs w:val="16"/>
          <w:color w:val="16479F"/>
        </w:rPr>
      </w:pPr>
      <w:r>
        <w:rPr>
          <w:rFonts w:ascii="Arial" w:cs="Arial" w:eastAsia="Arial" w:hAnsi="Arial"/>
          <w:sz w:val="16"/>
          <w:szCs w:val="16"/>
          <w:color w:val="auto"/>
        </w:rPr>
        <w:t>President &amp; COO began receiving all of his LTIP awards in the form of PSUs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ind w:left="184" w:right="80" w:hanging="184"/>
        <w:spacing w:after="0" w:line="256" w:lineRule="auto"/>
        <w:tabs>
          <w:tab w:leader="none" w:pos="192" w:val="left"/>
        </w:tabs>
        <w:numPr>
          <w:ilvl w:val="0"/>
          <w:numId w:val="41"/>
        </w:numPr>
        <w:rPr>
          <w:rFonts w:ascii="Arial" w:cs="Arial" w:eastAsia="Arial" w:hAnsi="Arial"/>
          <w:sz w:val="16"/>
          <w:szCs w:val="16"/>
          <w:color w:val="16479F"/>
        </w:rPr>
      </w:pPr>
      <w:r>
        <w:rPr>
          <w:rFonts w:ascii="Arial" w:cs="Arial" w:eastAsia="Arial" w:hAnsi="Arial"/>
          <w:sz w:val="16"/>
          <w:szCs w:val="16"/>
          <w:color w:val="auto"/>
        </w:rPr>
        <w:t>CEO and President &amp; COO received all of their LTIP awards in the form of PSUs</w:t>
      </w:r>
    </w:p>
    <w:p>
      <w:pPr>
        <w:spacing w:after="0" w:line="76" w:lineRule="exact"/>
        <w:rPr>
          <w:rFonts w:ascii="Arial" w:cs="Arial" w:eastAsia="Arial" w:hAnsi="Arial"/>
          <w:sz w:val="16"/>
          <w:szCs w:val="16"/>
          <w:color w:val="16479F"/>
        </w:rPr>
      </w:pPr>
    </w:p>
    <w:p>
      <w:pPr>
        <w:ind w:left="184" w:right="260" w:hanging="184"/>
        <w:spacing w:after="0" w:line="256" w:lineRule="auto"/>
        <w:tabs>
          <w:tab w:leader="none" w:pos="192" w:val="left"/>
        </w:tabs>
        <w:numPr>
          <w:ilvl w:val="0"/>
          <w:numId w:val="41"/>
        </w:numPr>
        <w:rPr>
          <w:rFonts w:ascii="Arial" w:cs="Arial" w:eastAsia="Arial" w:hAnsi="Arial"/>
          <w:sz w:val="16"/>
          <w:szCs w:val="16"/>
          <w:color w:val="16479F"/>
        </w:rPr>
      </w:pPr>
      <w:r>
        <w:rPr>
          <w:rFonts w:ascii="Arial" w:cs="Arial" w:eastAsia="Arial" w:hAnsi="Arial"/>
          <w:sz w:val="16"/>
          <w:szCs w:val="16"/>
          <w:color w:val="auto"/>
        </w:rPr>
        <w:t>Added a 1-year post-vest mandatory holding period to 3-Year PSU awards</w:t>
      </w:r>
    </w:p>
    <w:p>
      <w:pPr>
        <w:spacing w:after="0" w:line="62" w:lineRule="exact"/>
        <w:rPr>
          <w:rFonts w:ascii="Arial" w:cs="Arial" w:eastAsia="Arial" w:hAnsi="Arial"/>
          <w:sz w:val="16"/>
          <w:szCs w:val="16"/>
          <w:color w:val="16479F"/>
        </w:rPr>
      </w:pPr>
    </w:p>
    <w:p>
      <w:pPr>
        <w:ind w:left="184" w:right="280" w:hanging="184"/>
        <w:spacing w:after="0" w:line="248" w:lineRule="auto"/>
        <w:tabs>
          <w:tab w:leader="none" w:pos="192" w:val="left"/>
        </w:tabs>
        <w:numPr>
          <w:ilvl w:val="0"/>
          <w:numId w:val="41"/>
        </w:numPr>
        <w:rPr>
          <w:rFonts w:ascii="Arial" w:cs="Arial" w:eastAsia="Arial" w:hAnsi="Arial"/>
          <w:sz w:val="16"/>
          <w:szCs w:val="16"/>
          <w:color w:val="16479F"/>
        </w:rPr>
      </w:pPr>
      <w:r>
        <w:rPr>
          <w:rFonts w:ascii="Arial" w:cs="Arial" w:eastAsia="Arial" w:hAnsi="Arial"/>
          <w:sz w:val="16"/>
          <w:szCs w:val="16"/>
          <w:color w:val="auto"/>
        </w:rPr>
        <w:t>96.8% of the votes cast on the Say-on-Pay Advisory Vote at the 2021 annual meeting of shareholders were in support of the compensation of our NEOs</w:t>
      </w:r>
    </w:p>
    <w:p>
      <w:pPr>
        <w:spacing w:after="0" w:line="83" w:lineRule="exact"/>
        <w:rPr>
          <w:rFonts w:ascii="Arial" w:cs="Arial" w:eastAsia="Arial" w:hAnsi="Arial"/>
          <w:sz w:val="16"/>
          <w:szCs w:val="16"/>
          <w:color w:val="16479F"/>
        </w:rPr>
      </w:pPr>
    </w:p>
    <w:p>
      <w:pPr>
        <w:ind w:left="184" w:hanging="184"/>
        <w:spacing w:after="0" w:line="250" w:lineRule="auto"/>
        <w:tabs>
          <w:tab w:leader="none" w:pos="192" w:val="left"/>
        </w:tabs>
        <w:numPr>
          <w:ilvl w:val="0"/>
          <w:numId w:val="41"/>
        </w:numPr>
        <w:rPr>
          <w:rFonts w:ascii="Arial" w:cs="Arial" w:eastAsia="Arial" w:hAnsi="Arial"/>
          <w:sz w:val="16"/>
          <w:szCs w:val="16"/>
          <w:color w:val="16479F"/>
        </w:rPr>
      </w:pPr>
      <w:r>
        <w:rPr>
          <w:rFonts w:ascii="Arial" w:cs="Arial" w:eastAsia="Arial" w:hAnsi="Arial"/>
          <w:sz w:val="16"/>
          <w:szCs w:val="16"/>
          <w:color w:val="auto"/>
        </w:rPr>
        <w:t>No increase to CEO and President &amp; COO base salaries, total target cash incentive awards or target LTIP awards for 2021</w:t>
      </w:r>
    </w:p>
    <w:p>
      <w:pPr>
        <w:spacing w:after="0" w:line="81" w:lineRule="exact"/>
        <w:rPr>
          <w:rFonts w:ascii="Arial" w:cs="Arial" w:eastAsia="Arial" w:hAnsi="Arial"/>
          <w:sz w:val="16"/>
          <w:szCs w:val="16"/>
          <w:color w:val="16479F"/>
        </w:rPr>
      </w:pPr>
    </w:p>
    <w:p>
      <w:pPr>
        <w:ind w:left="184" w:right="200" w:hanging="184"/>
        <w:spacing w:after="0" w:line="250" w:lineRule="auto"/>
        <w:tabs>
          <w:tab w:leader="none" w:pos="192" w:val="left"/>
        </w:tabs>
        <w:numPr>
          <w:ilvl w:val="0"/>
          <w:numId w:val="41"/>
        </w:numPr>
        <w:rPr>
          <w:rFonts w:ascii="Arial" w:cs="Arial" w:eastAsia="Arial" w:hAnsi="Arial"/>
          <w:sz w:val="16"/>
          <w:szCs w:val="16"/>
          <w:color w:val="16479F"/>
        </w:rPr>
      </w:pPr>
      <w:r>
        <w:rPr>
          <w:rFonts w:ascii="Arial" w:cs="Arial" w:eastAsia="Arial" w:hAnsi="Arial"/>
          <w:sz w:val="16"/>
          <w:szCs w:val="16"/>
          <w:color w:val="auto"/>
        </w:rPr>
        <w:t>President &amp; COO increased proportion of 5-Year PSUs from 50% to 60% (commensurate with CEO)</w:t>
      </w:r>
    </w:p>
    <w:p>
      <w:pPr>
        <w:spacing w:after="0" w:line="67" w:lineRule="exact"/>
        <w:rPr>
          <w:rFonts w:ascii="Arial" w:cs="Arial" w:eastAsia="Arial" w:hAnsi="Arial"/>
          <w:sz w:val="16"/>
          <w:szCs w:val="16"/>
          <w:color w:val="16479F"/>
        </w:rPr>
      </w:pPr>
    </w:p>
    <w:p>
      <w:pPr>
        <w:jc w:val="both"/>
        <w:ind w:left="184" w:right="80" w:hanging="184"/>
        <w:spacing w:after="0" w:line="250" w:lineRule="auto"/>
        <w:tabs>
          <w:tab w:leader="none" w:pos="192" w:val="left"/>
        </w:tabs>
        <w:numPr>
          <w:ilvl w:val="0"/>
          <w:numId w:val="41"/>
        </w:numPr>
        <w:rPr>
          <w:rFonts w:ascii="Arial" w:cs="Arial" w:eastAsia="Arial" w:hAnsi="Arial"/>
          <w:sz w:val="16"/>
          <w:szCs w:val="16"/>
          <w:color w:val="16479F"/>
        </w:rPr>
      </w:pPr>
      <w:r>
        <w:rPr>
          <w:rFonts w:ascii="Arial" w:cs="Arial" w:eastAsia="Arial" w:hAnsi="Arial"/>
          <w:sz w:val="16"/>
          <w:szCs w:val="16"/>
          <w:color w:val="auto"/>
        </w:rPr>
        <w:t>Linked 10% of the target AIP cash incentive for all Managing Directors globally to achievement of DE&amp;I Goals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ind w:left="195" w:hanging="195"/>
        <w:spacing w:after="0"/>
        <w:tabs>
          <w:tab w:leader="none" w:pos="195" w:val="left"/>
        </w:tabs>
        <w:numPr>
          <w:ilvl w:val="0"/>
          <w:numId w:val="42"/>
        </w:numPr>
        <w:rPr>
          <w:rFonts w:ascii="Arial" w:cs="Arial" w:eastAsia="Arial" w:hAnsi="Arial"/>
          <w:sz w:val="16"/>
          <w:szCs w:val="16"/>
          <w:color w:val="16479F"/>
        </w:rPr>
      </w:pPr>
      <w:r>
        <w:rPr>
          <w:rFonts w:ascii="Arial" w:cs="Arial" w:eastAsia="Arial" w:hAnsi="Arial"/>
          <w:sz w:val="16"/>
          <w:szCs w:val="16"/>
          <w:color w:val="auto"/>
        </w:rPr>
        <w:t>Introduced PSOs as new equity vehicle</w:t>
      </w:r>
    </w:p>
    <w:p>
      <w:pPr>
        <w:spacing w:after="0" w:line="97" w:lineRule="exact"/>
        <w:rPr>
          <w:rFonts w:ascii="Arial" w:cs="Arial" w:eastAsia="Arial" w:hAnsi="Arial"/>
          <w:sz w:val="16"/>
          <w:szCs w:val="16"/>
          <w:color w:val="16479F"/>
        </w:rPr>
      </w:pPr>
    </w:p>
    <w:p>
      <w:pPr>
        <w:ind w:left="175" w:right="280" w:hanging="175"/>
        <w:spacing w:after="0" w:line="250" w:lineRule="auto"/>
        <w:tabs>
          <w:tab w:leader="none" w:pos="183" w:val="left"/>
        </w:tabs>
        <w:numPr>
          <w:ilvl w:val="0"/>
          <w:numId w:val="42"/>
        </w:numPr>
        <w:rPr>
          <w:rFonts w:ascii="Arial" w:cs="Arial" w:eastAsia="Arial" w:hAnsi="Arial"/>
          <w:sz w:val="16"/>
          <w:szCs w:val="16"/>
          <w:color w:val="16479F"/>
        </w:rPr>
      </w:pPr>
      <w:r>
        <w:rPr>
          <w:rFonts w:ascii="Arial" w:cs="Arial" w:eastAsia="Arial" w:hAnsi="Arial"/>
          <w:sz w:val="16"/>
          <w:szCs w:val="16"/>
          <w:color w:val="auto"/>
        </w:rPr>
        <w:t>CEO and President &amp; COO received all of their LTIP awards in the form of 3-Year PSUs and PSOs, tied to performance metrics</w:t>
      </w:r>
    </w:p>
    <w:p>
      <w:pPr>
        <w:spacing w:after="0" w:line="67" w:lineRule="exact"/>
        <w:rPr>
          <w:rFonts w:ascii="Arial" w:cs="Arial" w:eastAsia="Arial" w:hAnsi="Arial"/>
          <w:sz w:val="16"/>
          <w:szCs w:val="16"/>
          <w:color w:val="16479F"/>
        </w:rPr>
      </w:pPr>
    </w:p>
    <w:p>
      <w:pPr>
        <w:ind w:left="175" w:right="60" w:hanging="175"/>
        <w:spacing w:after="0" w:line="256" w:lineRule="auto"/>
        <w:tabs>
          <w:tab w:leader="none" w:pos="183" w:val="left"/>
        </w:tabs>
        <w:numPr>
          <w:ilvl w:val="0"/>
          <w:numId w:val="42"/>
        </w:numPr>
        <w:rPr>
          <w:rFonts w:ascii="Arial" w:cs="Arial" w:eastAsia="Arial" w:hAnsi="Arial"/>
          <w:sz w:val="16"/>
          <w:szCs w:val="16"/>
          <w:color w:val="16479F"/>
        </w:rPr>
      </w:pPr>
      <w:r>
        <w:rPr>
          <w:rFonts w:ascii="Arial" w:cs="Arial" w:eastAsia="Arial" w:hAnsi="Arial"/>
          <w:sz w:val="16"/>
          <w:szCs w:val="16"/>
          <w:color w:val="auto"/>
        </w:rPr>
        <w:t>Annual grant of RSUs for other NEOs will cliff-vest at the end of a three-year service period</w:t>
      </w:r>
    </w:p>
    <w:p>
      <w:pPr>
        <w:spacing w:after="0" w:line="76" w:lineRule="exact"/>
        <w:rPr>
          <w:rFonts w:ascii="Arial" w:cs="Arial" w:eastAsia="Arial" w:hAnsi="Arial"/>
          <w:sz w:val="16"/>
          <w:szCs w:val="16"/>
          <w:color w:val="16479F"/>
        </w:rPr>
      </w:pPr>
    </w:p>
    <w:p>
      <w:pPr>
        <w:ind w:left="175" w:right="420" w:hanging="175"/>
        <w:spacing w:after="0" w:line="256" w:lineRule="auto"/>
        <w:tabs>
          <w:tab w:leader="none" w:pos="183" w:val="left"/>
        </w:tabs>
        <w:numPr>
          <w:ilvl w:val="0"/>
          <w:numId w:val="42"/>
        </w:numPr>
        <w:rPr>
          <w:rFonts w:ascii="Arial" w:cs="Arial" w:eastAsia="Arial" w:hAnsi="Arial"/>
          <w:sz w:val="16"/>
          <w:szCs w:val="16"/>
          <w:color w:val="16479F"/>
        </w:rPr>
      </w:pPr>
      <w:r>
        <w:rPr>
          <w:rFonts w:ascii="Arial" w:cs="Arial" w:eastAsia="Arial" w:hAnsi="Arial"/>
          <w:sz w:val="16"/>
          <w:szCs w:val="16"/>
          <w:color w:val="auto"/>
        </w:rPr>
        <w:t>Retained 1-year post-vest mandatory holding period on 3-Year PSU awards</w:t>
      </w:r>
    </w:p>
    <w:p>
      <w:pPr>
        <w:spacing w:after="0" w:line="76" w:lineRule="exact"/>
        <w:rPr>
          <w:rFonts w:ascii="Arial" w:cs="Arial" w:eastAsia="Arial" w:hAnsi="Arial"/>
          <w:sz w:val="16"/>
          <w:szCs w:val="16"/>
          <w:color w:val="16479F"/>
        </w:rPr>
      </w:pPr>
    </w:p>
    <w:p>
      <w:pPr>
        <w:ind w:left="175" w:right="20" w:hanging="175"/>
        <w:spacing w:after="0" w:line="248" w:lineRule="auto"/>
        <w:tabs>
          <w:tab w:leader="none" w:pos="183" w:val="left"/>
        </w:tabs>
        <w:numPr>
          <w:ilvl w:val="0"/>
          <w:numId w:val="42"/>
        </w:numPr>
        <w:rPr>
          <w:rFonts w:ascii="Arial" w:cs="Arial" w:eastAsia="Arial" w:hAnsi="Arial"/>
          <w:sz w:val="16"/>
          <w:szCs w:val="16"/>
          <w:color w:val="16479F"/>
        </w:rPr>
      </w:pPr>
      <w:r>
        <w:rPr>
          <w:rFonts w:ascii="Arial" w:cs="Arial" w:eastAsia="Arial" w:hAnsi="Arial"/>
          <w:sz w:val="16"/>
          <w:szCs w:val="16"/>
          <w:color w:val="auto"/>
        </w:rPr>
        <w:t>Increased minimum share ownership requirements applicable to all members of our Executive Committee, including our CEO and President &amp; COO to 12X base salary</w:t>
      </w:r>
    </w:p>
    <w:p>
      <w:pPr>
        <w:spacing w:after="0" w:line="69" w:lineRule="exact"/>
        <w:rPr>
          <w:rFonts w:ascii="Arial" w:cs="Arial" w:eastAsia="Arial" w:hAnsi="Arial"/>
          <w:sz w:val="16"/>
          <w:szCs w:val="16"/>
          <w:color w:val="16479F"/>
        </w:rPr>
      </w:pPr>
    </w:p>
    <w:p>
      <w:pPr>
        <w:ind w:left="175" w:right="60" w:hanging="175"/>
        <w:spacing w:after="0" w:line="246" w:lineRule="auto"/>
        <w:tabs>
          <w:tab w:leader="none" w:pos="183" w:val="left"/>
        </w:tabs>
        <w:numPr>
          <w:ilvl w:val="0"/>
          <w:numId w:val="42"/>
        </w:numPr>
        <w:rPr>
          <w:rFonts w:ascii="Arial" w:cs="Arial" w:eastAsia="Arial" w:hAnsi="Arial"/>
          <w:sz w:val="16"/>
          <w:szCs w:val="16"/>
          <w:color w:val="16479F"/>
        </w:rPr>
      </w:pPr>
      <w:r>
        <w:rPr>
          <w:rFonts w:ascii="Arial" w:cs="Arial" w:eastAsia="Arial" w:hAnsi="Arial"/>
          <w:sz w:val="16"/>
          <w:szCs w:val="16"/>
          <w:color w:val="auto"/>
        </w:rPr>
        <w:t>Added requirement that while members of the Executive Committee, such individuals including our NEOs, must hold shares equivalent, in the aggregate, to 25% of the “net shares” they receive from equity awards granted to them after January 1, 2022</w:t>
      </w:r>
    </w:p>
    <w:p>
      <w:pPr>
        <w:spacing w:after="0" w:line="86" w:lineRule="exact"/>
        <w:rPr>
          <w:rFonts w:ascii="Arial" w:cs="Arial" w:eastAsia="Arial" w:hAnsi="Arial"/>
          <w:sz w:val="16"/>
          <w:szCs w:val="16"/>
          <w:color w:val="16479F"/>
        </w:rPr>
      </w:pPr>
    </w:p>
    <w:p>
      <w:pPr>
        <w:jc w:val="both"/>
        <w:ind w:left="175" w:right="200" w:hanging="175"/>
        <w:spacing w:after="0" w:line="250" w:lineRule="auto"/>
        <w:tabs>
          <w:tab w:leader="none" w:pos="183" w:val="left"/>
        </w:tabs>
        <w:numPr>
          <w:ilvl w:val="0"/>
          <w:numId w:val="42"/>
        </w:numPr>
        <w:rPr>
          <w:rFonts w:ascii="Arial" w:cs="Arial" w:eastAsia="Arial" w:hAnsi="Arial"/>
          <w:sz w:val="16"/>
          <w:szCs w:val="16"/>
          <w:color w:val="16479F"/>
        </w:rPr>
      </w:pPr>
      <w:r>
        <w:rPr>
          <w:rFonts w:ascii="Arial" w:cs="Arial" w:eastAsia="Arial" w:hAnsi="Arial"/>
          <w:sz w:val="16"/>
          <w:szCs w:val="16"/>
          <w:color w:val="auto"/>
        </w:rPr>
        <w:t>No increase to CEO and President &amp; COO base salaries or total target cash incentive awards for 2022</w:t>
      </w:r>
    </w:p>
    <w:p>
      <w:pPr>
        <w:spacing w:after="0" w:line="81" w:lineRule="exact"/>
        <w:rPr>
          <w:rFonts w:ascii="Arial" w:cs="Arial" w:eastAsia="Arial" w:hAnsi="Arial"/>
          <w:sz w:val="16"/>
          <w:szCs w:val="16"/>
          <w:color w:val="16479F"/>
        </w:rPr>
      </w:pPr>
    </w:p>
    <w:p>
      <w:pPr>
        <w:ind w:left="175" w:right="220" w:hanging="175"/>
        <w:spacing w:after="0" w:line="250" w:lineRule="auto"/>
        <w:tabs>
          <w:tab w:leader="none" w:pos="183" w:val="left"/>
        </w:tabs>
        <w:numPr>
          <w:ilvl w:val="0"/>
          <w:numId w:val="42"/>
        </w:numPr>
        <w:rPr>
          <w:rFonts w:ascii="Arial" w:cs="Arial" w:eastAsia="Arial" w:hAnsi="Arial"/>
          <w:sz w:val="16"/>
          <w:szCs w:val="16"/>
          <w:color w:val="16479F"/>
        </w:rPr>
      </w:pPr>
      <w:r>
        <w:rPr>
          <w:rFonts w:ascii="Arial" w:cs="Arial" w:eastAsia="Arial" w:hAnsi="Arial"/>
          <w:sz w:val="16"/>
          <w:szCs w:val="16"/>
          <w:color w:val="auto"/>
        </w:rPr>
        <w:t>All Executive Committee members included a climate commitment goal in their 2022 individual KPIs under the AIP</w:t>
      </w:r>
    </w:p>
    <w:p>
      <w:pPr>
        <w:spacing w:after="0" w:line="177" w:lineRule="exact"/>
        <w:rPr>
          <w:sz w:val="20"/>
          <w:szCs w:val="20"/>
          <w:color w:val="auto"/>
        </w:rPr>
      </w:pPr>
    </w:p>
    <w:p>
      <w:pPr>
        <w:sectPr>
          <w:pgSz w:w="11900" w:h="16838" w:orient="portrait"/>
          <w:cols w:equalWidth="0" w:num="3">
            <w:col w:w="3620" w:space="96"/>
            <w:col w:w="3604" w:space="105"/>
            <w:col w:w="3815"/>
          </w:cols>
          <w:pgMar w:left="320" w:top="121" w:right="339" w:bottom="1440" w:gutter="0" w:footer="0" w:header="0"/>
          <w:type w:val="continuous"/>
        </w:sectPr>
      </w:pPr>
    </w:p>
    <w:p>
      <w:pPr>
        <w:spacing w:after="0"/>
        <w:rPr>
          <w:sz w:val="20"/>
          <w:szCs w:val="20"/>
          <w:color w:val="auto"/>
        </w:rPr>
      </w:pPr>
      <w:r>
        <w:rPr>
          <w:rFonts w:ascii="Arial" w:cs="Arial" w:eastAsia="Arial" w:hAnsi="Arial"/>
          <w:sz w:val="32"/>
          <w:szCs w:val="32"/>
          <w:b w:val="1"/>
          <w:bCs w:val="1"/>
          <w:color w:val="16479F"/>
        </w:rPr>
        <w:t>Response to Say-on-Pay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5650230</wp:posOffset>
            </wp:positionH>
            <wp:positionV relativeFrom="paragraph">
              <wp:posOffset>-227330</wp:posOffset>
            </wp:positionV>
            <wp:extent cx="850265" cy="8585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50265" cy="858520"/>
                    </a:xfrm>
                    <a:prstGeom prst="rect">
                      <a:avLst/>
                    </a:prstGeom>
                    <a:noFill/>
                  </pic:spPr>
                </pic:pic>
              </a:graphicData>
            </a:graphic>
          </wp:anchor>
        </w:drawing>
      </w:r>
    </w:p>
    <w:p>
      <w:pPr>
        <w:spacing w:after="0" w:line="186" w:lineRule="exact"/>
        <w:rPr>
          <w:sz w:val="20"/>
          <w:szCs w:val="20"/>
          <w:color w:val="auto"/>
        </w:rPr>
      </w:pPr>
    </w:p>
    <w:p>
      <w:pPr>
        <w:ind w:right="3580"/>
        <w:spacing w:after="0" w:line="248" w:lineRule="auto"/>
        <w:rPr>
          <w:sz w:val="20"/>
          <w:szCs w:val="20"/>
          <w:color w:val="auto"/>
        </w:rPr>
      </w:pPr>
      <w:r>
        <w:rPr>
          <w:rFonts w:ascii="Arial" w:cs="Arial" w:eastAsia="Arial" w:hAnsi="Arial"/>
          <w:sz w:val="16"/>
          <w:szCs w:val="16"/>
          <w:color w:val="auto"/>
        </w:rPr>
        <w:t>At our 2021 annual meeting of shareholders, stockholders again expressed overwhelming support for the compensation of our NEOs with approximately 96.8% of the votes cast approving our “Say on Pay” advisory proposal relating to our NEO compensation. This represents the fourth consecutive year of “Say on Pay” approval of 96% or higher.</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To read more about what our shareholders think of our Executive Compensation program, see the discussion on page 67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133590" cy="8420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3590" cy="8420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p>
      <w:pPr>
        <w:spacing w:after="0" w:line="31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16479F"/>
        </w:rPr>
        <w:t>Proposal 3</w:t>
      </w:r>
    </w:p>
    <w:p>
      <w:pPr>
        <w:spacing w:after="0" w:line="142" w:lineRule="exact"/>
        <w:rPr>
          <w:sz w:val="20"/>
          <w:szCs w:val="20"/>
          <w:color w:val="auto"/>
        </w:rPr>
      </w:pPr>
    </w:p>
    <w:p>
      <w:pPr>
        <w:ind w:left="180" w:right="440"/>
        <w:spacing w:after="0" w:line="273" w:lineRule="auto"/>
        <w:rPr>
          <w:sz w:val="20"/>
          <w:szCs w:val="20"/>
          <w:color w:val="auto"/>
        </w:rPr>
      </w:pPr>
      <w:r>
        <w:rPr>
          <w:rFonts w:ascii="Arial" w:cs="Arial" w:eastAsia="Arial" w:hAnsi="Arial"/>
          <w:sz w:val="27"/>
          <w:szCs w:val="27"/>
          <w:b w:val="1"/>
          <w:bCs w:val="1"/>
          <w:color w:val="auto"/>
        </w:rPr>
        <w:t>Ratification of the Appointment of MSCI’s Independent Auditor</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600"/>
        <w:spacing w:after="0" w:line="282" w:lineRule="auto"/>
        <w:rPr>
          <w:sz w:val="20"/>
          <w:szCs w:val="20"/>
          <w:color w:val="auto"/>
        </w:rPr>
      </w:pPr>
      <w:r>
        <w:rPr>
          <w:rFonts w:ascii="Arial" w:cs="Arial" w:eastAsia="Arial" w:hAnsi="Arial"/>
          <w:sz w:val="16"/>
          <w:szCs w:val="16"/>
          <w:b w:val="1"/>
          <w:bCs w:val="1"/>
          <w:color w:val="FFFFFF"/>
        </w:rPr>
        <w:t xml:space="preserve">The Board recommends a vote </w:t>
      </w:r>
      <w:r>
        <w:rPr>
          <w:rFonts w:ascii="Arial" w:cs="Arial" w:eastAsia="Arial" w:hAnsi="Arial"/>
          <w:sz w:val="16"/>
          <w:szCs w:val="16"/>
          <w:b w:val="1"/>
          <w:bCs w:val="1"/>
          <w:color w:val="00B5AA"/>
        </w:rPr>
        <w:t xml:space="preserve">FOR </w:t>
      </w:r>
      <w:r>
        <w:rPr>
          <w:rFonts w:ascii="Arial" w:cs="Arial" w:eastAsia="Arial" w:hAnsi="Arial"/>
          <w:sz w:val="16"/>
          <w:szCs w:val="16"/>
          <w:color w:val="FFFFFF"/>
        </w:rPr>
        <w:t>this proposal.</w:t>
      </w:r>
    </w:p>
    <w:p>
      <w:pPr>
        <w:spacing w:after="0" w:line="55" w:lineRule="exact"/>
        <w:rPr>
          <w:sz w:val="20"/>
          <w:szCs w:val="20"/>
          <w:color w:val="auto"/>
        </w:rPr>
      </w:pPr>
    </w:p>
    <w:p>
      <w:pPr>
        <w:ind w:left="220"/>
        <w:spacing w:after="0"/>
        <w:rPr>
          <w:sz w:val="20"/>
          <w:szCs w:val="20"/>
          <w:color w:val="auto"/>
        </w:rPr>
      </w:pPr>
      <w:r>
        <w:rPr>
          <w:rFonts w:ascii="Arial" w:cs="Arial" w:eastAsia="Arial" w:hAnsi="Arial"/>
          <w:sz w:val="14"/>
          <w:szCs w:val="14"/>
          <w:color w:val="FFFFFF"/>
        </w:rPr>
        <w:t xml:space="preserve">SEE </w:t>
      </w:r>
      <w:r>
        <w:rPr>
          <w:rFonts w:ascii="Arial" w:cs="Arial" w:eastAsia="Arial" w:hAnsi="Arial"/>
          <w:sz w:val="14"/>
          <w:szCs w:val="14"/>
          <w:b w:val="1"/>
          <w:bCs w:val="1"/>
          <w:color w:val="FFFFFF"/>
        </w:rPr>
        <w:t>PAGE 99</w:t>
      </w:r>
    </w:p>
    <w:p>
      <w:pPr>
        <w:spacing w:after="0" w:line="602" w:lineRule="exact"/>
        <w:rPr>
          <w:sz w:val="20"/>
          <w:szCs w:val="20"/>
          <w:color w:val="auto"/>
        </w:rPr>
      </w:pPr>
    </w:p>
    <w:p>
      <w:pPr>
        <w:sectPr>
          <w:pgSz w:w="11900" w:h="16838" w:orient="portrait"/>
          <w:cols w:equalWidth="0" w:num="2">
            <w:col w:w="7560" w:space="720"/>
            <w:col w:w="2960"/>
          </w:cols>
          <w:pgMar w:left="320" w:top="121" w:right="339" w:bottom="1440" w:gutter="0" w:footer="0" w:header="0"/>
          <w:type w:val="continuous"/>
        </w:sectPr>
      </w:pPr>
    </w:p>
    <w:p>
      <w:pPr>
        <w:spacing w:after="0" w:line="82" w:lineRule="exact"/>
        <w:rPr>
          <w:sz w:val="20"/>
          <w:szCs w:val="20"/>
          <w:color w:val="auto"/>
        </w:rPr>
      </w:pPr>
    </w:p>
    <w:p>
      <w:pPr>
        <w:jc w:val="both"/>
        <w:ind w:right="60"/>
        <w:spacing w:after="0" w:line="250" w:lineRule="auto"/>
        <w:rPr>
          <w:sz w:val="20"/>
          <w:szCs w:val="20"/>
          <w:color w:val="auto"/>
        </w:rPr>
      </w:pPr>
      <w:r>
        <w:rPr>
          <w:rFonts w:ascii="Arial" w:cs="Arial" w:eastAsia="Arial" w:hAnsi="Arial"/>
          <w:sz w:val="16"/>
          <w:szCs w:val="16"/>
          <w:color w:val="auto"/>
        </w:rPr>
        <w:t>The Audit and Risk Committee periodically reviews the engagement of the independent auditor to assess, among other things, the skills, experience, service levels and costs associated with conducting the annual audit of the Company’s financial statements. PwC has served as our independent auditor since March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56515</wp:posOffset>
            </wp:positionV>
            <wp:extent cx="715454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149860</wp:posOffset>
            </wp:positionV>
            <wp:extent cx="7133590" cy="2127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3590" cy="212725"/>
                    </a:xfrm>
                    <a:prstGeom prst="rect">
                      <a:avLst/>
                    </a:prstGeom>
                    <a:noFill/>
                  </pic:spPr>
                </pic:pic>
              </a:graphicData>
            </a:graphic>
          </wp:anchor>
        </w:drawing>
      </w:r>
    </w:p>
    <w:p>
      <w:pPr>
        <w:spacing w:after="0" w:line="283"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4"/>
          <w:szCs w:val="14"/>
          <w:b w:val="1"/>
          <w:bCs w:val="1"/>
          <w:color w:val="16479F"/>
        </w:rPr>
        <w:t>20</w:t>
      </w:r>
      <w:r>
        <w:rPr>
          <w:sz w:val="20"/>
          <w:szCs w:val="20"/>
          <w:color w:val="auto"/>
        </w:rPr>
        <w:tab/>
      </w:r>
      <w:r>
        <w:rPr>
          <w:rFonts w:ascii="Arial" w:cs="Arial" w:eastAsia="Arial" w:hAnsi="Arial"/>
          <w:sz w:val="14"/>
          <w:szCs w:val="14"/>
          <w:b w:val="1"/>
          <w:bCs w:val="1"/>
          <w:color w:val="16479F"/>
        </w:rPr>
        <w:t>MSCI</w:t>
      </w:r>
    </w:p>
    <w:p>
      <w:pPr>
        <w:spacing w:after="0" w:line="259" w:lineRule="exact"/>
        <w:rPr>
          <w:sz w:val="20"/>
          <w:szCs w:val="20"/>
          <w:color w:val="auto"/>
        </w:rPr>
      </w:pPr>
    </w:p>
    <w:p>
      <w:pPr>
        <w:spacing w:after="0"/>
        <w:rPr>
          <w:sz w:val="20"/>
          <w:szCs w:val="20"/>
          <w:color w:val="auto"/>
        </w:rPr>
      </w:pPr>
      <w:r>
        <w:rPr>
          <w:rFonts w:ascii="Arial" w:cs="Arial" w:eastAsia="Arial" w:hAnsi="Arial"/>
          <w:sz w:val="27"/>
          <w:szCs w:val="27"/>
          <w:b w:val="1"/>
          <w:bCs w:val="1"/>
          <w:color w:val="16479F"/>
        </w:rPr>
        <w:t>Proposal No. 1</w:t>
      </w:r>
    </w:p>
    <w:p>
      <w:pPr>
        <w:spacing w:after="0" w:line="30" w:lineRule="exact"/>
        <w:rPr>
          <w:sz w:val="20"/>
          <w:szCs w:val="20"/>
          <w:color w:val="auto"/>
        </w:rPr>
      </w:pPr>
    </w:p>
    <w:p>
      <w:pPr>
        <w:spacing w:after="0"/>
        <w:rPr>
          <w:sz w:val="20"/>
          <w:szCs w:val="20"/>
          <w:color w:val="auto"/>
        </w:rPr>
      </w:pPr>
      <w:r>
        <w:rPr>
          <w:rFonts w:ascii="Arial" w:cs="Arial" w:eastAsia="Arial" w:hAnsi="Arial"/>
          <w:sz w:val="54"/>
          <w:szCs w:val="54"/>
          <w:b w:val="1"/>
          <w:bCs w:val="1"/>
          <w:color w:val="002739"/>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-9525</wp:posOffset>
            </wp:positionV>
            <wp:extent cx="6776085" cy="23806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76085" cy="2380615"/>
                    </a:xfrm>
                    <a:prstGeom prst="rect">
                      <a:avLst/>
                    </a:prstGeom>
                    <a:noFill/>
                  </pic:spPr>
                </pic:pic>
              </a:graphicData>
            </a:graphic>
          </wp:anchor>
        </w:drawing>
      </w:r>
    </w:p>
    <w:p>
      <w:pPr>
        <w:spacing w:after="0" w:line="207" w:lineRule="exact"/>
        <w:rPr>
          <w:sz w:val="20"/>
          <w:szCs w:val="20"/>
          <w:color w:val="auto"/>
        </w:rPr>
      </w:pPr>
    </w:p>
    <w:p>
      <w:pPr>
        <w:ind w:left="740" w:right="20"/>
        <w:spacing w:after="0" w:line="246" w:lineRule="auto"/>
        <w:rPr>
          <w:sz w:val="20"/>
          <w:szCs w:val="20"/>
          <w:color w:val="auto"/>
        </w:rPr>
      </w:pPr>
      <w:r>
        <w:rPr>
          <w:rFonts w:ascii="Arial" w:cs="Arial" w:eastAsia="Arial" w:hAnsi="Arial"/>
          <w:sz w:val="16"/>
          <w:szCs w:val="16"/>
          <w:color w:val="auto"/>
        </w:rPr>
        <w:t>Our Board currently has 10 directors. Each director stands for election at each annual meeting of shareholders and holds office until his or her successor has been duly elected and qualified or the director’s earlier resignation, death or removal. All of the nominees presented beginning on page 14 of this Proxy Statement are directors of MSCI as of March 16, 2022. All directors, other than Rajat Taneja, were elected at the 2021 annual meeting of shareholders. The Board believes that each of the nominees brings strong skills and experience to the Board, giving the Board, as a group, the appropriate skills needed to exercise its oversight responsibilities and advise management with respect to the Company’s strategic initiatives.</w:t>
      </w:r>
    </w:p>
    <w:p>
      <w:pPr>
        <w:spacing w:after="0" w:line="154" w:lineRule="exact"/>
        <w:rPr>
          <w:sz w:val="20"/>
          <w:szCs w:val="20"/>
          <w:color w:val="auto"/>
        </w:rPr>
      </w:pPr>
    </w:p>
    <w:p>
      <w:pPr>
        <w:ind w:left="740" w:right="340"/>
        <w:spacing w:after="0" w:line="250" w:lineRule="auto"/>
        <w:rPr>
          <w:sz w:val="20"/>
          <w:szCs w:val="20"/>
          <w:color w:val="auto"/>
        </w:rPr>
      </w:pPr>
      <w:r>
        <w:rPr>
          <w:rFonts w:ascii="Arial" w:cs="Arial" w:eastAsia="Arial" w:hAnsi="Arial"/>
          <w:sz w:val="16"/>
          <w:szCs w:val="16"/>
          <w:color w:val="auto"/>
        </w:rPr>
        <w:t>Each nominee has indicated that he or she is willing and able to serve if elected. We do not anticipate that any nominee will be unable or unwilling to stand for election, but if that happens, your proxy vote will be cast for another person nominated by the Board, or the Board may elect to reduce its size.</w:t>
      </w:r>
    </w:p>
    <w:p>
      <w:pPr>
        <w:spacing w:after="0" w:line="167" w:lineRule="exact"/>
        <w:rPr>
          <w:sz w:val="20"/>
          <w:szCs w:val="20"/>
          <w:color w:val="auto"/>
        </w:rPr>
      </w:pPr>
    </w:p>
    <w:p>
      <w:pPr>
        <w:ind w:left="740"/>
        <w:spacing w:after="0"/>
        <w:rPr>
          <w:sz w:val="20"/>
          <w:szCs w:val="20"/>
          <w:color w:val="auto"/>
        </w:rPr>
      </w:pPr>
      <w:r>
        <w:rPr>
          <w:rFonts w:ascii="Arial" w:cs="Arial" w:eastAsia="Arial" w:hAnsi="Arial"/>
          <w:sz w:val="21"/>
          <w:szCs w:val="21"/>
          <w:b w:val="1"/>
          <w:bCs w:val="1"/>
          <w:color w:val="16479F"/>
        </w:rPr>
        <w:t>VOTE REQUIRED AND RECOMMENDATION</w:t>
      </w:r>
    </w:p>
    <w:p>
      <w:pPr>
        <w:spacing w:after="0" w:line="248" w:lineRule="exact"/>
        <w:rPr>
          <w:sz w:val="20"/>
          <w:szCs w:val="20"/>
          <w:color w:val="auto"/>
        </w:rPr>
      </w:pPr>
    </w:p>
    <w:p>
      <w:pPr>
        <w:ind w:left="740"/>
        <w:spacing w:after="0" w:line="248" w:lineRule="auto"/>
        <w:rPr>
          <w:sz w:val="20"/>
          <w:szCs w:val="20"/>
          <w:color w:val="auto"/>
        </w:rPr>
      </w:pPr>
      <w:r>
        <w:rPr>
          <w:rFonts w:ascii="Arial" w:cs="Arial" w:eastAsia="Arial" w:hAnsi="Arial"/>
          <w:sz w:val="16"/>
          <w:szCs w:val="16"/>
          <w:color w:val="auto"/>
        </w:rPr>
        <w:t>The affirmative vote of a majority of the votes cast with respect to each director’s election at our 2022 Annual Meeting is required to approve Proposal No. 1. Abstentions shall not be treated as votes cast. For additional information on the consequences for directors who do not receive a majority of the votes cast, please refer to “What happens if a director does not receive a majority of the votes required for his or her re-election?” in 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144780</wp:posOffset>
            </wp:positionV>
            <wp:extent cx="6776085" cy="9010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76085" cy="90106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940"/>
        <w:spacing w:after="0"/>
        <w:rPr>
          <w:sz w:val="20"/>
          <w:szCs w:val="20"/>
          <w:color w:val="auto"/>
        </w:rPr>
      </w:pPr>
      <w:r>
        <w:rPr>
          <w:sz w:val="1"/>
          <w:szCs w:val="1"/>
          <w:color w:val="auto"/>
        </w:rPr>
        <w:drawing>
          <wp:inline distT="0" distB="0" distL="0" distR="0">
            <wp:extent cx="212725" cy="10223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2725" cy="102235"/>
                    </a:xfrm>
                    <a:prstGeom prst="rect">
                      <a:avLst/>
                    </a:prstGeom>
                    <a:noFill/>
                    <a:ln>
                      <a:noFill/>
                    </a:ln>
                  </pic:spPr>
                </pic:pic>
              </a:graphicData>
            </a:graphic>
          </wp:inline>
        </w:drawing>
      </w:r>
      <w:r>
        <w:rPr>
          <w:rFonts w:ascii="Arial" w:cs="Arial" w:eastAsia="Arial" w:hAnsi="Arial"/>
          <w:sz w:val="21"/>
          <w:szCs w:val="21"/>
          <w:b w:val="1"/>
          <w:bCs w:val="1"/>
          <w:color w:val="FFFFFF"/>
        </w:rPr>
        <w:t xml:space="preserve"> Our Board recommends that you vote </w:t>
      </w:r>
      <w:r>
        <w:rPr>
          <w:rFonts w:ascii="Arial" w:cs="Arial" w:eastAsia="Arial" w:hAnsi="Arial"/>
          <w:sz w:val="21"/>
          <w:szCs w:val="21"/>
          <w:b w:val="1"/>
          <w:bCs w:val="1"/>
          <w:color w:val="00B5AA"/>
        </w:rPr>
        <w:t>“FOR”</w:t>
      </w:r>
      <w:r>
        <w:rPr>
          <w:rFonts w:ascii="Arial" w:cs="Arial" w:eastAsia="Arial" w:hAnsi="Arial"/>
          <w:sz w:val="21"/>
          <w:szCs w:val="21"/>
          <w:b w:val="1"/>
          <w:bCs w:val="1"/>
          <w:color w:val="FFFFFF"/>
        </w:rPr>
        <w:t xml:space="preserve"> the election of all ten nominees named below.</w:t>
      </w:r>
    </w:p>
    <w:p>
      <w:pPr>
        <w:spacing w:after="0" w:line="214" w:lineRule="exact"/>
        <w:rPr>
          <w:sz w:val="20"/>
          <w:szCs w:val="20"/>
          <w:color w:val="auto"/>
        </w:rPr>
      </w:pPr>
    </w:p>
    <w:p>
      <w:pPr>
        <w:ind w:left="1320" w:right="1040"/>
        <w:spacing w:after="0" w:line="281" w:lineRule="auto"/>
        <w:rPr>
          <w:sz w:val="20"/>
          <w:szCs w:val="20"/>
          <w:color w:val="auto"/>
        </w:rPr>
      </w:pPr>
      <w:r>
        <w:rPr>
          <w:rFonts w:ascii="Arial" w:cs="Arial" w:eastAsia="Arial" w:hAnsi="Arial"/>
          <w:sz w:val="21"/>
          <w:szCs w:val="21"/>
          <w:b w:val="1"/>
          <w:bCs w:val="1"/>
          <w:color w:val="FFFFFF"/>
        </w:rPr>
        <w:t xml:space="preserve">Proxies solicited by our Board will be voted </w:t>
      </w:r>
      <w:r>
        <w:rPr>
          <w:rFonts w:ascii="Arial" w:cs="Arial" w:eastAsia="Arial" w:hAnsi="Arial"/>
          <w:sz w:val="21"/>
          <w:szCs w:val="21"/>
          <w:b w:val="1"/>
          <w:bCs w:val="1"/>
          <w:color w:val="00B5AA"/>
        </w:rPr>
        <w:t>“FOR”</w:t>
      </w:r>
      <w:r>
        <w:rPr>
          <w:rFonts w:ascii="Arial" w:cs="Arial" w:eastAsia="Arial" w:hAnsi="Arial"/>
          <w:sz w:val="21"/>
          <w:szCs w:val="21"/>
          <w:b w:val="1"/>
          <w:bCs w:val="1"/>
          <w:color w:val="FFFFFF"/>
        </w:rPr>
        <w:t xml:space="preserve"> these nominees unless otherwise instructed.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305435</wp:posOffset>
            </wp:positionV>
            <wp:extent cx="7154545"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21" w:name="page22"/>
    <w:bookmarkEnd w:id="21"/>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00" w:type="dxa"/>
            <w:vAlign w:val="bottom"/>
            <w:tcBorders>
              <w:right w:val="single" w:sz="8" w:color="16479F"/>
            </w:tcBorders>
          </w:tcPr>
          <w:p>
            <w:pPr>
              <w:ind w:left="8740"/>
              <w:spacing w:after="0"/>
              <w:rPr>
                <w:sz w:val="20"/>
                <w:szCs w:val="20"/>
                <w:color w:val="auto"/>
              </w:rPr>
            </w:pPr>
            <w:r>
              <w:rPr>
                <w:rFonts w:ascii="Arial" w:cs="Arial" w:eastAsia="Arial" w:hAnsi="Arial"/>
                <w:sz w:val="14"/>
                <w:szCs w:val="14"/>
                <w:b w:val="1"/>
                <w:bCs w:val="1"/>
                <w:color w:val="16479F"/>
              </w:rPr>
              <w:t>2022 PROXY STATEMENT</w:t>
            </w:r>
          </w:p>
        </w:tc>
        <w:tc>
          <w:tcPr>
            <w:tcW w:w="640" w:type="dxa"/>
            <w:vAlign w:val="bottom"/>
          </w:tcPr>
          <w:p>
            <w:pPr>
              <w:jc w:val="right"/>
              <w:ind w:right="9"/>
              <w:spacing w:after="0"/>
              <w:rPr>
                <w:sz w:val="20"/>
                <w:szCs w:val="20"/>
                <w:color w:val="auto"/>
              </w:rPr>
            </w:pPr>
            <w:r>
              <w:rPr>
                <w:rFonts w:ascii="Arial" w:cs="Arial" w:eastAsia="Arial" w:hAnsi="Arial"/>
                <w:sz w:val="14"/>
                <w:szCs w:val="14"/>
                <w:b w:val="1"/>
                <w:bCs w:val="1"/>
                <w:color w:val="16479F"/>
              </w:rPr>
              <w:t>21</w:t>
            </w:r>
          </w:p>
        </w:tc>
      </w:tr>
      <w:tr>
        <w:trPr>
          <w:trHeight w:val="65"/>
        </w:trPr>
        <w:tc>
          <w:tcPr>
            <w:tcW w:w="10600" w:type="dxa"/>
            <w:vAlign w:val="bottom"/>
            <w:tcBorders>
              <w:bottom w:val="single" w:sz="8" w:color="16479F"/>
              <w:right w:val="single" w:sz="8" w:color="16479F"/>
            </w:tcBorders>
          </w:tcPr>
          <w:p>
            <w:pPr>
              <w:spacing w:after="0"/>
              <w:rPr>
                <w:sz w:val="5"/>
                <w:szCs w:val="5"/>
                <w:color w:val="auto"/>
              </w:rPr>
            </w:pPr>
          </w:p>
        </w:tc>
        <w:tc>
          <w:tcPr>
            <w:tcW w:w="640" w:type="dxa"/>
            <w:vAlign w:val="bottom"/>
            <w:tcBorders>
              <w:bottom w:val="single" w:sz="8" w:color="16479F"/>
            </w:tcBorders>
          </w:tcPr>
          <w:p>
            <w:pPr>
              <w:spacing w:after="0"/>
              <w:rPr>
                <w:sz w:val="5"/>
                <w:szCs w:val="5"/>
                <w:color w:val="auto"/>
              </w:rPr>
            </w:pPr>
          </w:p>
        </w:tc>
      </w:tr>
    </w:tbl>
    <w:p>
      <w:pPr>
        <w:spacing w:after="0" w:line="151" w:lineRule="exact"/>
        <w:rPr>
          <w:sz w:val="20"/>
          <w:szCs w:val="20"/>
          <w:color w:val="auto"/>
        </w:rPr>
      </w:pPr>
    </w:p>
    <w:p>
      <w:pPr>
        <w:spacing w:after="0"/>
        <w:rPr>
          <w:sz w:val="20"/>
          <w:szCs w:val="20"/>
          <w:color w:val="auto"/>
        </w:rPr>
      </w:pPr>
      <w:r>
        <w:rPr>
          <w:rFonts w:ascii="Arial" w:cs="Arial" w:eastAsia="Arial" w:hAnsi="Arial"/>
          <w:sz w:val="32"/>
          <w:szCs w:val="32"/>
          <w:b w:val="1"/>
          <w:bCs w:val="1"/>
          <w:color w:val="16479F"/>
        </w:rPr>
        <w:t>Director Core Competencies and Diversity</w:t>
      </w:r>
    </w:p>
    <w:p>
      <w:pPr>
        <w:spacing w:after="0" w:line="246" w:lineRule="exact"/>
        <w:rPr>
          <w:sz w:val="20"/>
          <w:szCs w:val="20"/>
          <w:color w:val="auto"/>
        </w:rPr>
      </w:pPr>
    </w:p>
    <w:p>
      <w:pPr>
        <w:ind w:right="360"/>
        <w:spacing w:after="0" w:line="248" w:lineRule="auto"/>
        <w:rPr>
          <w:sz w:val="20"/>
          <w:szCs w:val="20"/>
          <w:color w:val="auto"/>
        </w:rPr>
      </w:pPr>
      <w:r>
        <w:rPr>
          <w:rFonts w:ascii="Arial" w:cs="Arial" w:eastAsia="Arial" w:hAnsi="Arial"/>
          <w:sz w:val="16"/>
          <w:szCs w:val="16"/>
          <w:color w:val="auto"/>
        </w:rPr>
        <w:t>The Governance Committee believes the director skills, experiences and backgrounds set forth in the tables below are those most relevant to the Board’s oversight responsibilities and the Company’s strategic direction and strives to ensure that the Board includes a balanced mix of qualifications and backgrounds. Additional detail on each director nominee’s experiences and qualifications follows their biographies beginning on page 23 of this Proxy Statement.</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EXECUTIVE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335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8"/>
        </w:trPr>
        <w:tc>
          <w:tcPr>
            <w:tcW w:w="10440" w:type="dxa"/>
            <w:vAlign w:val="bottom"/>
            <w:vMerge w:val="restart"/>
          </w:tcPr>
          <w:p>
            <w:pPr>
              <w:ind w:left="60"/>
              <w:spacing w:after="0"/>
              <w:rPr>
                <w:sz w:val="20"/>
                <w:szCs w:val="20"/>
                <w:color w:val="auto"/>
              </w:rPr>
            </w:pPr>
            <w:r>
              <w:rPr>
                <w:rFonts w:ascii="Arial" w:cs="Arial" w:eastAsia="Arial" w:hAnsi="Arial"/>
                <w:sz w:val="16"/>
                <w:szCs w:val="16"/>
                <w:color w:val="auto"/>
              </w:rPr>
              <w:t>Public company CEO or senior executive experience managing a complex organization with oversight of strategy, corporate development, talent</w:t>
            </w:r>
          </w:p>
        </w:tc>
        <w:tc>
          <w:tcPr>
            <w:tcW w:w="800" w:type="dxa"/>
            <w:vAlign w:val="bottom"/>
          </w:tcPr>
          <w:p>
            <w:pPr>
              <w:jc w:val="right"/>
              <w:spacing w:after="0" w:line="217" w:lineRule="exact"/>
              <w:rPr>
                <w:sz w:val="20"/>
                <w:szCs w:val="20"/>
                <w:color w:val="auto"/>
              </w:rPr>
            </w:pPr>
            <w:r>
              <w:rPr>
                <w:rFonts w:ascii="Arial" w:cs="Arial" w:eastAsia="Arial" w:hAnsi="Arial"/>
                <w:sz w:val="25"/>
                <w:szCs w:val="25"/>
                <w:b w:val="1"/>
                <w:bCs w:val="1"/>
                <w:color w:val="auto"/>
              </w:rPr>
              <w:t>8</w:t>
            </w:r>
            <w:r>
              <w:rPr>
                <w:rFonts w:ascii="Arial" w:cs="Arial" w:eastAsia="Arial" w:hAnsi="Arial"/>
                <w:sz w:val="25"/>
                <w:szCs w:val="25"/>
                <w:color w:val="auto"/>
              </w:rPr>
              <w:t>/</w:t>
            </w: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42"/>
        </w:trPr>
        <w:tc>
          <w:tcPr>
            <w:tcW w:w="1044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10440" w:type="dxa"/>
            <w:vAlign w:val="bottom"/>
          </w:tcPr>
          <w:p>
            <w:pPr>
              <w:ind w:left="60"/>
              <w:spacing w:after="0"/>
              <w:rPr>
                <w:sz w:val="20"/>
                <w:szCs w:val="20"/>
                <w:color w:val="auto"/>
              </w:rPr>
            </w:pPr>
            <w:r>
              <w:rPr>
                <w:rFonts w:ascii="Arial" w:cs="Arial" w:eastAsia="Arial" w:hAnsi="Arial"/>
                <w:sz w:val="16"/>
                <w:szCs w:val="16"/>
                <w:color w:val="auto"/>
              </w:rPr>
              <w:t>management, business operations and/or overall decision making, and a consistent record of executing strategy and creating shareholder value</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04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through operational excellence.</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0440" w:type="dxa"/>
            <w:vAlign w:val="bottom"/>
          </w:tcPr>
          <w:p>
            <w:pPr>
              <w:ind w:left="60"/>
              <w:spacing w:after="0"/>
              <w:rPr>
                <w:sz w:val="20"/>
                <w:szCs w:val="20"/>
                <w:color w:val="auto"/>
              </w:rPr>
            </w:pPr>
            <w:r>
              <w:rPr>
                <w:rFonts w:ascii="Arial" w:cs="Arial" w:eastAsia="Arial" w:hAnsi="Arial"/>
                <w:sz w:val="18"/>
                <w:szCs w:val="18"/>
                <w:b w:val="1"/>
                <w:bCs w:val="1"/>
                <w:color w:val="auto"/>
              </w:rPr>
              <w:t>GOVERNANCE/PUBLIC COMPANY BOARD</w:t>
            </w:r>
          </w:p>
        </w:tc>
        <w:tc>
          <w:tcPr>
            <w:tcW w:w="800" w:type="dxa"/>
            <w:vAlign w:val="bottom"/>
            <w:vMerge w:val="restart"/>
          </w:tcPr>
          <w:p>
            <w:pPr>
              <w:jc w:val="right"/>
              <w:spacing w:after="0"/>
              <w:rPr>
                <w:sz w:val="20"/>
                <w:szCs w:val="20"/>
                <w:color w:val="auto"/>
              </w:rPr>
            </w:pPr>
            <w:r>
              <w:rPr>
                <w:rFonts w:ascii="Arial" w:cs="Arial" w:eastAsia="Arial" w:hAnsi="Arial"/>
                <w:sz w:val="29"/>
                <w:szCs w:val="29"/>
                <w:b w:val="1"/>
                <w:bCs w:val="1"/>
                <w:color w:val="auto"/>
              </w:rPr>
              <w:t>8</w:t>
            </w:r>
            <w:r>
              <w:rPr>
                <w:rFonts w:ascii="Arial" w:cs="Arial" w:eastAsia="Arial" w:hAnsi="Arial"/>
                <w:sz w:val="29"/>
                <w:szCs w:val="29"/>
                <w:color w:val="auto"/>
              </w:rPr>
              <w:t>/</w:t>
            </w: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8"/>
        </w:trPr>
        <w:tc>
          <w:tcPr>
            <w:tcW w:w="10440" w:type="dxa"/>
            <w:vAlign w:val="bottom"/>
          </w:tcPr>
          <w:p>
            <w:pPr>
              <w:ind w:left="60"/>
              <w:spacing w:after="0"/>
              <w:rPr>
                <w:sz w:val="20"/>
                <w:szCs w:val="20"/>
                <w:color w:val="auto"/>
              </w:rPr>
            </w:pPr>
            <w:r>
              <w:rPr>
                <w:rFonts w:ascii="Arial" w:cs="Arial" w:eastAsia="Arial" w:hAnsi="Arial"/>
                <w:sz w:val="16"/>
                <w:szCs w:val="16"/>
                <w:color w:val="auto"/>
              </w:rPr>
              <w:t>Experience in public company corporate governance related issues, policies and best practices, serving on a public company board and</w:t>
            </w: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04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familiarity with corporate board topics.</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0440" w:type="dxa"/>
            <w:vAlign w:val="bottom"/>
          </w:tcPr>
          <w:p>
            <w:pPr>
              <w:ind w:left="60"/>
              <w:spacing w:after="0"/>
              <w:rPr>
                <w:sz w:val="20"/>
                <w:szCs w:val="20"/>
                <w:color w:val="auto"/>
              </w:rPr>
            </w:pPr>
            <w:r>
              <w:rPr>
                <w:rFonts w:ascii="Arial" w:cs="Arial" w:eastAsia="Arial" w:hAnsi="Arial"/>
                <w:sz w:val="18"/>
                <w:szCs w:val="18"/>
                <w:b w:val="1"/>
                <w:bCs w:val="1"/>
                <w:color w:val="auto"/>
              </w:rPr>
              <w:t>INDUSTRY EXPERIENCE</w:t>
            </w:r>
          </w:p>
        </w:tc>
        <w:tc>
          <w:tcPr>
            <w:tcW w:w="800" w:type="dxa"/>
            <w:vAlign w:val="bottom"/>
            <w:vMerge w:val="restart"/>
          </w:tcPr>
          <w:p>
            <w:pPr>
              <w:jc w:val="right"/>
              <w:spacing w:after="0"/>
              <w:rPr>
                <w:sz w:val="20"/>
                <w:szCs w:val="20"/>
                <w:color w:val="auto"/>
              </w:rPr>
            </w:pPr>
            <w:r>
              <w:rPr>
                <w:rFonts w:ascii="Arial" w:cs="Arial" w:eastAsia="Arial" w:hAnsi="Arial"/>
                <w:sz w:val="29"/>
                <w:szCs w:val="29"/>
                <w:b w:val="1"/>
                <w:bCs w:val="1"/>
                <w:color w:val="auto"/>
              </w:rPr>
              <w:t>8</w:t>
            </w:r>
            <w:r>
              <w:rPr>
                <w:rFonts w:ascii="Arial" w:cs="Arial" w:eastAsia="Arial" w:hAnsi="Arial"/>
                <w:sz w:val="29"/>
                <w:szCs w:val="29"/>
                <w:color w:val="auto"/>
              </w:rPr>
              <w:t>/</w:t>
            </w: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8"/>
        </w:trPr>
        <w:tc>
          <w:tcPr>
            <w:tcW w:w="10440" w:type="dxa"/>
            <w:vAlign w:val="bottom"/>
          </w:tcPr>
          <w:p>
            <w:pPr>
              <w:ind w:left="60"/>
              <w:spacing w:after="0"/>
              <w:rPr>
                <w:sz w:val="20"/>
                <w:szCs w:val="20"/>
                <w:color w:val="auto"/>
              </w:rPr>
            </w:pPr>
            <w:r>
              <w:rPr>
                <w:rFonts w:ascii="Arial" w:cs="Arial" w:eastAsia="Arial" w:hAnsi="Arial"/>
                <w:sz w:val="16"/>
                <w:szCs w:val="16"/>
                <w:color w:val="auto"/>
              </w:rPr>
              <w:t>Experience working as a senior executive in the financial services industry with our client segments (e.g., asset owners, broker-dealers, hedge</w:t>
            </w: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04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funds and investment managers) and investment products and support tools.</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0440" w:type="dxa"/>
            <w:vAlign w:val="bottom"/>
          </w:tcPr>
          <w:p>
            <w:pPr>
              <w:ind w:left="60"/>
              <w:spacing w:after="0"/>
              <w:rPr>
                <w:sz w:val="20"/>
                <w:szCs w:val="20"/>
                <w:color w:val="auto"/>
              </w:rPr>
            </w:pPr>
            <w:r>
              <w:rPr>
                <w:rFonts w:ascii="Arial" w:cs="Arial" w:eastAsia="Arial" w:hAnsi="Arial"/>
                <w:sz w:val="18"/>
                <w:szCs w:val="18"/>
                <w:b w:val="1"/>
                <w:bCs w:val="1"/>
                <w:color w:val="auto"/>
              </w:rPr>
              <w:t>GLOBAL PERSPECTIVE/INTERNATIONAL EXPERIENCE</w:t>
            </w:r>
          </w:p>
        </w:tc>
        <w:tc>
          <w:tcPr>
            <w:tcW w:w="800" w:type="dxa"/>
            <w:vAlign w:val="bottom"/>
            <w:vMerge w:val="restart"/>
          </w:tcPr>
          <w:p>
            <w:pPr>
              <w:jc w:val="right"/>
              <w:spacing w:after="0"/>
              <w:rPr>
                <w:sz w:val="20"/>
                <w:szCs w:val="20"/>
                <w:color w:val="auto"/>
              </w:rPr>
            </w:pPr>
            <w:r>
              <w:rPr>
                <w:rFonts w:ascii="Arial" w:cs="Arial" w:eastAsia="Arial" w:hAnsi="Arial"/>
                <w:sz w:val="29"/>
                <w:szCs w:val="29"/>
                <w:b w:val="1"/>
                <w:bCs w:val="1"/>
                <w:color w:val="auto"/>
              </w:rPr>
              <w:t>8</w:t>
            </w:r>
            <w:r>
              <w:rPr>
                <w:rFonts w:ascii="Arial" w:cs="Arial" w:eastAsia="Arial" w:hAnsi="Arial"/>
                <w:sz w:val="29"/>
                <w:szCs w:val="29"/>
                <w:color w:val="auto"/>
              </w:rPr>
              <w:t>/</w:t>
            </w: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58"/>
        </w:trPr>
        <w:tc>
          <w:tcPr>
            <w:tcW w:w="10440" w:type="dxa"/>
            <w:vAlign w:val="bottom"/>
            <w:vMerge w:val="restart"/>
          </w:tcPr>
          <w:p>
            <w:pPr>
              <w:ind w:left="60"/>
              <w:spacing w:after="0"/>
              <w:rPr>
                <w:sz w:val="20"/>
                <w:szCs w:val="20"/>
                <w:color w:val="auto"/>
              </w:rPr>
            </w:pPr>
            <w:r>
              <w:rPr>
                <w:rFonts w:ascii="Arial" w:cs="Arial" w:eastAsia="Arial" w:hAnsi="Arial"/>
                <w:sz w:val="16"/>
                <w:szCs w:val="16"/>
                <w:color w:val="auto"/>
              </w:rPr>
              <w:t>Experience as a senior executive working for an international company or working or living in countries outside of the U.S.</w:t>
            </w: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10440" w:type="dxa"/>
            <w:vAlign w:val="bottom"/>
            <w:tcBorders>
              <w:bottom w:val="single" w:sz="8" w:color="auto"/>
            </w:tcBorders>
            <w:vMerge w:val="continue"/>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0440" w:type="dxa"/>
            <w:vAlign w:val="bottom"/>
          </w:tcPr>
          <w:p>
            <w:pPr>
              <w:ind w:left="60"/>
              <w:spacing w:after="0"/>
              <w:rPr>
                <w:sz w:val="20"/>
                <w:szCs w:val="20"/>
                <w:color w:val="auto"/>
              </w:rPr>
            </w:pPr>
            <w:r>
              <w:rPr>
                <w:rFonts w:ascii="Arial" w:cs="Arial" w:eastAsia="Arial" w:hAnsi="Arial"/>
                <w:sz w:val="18"/>
                <w:szCs w:val="18"/>
                <w:b w:val="1"/>
                <w:bCs w:val="1"/>
                <w:color w:val="auto"/>
              </w:rPr>
              <w:t>REGULATORY COMPLIANCE/GOVERNMENT</w:t>
            </w:r>
          </w:p>
        </w:tc>
        <w:tc>
          <w:tcPr>
            <w:tcW w:w="800" w:type="dxa"/>
            <w:vAlign w:val="bottom"/>
            <w:vMerge w:val="restart"/>
          </w:tcPr>
          <w:p>
            <w:pPr>
              <w:jc w:val="right"/>
              <w:spacing w:after="0"/>
              <w:rPr>
                <w:sz w:val="20"/>
                <w:szCs w:val="20"/>
                <w:color w:val="auto"/>
              </w:rPr>
            </w:pPr>
            <w:r>
              <w:rPr>
                <w:rFonts w:ascii="Arial" w:cs="Arial" w:eastAsia="Arial" w:hAnsi="Arial"/>
                <w:sz w:val="29"/>
                <w:szCs w:val="29"/>
                <w:b w:val="1"/>
                <w:bCs w:val="1"/>
                <w:color w:val="auto"/>
              </w:rPr>
              <w:t>5</w:t>
            </w:r>
            <w:r>
              <w:rPr>
                <w:rFonts w:ascii="Arial" w:cs="Arial" w:eastAsia="Arial" w:hAnsi="Arial"/>
                <w:sz w:val="29"/>
                <w:szCs w:val="29"/>
                <w:color w:val="auto"/>
              </w:rPr>
              <w:t>/</w:t>
            </w: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58"/>
        </w:trPr>
        <w:tc>
          <w:tcPr>
            <w:tcW w:w="10440" w:type="dxa"/>
            <w:vAlign w:val="bottom"/>
            <w:vMerge w:val="restart"/>
          </w:tcPr>
          <w:p>
            <w:pPr>
              <w:ind w:left="60"/>
              <w:spacing w:after="0"/>
              <w:rPr>
                <w:sz w:val="20"/>
                <w:szCs w:val="20"/>
                <w:color w:val="auto"/>
              </w:rPr>
            </w:pPr>
            <w:r>
              <w:rPr>
                <w:rFonts w:ascii="Arial" w:cs="Arial" w:eastAsia="Arial" w:hAnsi="Arial"/>
                <w:sz w:val="16"/>
                <w:szCs w:val="16"/>
                <w:color w:val="auto"/>
              </w:rPr>
              <w:t>Experience in operating businesses in similarly regulated industries, interacting with regulators and policymakers and/or working in government.</w:t>
            </w: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10440" w:type="dxa"/>
            <w:vAlign w:val="bottom"/>
            <w:tcBorders>
              <w:bottom w:val="single" w:sz="8" w:color="auto"/>
            </w:tcBorders>
            <w:vMerge w:val="continue"/>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0440" w:type="dxa"/>
            <w:vAlign w:val="bottom"/>
          </w:tcPr>
          <w:p>
            <w:pPr>
              <w:ind w:left="60"/>
              <w:spacing w:after="0"/>
              <w:rPr>
                <w:sz w:val="20"/>
                <w:szCs w:val="20"/>
                <w:color w:val="auto"/>
              </w:rPr>
            </w:pPr>
            <w:r>
              <w:rPr>
                <w:rFonts w:ascii="Arial" w:cs="Arial" w:eastAsia="Arial" w:hAnsi="Arial"/>
                <w:sz w:val="18"/>
                <w:szCs w:val="18"/>
                <w:b w:val="1"/>
                <w:bCs w:val="1"/>
                <w:color w:val="auto"/>
              </w:rPr>
              <w:t>INVESTMENTS/STRATEGY AND CORPORATE DEVELOPMENT</w:t>
            </w:r>
          </w:p>
        </w:tc>
        <w:tc>
          <w:tcPr>
            <w:tcW w:w="800" w:type="dxa"/>
            <w:vAlign w:val="bottom"/>
            <w:vMerge w:val="restart"/>
          </w:tcPr>
          <w:p>
            <w:pPr>
              <w:jc w:val="right"/>
              <w:spacing w:after="0"/>
              <w:rPr>
                <w:sz w:val="20"/>
                <w:szCs w:val="20"/>
                <w:color w:val="auto"/>
              </w:rPr>
            </w:pPr>
            <w:r>
              <w:rPr>
                <w:rFonts w:ascii="Arial" w:cs="Arial" w:eastAsia="Arial" w:hAnsi="Arial"/>
                <w:sz w:val="29"/>
                <w:szCs w:val="29"/>
                <w:b w:val="1"/>
                <w:bCs w:val="1"/>
                <w:color w:val="auto"/>
              </w:rPr>
              <w:t>9</w:t>
            </w:r>
            <w:r>
              <w:rPr>
                <w:rFonts w:ascii="Arial" w:cs="Arial" w:eastAsia="Arial" w:hAnsi="Arial"/>
                <w:sz w:val="29"/>
                <w:szCs w:val="29"/>
                <w:color w:val="auto"/>
              </w:rPr>
              <w:t>/</w:t>
            </w: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8"/>
        </w:trPr>
        <w:tc>
          <w:tcPr>
            <w:tcW w:w="10440" w:type="dxa"/>
            <w:vAlign w:val="bottom"/>
          </w:tcPr>
          <w:p>
            <w:pPr>
              <w:ind w:left="60"/>
              <w:spacing w:after="0"/>
              <w:rPr>
                <w:sz w:val="20"/>
                <w:szCs w:val="20"/>
                <w:color w:val="auto"/>
              </w:rPr>
            </w:pPr>
            <w:r>
              <w:rPr>
                <w:rFonts w:ascii="Arial" w:cs="Arial" w:eastAsia="Arial" w:hAnsi="Arial"/>
                <w:sz w:val="16"/>
                <w:szCs w:val="16"/>
                <w:color w:val="auto"/>
              </w:rPr>
              <w:t>Experience in financial investment markets and investment decisions, strategy and corporate development to maximize return for our</w:t>
            </w: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04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shareholders, including cross-border investment and M&amp;A and capital markets transactions.</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0440" w:type="dxa"/>
            <w:vAlign w:val="bottom"/>
          </w:tcPr>
          <w:p>
            <w:pPr>
              <w:ind w:left="60"/>
              <w:spacing w:after="0"/>
              <w:rPr>
                <w:sz w:val="20"/>
                <w:szCs w:val="20"/>
                <w:color w:val="auto"/>
              </w:rPr>
            </w:pPr>
            <w:r>
              <w:rPr>
                <w:rFonts w:ascii="Arial" w:cs="Arial" w:eastAsia="Arial" w:hAnsi="Arial"/>
                <w:sz w:val="18"/>
                <w:szCs w:val="18"/>
                <w:b w:val="1"/>
                <w:bCs w:val="1"/>
                <w:color w:val="auto"/>
              </w:rPr>
              <w:t>FINANCIAL EXPERTISE</w:t>
            </w:r>
          </w:p>
        </w:tc>
        <w:tc>
          <w:tcPr>
            <w:tcW w:w="800" w:type="dxa"/>
            <w:vAlign w:val="bottom"/>
            <w:vMerge w:val="restart"/>
          </w:tcPr>
          <w:p>
            <w:pPr>
              <w:jc w:val="right"/>
              <w:spacing w:after="0"/>
              <w:rPr>
                <w:sz w:val="20"/>
                <w:szCs w:val="20"/>
                <w:color w:val="auto"/>
              </w:rPr>
            </w:pPr>
            <w:r>
              <w:rPr>
                <w:rFonts w:ascii="Arial" w:cs="Arial" w:eastAsia="Arial" w:hAnsi="Arial"/>
                <w:sz w:val="29"/>
                <w:szCs w:val="29"/>
                <w:b w:val="1"/>
                <w:bCs w:val="1"/>
                <w:color w:val="auto"/>
              </w:rPr>
              <w:t>10</w:t>
            </w:r>
            <w:r>
              <w:rPr>
                <w:rFonts w:ascii="Arial" w:cs="Arial" w:eastAsia="Arial" w:hAnsi="Arial"/>
                <w:sz w:val="29"/>
                <w:szCs w:val="29"/>
                <w:color w:val="auto"/>
              </w:rPr>
              <w:t>/</w:t>
            </w: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8"/>
        </w:trPr>
        <w:tc>
          <w:tcPr>
            <w:tcW w:w="10440" w:type="dxa"/>
            <w:vAlign w:val="bottom"/>
          </w:tcPr>
          <w:p>
            <w:pPr>
              <w:ind w:left="60"/>
              <w:spacing w:after="0"/>
              <w:rPr>
                <w:sz w:val="20"/>
                <w:szCs w:val="20"/>
                <w:color w:val="auto"/>
              </w:rPr>
            </w:pPr>
            <w:r>
              <w:rPr>
                <w:rFonts w:ascii="Arial" w:cs="Arial" w:eastAsia="Arial" w:hAnsi="Arial"/>
                <w:sz w:val="16"/>
                <w:szCs w:val="16"/>
                <w:color w:val="auto"/>
              </w:rPr>
              <w:t>Experience in accounting and financial reporting or experience as a financial expert and/or public company CFO, or audit partner from one of the</w:t>
            </w: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04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big four audit firms.</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0440" w:type="dxa"/>
            <w:vAlign w:val="bottom"/>
          </w:tcPr>
          <w:p>
            <w:pPr>
              <w:ind w:left="60"/>
              <w:spacing w:after="0"/>
              <w:rPr>
                <w:sz w:val="20"/>
                <w:szCs w:val="20"/>
                <w:color w:val="auto"/>
              </w:rPr>
            </w:pPr>
            <w:r>
              <w:rPr>
                <w:rFonts w:ascii="Arial" w:cs="Arial" w:eastAsia="Arial" w:hAnsi="Arial"/>
                <w:sz w:val="18"/>
                <w:szCs w:val="18"/>
                <w:b w:val="1"/>
                <w:bCs w:val="1"/>
                <w:color w:val="auto"/>
              </w:rPr>
              <w:t>RISK MANAGEMENT</w:t>
            </w:r>
          </w:p>
        </w:tc>
        <w:tc>
          <w:tcPr>
            <w:tcW w:w="800" w:type="dxa"/>
            <w:vAlign w:val="bottom"/>
            <w:vMerge w:val="restart"/>
          </w:tcPr>
          <w:p>
            <w:pPr>
              <w:jc w:val="right"/>
              <w:spacing w:after="0"/>
              <w:rPr>
                <w:sz w:val="20"/>
                <w:szCs w:val="20"/>
                <w:color w:val="auto"/>
              </w:rPr>
            </w:pPr>
            <w:r>
              <w:rPr>
                <w:rFonts w:ascii="Arial" w:cs="Arial" w:eastAsia="Arial" w:hAnsi="Arial"/>
                <w:sz w:val="29"/>
                <w:szCs w:val="29"/>
                <w:b w:val="1"/>
                <w:bCs w:val="1"/>
                <w:color w:val="auto"/>
              </w:rPr>
              <w:t>9</w:t>
            </w:r>
            <w:r>
              <w:rPr>
                <w:rFonts w:ascii="Arial" w:cs="Arial" w:eastAsia="Arial" w:hAnsi="Arial"/>
                <w:sz w:val="29"/>
                <w:szCs w:val="29"/>
                <w:color w:val="auto"/>
              </w:rPr>
              <w:t>/</w:t>
            </w: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8"/>
        </w:trPr>
        <w:tc>
          <w:tcPr>
            <w:tcW w:w="10440" w:type="dxa"/>
            <w:vAlign w:val="bottom"/>
          </w:tcPr>
          <w:p>
            <w:pPr>
              <w:ind w:left="60"/>
              <w:spacing w:after="0"/>
              <w:rPr>
                <w:sz w:val="20"/>
                <w:szCs w:val="20"/>
                <w:color w:val="auto"/>
              </w:rPr>
            </w:pPr>
            <w:r>
              <w:rPr>
                <w:rFonts w:ascii="Arial" w:cs="Arial" w:eastAsia="Arial" w:hAnsi="Arial"/>
                <w:sz w:val="16"/>
                <w:szCs w:val="16"/>
                <w:color w:val="auto"/>
              </w:rPr>
              <w:t>Experience in risk management with oversight and assessment of different types of risk (including ERM, IT, credit, market, operational liquidity,</w:t>
            </w: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04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business and reputational).</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0440" w:type="dxa"/>
            <w:vAlign w:val="bottom"/>
          </w:tcPr>
          <w:p>
            <w:pPr>
              <w:ind w:left="60"/>
              <w:spacing w:after="0"/>
              <w:rPr>
                <w:sz w:val="20"/>
                <w:szCs w:val="20"/>
                <w:color w:val="auto"/>
              </w:rPr>
            </w:pPr>
            <w:r>
              <w:rPr>
                <w:rFonts w:ascii="Arial" w:cs="Arial" w:eastAsia="Arial" w:hAnsi="Arial"/>
                <w:sz w:val="18"/>
                <w:szCs w:val="18"/>
                <w:b w:val="1"/>
                <w:bCs w:val="1"/>
                <w:color w:val="auto"/>
              </w:rPr>
              <w:t>CLIENT RELATIONS/SALES/MARKETING</w:t>
            </w:r>
          </w:p>
        </w:tc>
        <w:tc>
          <w:tcPr>
            <w:tcW w:w="800" w:type="dxa"/>
            <w:vAlign w:val="bottom"/>
            <w:vMerge w:val="restart"/>
          </w:tcPr>
          <w:p>
            <w:pPr>
              <w:jc w:val="right"/>
              <w:spacing w:after="0"/>
              <w:rPr>
                <w:sz w:val="20"/>
                <w:szCs w:val="20"/>
                <w:color w:val="auto"/>
              </w:rPr>
            </w:pPr>
            <w:r>
              <w:rPr>
                <w:rFonts w:ascii="Arial" w:cs="Arial" w:eastAsia="Arial" w:hAnsi="Arial"/>
                <w:sz w:val="29"/>
                <w:szCs w:val="29"/>
                <w:b w:val="1"/>
                <w:bCs w:val="1"/>
                <w:color w:val="auto"/>
              </w:rPr>
              <w:t>3</w:t>
            </w:r>
            <w:r>
              <w:rPr>
                <w:rFonts w:ascii="Arial" w:cs="Arial" w:eastAsia="Arial" w:hAnsi="Arial"/>
                <w:sz w:val="29"/>
                <w:szCs w:val="29"/>
                <w:color w:val="auto"/>
              </w:rPr>
              <w:t>/</w:t>
            </w: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58"/>
        </w:trPr>
        <w:tc>
          <w:tcPr>
            <w:tcW w:w="10440" w:type="dxa"/>
            <w:vAlign w:val="bottom"/>
            <w:vMerge w:val="restart"/>
          </w:tcPr>
          <w:p>
            <w:pPr>
              <w:ind w:left="60"/>
              <w:spacing w:after="0"/>
              <w:rPr>
                <w:sz w:val="20"/>
                <w:szCs w:val="20"/>
                <w:color w:val="auto"/>
              </w:rPr>
            </w:pPr>
            <w:r>
              <w:rPr>
                <w:rFonts w:ascii="Arial" w:cs="Arial" w:eastAsia="Arial" w:hAnsi="Arial"/>
                <w:sz w:val="16"/>
                <w:szCs w:val="16"/>
                <w:color w:val="auto"/>
              </w:rPr>
              <w:t>Experience in sales, marketing, brand development and interpreting client behaviors.</w:t>
            </w: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10440" w:type="dxa"/>
            <w:vAlign w:val="bottom"/>
            <w:tcBorders>
              <w:bottom w:val="single" w:sz="8" w:color="auto"/>
            </w:tcBorders>
            <w:vMerge w:val="continue"/>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0440" w:type="dxa"/>
            <w:vAlign w:val="bottom"/>
          </w:tcPr>
          <w:p>
            <w:pPr>
              <w:ind w:left="60"/>
              <w:spacing w:after="0"/>
              <w:rPr>
                <w:sz w:val="20"/>
                <w:szCs w:val="20"/>
                <w:color w:val="auto"/>
              </w:rPr>
            </w:pPr>
            <w:r>
              <w:rPr>
                <w:rFonts w:ascii="Arial" w:cs="Arial" w:eastAsia="Arial" w:hAnsi="Arial"/>
                <w:sz w:val="18"/>
                <w:szCs w:val="18"/>
                <w:b w:val="1"/>
                <w:bCs w:val="1"/>
                <w:color w:val="auto"/>
              </w:rPr>
              <w:t>INNOVATION, DATA AND TECHNOLOGY</w:t>
            </w:r>
          </w:p>
        </w:tc>
        <w:tc>
          <w:tcPr>
            <w:tcW w:w="800" w:type="dxa"/>
            <w:vAlign w:val="bottom"/>
            <w:vMerge w:val="restart"/>
          </w:tcPr>
          <w:p>
            <w:pPr>
              <w:jc w:val="right"/>
              <w:spacing w:after="0"/>
              <w:rPr>
                <w:sz w:val="20"/>
                <w:szCs w:val="20"/>
                <w:color w:val="auto"/>
              </w:rPr>
            </w:pPr>
            <w:r>
              <w:rPr>
                <w:rFonts w:ascii="Arial" w:cs="Arial" w:eastAsia="Arial" w:hAnsi="Arial"/>
                <w:sz w:val="29"/>
                <w:szCs w:val="29"/>
                <w:b w:val="1"/>
                <w:bCs w:val="1"/>
                <w:color w:val="auto"/>
              </w:rPr>
              <w:t>9</w:t>
            </w:r>
            <w:r>
              <w:rPr>
                <w:rFonts w:ascii="Arial" w:cs="Arial" w:eastAsia="Arial" w:hAnsi="Arial"/>
                <w:sz w:val="29"/>
                <w:szCs w:val="29"/>
                <w:color w:val="auto"/>
              </w:rPr>
              <w:t>/</w:t>
            </w: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8"/>
        </w:trPr>
        <w:tc>
          <w:tcPr>
            <w:tcW w:w="10440" w:type="dxa"/>
            <w:vAlign w:val="bottom"/>
          </w:tcPr>
          <w:p>
            <w:pPr>
              <w:ind w:left="60"/>
              <w:spacing w:after="0"/>
              <w:rPr>
                <w:sz w:val="20"/>
                <w:szCs w:val="20"/>
                <w:color w:val="auto"/>
              </w:rPr>
            </w:pPr>
            <w:r>
              <w:rPr>
                <w:rFonts w:ascii="Arial" w:cs="Arial" w:eastAsia="Arial" w:hAnsi="Arial"/>
                <w:sz w:val="16"/>
                <w:szCs w:val="16"/>
                <w:color w:val="auto"/>
              </w:rPr>
              <w:t>Experience with innovative technology, digital content or enterprise technology-driven issues such as privacy, cybersecurity, data management,</w:t>
            </w: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04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and the regulatory landscape surrounding technological development.</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0440" w:type="dxa"/>
            <w:vAlign w:val="bottom"/>
          </w:tcPr>
          <w:p>
            <w:pPr>
              <w:ind w:left="60"/>
              <w:spacing w:after="0"/>
              <w:rPr>
                <w:sz w:val="20"/>
                <w:szCs w:val="20"/>
                <w:color w:val="auto"/>
              </w:rPr>
            </w:pPr>
            <w:r>
              <w:rPr>
                <w:rFonts w:ascii="Arial" w:cs="Arial" w:eastAsia="Arial" w:hAnsi="Arial"/>
                <w:sz w:val="18"/>
                <w:szCs w:val="18"/>
                <w:b w:val="1"/>
                <w:bCs w:val="1"/>
                <w:color w:val="auto"/>
              </w:rPr>
              <w:t>CORPORATE, ENVIRONMENTAL AND SOCIAL AFFAIRS</w:t>
            </w:r>
          </w:p>
        </w:tc>
        <w:tc>
          <w:tcPr>
            <w:tcW w:w="800" w:type="dxa"/>
            <w:vAlign w:val="bottom"/>
            <w:vMerge w:val="restart"/>
          </w:tcPr>
          <w:p>
            <w:pPr>
              <w:jc w:val="right"/>
              <w:spacing w:after="0"/>
              <w:rPr>
                <w:sz w:val="20"/>
                <w:szCs w:val="20"/>
                <w:color w:val="auto"/>
              </w:rPr>
            </w:pPr>
            <w:r>
              <w:rPr>
                <w:rFonts w:ascii="Arial" w:cs="Arial" w:eastAsia="Arial" w:hAnsi="Arial"/>
                <w:sz w:val="29"/>
                <w:szCs w:val="29"/>
                <w:b w:val="1"/>
                <w:bCs w:val="1"/>
                <w:color w:val="auto"/>
              </w:rPr>
              <w:t>9</w:t>
            </w:r>
            <w:r>
              <w:rPr>
                <w:rFonts w:ascii="Arial" w:cs="Arial" w:eastAsia="Arial" w:hAnsi="Arial"/>
                <w:sz w:val="29"/>
                <w:szCs w:val="29"/>
                <w:color w:val="auto"/>
              </w:rPr>
              <w:t>/</w:t>
            </w: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8"/>
        </w:trPr>
        <w:tc>
          <w:tcPr>
            <w:tcW w:w="10440" w:type="dxa"/>
            <w:vAlign w:val="bottom"/>
          </w:tcPr>
          <w:p>
            <w:pPr>
              <w:ind w:left="60"/>
              <w:spacing w:after="0"/>
              <w:rPr>
                <w:sz w:val="20"/>
                <w:szCs w:val="20"/>
                <w:color w:val="auto"/>
              </w:rPr>
            </w:pPr>
            <w:r>
              <w:rPr>
                <w:rFonts w:ascii="Arial" w:cs="Arial" w:eastAsia="Arial" w:hAnsi="Arial"/>
                <w:sz w:val="16"/>
                <w:szCs w:val="16"/>
                <w:color w:val="auto"/>
              </w:rPr>
              <w:t>Experience in corporate affairs, philanthropy, community development, diversity, environmental, corporate and social responsibility and/or in</w:t>
            </w: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4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investor relations.</w:t>
            </w:r>
          </w:p>
        </w:tc>
        <w:tc>
          <w:tcPr>
            <w:tcW w:w="8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0400" w:type="dxa"/>
            <w:vAlign w:val="bottom"/>
          </w:tcPr>
          <w:p>
            <w:pPr>
              <w:ind w:left="60"/>
              <w:spacing w:after="0"/>
              <w:rPr>
                <w:sz w:val="20"/>
                <w:szCs w:val="20"/>
                <w:color w:val="auto"/>
              </w:rPr>
            </w:pPr>
            <w:r>
              <w:rPr>
                <w:rFonts w:ascii="Arial" w:cs="Arial" w:eastAsia="Arial" w:hAnsi="Arial"/>
                <w:sz w:val="18"/>
                <w:szCs w:val="18"/>
                <w:b w:val="1"/>
                <w:bCs w:val="1"/>
                <w:color w:val="auto"/>
              </w:rPr>
              <w:t>HUMAN CAPITAL MANAGEMENT/EXECUTIVE COMPENSATION</w:t>
            </w:r>
          </w:p>
        </w:tc>
        <w:tc>
          <w:tcPr>
            <w:tcW w:w="840" w:type="dxa"/>
            <w:vAlign w:val="bottom"/>
            <w:vMerge w:val="restart"/>
          </w:tcPr>
          <w:p>
            <w:pPr>
              <w:jc w:val="right"/>
              <w:spacing w:after="0"/>
              <w:rPr>
                <w:sz w:val="20"/>
                <w:szCs w:val="20"/>
                <w:color w:val="auto"/>
              </w:rPr>
            </w:pPr>
            <w:r>
              <w:rPr>
                <w:rFonts w:ascii="Arial" w:cs="Arial" w:eastAsia="Arial" w:hAnsi="Arial"/>
                <w:sz w:val="29"/>
                <w:szCs w:val="29"/>
                <w:b w:val="1"/>
                <w:bCs w:val="1"/>
                <w:color w:val="auto"/>
              </w:rPr>
              <w:t>9</w:t>
            </w:r>
            <w:r>
              <w:rPr>
                <w:rFonts w:ascii="Arial" w:cs="Arial" w:eastAsia="Arial" w:hAnsi="Arial"/>
                <w:sz w:val="29"/>
                <w:szCs w:val="29"/>
                <w:color w:val="auto"/>
              </w:rPr>
              <w:t>/</w:t>
            </w:r>
            <w:r>
              <w:rPr>
                <w:rFonts w:ascii="Arial" w:cs="Arial" w:eastAsia="Arial" w:hAnsi="Arial"/>
                <w:sz w:val="16"/>
                <w:szCs w:val="16"/>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0400" w:type="dxa"/>
            <w:vAlign w:val="bottom"/>
          </w:tcPr>
          <w:p>
            <w:pPr>
              <w:ind w:left="60"/>
              <w:spacing w:after="0"/>
              <w:rPr>
                <w:sz w:val="20"/>
                <w:szCs w:val="20"/>
                <w:color w:val="auto"/>
              </w:rPr>
            </w:pPr>
            <w:r>
              <w:rPr>
                <w:rFonts w:ascii="Arial" w:cs="Arial" w:eastAsia="Arial" w:hAnsi="Arial"/>
                <w:sz w:val="16"/>
                <w:szCs w:val="16"/>
                <w:color w:val="auto"/>
              </w:rPr>
              <w:t>Experience with making executive compensation decisions, including understanding the regulatory and financial considerations to take into</w:t>
            </w:r>
          </w:p>
        </w:tc>
        <w:tc>
          <w:tcPr>
            <w:tcW w:w="8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10400" w:type="dxa"/>
            <w:vAlign w:val="bottom"/>
            <w:vMerge w:val="restart"/>
          </w:tcPr>
          <w:p>
            <w:pPr>
              <w:ind w:left="60"/>
              <w:spacing w:after="0"/>
              <w:rPr>
                <w:sz w:val="20"/>
                <w:szCs w:val="20"/>
                <w:color w:val="auto"/>
              </w:rPr>
            </w:pPr>
            <w:r>
              <w:rPr>
                <w:rFonts w:ascii="Arial" w:cs="Arial" w:eastAsia="Arial" w:hAnsi="Arial"/>
                <w:sz w:val="16"/>
                <w:szCs w:val="16"/>
                <w:color w:val="auto"/>
              </w:rPr>
              <w:t>account when making such decisions, and human capital management, including issues relating to succession planning; talent development,</w:t>
            </w:r>
          </w:p>
        </w:tc>
        <w:tc>
          <w:tcPr>
            <w:tcW w:w="8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
        </w:trPr>
        <w:tc>
          <w:tcPr>
            <w:tcW w:w="1040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104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including performance reviews of executives; diversity, equity and inclusion; and culture.</w:t>
            </w:r>
          </w:p>
        </w:tc>
        <w:tc>
          <w:tcPr>
            <w:tcW w:w="8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8"/>
        </w:trPr>
        <w:tc>
          <w:tcPr>
            <w:tcW w:w="1040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7144385</wp:posOffset>
            </wp:positionH>
            <wp:positionV relativeFrom="paragraph">
              <wp:posOffset>-13970</wp:posOffset>
            </wp:positionV>
            <wp:extent cx="127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2" w:name="page23"/>
    <w:bookmarkEnd w:id="22"/>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00" w:type="dxa"/>
            <w:vAlign w:val="bottom"/>
            <w:tcBorders>
              <w:right w:val="single" w:sz="8" w:color="16479F"/>
            </w:tcBorders>
          </w:tcPr>
          <w:p>
            <w:pPr>
              <w:ind w:left="100"/>
              <w:spacing w:after="0"/>
              <w:rPr>
                <w:sz w:val="20"/>
                <w:szCs w:val="20"/>
                <w:color w:val="auto"/>
              </w:rPr>
            </w:pPr>
            <w:r>
              <w:rPr>
                <w:rFonts w:ascii="Arial" w:cs="Arial" w:eastAsia="Arial" w:hAnsi="Arial"/>
                <w:sz w:val="14"/>
                <w:szCs w:val="14"/>
                <w:b w:val="1"/>
                <w:bCs w:val="1"/>
                <w:color w:val="16479F"/>
              </w:rPr>
              <w:t>22</w:t>
            </w:r>
          </w:p>
        </w:tc>
        <w:tc>
          <w:tcPr>
            <w:tcW w:w="60" w:type="dxa"/>
            <w:vAlign w:val="bottom"/>
          </w:tcPr>
          <w:p>
            <w:pPr>
              <w:spacing w:after="0"/>
              <w:rPr>
                <w:sz w:val="22"/>
                <w:szCs w:val="22"/>
                <w:color w:val="auto"/>
              </w:rPr>
            </w:pPr>
          </w:p>
        </w:tc>
        <w:tc>
          <w:tcPr>
            <w:tcW w:w="4060" w:type="dxa"/>
            <w:vAlign w:val="bottom"/>
          </w:tcPr>
          <w:p>
            <w:pPr>
              <w:ind w:left="40"/>
              <w:spacing w:after="0"/>
              <w:rPr>
                <w:sz w:val="20"/>
                <w:szCs w:val="20"/>
                <w:color w:val="auto"/>
              </w:rPr>
            </w:pPr>
            <w:r>
              <w:rPr>
                <w:rFonts w:ascii="Arial" w:cs="Arial" w:eastAsia="Arial" w:hAnsi="Arial"/>
                <w:sz w:val="14"/>
                <w:szCs w:val="14"/>
                <w:b w:val="1"/>
                <w:bCs w:val="1"/>
                <w:color w:val="16479F"/>
              </w:rPr>
              <w:t>MSCI  |  PROPOSAL NO. 1: ELECTION OF DIRECTORS</w:t>
            </w: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65"/>
        </w:trPr>
        <w:tc>
          <w:tcPr>
            <w:tcW w:w="700" w:type="dxa"/>
            <w:vAlign w:val="bottom"/>
            <w:tcBorders>
              <w:bottom w:val="single" w:sz="8" w:color="16479F"/>
              <w:right w:val="single" w:sz="8" w:color="16479F"/>
            </w:tcBorders>
          </w:tcPr>
          <w:p>
            <w:pPr>
              <w:spacing w:after="0"/>
              <w:rPr>
                <w:sz w:val="5"/>
                <w:szCs w:val="5"/>
                <w:color w:val="auto"/>
              </w:rPr>
            </w:pPr>
          </w:p>
        </w:tc>
        <w:tc>
          <w:tcPr>
            <w:tcW w:w="4120" w:type="dxa"/>
            <w:vAlign w:val="bottom"/>
            <w:tcBorders>
              <w:bottom w:val="single" w:sz="8" w:color="16479F"/>
            </w:tcBorders>
            <w:gridSpan w:val="2"/>
          </w:tcPr>
          <w:p>
            <w:pPr>
              <w:spacing w:after="0"/>
              <w:rPr>
                <w:sz w:val="5"/>
                <w:szCs w:val="5"/>
                <w:color w:val="auto"/>
              </w:rPr>
            </w:pPr>
          </w:p>
        </w:tc>
        <w:tc>
          <w:tcPr>
            <w:tcW w:w="680" w:type="dxa"/>
            <w:vAlign w:val="bottom"/>
            <w:tcBorders>
              <w:bottom w:val="single" w:sz="8" w:color="16479F"/>
            </w:tcBorders>
          </w:tcPr>
          <w:p>
            <w:pPr>
              <w:spacing w:after="0"/>
              <w:rPr>
                <w:sz w:val="5"/>
                <w:szCs w:val="5"/>
                <w:color w:val="auto"/>
              </w:rPr>
            </w:pPr>
          </w:p>
        </w:tc>
        <w:tc>
          <w:tcPr>
            <w:tcW w:w="800" w:type="dxa"/>
            <w:vAlign w:val="bottom"/>
            <w:tcBorders>
              <w:bottom w:val="single" w:sz="8" w:color="16479F"/>
            </w:tcBorders>
          </w:tcPr>
          <w:p>
            <w:pPr>
              <w:spacing w:after="0"/>
              <w:rPr>
                <w:sz w:val="5"/>
                <w:szCs w:val="5"/>
                <w:color w:val="auto"/>
              </w:rPr>
            </w:pPr>
          </w:p>
        </w:tc>
        <w:tc>
          <w:tcPr>
            <w:tcW w:w="880" w:type="dxa"/>
            <w:vAlign w:val="bottom"/>
            <w:tcBorders>
              <w:bottom w:val="single" w:sz="8" w:color="16479F"/>
            </w:tcBorders>
          </w:tcPr>
          <w:p>
            <w:pPr>
              <w:spacing w:after="0"/>
              <w:rPr>
                <w:sz w:val="5"/>
                <w:szCs w:val="5"/>
                <w:color w:val="auto"/>
              </w:rPr>
            </w:pPr>
          </w:p>
        </w:tc>
        <w:tc>
          <w:tcPr>
            <w:tcW w:w="620" w:type="dxa"/>
            <w:vAlign w:val="bottom"/>
            <w:tcBorders>
              <w:bottom w:val="single" w:sz="8" w:color="16479F"/>
            </w:tcBorders>
          </w:tcPr>
          <w:p>
            <w:pPr>
              <w:spacing w:after="0"/>
              <w:rPr>
                <w:sz w:val="5"/>
                <w:szCs w:val="5"/>
                <w:color w:val="auto"/>
              </w:rPr>
            </w:pPr>
          </w:p>
        </w:tc>
        <w:tc>
          <w:tcPr>
            <w:tcW w:w="580" w:type="dxa"/>
            <w:vAlign w:val="bottom"/>
            <w:tcBorders>
              <w:bottom w:val="single" w:sz="8" w:color="16479F"/>
            </w:tcBorders>
          </w:tcPr>
          <w:p>
            <w:pPr>
              <w:spacing w:after="0"/>
              <w:rPr>
                <w:sz w:val="5"/>
                <w:szCs w:val="5"/>
                <w:color w:val="auto"/>
              </w:rPr>
            </w:pPr>
          </w:p>
        </w:tc>
        <w:tc>
          <w:tcPr>
            <w:tcW w:w="640" w:type="dxa"/>
            <w:vAlign w:val="bottom"/>
            <w:tcBorders>
              <w:bottom w:val="single" w:sz="8" w:color="16479F"/>
            </w:tcBorders>
          </w:tcPr>
          <w:p>
            <w:pPr>
              <w:spacing w:after="0"/>
              <w:rPr>
                <w:sz w:val="5"/>
                <w:szCs w:val="5"/>
                <w:color w:val="auto"/>
              </w:rPr>
            </w:pPr>
          </w:p>
        </w:tc>
        <w:tc>
          <w:tcPr>
            <w:tcW w:w="600" w:type="dxa"/>
            <w:vAlign w:val="bottom"/>
            <w:tcBorders>
              <w:bottom w:val="single" w:sz="8" w:color="16479F"/>
            </w:tcBorders>
          </w:tcPr>
          <w:p>
            <w:pPr>
              <w:spacing w:after="0"/>
              <w:rPr>
                <w:sz w:val="5"/>
                <w:szCs w:val="5"/>
                <w:color w:val="auto"/>
              </w:rPr>
            </w:pPr>
          </w:p>
        </w:tc>
        <w:tc>
          <w:tcPr>
            <w:tcW w:w="540" w:type="dxa"/>
            <w:vAlign w:val="bottom"/>
            <w:tcBorders>
              <w:bottom w:val="single" w:sz="8" w:color="16479F"/>
            </w:tcBorders>
          </w:tcPr>
          <w:p>
            <w:pPr>
              <w:spacing w:after="0"/>
              <w:rPr>
                <w:sz w:val="5"/>
                <w:szCs w:val="5"/>
                <w:color w:val="auto"/>
              </w:rPr>
            </w:pPr>
          </w:p>
        </w:tc>
        <w:tc>
          <w:tcPr>
            <w:tcW w:w="580" w:type="dxa"/>
            <w:vAlign w:val="bottom"/>
            <w:tcBorders>
              <w:bottom w:val="single" w:sz="8" w:color="16479F"/>
            </w:tcBorders>
          </w:tcPr>
          <w:p>
            <w:pPr>
              <w:spacing w:after="0"/>
              <w:rPr>
                <w:sz w:val="5"/>
                <w:szCs w:val="5"/>
                <w:color w:val="auto"/>
              </w:rPr>
            </w:pPr>
          </w:p>
        </w:tc>
        <w:tc>
          <w:tcPr>
            <w:tcW w:w="500" w:type="dxa"/>
            <w:vAlign w:val="bottom"/>
            <w:tcBorders>
              <w:bottom w:val="single" w:sz="8" w:color="16479F"/>
            </w:tcBorders>
          </w:tcPr>
          <w:p>
            <w:pPr>
              <w:spacing w:after="0"/>
              <w:rPr>
                <w:sz w:val="5"/>
                <w:szCs w:val="5"/>
                <w:color w:val="auto"/>
              </w:rPr>
            </w:pPr>
          </w:p>
        </w:tc>
        <w:tc>
          <w:tcPr>
            <w:tcW w:w="20" w:type="dxa"/>
            <w:vAlign w:val="bottom"/>
          </w:tcPr>
          <w:p>
            <w:pPr>
              <w:spacing w:after="0"/>
              <w:rPr>
                <w:sz w:val="5"/>
                <w:szCs w:val="5"/>
                <w:color w:val="auto"/>
              </w:rPr>
            </w:pPr>
          </w:p>
        </w:tc>
      </w:tr>
      <w:tr>
        <w:trPr>
          <w:trHeight w:val="429"/>
        </w:trPr>
        <w:tc>
          <w:tcPr>
            <w:tcW w:w="4820" w:type="dxa"/>
            <w:vAlign w:val="bottom"/>
            <w:tcBorders>
              <w:bottom w:val="single" w:sz="8" w:color="16479F"/>
            </w:tcBorders>
            <w:gridSpan w:val="3"/>
          </w:tcPr>
          <w:p>
            <w:pPr>
              <w:ind w:left="60"/>
              <w:spacing w:after="0"/>
              <w:rPr>
                <w:sz w:val="20"/>
                <w:szCs w:val="20"/>
                <w:color w:val="auto"/>
              </w:rPr>
            </w:pPr>
            <w:r>
              <w:rPr>
                <w:rFonts w:ascii="Arial" w:cs="Arial" w:eastAsia="Arial" w:hAnsi="Arial"/>
                <w:sz w:val="14"/>
                <w:szCs w:val="14"/>
                <w:b w:val="1"/>
                <w:bCs w:val="1"/>
                <w:color w:val="auto"/>
              </w:rPr>
              <w:t>DIRECTOR CORE COMPETENCIES</w:t>
            </w:r>
          </w:p>
        </w:tc>
        <w:tc>
          <w:tcPr>
            <w:tcW w:w="680" w:type="dxa"/>
            <w:vAlign w:val="bottom"/>
            <w:tcBorders>
              <w:bottom w:val="single" w:sz="8" w:color="16479F"/>
            </w:tcBorders>
          </w:tcPr>
          <w:p>
            <w:pPr>
              <w:jc w:val="center"/>
              <w:ind w:left="120"/>
              <w:spacing w:after="0"/>
              <w:rPr>
                <w:sz w:val="20"/>
                <w:szCs w:val="20"/>
                <w:color w:val="auto"/>
              </w:rPr>
            </w:pPr>
            <w:r>
              <w:rPr>
                <w:rFonts w:ascii="Arial" w:cs="Arial" w:eastAsia="Arial" w:hAnsi="Arial"/>
                <w:sz w:val="14"/>
                <w:szCs w:val="14"/>
                <w:b w:val="1"/>
                <w:bCs w:val="1"/>
                <w:color w:val="auto"/>
              </w:rPr>
              <w:t>Ashe</w:t>
            </w:r>
          </w:p>
        </w:tc>
        <w:tc>
          <w:tcPr>
            <w:tcW w:w="800" w:type="dxa"/>
            <w:vAlign w:val="bottom"/>
            <w:tcBorders>
              <w:bottom w:val="single" w:sz="8" w:color="16479F"/>
            </w:tcBorders>
          </w:tcPr>
          <w:p>
            <w:pPr>
              <w:jc w:val="center"/>
              <w:spacing w:after="0"/>
              <w:rPr>
                <w:sz w:val="20"/>
                <w:szCs w:val="20"/>
                <w:color w:val="auto"/>
              </w:rPr>
            </w:pPr>
            <w:r>
              <w:rPr>
                <w:rFonts w:ascii="Arial" w:cs="Arial" w:eastAsia="Arial" w:hAnsi="Arial"/>
                <w:sz w:val="14"/>
                <w:szCs w:val="14"/>
                <w:b w:val="1"/>
                <w:bCs w:val="1"/>
                <w:color w:val="auto"/>
              </w:rPr>
              <w:t>Edmunds</w:t>
            </w:r>
          </w:p>
        </w:tc>
        <w:tc>
          <w:tcPr>
            <w:tcW w:w="880" w:type="dxa"/>
            <w:vAlign w:val="bottom"/>
            <w:tcBorders>
              <w:bottom w:val="single" w:sz="8" w:color="16479F"/>
            </w:tcBorders>
          </w:tcPr>
          <w:p>
            <w:pPr>
              <w:jc w:val="center"/>
              <w:spacing w:after="0"/>
              <w:rPr>
                <w:sz w:val="20"/>
                <w:szCs w:val="20"/>
                <w:color w:val="auto"/>
              </w:rPr>
            </w:pPr>
            <w:r>
              <w:rPr>
                <w:rFonts w:ascii="Arial" w:cs="Arial" w:eastAsia="Arial" w:hAnsi="Arial"/>
                <w:sz w:val="14"/>
                <w:szCs w:val="14"/>
                <w:b w:val="1"/>
                <w:bCs w:val="1"/>
                <w:color w:val="auto"/>
              </w:rPr>
              <w:t>Fernandez</w:t>
            </w:r>
          </w:p>
        </w:tc>
        <w:tc>
          <w:tcPr>
            <w:tcW w:w="620" w:type="dxa"/>
            <w:vAlign w:val="bottom"/>
            <w:tcBorders>
              <w:bottom w:val="single" w:sz="8" w:color="16479F"/>
            </w:tcBorders>
          </w:tcPr>
          <w:p>
            <w:pPr>
              <w:jc w:val="center"/>
              <w:spacing w:after="0"/>
              <w:rPr>
                <w:sz w:val="20"/>
                <w:szCs w:val="20"/>
                <w:color w:val="auto"/>
              </w:rPr>
            </w:pPr>
            <w:r>
              <w:rPr>
                <w:rFonts w:ascii="Arial" w:cs="Arial" w:eastAsia="Arial" w:hAnsi="Arial"/>
                <w:sz w:val="14"/>
                <w:szCs w:val="14"/>
                <w:b w:val="1"/>
                <w:bCs w:val="1"/>
                <w:color w:val="auto"/>
                <w:w w:val="98"/>
              </w:rPr>
              <w:t>Kinney</w:t>
            </w:r>
          </w:p>
        </w:tc>
        <w:tc>
          <w:tcPr>
            <w:tcW w:w="580" w:type="dxa"/>
            <w:vAlign w:val="bottom"/>
            <w:tcBorders>
              <w:bottom w:val="single" w:sz="8" w:color="16479F"/>
            </w:tcBorders>
          </w:tcPr>
          <w:p>
            <w:pPr>
              <w:jc w:val="center"/>
              <w:spacing w:after="0"/>
              <w:rPr>
                <w:sz w:val="20"/>
                <w:szCs w:val="20"/>
                <w:color w:val="auto"/>
              </w:rPr>
            </w:pPr>
            <w:r>
              <w:rPr>
                <w:rFonts w:ascii="Arial" w:cs="Arial" w:eastAsia="Arial" w:hAnsi="Arial"/>
                <w:sz w:val="14"/>
                <w:szCs w:val="14"/>
                <w:b w:val="1"/>
                <w:bCs w:val="1"/>
                <w:color w:val="auto"/>
              </w:rPr>
              <w:t>Perold</w:t>
            </w:r>
          </w:p>
        </w:tc>
        <w:tc>
          <w:tcPr>
            <w:tcW w:w="640" w:type="dxa"/>
            <w:vAlign w:val="bottom"/>
            <w:tcBorders>
              <w:bottom w:val="single" w:sz="8" w:color="16479F"/>
            </w:tcBorders>
          </w:tcPr>
          <w:p>
            <w:pPr>
              <w:jc w:val="center"/>
              <w:spacing w:after="0"/>
              <w:rPr>
                <w:sz w:val="20"/>
                <w:szCs w:val="20"/>
                <w:color w:val="auto"/>
              </w:rPr>
            </w:pPr>
            <w:r>
              <w:rPr>
                <w:rFonts w:ascii="Arial" w:cs="Arial" w:eastAsia="Arial" w:hAnsi="Arial"/>
                <w:sz w:val="14"/>
                <w:szCs w:val="14"/>
                <w:b w:val="1"/>
                <w:bCs w:val="1"/>
                <w:color w:val="auto"/>
                <w:w w:val="99"/>
              </w:rPr>
              <w:t>Rattray</w:t>
            </w:r>
          </w:p>
        </w:tc>
        <w:tc>
          <w:tcPr>
            <w:tcW w:w="600" w:type="dxa"/>
            <w:vAlign w:val="bottom"/>
            <w:tcBorders>
              <w:bottom w:val="single" w:sz="8" w:color="16479F"/>
            </w:tcBorders>
          </w:tcPr>
          <w:p>
            <w:pPr>
              <w:jc w:val="center"/>
              <w:spacing w:after="0"/>
              <w:rPr>
                <w:sz w:val="20"/>
                <w:szCs w:val="20"/>
                <w:color w:val="auto"/>
              </w:rPr>
            </w:pPr>
            <w:r>
              <w:rPr>
                <w:rFonts w:ascii="Arial" w:cs="Arial" w:eastAsia="Arial" w:hAnsi="Arial"/>
                <w:sz w:val="14"/>
                <w:szCs w:val="14"/>
                <w:b w:val="1"/>
                <w:bCs w:val="1"/>
                <w:color w:val="auto"/>
              </w:rPr>
              <w:t>Riefler</w:t>
            </w:r>
          </w:p>
        </w:tc>
        <w:tc>
          <w:tcPr>
            <w:tcW w:w="540" w:type="dxa"/>
            <w:vAlign w:val="bottom"/>
            <w:tcBorders>
              <w:bottom w:val="single" w:sz="8" w:color="16479F"/>
            </w:tcBorders>
          </w:tcPr>
          <w:p>
            <w:pPr>
              <w:jc w:val="center"/>
              <w:spacing w:after="0"/>
              <w:rPr>
                <w:sz w:val="20"/>
                <w:szCs w:val="20"/>
                <w:color w:val="auto"/>
              </w:rPr>
            </w:pPr>
            <w:r>
              <w:rPr>
                <w:rFonts w:ascii="Arial" w:cs="Arial" w:eastAsia="Arial" w:hAnsi="Arial"/>
                <w:sz w:val="14"/>
                <w:szCs w:val="14"/>
                <w:b w:val="1"/>
                <w:bCs w:val="1"/>
                <w:color w:val="auto"/>
              </w:rPr>
              <w:t>Smith</w:t>
            </w:r>
          </w:p>
        </w:tc>
        <w:tc>
          <w:tcPr>
            <w:tcW w:w="580" w:type="dxa"/>
            <w:vAlign w:val="bottom"/>
            <w:tcBorders>
              <w:bottom w:val="single" w:sz="8" w:color="16479F"/>
            </w:tcBorders>
          </w:tcPr>
          <w:p>
            <w:pPr>
              <w:jc w:val="center"/>
              <w:spacing w:after="0"/>
              <w:rPr>
                <w:sz w:val="20"/>
                <w:szCs w:val="20"/>
                <w:color w:val="auto"/>
              </w:rPr>
            </w:pPr>
            <w:r>
              <w:rPr>
                <w:rFonts w:ascii="Arial" w:cs="Arial" w:eastAsia="Arial" w:hAnsi="Arial"/>
                <w:sz w:val="14"/>
                <w:szCs w:val="14"/>
                <w:b w:val="1"/>
                <w:bCs w:val="1"/>
                <w:color w:val="auto"/>
                <w:w w:val="99"/>
              </w:rPr>
              <w:t>Taneja</w:t>
            </w:r>
          </w:p>
        </w:tc>
        <w:tc>
          <w:tcPr>
            <w:tcW w:w="500" w:type="dxa"/>
            <w:vAlign w:val="bottom"/>
            <w:tcBorders>
              <w:bottom w:val="single" w:sz="8" w:color="16479F"/>
            </w:tcBorders>
          </w:tcPr>
          <w:p>
            <w:pPr>
              <w:jc w:val="center"/>
              <w:spacing w:after="0"/>
              <w:rPr>
                <w:sz w:val="20"/>
                <w:szCs w:val="20"/>
                <w:color w:val="auto"/>
              </w:rPr>
            </w:pPr>
            <w:r>
              <w:rPr>
                <w:rFonts w:ascii="Arial" w:cs="Arial" w:eastAsia="Arial" w:hAnsi="Arial"/>
                <w:sz w:val="14"/>
                <w:szCs w:val="14"/>
                <w:b w:val="1"/>
                <w:bCs w:val="1"/>
                <w:color w:val="auto"/>
              </w:rPr>
              <w:t>Volent</w:t>
            </w:r>
          </w:p>
        </w:tc>
        <w:tc>
          <w:tcPr>
            <w:tcW w:w="20" w:type="dxa"/>
            <w:vAlign w:val="bottom"/>
          </w:tcPr>
          <w:p>
            <w:pPr>
              <w:spacing w:after="0"/>
              <w:rPr>
                <w:sz w:val="24"/>
                <w:szCs w:val="24"/>
                <w:color w:val="auto"/>
              </w:rPr>
            </w:pPr>
          </w:p>
        </w:tc>
      </w:tr>
      <w:tr>
        <w:trPr>
          <w:trHeight w:val="234"/>
        </w:trPr>
        <w:tc>
          <w:tcPr>
            <w:tcW w:w="4820" w:type="dxa"/>
            <w:vAlign w:val="bottom"/>
            <w:tcBorders>
              <w:bottom w:val="single" w:sz="8" w:color="16479F"/>
            </w:tcBorders>
            <w:gridSpan w:val="3"/>
          </w:tcPr>
          <w:p>
            <w:pPr>
              <w:ind w:left="60"/>
              <w:spacing w:after="0"/>
              <w:rPr>
                <w:sz w:val="20"/>
                <w:szCs w:val="20"/>
                <w:color w:val="auto"/>
              </w:rPr>
            </w:pPr>
            <w:r>
              <w:rPr>
                <w:rFonts w:ascii="Arial" w:cs="Arial" w:eastAsia="Arial" w:hAnsi="Arial"/>
                <w:sz w:val="16"/>
                <w:szCs w:val="16"/>
                <w:b w:val="1"/>
                <w:bCs w:val="1"/>
                <w:color w:val="auto"/>
              </w:rPr>
              <w:t>Executive Leadership</w:t>
            </w:r>
          </w:p>
        </w:tc>
        <w:tc>
          <w:tcPr>
            <w:tcW w:w="680" w:type="dxa"/>
            <w:vAlign w:val="bottom"/>
            <w:tcBorders>
              <w:bottom w:val="single" w:sz="8" w:color="16479F"/>
            </w:tcBorders>
          </w:tcPr>
          <w:p>
            <w:pPr>
              <w:jc w:val="center"/>
              <w:ind w:left="140"/>
              <w:spacing w:after="0"/>
              <w:rPr>
                <w:sz w:val="20"/>
                <w:szCs w:val="20"/>
                <w:color w:val="auto"/>
              </w:rPr>
            </w:pPr>
            <w:r>
              <w:rPr>
                <w:rFonts w:ascii="Arial" w:cs="Arial" w:eastAsia="Arial" w:hAnsi="Arial"/>
                <w:sz w:val="16"/>
                <w:szCs w:val="16"/>
                <w:color w:val="16479F"/>
              </w:rPr>
              <w:t>●</w:t>
            </w:r>
          </w:p>
        </w:tc>
        <w:tc>
          <w:tcPr>
            <w:tcW w:w="80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w w:val="82"/>
              </w:rPr>
              <w:t>●</w:t>
            </w:r>
          </w:p>
        </w:tc>
        <w:tc>
          <w:tcPr>
            <w:tcW w:w="88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rPr>
              <w:t>●</w:t>
            </w:r>
          </w:p>
        </w:tc>
        <w:tc>
          <w:tcPr>
            <w:tcW w:w="62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rPr>
              <w:t>●</w:t>
            </w:r>
          </w:p>
        </w:tc>
        <w:tc>
          <w:tcPr>
            <w:tcW w:w="58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w w:val="82"/>
              </w:rPr>
              <w:t>●</w:t>
            </w:r>
          </w:p>
        </w:tc>
        <w:tc>
          <w:tcPr>
            <w:tcW w:w="64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rPr>
              <w:t>●</w:t>
            </w:r>
          </w:p>
        </w:tc>
        <w:tc>
          <w:tcPr>
            <w:tcW w:w="60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rPr>
              <w:t>●</w:t>
            </w:r>
          </w:p>
        </w:tc>
        <w:tc>
          <w:tcPr>
            <w:tcW w:w="540" w:type="dxa"/>
            <w:vAlign w:val="bottom"/>
            <w:tcBorders>
              <w:bottom w:val="single" w:sz="8" w:color="16479F"/>
            </w:tcBorders>
          </w:tcPr>
          <w:p>
            <w:pPr>
              <w:spacing w:after="0"/>
              <w:rPr>
                <w:sz w:val="20"/>
                <w:szCs w:val="20"/>
                <w:color w:val="auto"/>
              </w:rPr>
            </w:pPr>
          </w:p>
        </w:tc>
        <w:tc>
          <w:tcPr>
            <w:tcW w:w="58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rPr>
              <w:t>●</w:t>
            </w:r>
          </w:p>
        </w:tc>
        <w:tc>
          <w:tcPr>
            <w:tcW w:w="500" w:type="dxa"/>
            <w:vAlign w:val="bottom"/>
            <w:tcBorders>
              <w:bottom w:val="single" w:sz="8" w:color="16479F"/>
            </w:tcBorders>
          </w:tcPr>
          <w:p>
            <w:pPr>
              <w:spacing w:after="0"/>
              <w:rPr>
                <w:sz w:val="20"/>
                <w:szCs w:val="20"/>
                <w:color w:val="auto"/>
              </w:rPr>
            </w:pPr>
          </w:p>
        </w:tc>
        <w:tc>
          <w:tcPr>
            <w:tcW w:w="20" w:type="dxa"/>
            <w:vAlign w:val="bottom"/>
          </w:tcPr>
          <w:p>
            <w:pPr>
              <w:spacing w:after="0"/>
              <w:rPr>
                <w:sz w:val="20"/>
                <w:szCs w:val="20"/>
                <w:color w:val="auto"/>
              </w:rPr>
            </w:pPr>
          </w:p>
        </w:tc>
      </w:tr>
      <w:tr>
        <w:trPr>
          <w:trHeight w:val="234"/>
        </w:trPr>
        <w:tc>
          <w:tcPr>
            <w:tcW w:w="4820" w:type="dxa"/>
            <w:vAlign w:val="bottom"/>
            <w:tcBorders>
              <w:bottom w:val="single" w:sz="8" w:color="16479F"/>
            </w:tcBorders>
            <w:gridSpan w:val="3"/>
          </w:tcPr>
          <w:p>
            <w:pPr>
              <w:ind w:left="60"/>
              <w:spacing w:after="0"/>
              <w:rPr>
                <w:sz w:val="20"/>
                <w:szCs w:val="20"/>
                <w:color w:val="auto"/>
              </w:rPr>
            </w:pPr>
            <w:r>
              <w:rPr>
                <w:rFonts w:ascii="Arial" w:cs="Arial" w:eastAsia="Arial" w:hAnsi="Arial"/>
                <w:sz w:val="16"/>
                <w:szCs w:val="16"/>
                <w:b w:val="1"/>
                <w:bCs w:val="1"/>
                <w:color w:val="auto"/>
              </w:rPr>
              <w:t>Governance/Public Company Board</w:t>
            </w:r>
          </w:p>
        </w:tc>
        <w:tc>
          <w:tcPr>
            <w:tcW w:w="680" w:type="dxa"/>
            <w:vAlign w:val="bottom"/>
            <w:tcBorders>
              <w:bottom w:val="single" w:sz="8" w:color="16479F"/>
            </w:tcBorders>
          </w:tcPr>
          <w:p>
            <w:pPr>
              <w:jc w:val="center"/>
              <w:ind w:left="140"/>
              <w:spacing w:after="0"/>
              <w:rPr>
                <w:sz w:val="20"/>
                <w:szCs w:val="20"/>
                <w:color w:val="auto"/>
              </w:rPr>
            </w:pPr>
            <w:r>
              <w:rPr>
                <w:rFonts w:ascii="Arial" w:cs="Arial" w:eastAsia="Arial" w:hAnsi="Arial"/>
                <w:sz w:val="16"/>
                <w:szCs w:val="16"/>
                <w:color w:val="16479F"/>
              </w:rPr>
              <w:t>●</w:t>
            </w:r>
          </w:p>
        </w:tc>
        <w:tc>
          <w:tcPr>
            <w:tcW w:w="80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w w:val="82"/>
              </w:rPr>
              <w:t>●</w:t>
            </w:r>
          </w:p>
        </w:tc>
        <w:tc>
          <w:tcPr>
            <w:tcW w:w="88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rPr>
              <w:t>●</w:t>
            </w:r>
          </w:p>
        </w:tc>
        <w:tc>
          <w:tcPr>
            <w:tcW w:w="62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rPr>
              <w:t>●</w:t>
            </w:r>
          </w:p>
        </w:tc>
        <w:tc>
          <w:tcPr>
            <w:tcW w:w="58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w w:val="82"/>
              </w:rPr>
              <w:t>●</w:t>
            </w:r>
          </w:p>
        </w:tc>
        <w:tc>
          <w:tcPr>
            <w:tcW w:w="640" w:type="dxa"/>
            <w:vAlign w:val="bottom"/>
            <w:tcBorders>
              <w:bottom w:val="single" w:sz="8" w:color="16479F"/>
            </w:tcBorders>
          </w:tcPr>
          <w:p>
            <w:pPr>
              <w:spacing w:after="0"/>
              <w:rPr>
                <w:sz w:val="20"/>
                <w:szCs w:val="20"/>
                <w:color w:val="auto"/>
              </w:rPr>
            </w:pPr>
          </w:p>
        </w:tc>
        <w:tc>
          <w:tcPr>
            <w:tcW w:w="60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rPr>
              <w:t>●</w:t>
            </w:r>
          </w:p>
        </w:tc>
        <w:tc>
          <w:tcPr>
            <w:tcW w:w="54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rPr>
              <w:t>●</w:t>
            </w:r>
          </w:p>
        </w:tc>
        <w:tc>
          <w:tcPr>
            <w:tcW w:w="58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rPr>
              <w:t>●</w:t>
            </w:r>
          </w:p>
        </w:tc>
        <w:tc>
          <w:tcPr>
            <w:tcW w:w="500" w:type="dxa"/>
            <w:vAlign w:val="bottom"/>
            <w:tcBorders>
              <w:bottom w:val="single" w:sz="8" w:color="16479F"/>
            </w:tcBorders>
          </w:tcPr>
          <w:p>
            <w:pPr>
              <w:spacing w:after="0"/>
              <w:rPr>
                <w:sz w:val="20"/>
                <w:szCs w:val="20"/>
                <w:color w:val="auto"/>
              </w:rPr>
            </w:pPr>
          </w:p>
        </w:tc>
        <w:tc>
          <w:tcPr>
            <w:tcW w:w="20" w:type="dxa"/>
            <w:vAlign w:val="bottom"/>
          </w:tcPr>
          <w:p>
            <w:pPr>
              <w:spacing w:after="0"/>
              <w:rPr>
                <w:sz w:val="20"/>
                <w:szCs w:val="20"/>
                <w:color w:val="auto"/>
              </w:rPr>
            </w:pPr>
          </w:p>
        </w:tc>
      </w:tr>
      <w:tr>
        <w:trPr>
          <w:trHeight w:val="234"/>
        </w:trPr>
        <w:tc>
          <w:tcPr>
            <w:tcW w:w="4820" w:type="dxa"/>
            <w:vAlign w:val="bottom"/>
            <w:tcBorders>
              <w:bottom w:val="single" w:sz="8" w:color="16479F"/>
            </w:tcBorders>
            <w:gridSpan w:val="3"/>
          </w:tcPr>
          <w:p>
            <w:pPr>
              <w:ind w:left="60"/>
              <w:spacing w:after="0"/>
              <w:rPr>
                <w:sz w:val="20"/>
                <w:szCs w:val="20"/>
                <w:color w:val="auto"/>
              </w:rPr>
            </w:pPr>
            <w:r>
              <w:rPr>
                <w:rFonts w:ascii="Arial" w:cs="Arial" w:eastAsia="Arial" w:hAnsi="Arial"/>
                <w:sz w:val="16"/>
                <w:szCs w:val="16"/>
                <w:b w:val="1"/>
                <w:bCs w:val="1"/>
                <w:color w:val="auto"/>
              </w:rPr>
              <w:t>Industry Experience</w:t>
            </w:r>
          </w:p>
        </w:tc>
        <w:tc>
          <w:tcPr>
            <w:tcW w:w="680" w:type="dxa"/>
            <w:vAlign w:val="bottom"/>
            <w:tcBorders>
              <w:bottom w:val="single" w:sz="8" w:color="16479F"/>
            </w:tcBorders>
          </w:tcPr>
          <w:p>
            <w:pPr>
              <w:spacing w:after="0"/>
              <w:rPr>
                <w:sz w:val="20"/>
                <w:szCs w:val="20"/>
                <w:color w:val="auto"/>
              </w:rPr>
            </w:pPr>
          </w:p>
        </w:tc>
        <w:tc>
          <w:tcPr>
            <w:tcW w:w="80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w w:val="82"/>
              </w:rPr>
              <w:t>●</w:t>
            </w:r>
          </w:p>
        </w:tc>
        <w:tc>
          <w:tcPr>
            <w:tcW w:w="88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rPr>
              <w:t>●</w:t>
            </w:r>
          </w:p>
        </w:tc>
        <w:tc>
          <w:tcPr>
            <w:tcW w:w="62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rPr>
              <w:t>●</w:t>
            </w:r>
          </w:p>
        </w:tc>
        <w:tc>
          <w:tcPr>
            <w:tcW w:w="58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w w:val="82"/>
              </w:rPr>
              <w:t>●</w:t>
            </w:r>
          </w:p>
        </w:tc>
        <w:tc>
          <w:tcPr>
            <w:tcW w:w="64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rPr>
              <w:t>●</w:t>
            </w:r>
          </w:p>
        </w:tc>
        <w:tc>
          <w:tcPr>
            <w:tcW w:w="60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rPr>
              <w:t>●</w:t>
            </w:r>
          </w:p>
        </w:tc>
        <w:tc>
          <w:tcPr>
            <w:tcW w:w="54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rPr>
              <w:t>●</w:t>
            </w:r>
          </w:p>
        </w:tc>
        <w:tc>
          <w:tcPr>
            <w:tcW w:w="580" w:type="dxa"/>
            <w:vAlign w:val="bottom"/>
            <w:tcBorders>
              <w:bottom w:val="single" w:sz="8" w:color="16479F"/>
            </w:tcBorders>
          </w:tcPr>
          <w:p>
            <w:pPr>
              <w:spacing w:after="0"/>
              <w:rPr>
                <w:sz w:val="20"/>
                <w:szCs w:val="20"/>
                <w:color w:val="auto"/>
              </w:rPr>
            </w:pPr>
          </w:p>
        </w:tc>
        <w:tc>
          <w:tcPr>
            <w:tcW w:w="50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w w:val="82"/>
              </w:rPr>
              <w:t>●</w:t>
            </w:r>
          </w:p>
        </w:tc>
        <w:tc>
          <w:tcPr>
            <w:tcW w:w="20" w:type="dxa"/>
            <w:vAlign w:val="bottom"/>
          </w:tcPr>
          <w:p>
            <w:pPr>
              <w:spacing w:after="0"/>
              <w:rPr>
                <w:sz w:val="20"/>
                <w:szCs w:val="20"/>
                <w:color w:val="auto"/>
              </w:rPr>
            </w:pPr>
          </w:p>
        </w:tc>
      </w:tr>
      <w:tr>
        <w:trPr>
          <w:trHeight w:val="234"/>
        </w:trPr>
        <w:tc>
          <w:tcPr>
            <w:tcW w:w="4820" w:type="dxa"/>
            <w:vAlign w:val="bottom"/>
            <w:tcBorders>
              <w:bottom w:val="single" w:sz="8" w:color="16479F"/>
            </w:tcBorders>
            <w:gridSpan w:val="3"/>
          </w:tcPr>
          <w:p>
            <w:pPr>
              <w:ind w:left="60"/>
              <w:spacing w:after="0"/>
              <w:rPr>
                <w:sz w:val="20"/>
                <w:szCs w:val="20"/>
                <w:color w:val="auto"/>
              </w:rPr>
            </w:pPr>
            <w:r>
              <w:rPr>
                <w:rFonts w:ascii="Arial" w:cs="Arial" w:eastAsia="Arial" w:hAnsi="Arial"/>
                <w:sz w:val="16"/>
                <w:szCs w:val="16"/>
                <w:b w:val="1"/>
                <w:bCs w:val="1"/>
                <w:color w:val="auto"/>
              </w:rPr>
              <w:t>Global Perspective/International Experience</w:t>
            </w:r>
          </w:p>
        </w:tc>
        <w:tc>
          <w:tcPr>
            <w:tcW w:w="680" w:type="dxa"/>
            <w:vAlign w:val="bottom"/>
            <w:tcBorders>
              <w:bottom w:val="single" w:sz="8" w:color="16479F"/>
            </w:tcBorders>
          </w:tcPr>
          <w:p>
            <w:pPr>
              <w:jc w:val="center"/>
              <w:ind w:left="140"/>
              <w:spacing w:after="0"/>
              <w:rPr>
                <w:sz w:val="20"/>
                <w:szCs w:val="20"/>
                <w:color w:val="auto"/>
              </w:rPr>
            </w:pPr>
            <w:r>
              <w:rPr>
                <w:rFonts w:ascii="Arial" w:cs="Arial" w:eastAsia="Arial" w:hAnsi="Arial"/>
                <w:sz w:val="16"/>
                <w:szCs w:val="16"/>
                <w:color w:val="16479F"/>
              </w:rPr>
              <w:t>●</w:t>
            </w:r>
          </w:p>
        </w:tc>
        <w:tc>
          <w:tcPr>
            <w:tcW w:w="80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w w:val="82"/>
              </w:rPr>
              <w:t>●</w:t>
            </w:r>
          </w:p>
        </w:tc>
        <w:tc>
          <w:tcPr>
            <w:tcW w:w="88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rPr>
              <w:t>●</w:t>
            </w:r>
          </w:p>
        </w:tc>
        <w:tc>
          <w:tcPr>
            <w:tcW w:w="62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rPr>
              <w:t>●</w:t>
            </w:r>
          </w:p>
        </w:tc>
        <w:tc>
          <w:tcPr>
            <w:tcW w:w="580" w:type="dxa"/>
            <w:vAlign w:val="bottom"/>
            <w:tcBorders>
              <w:bottom w:val="single" w:sz="8" w:color="16479F"/>
            </w:tcBorders>
          </w:tcPr>
          <w:p>
            <w:pPr>
              <w:spacing w:after="0"/>
              <w:rPr>
                <w:sz w:val="20"/>
                <w:szCs w:val="20"/>
                <w:color w:val="auto"/>
              </w:rPr>
            </w:pPr>
          </w:p>
        </w:tc>
        <w:tc>
          <w:tcPr>
            <w:tcW w:w="64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rPr>
              <w:t>●</w:t>
            </w:r>
          </w:p>
        </w:tc>
        <w:tc>
          <w:tcPr>
            <w:tcW w:w="60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rPr>
              <w:t>●</w:t>
            </w:r>
          </w:p>
        </w:tc>
        <w:tc>
          <w:tcPr>
            <w:tcW w:w="54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rPr>
              <w:t>●</w:t>
            </w:r>
          </w:p>
        </w:tc>
        <w:tc>
          <w:tcPr>
            <w:tcW w:w="58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rPr>
              <w:t>●</w:t>
            </w:r>
          </w:p>
        </w:tc>
        <w:tc>
          <w:tcPr>
            <w:tcW w:w="500" w:type="dxa"/>
            <w:vAlign w:val="bottom"/>
            <w:tcBorders>
              <w:bottom w:val="single" w:sz="8" w:color="16479F"/>
            </w:tcBorders>
          </w:tcPr>
          <w:p>
            <w:pPr>
              <w:spacing w:after="0"/>
              <w:rPr>
                <w:sz w:val="20"/>
                <w:szCs w:val="20"/>
                <w:color w:val="auto"/>
              </w:rPr>
            </w:pPr>
          </w:p>
        </w:tc>
        <w:tc>
          <w:tcPr>
            <w:tcW w:w="20" w:type="dxa"/>
            <w:vAlign w:val="bottom"/>
          </w:tcPr>
          <w:p>
            <w:pPr>
              <w:spacing w:after="0"/>
              <w:rPr>
                <w:sz w:val="20"/>
                <w:szCs w:val="20"/>
                <w:color w:val="auto"/>
              </w:rPr>
            </w:pPr>
          </w:p>
        </w:tc>
      </w:tr>
      <w:tr>
        <w:trPr>
          <w:trHeight w:val="234"/>
        </w:trPr>
        <w:tc>
          <w:tcPr>
            <w:tcW w:w="4820" w:type="dxa"/>
            <w:vAlign w:val="bottom"/>
            <w:tcBorders>
              <w:bottom w:val="single" w:sz="8" w:color="16479F"/>
            </w:tcBorders>
            <w:gridSpan w:val="3"/>
          </w:tcPr>
          <w:p>
            <w:pPr>
              <w:ind w:left="60"/>
              <w:spacing w:after="0"/>
              <w:rPr>
                <w:sz w:val="20"/>
                <w:szCs w:val="20"/>
                <w:color w:val="auto"/>
              </w:rPr>
            </w:pPr>
            <w:r>
              <w:rPr>
                <w:rFonts w:ascii="Arial" w:cs="Arial" w:eastAsia="Arial" w:hAnsi="Arial"/>
                <w:sz w:val="16"/>
                <w:szCs w:val="16"/>
                <w:b w:val="1"/>
                <w:bCs w:val="1"/>
                <w:color w:val="auto"/>
              </w:rPr>
              <w:t>Regulatory Compliance/Government</w:t>
            </w:r>
          </w:p>
        </w:tc>
        <w:tc>
          <w:tcPr>
            <w:tcW w:w="680" w:type="dxa"/>
            <w:vAlign w:val="bottom"/>
            <w:tcBorders>
              <w:bottom w:val="single" w:sz="8" w:color="16479F"/>
            </w:tcBorders>
          </w:tcPr>
          <w:p>
            <w:pPr>
              <w:spacing w:after="0"/>
              <w:rPr>
                <w:sz w:val="20"/>
                <w:szCs w:val="20"/>
                <w:color w:val="auto"/>
              </w:rPr>
            </w:pPr>
          </w:p>
        </w:tc>
        <w:tc>
          <w:tcPr>
            <w:tcW w:w="800" w:type="dxa"/>
            <w:vAlign w:val="bottom"/>
            <w:tcBorders>
              <w:bottom w:val="single" w:sz="8" w:color="16479F"/>
            </w:tcBorders>
          </w:tcPr>
          <w:p>
            <w:pPr>
              <w:spacing w:after="0"/>
              <w:rPr>
                <w:sz w:val="20"/>
                <w:szCs w:val="20"/>
                <w:color w:val="auto"/>
              </w:rPr>
            </w:pPr>
          </w:p>
        </w:tc>
        <w:tc>
          <w:tcPr>
            <w:tcW w:w="88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rPr>
              <w:t>●</w:t>
            </w:r>
          </w:p>
        </w:tc>
        <w:tc>
          <w:tcPr>
            <w:tcW w:w="62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rPr>
              <w:t>●</w:t>
            </w:r>
          </w:p>
        </w:tc>
        <w:tc>
          <w:tcPr>
            <w:tcW w:w="580" w:type="dxa"/>
            <w:vAlign w:val="bottom"/>
            <w:tcBorders>
              <w:bottom w:val="single" w:sz="8" w:color="16479F"/>
            </w:tcBorders>
          </w:tcPr>
          <w:p>
            <w:pPr>
              <w:spacing w:after="0"/>
              <w:rPr>
                <w:sz w:val="20"/>
                <w:szCs w:val="20"/>
                <w:color w:val="auto"/>
              </w:rPr>
            </w:pPr>
          </w:p>
        </w:tc>
        <w:tc>
          <w:tcPr>
            <w:tcW w:w="64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rPr>
              <w:t>●</w:t>
            </w:r>
          </w:p>
        </w:tc>
        <w:tc>
          <w:tcPr>
            <w:tcW w:w="60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rPr>
              <w:t>●</w:t>
            </w:r>
          </w:p>
        </w:tc>
        <w:tc>
          <w:tcPr>
            <w:tcW w:w="540" w:type="dxa"/>
            <w:vAlign w:val="bottom"/>
            <w:tcBorders>
              <w:bottom w:val="single" w:sz="8" w:color="16479F"/>
            </w:tcBorders>
          </w:tcPr>
          <w:p>
            <w:pPr>
              <w:spacing w:after="0"/>
              <w:rPr>
                <w:sz w:val="20"/>
                <w:szCs w:val="20"/>
                <w:color w:val="auto"/>
              </w:rPr>
            </w:pPr>
          </w:p>
        </w:tc>
        <w:tc>
          <w:tcPr>
            <w:tcW w:w="58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rPr>
              <w:t>●</w:t>
            </w:r>
          </w:p>
        </w:tc>
        <w:tc>
          <w:tcPr>
            <w:tcW w:w="500" w:type="dxa"/>
            <w:vAlign w:val="bottom"/>
            <w:tcBorders>
              <w:bottom w:val="single" w:sz="8" w:color="16479F"/>
            </w:tcBorders>
          </w:tcPr>
          <w:p>
            <w:pPr>
              <w:spacing w:after="0"/>
              <w:rPr>
                <w:sz w:val="20"/>
                <w:szCs w:val="20"/>
                <w:color w:val="auto"/>
              </w:rPr>
            </w:pPr>
          </w:p>
        </w:tc>
        <w:tc>
          <w:tcPr>
            <w:tcW w:w="20" w:type="dxa"/>
            <w:vAlign w:val="bottom"/>
          </w:tcPr>
          <w:p>
            <w:pPr>
              <w:spacing w:after="0"/>
              <w:rPr>
                <w:sz w:val="20"/>
                <w:szCs w:val="20"/>
                <w:color w:val="auto"/>
              </w:rPr>
            </w:pPr>
          </w:p>
        </w:tc>
      </w:tr>
      <w:tr>
        <w:trPr>
          <w:trHeight w:val="234"/>
        </w:trPr>
        <w:tc>
          <w:tcPr>
            <w:tcW w:w="4820" w:type="dxa"/>
            <w:vAlign w:val="bottom"/>
            <w:tcBorders>
              <w:bottom w:val="single" w:sz="8" w:color="16479F"/>
            </w:tcBorders>
            <w:gridSpan w:val="3"/>
          </w:tcPr>
          <w:p>
            <w:pPr>
              <w:ind w:left="60"/>
              <w:spacing w:after="0"/>
              <w:rPr>
                <w:sz w:val="20"/>
                <w:szCs w:val="20"/>
                <w:color w:val="auto"/>
              </w:rPr>
            </w:pPr>
            <w:r>
              <w:rPr>
                <w:rFonts w:ascii="Arial" w:cs="Arial" w:eastAsia="Arial" w:hAnsi="Arial"/>
                <w:sz w:val="16"/>
                <w:szCs w:val="16"/>
                <w:b w:val="1"/>
                <w:bCs w:val="1"/>
                <w:color w:val="auto"/>
              </w:rPr>
              <w:t>Investments/Strategy and Corporate Development</w:t>
            </w:r>
          </w:p>
        </w:tc>
        <w:tc>
          <w:tcPr>
            <w:tcW w:w="680" w:type="dxa"/>
            <w:vAlign w:val="bottom"/>
            <w:tcBorders>
              <w:bottom w:val="single" w:sz="8" w:color="16479F"/>
            </w:tcBorders>
          </w:tcPr>
          <w:p>
            <w:pPr>
              <w:jc w:val="center"/>
              <w:ind w:left="140"/>
              <w:spacing w:after="0"/>
              <w:rPr>
                <w:sz w:val="20"/>
                <w:szCs w:val="20"/>
                <w:color w:val="auto"/>
              </w:rPr>
            </w:pPr>
            <w:r>
              <w:rPr>
                <w:rFonts w:ascii="Arial" w:cs="Arial" w:eastAsia="Arial" w:hAnsi="Arial"/>
                <w:sz w:val="16"/>
                <w:szCs w:val="16"/>
                <w:color w:val="16479F"/>
              </w:rPr>
              <w:t>●</w:t>
            </w:r>
          </w:p>
        </w:tc>
        <w:tc>
          <w:tcPr>
            <w:tcW w:w="80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w w:val="82"/>
              </w:rPr>
              <w:t>●</w:t>
            </w:r>
          </w:p>
        </w:tc>
        <w:tc>
          <w:tcPr>
            <w:tcW w:w="88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rPr>
              <w:t>●</w:t>
            </w:r>
          </w:p>
        </w:tc>
        <w:tc>
          <w:tcPr>
            <w:tcW w:w="620" w:type="dxa"/>
            <w:vAlign w:val="bottom"/>
            <w:tcBorders>
              <w:bottom w:val="single" w:sz="8" w:color="16479F"/>
            </w:tcBorders>
          </w:tcPr>
          <w:p>
            <w:pPr>
              <w:spacing w:after="0"/>
              <w:rPr>
                <w:sz w:val="20"/>
                <w:szCs w:val="20"/>
                <w:color w:val="auto"/>
              </w:rPr>
            </w:pPr>
          </w:p>
        </w:tc>
        <w:tc>
          <w:tcPr>
            <w:tcW w:w="58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w w:val="82"/>
              </w:rPr>
              <w:t>●</w:t>
            </w:r>
          </w:p>
        </w:tc>
        <w:tc>
          <w:tcPr>
            <w:tcW w:w="64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rPr>
              <w:t>●</w:t>
            </w:r>
          </w:p>
        </w:tc>
        <w:tc>
          <w:tcPr>
            <w:tcW w:w="60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rPr>
              <w:t>●</w:t>
            </w:r>
          </w:p>
        </w:tc>
        <w:tc>
          <w:tcPr>
            <w:tcW w:w="54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rPr>
              <w:t>●</w:t>
            </w:r>
          </w:p>
        </w:tc>
        <w:tc>
          <w:tcPr>
            <w:tcW w:w="58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rPr>
              <w:t>●</w:t>
            </w:r>
          </w:p>
        </w:tc>
        <w:tc>
          <w:tcPr>
            <w:tcW w:w="50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w w:val="82"/>
              </w:rPr>
              <w:t>●</w:t>
            </w:r>
          </w:p>
        </w:tc>
        <w:tc>
          <w:tcPr>
            <w:tcW w:w="20" w:type="dxa"/>
            <w:vAlign w:val="bottom"/>
          </w:tcPr>
          <w:p>
            <w:pPr>
              <w:spacing w:after="0"/>
              <w:rPr>
                <w:sz w:val="20"/>
                <w:szCs w:val="20"/>
                <w:color w:val="auto"/>
              </w:rPr>
            </w:pPr>
          </w:p>
        </w:tc>
      </w:tr>
      <w:tr>
        <w:trPr>
          <w:trHeight w:val="234"/>
        </w:trPr>
        <w:tc>
          <w:tcPr>
            <w:tcW w:w="4820" w:type="dxa"/>
            <w:vAlign w:val="bottom"/>
            <w:tcBorders>
              <w:bottom w:val="single" w:sz="8" w:color="16479F"/>
            </w:tcBorders>
            <w:gridSpan w:val="3"/>
          </w:tcPr>
          <w:p>
            <w:pPr>
              <w:ind w:left="60"/>
              <w:spacing w:after="0"/>
              <w:rPr>
                <w:sz w:val="20"/>
                <w:szCs w:val="20"/>
                <w:color w:val="auto"/>
              </w:rPr>
            </w:pPr>
            <w:r>
              <w:rPr>
                <w:rFonts w:ascii="Arial" w:cs="Arial" w:eastAsia="Arial" w:hAnsi="Arial"/>
                <w:sz w:val="16"/>
                <w:szCs w:val="16"/>
                <w:b w:val="1"/>
                <w:bCs w:val="1"/>
                <w:color w:val="auto"/>
              </w:rPr>
              <w:t>Financial Expertise</w:t>
            </w:r>
          </w:p>
        </w:tc>
        <w:tc>
          <w:tcPr>
            <w:tcW w:w="680" w:type="dxa"/>
            <w:vAlign w:val="bottom"/>
            <w:tcBorders>
              <w:bottom w:val="single" w:sz="8" w:color="16479F"/>
            </w:tcBorders>
          </w:tcPr>
          <w:p>
            <w:pPr>
              <w:jc w:val="center"/>
              <w:ind w:left="140"/>
              <w:spacing w:after="0"/>
              <w:rPr>
                <w:sz w:val="20"/>
                <w:szCs w:val="20"/>
                <w:color w:val="auto"/>
              </w:rPr>
            </w:pPr>
            <w:r>
              <w:rPr>
                <w:rFonts w:ascii="Arial" w:cs="Arial" w:eastAsia="Arial" w:hAnsi="Arial"/>
                <w:sz w:val="16"/>
                <w:szCs w:val="16"/>
                <w:color w:val="16479F"/>
              </w:rPr>
              <w:t>●</w:t>
            </w:r>
          </w:p>
        </w:tc>
        <w:tc>
          <w:tcPr>
            <w:tcW w:w="80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w w:val="82"/>
              </w:rPr>
              <w:t>●</w:t>
            </w:r>
          </w:p>
        </w:tc>
        <w:tc>
          <w:tcPr>
            <w:tcW w:w="88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rPr>
              <w:t>●</w:t>
            </w:r>
          </w:p>
        </w:tc>
        <w:tc>
          <w:tcPr>
            <w:tcW w:w="62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rPr>
              <w:t>●</w:t>
            </w:r>
          </w:p>
        </w:tc>
        <w:tc>
          <w:tcPr>
            <w:tcW w:w="58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w w:val="82"/>
              </w:rPr>
              <w:t>●</w:t>
            </w:r>
          </w:p>
        </w:tc>
        <w:tc>
          <w:tcPr>
            <w:tcW w:w="64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rPr>
              <w:t>●</w:t>
            </w:r>
          </w:p>
        </w:tc>
        <w:tc>
          <w:tcPr>
            <w:tcW w:w="60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rPr>
              <w:t>●</w:t>
            </w:r>
          </w:p>
        </w:tc>
        <w:tc>
          <w:tcPr>
            <w:tcW w:w="54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rPr>
              <w:t>●</w:t>
            </w:r>
          </w:p>
        </w:tc>
        <w:tc>
          <w:tcPr>
            <w:tcW w:w="58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rPr>
              <w:t>●</w:t>
            </w:r>
          </w:p>
        </w:tc>
        <w:tc>
          <w:tcPr>
            <w:tcW w:w="50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w w:val="82"/>
              </w:rPr>
              <w:t>●</w:t>
            </w:r>
          </w:p>
        </w:tc>
        <w:tc>
          <w:tcPr>
            <w:tcW w:w="20" w:type="dxa"/>
            <w:vAlign w:val="bottom"/>
          </w:tcPr>
          <w:p>
            <w:pPr>
              <w:spacing w:after="0"/>
              <w:rPr>
                <w:sz w:val="20"/>
                <w:szCs w:val="20"/>
                <w:color w:val="auto"/>
              </w:rPr>
            </w:pPr>
          </w:p>
        </w:tc>
      </w:tr>
      <w:tr>
        <w:trPr>
          <w:trHeight w:val="234"/>
        </w:trPr>
        <w:tc>
          <w:tcPr>
            <w:tcW w:w="4820" w:type="dxa"/>
            <w:vAlign w:val="bottom"/>
            <w:tcBorders>
              <w:bottom w:val="single" w:sz="8" w:color="16479F"/>
            </w:tcBorders>
            <w:gridSpan w:val="3"/>
          </w:tcPr>
          <w:p>
            <w:pPr>
              <w:ind w:left="60"/>
              <w:spacing w:after="0"/>
              <w:rPr>
                <w:sz w:val="20"/>
                <w:szCs w:val="20"/>
                <w:color w:val="auto"/>
              </w:rPr>
            </w:pPr>
            <w:r>
              <w:rPr>
                <w:rFonts w:ascii="Arial" w:cs="Arial" w:eastAsia="Arial" w:hAnsi="Arial"/>
                <w:sz w:val="16"/>
                <w:szCs w:val="16"/>
                <w:b w:val="1"/>
                <w:bCs w:val="1"/>
                <w:color w:val="auto"/>
              </w:rPr>
              <w:t>Risk Management</w:t>
            </w:r>
          </w:p>
        </w:tc>
        <w:tc>
          <w:tcPr>
            <w:tcW w:w="680" w:type="dxa"/>
            <w:vAlign w:val="bottom"/>
            <w:tcBorders>
              <w:bottom w:val="single" w:sz="8" w:color="16479F"/>
            </w:tcBorders>
          </w:tcPr>
          <w:p>
            <w:pPr>
              <w:jc w:val="center"/>
              <w:ind w:left="140"/>
              <w:spacing w:after="0"/>
              <w:rPr>
                <w:sz w:val="20"/>
                <w:szCs w:val="20"/>
                <w:color w:val="auto"/>
              </w:rPr>
            </w:pPr>
            <w:r>
              <w:rPr>
                <w:rFonts w:ascii="Arial" w:cs="Arial" w:eastAsia="Arial" w:hAnsi="Arial"/>
                <w:sz w:val="16"/>
                <w:szCs w:val="16"/>
                <w:color w:val="16479F"/>
              </w:rPr>
              <w:t>●</w:t>
            </w:r>
          </w:p>
        </w:tc>
        <w:tc>
          <w:tcPr>
            <w:tcW w:w="80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w w:val="82"/>
              </w:rPr>
              <w:t>●</w:t>
            </w:r>
          </w:p>
        </w:tc>
        <w:tc>
          <w:tcPr>
            <w:tcW w:w="88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rPr>
              <w:t>●</w:t>
            </w:r>
          </w:p>
        </w:tc>
        <w:tc>
          <w:tcPr>
            <w:tcW w:w="62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rPr>
              <w:t>●</w:t>
            </w:r>
          </w:p>
        </w:tc>
        <w:tc>
          <w:tcPr>
            <w:tcW w:w="58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w w:val="82"/>
              </w:rPr>
              <w:t>●</w:t>
            </w:r>
          </w:p>
        </w:tc>
        <w:tc>
          <w:tcPr>
            <w:tcW w:w="64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rPr>
              <w:t>●</w:t>
            </w:r>
          </w:p>
        </w:tc>
        <w:tc>
          <w:tcPr>
            <w:tcW w:w="60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rPr>
              <w:t>●</w:t>
            </w:r>
          </w:p>
        </w:tc>
        <w:tc>
          <w:tcPr>
            <w:tcW w:w="540" w:type="dxa"/>
            <w:vAlign w:val="bottom"/>
            <w:tcBorders>
              <w:bottom w:val="single" w:sz="8" w:color="16479F"/>
            </w:tcBorders>
          </w:tcPr>
          <w:p>
            <w:pPr>
              <w:spacing w:after="0"/>
              <w:rPr>
                <w:sz w:val="20"/>
                <w:szCs w:val="20"/>
                <w:color w:val="auto"/>
              </w:rPr>
            </w:pPr>
          </w:p>
        </w:tc>
        <w:tc>
          <w:tcPr>
            <w:tcW w:w="58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rPr>
              <w:t>●</w:t>
            </w:r>
          </w:p>
        </w:tc>
        <w:tc>
          <w:tcPr>
            <w:tcW w:w="50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w w:val="82"/>
              </w:rPr>
              <w:t>●</w:t>
            </w:r>
          </w:p>
        </w:tc>
        <w:tc>
          <w:tcPr>
            <w:tcW w:w="20" w:type="dxa"/>
            <w:vAlign w:val="bottom"/>
          </w:tcPr>
          <w:p>
            <w:pPr>
              <w:spacing w:after="0"/>
              <w:rPr>
                <w:sz w:val="20"/>
                <w:szCs w:val="20"/>
                <w:color w:val="auto"/>
              </w:rPr>
            </w:pPr>
          </w:p>
        </w:tc>
      </w:tr>
      <w:tr>
        <w:trPr>
          <w:trHeight w:val="234"/>
        </w:trPr>
        <w:tc>
          <w:tcPr>
            <w:tcW w:w="4820" w:type="dxa"/>
            <w:vAlign w:val="bottom"/>
            <w:tcBorders>
              <w:bottom w:val="single" w:sz="8" w:color="16479F"/>
            </w:tcBorders>
            <w:gridSpan w:val="3"/>
          </w:tcPr>
          <w:p>
            <w:pPr>
              <w:ind w:left="60"/>
              <w:spacing w:after="0"/>
              <w:rPr>
                <w:sz w:val="20"/>
                <w:szCs w:val="20"/>
                <w:color w:val="auto"/>
              </w:rPr>
            </w:pPr>
            <w:r>
              <w:rPr>
                <w:rFonts w:ascii="Arial" w:cs="Arial" w:eastAsia="Arial" w:hAnsi="Arial"/>
                <w:sz w:val="16"/>
                <w:szCs w:val="16"/>
                <w:b w:val="1"/>
                <w:bCs w:val="1"/>
                <w:color w:val="auto"/>
              </w:rPr>
              <w:t>Client Relations/Sales/Marketing</w:t>
            </w:r>
          </w:p>
        </w:tc>
        <w:tc>
          <w:tcPr>
            <w:tcW w:w="680" w:type="dxa"/>
            <w:vAlign w:val="bottom"/>
            <w:tcBorders>
              <w:bottom w:val="single" w:sz="8" w:color="16479F"/>
            </w:tcBorders>
          </w:tcPr>
          <w:p>
            <w:pPr>
              <w:jc w:val="center"/>
              <w:ind w:left="140"/>
              <w:spacing w:after="0"/>
              <w:rPr>
                <w:sz w:val="20"/>
                <w:szCs w:val="20"/>
                <w:color w:val="auto"/>
              </w:rPr>
            </w:pPr>
            <w:r>
              <w:rPr>
                <w:rFonts w:ascii="Arial" w:cs="Arial" w:eastAsia="Arial" w:hAnsi="Arial"/>
                <w:sz w:val="16"/>
                <w:szCs w:val="16"/>
                <w:color w:val="16479F"/>
              </w:rPr>
              <w:t>●</w:t>
            </w:r>
          </w:p>
        </w:tc>
        <w:tc>
          <w:tcPr>
            <w:tcW w:w="800" w:type="dxa"/>
            <w:vAlign w:val="bottom"/>
            <w:tcBorders>
              <w:bottom w:val="single" w:sz="8" w:color="16479F"/>
            </w:tcBorders>
          </w:tcPr>
          <w:p>
            <w:pPr>
              <w:spacing w:after="0"/>
              <w:rPr>
                <w:sz w:val="20"/>
                <w:szCs w:val="20"/>
                <w:color w:val="auto"/>
              </w:rPr>
            </w:pPr>
          </w:p>
        </w:tc>
        <w:tc>
          <w:tcPr>
            <w:tcW w:w="88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rPr>
              <w:t>●</w:t>
            </w:r>
          </w:p>
        </w:tc>
        <w:tc>
          <w:tcPr>
            <w:tcW w:w="62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rPr>
              <w:t>●</w:t>
            </w:r>
          </w:p>
        </w:tc>
        <w:tc>
          <w:tcPr>
            <w:tcW w:w="580" w:type="dxa"/>
            <w:vAlign w:val="bottom"/>
            <w:tcBorders>
              <w:bottom w:val="single" w:sz="8" w:color="16479F"/>
            </w:tcBorders>
          </w:tcPr>
          <w:p>
            <w:pPr>
              <w:spacing w:after="0"/>
              <w:rPr>
                <w:sz w:val="20"/>
                <w:szCs w:val="20"/>
                <w:color w:val="auto"/>
              </w:rPr>
            </w:pPr>
          </w:p>
        </w:tc>
        <w:tc>
          <w:tcPr>
            <w:tcW w:w="640" w:type="dxa"/>
            <w:vAlign w:val="bottom"/>
            <w:tcBorders>
              <w:bottom w:val="single" w:sz="8" w:color="16479F"/>
            </w:tcBorders>
          </w:tcPr>
          <w:p>
            <w:pPr>
              <w:spacing w:after="0"/>
              <w:rPr>
                <w:sz w:val="20"/>
                <w:szCs w:val="20"/>
                <w:color w:val="auto"/>
              </w:rPr>
            </w:pPr>
          </w:p>
        </w:tc>
        <w:tc>
          <w:tcPr>
            <w:tcW w:w="600" w:type="dxa"/>
            <w:vAlign w:val="bottom"/>
            <w:tcBorders>
              <w:bottom w:val="single" w:sz="8" w:color="16479F"/>
            </w:tcBorders>
          </w:tcPr>
          <w:p>
            <w:pPr>
              <w:spacing w:after="0"/>
              <w:rPr>
                <w:sz w:val="20"/>
                <w:szCs w:val="20"/>
                <w:color w:val="auto"/>
              </w:rPr>
            </w:pPr>
          </w:p>
        </w:tc>
        <w:tc>
          <w:tcPr>
            <w:tcW w:w="540" w:type="dxa"/>
            <w:vAlign w:val="bottom"/>
            <w:tcBorders>
              <w:bottom w:val="single" w:sz="8" w:color="16479F"/>
            </w:tcBorders>
          </w:tcPr>
          <w:p>
            <w:pPr>
              <w:spacing w:after="0"/>
              <w:rPr>
                <w:sz w:val="20"/>
                <w:szCs w:val="20"/>
                <w:color w:val="auto"/>
              </w:rPr>
            </w:pPr>
          </w:p>
        </w:tc>
        <w:tc>
          <w:tcPr>
            <w:tcW w:w="580" w:type="dxa"/>
            <w:vAlign w:val="bottom"/>
            <w:tcBorders>
              <w:bottom w:val="single" w:sz="8" w:color="16479F"/>
            </w:tcBorders>
          </w:tcPr>
          <w:p>
            <w:pPr>
              <w:spacing w:after="0"/>
              <w:rPr>
                <w:sz w:val="20"/>
                <w:szCs w:val="20"/>
                <w:color w:val="auto"/>
              </w:rPr>
            </w:pPr>
          </w:p>
        </w:tc>
        <w:tc>
          <w:tcPr>
            <w:tcW w:w="500" w:type="dxa"/>
            <w:vAlign w:val="bottom"/>
            <w:tcBorders>
              <w:bottom w:val="single" w:sz="8" w:color="16479F"/>
            </w:tcBorders>
          </w:tcPr>
          <w:p>
            <w:pPr>
              <w:spacing w:after="0"/>
              <w:rPr>
                <w:sz w:val="20"/>
                <w:szCs w:val="20"/>
                <w:color w:val="auto"/>
              </w:rPr>
            </w:pPr>
          </w:p>
        </w:tc>
        <w:tc>
          <w:tcPr>
            <w:tcW w:w="20" w:type="dxa"/>
            <w:vAlign w:val="bottom"/>
          </w:tcPr>
          <w:p>
            <w:pPr>
              <w:spacing w:after="0"/>
              <w:rPr>
                <w:sz w:val="20"/>
                <w:szCs w:val="20"/>
                <w:color w:val="auto"/>
              </w:rPr>
            </w:pPr>
          </w:p>
        </w:tc>
      </w:tr>
      <w:tr>
        <w:trPr>
          <w:trHeight w:val="234"/>
        </w:trPr>
        <w:tc>
          <w:tcPr>
            <w:tcW w:w="4820" w:type="dxa"/>
            <w:vAlign w:val="bottom"/>
            <w:tcBorders>
              <w:bottom w:val="single" w:sz="8" w:color="16479F"/>
            </w:tcBorders>
            <w:gridSpan w:val="3"/>
          </w:tcPr>
          <w:p>
            <w:pPr>
              <w:ind w:left="60"/>
              <w:spacing w:after="0"/>
              <w:rPr>
                <w:sz w:val="20"/>
                <w:szCs w:val="20"/>
                <w:color w:val="auto"/>
              </w:rPr>
            </w:pPr>
            <w:r>
              <w:rPr>
                <w:rFonts w:ascii="Arial" w:cs="Arial" w:eastAsia="Arial" w:hAnsi="Arial"/>
                <w:sz w:val="16"/>
                <w:szCs w:val="16"/>
                <w:b w:val="1"/>
                <w:bCs w:val="1"/>
                <w:color w:val="auto"/>
              </w:rPr>
              <w:t>Innovation, Data and Technology</w:t>
            </w:r>
          </w:p>
        </w:tc>
        <w:tc>
          <w:tcPr>
            <w:tcW w:w="680" w:type="dxa"/>
            <w:vAlign w:val="bottom"/>
            <w:tcBorders>
              <w:bottom w:val="single" w:sz="8" w:color="16479F"/>
            </w:tcBorders>
          </w:tcPr>
          <w:p>
            <w:pPr>
              <w:jc w:val="center"/>
              <w:ind w:left="140"/>
              <w:spacing w:after="0"/>
              <w:rPr>
                <w:sz w:val="20"/>
                <w:szCs w:val="20"/>
                <w:color w:val="auto"/>
              </w:rPr>
            </w:pPr>
            <w:r>
              <w:rPr>
                <w:rFonts w:ascii="Arial" w:cs="Arial" w:eastAsia="Arial" w:hAnsi="Arial"/>
                <w:sz w:val="16"/>
                <w:szCs w:val="16"/>
                <w:color w:val="16479F"/>
              </w:rPr>
              <w:t>●</w:t>
            </w:r>
          </w:p>
        </w:tc>
        <w:tc>
          <w:tcPr>
            <w:tcW w:w="80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w w:val="82"/>
              </w:rPr>
              <w:t>●</w:t>
            </w:r>
          </w:p>
        </w:tc>
        <w:tc>
          <w:tcPr>
            <w:tcW w:w="880" w:type="dxa"/>
            <w:vAlign w:val="bottom"/>
            <w:tcBorders>
              <w:bottom w:val="single" w:sz="8" w:color="16479F"/>
            </w:tcBorders>
          </w:tcPr>
          <w:p>
            <w:pPr>
              <w:spacing w:after="0"/>
              <w:rPr>
                <w:sz w:val="20"/>
                <w:szCs w:val="20"/>
                <w:color w:val="auto"/>
              </w:rPr>
            </w:pPr>
          </w:p>
        </w:tc>
        <w:tc>
          <w:tcPr>
            <w:tcW w:w="62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rPr>
              <w:t>●</w:t>
            </w:r>
          </w:p>
        </w:tc>
        <w:tc>
          <w:tcPr>
            <w:tcW w:w="58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w w:val="82"/>
              </w:rPr>
              <w:t>●</w:t>
            </w:r>
          </w:p>
        </w:tc>
        <w:tc>
          <w:tcPr>
            <w:tcW w:w="64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rPr>
              <w:t>●</w:t>
            </w:r>
          </w:p>
        </w:tc>
        <w:tc>
          <w:tcPr>
            <w:tcW w:w="60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rPr>
              <w:t>●</w:t>
            </w:r>
          </w:p>
        </w:tc>
        <w:tc>
          <w:tcPr>
            <w:tcW w:w="54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rPr>
              <w:t>●</w:t>
            </w:r>
          </w:p>
        </w:tc>
        <w:tc>
          <w:tcPr>
            <w:tcW w:w="58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rPr>
              <w:t>●</w:t>
            </w:r>
          </w:p>
        </w:tc>
        <w:tc>
          <w:tcPr>
            <w:tcW w:w="50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w w:val="82"/>
              </w:rPr>
              <w:t>●</w:t>
            </w:r>
          </w:p>
        </w:tc>
        <w:tc>
          <w:tcPr>
            <w:tcW w:w="20" w:type="dxa"/>
            <w:vAlign w:val="bottom"/>
          </w:tcPr>
          <w:p>
            <w:pPr>
              <w:spacing w:after="0"/>
              <w:rPr>
                <w:sz w:val="20"/>
                <w:szCs w:val="20"/>
                <w:color w:val="auto"/>
              </w:rPr>
            </w:pPr>
          </w:p>
        </w:tc>
      </w:tr>
      <w:tr>
        <w:trPr>
          <w:trHeight w:val="234"/>
        </w:trPr>
        <w:tc>
          <w:tcPr>
            <w:tcW w:w="4820" w:type="dxa"/>
            <w:vAlign w:val="bottom"/>
            <w:tcBorders>
              <w:bottom w:val="single" w:sz="8" w:color="16479F"/>
            </w:tcBorders>
            <w:gridSpan w:val="3"/>
          </w:tcPr>
          <w:p>
            <w:pPr>
              <w:ind w:left="60"/>
              <w:spacing w:after="0"/>
              <w:rPr>
                <w:sz w:val="20"/>
                <w:szCs w:val="20"/>
                <w:color w:val="auto"/>
              </w:rPr>
            </w:pPr>
            <w:r>
              <w:rPr>
                <w:rFonts w:ascii="Arial" w:cs="Arial" w:eastAsia="Arial" w:hAnsi="Arial"/>
                <w:sz w:val="16"/>
                <w:szCs w:val="16"/>
                <w:b w:val="1"/>
                <w:bCs w:val="1"/>
                <w:color w:val="auto"/>
              </w:rPr>
              <w:t>Corporate, Environmental and Social Affairs</w:t>
            </w:r>
          </w:p>
        </w:tc>
        <w:tc>
          <w:tcPr>
            <w:tcW w:w="680" w:type="dxa"/>
            <w:vAlign w:val="bottom"/>
            <w:tcBorders>
              <w:bottom w:val="single" w:sz="8" w:color="16479F"/>
            </w:tcBorders>
          </w:tcPr>
          <w:p>
            <w:pPr>
              <w:jc w:val="center"/>
              <w:ind w:left="140"/>
              <w:spacing w:after="0"/>
              <w:rPr>
                <w:sz w:val="20"/>
                <w:szCs w:val="20"/>
                <w:color w:val="auto"/>
              </w:rPr>
            </w:pPr>
            <w:r>
              <w:rPr>
                <w:rFonts w:ascii="Arial" w:cs="Arial" w:eastAsia="Arial" w:hAnsi="Arial"/>
                <w:sz w:val="16"/>
                <w:szCs w:val="16"/>
                <w:color w:val="16479F"/>
              </w:rPr>
              <w:t>●</w:t>
            </w:r>
          </w:p>
        </w:tc>
        <w:tc>
          <w:tcPr>
            <w:tcW w:w="80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w w:val="82"/>
              </w:rPr>
              <w:t>●</w:t>
            </w:r>
          </w:p>
        </w:tc>
        <w:tc>
          <w:tcPr>
            <w:tcW w:w="88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rPr>
              <w:t>●</w:t>
            </w:r>
          </w:p>
        </w:tc>
        <w:tc>
          <w:tcPr>
            <w:tcW w:w="62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rPr>
              <w:t>●</w:t>
            </w:r>
          </w:p>
        </w:tc>
        <w:tc>
          <w:tcPr>
            <w:tcW w:w="58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w w:val="82"/>
              </w:rPr>
              <w:t>●</w:t>
            </w:r>
          </w:p>
        </w:tc>
        <w:tc>
          <w:tcPr>
            <w:tcW w:w="640" w:type="dxa"/>
            <w:vAlign w:val="bottom"/>
            <w:tcBorders>
              <w:bottom w:val="single" w:sz="8" w:color="16479F"/>
            </w:tcBorders>
          </w:tcPr>
          <w:p>
            <w:pPr>
              <w:spacing w:after="0"/>
              <w:rPr>
                <w:sz w:val="20"/>
                <w:szCs w:val="20"/>
                <w:color w:val="auto"/>
              </w:rPr>
            </w:pPr>
          </w:p>
        </w:tc>
        <w:tc>
          <w:tcPr>
            <w:tcW w:w="60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rPr>
              <w:t>●</w:t>
            </w:r>
          </w:p>
        </w:tc>
        <w:tc>
          <w:tcPr>
            <w:tcW w:w="54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rPr>
              <w:t>●</w:t>
            </w:r>
          </w:p>
        </w:tc>
        <w:tc>
          <w:tcPr>
            <w:tcW w:w="58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rPr>
              <w:t>●</w:t>
            </w:r>
          </w:p>
        </w:tc>
        <w:tc>
          <w:tcPr>
            <w:tcW w:w="50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w w:val="82"/>
              </w:rPr>
              <w:t>●</w:t>
            </w:r>
          </w:p>
        </w:tc>
        <w:tc>
          <w:tcPr>
            <w:tcW w:w="20" w:type="dxa"/>
            <w:vAlign w:val="bottom"/>
          </w:tcPr>
          <w:p>
            <w:pPr>
              <w:spacing w:after="0"/>
              <w:rPr>
                <w:sz w:val="20"/>
                <w:szCs w:val="20"/>
                <w:color w:val="auto"/>
              </w:rPr>
            </w:pPr>
          </w:p>
        </w:tc>
      </w:tr>
      <w:tr>
        <w:trPr>
          <w:trHeight w:val="234"/>
        </w:trPr>
        <w:tc>
          <w:tcPr>
            <w:tcW w:w="4820" w:type="dxa"/>
            <w:vAlign w:val="bottom"/>
            <w:tcBorders>
              <w:bottom w:val="single" w:sz="8" w:color="16479F"/>
            </w:tcBorders>
            <w:gridSpan w:val="3"/>
          </w:tcPr>
          <w:p>
            <w:pPr>
              <w:ind w:left="60"/>
              <w:spacing w:after="0"/>
              <w:rPr>
                <w:sz w:val="20"/>
                <w:szCs w:val="20"/>
                <w:color w:val="auto"/>
              </w:rPr>
            </w:pPr>
            <w:r>
              <w:rPr>
                <w:rFonts w:ascii="Arial" w:cs="Arial" w:eastAsia="Arial" w:hAnsi="Arial"/>
                <w:sz w:val="16"/>
                <w:szCs w:val="16"/>
                <w:b w:val="1"/>
                <w:bCs w:val="1"/>
                <w:color w:val="auto"/>
              </w:rPr>
              <w:t>Human Capital Management/Executive Compensation</w:t>
            </w:r>
          </w:p>
        </w:tc>
        <w:tc>
          <w:tcPr>
            <w:tcW w:w="680" w:type="dxa"/>
            <w:vAlign w:val="bottom"/>
            <w:tcBorders>
              <w:bottom w:val="single" w:sz="8" w:color="16479F"/>
            </w:tcBorders>
          </w:tcPr>
          <w:p>
            <w:pPr>
              <w:jc w:val="center"/>
              <w:ind w:left="140"/>
              <w:spacing w:after="0"/>
              <w:rPr>
                <w:sz w:val="20"/>
                <w:szCs w:val="20"/>
                <w:color w:val="auto"/>
              </w:rPr>
            </w:pPr>
            <w:r>
              <w:rPr>
                <w:rFonts w:ascii="Arial" w:cs="Arial" w:eastAsia="Arial" w:hAnsi="Arial"/>
                <w:sz w:val="16"/>
                <w:szCs w:val="16"/>
                <w:color w:val="16479F"/>
              </w:rPr>
              <w:t>●</w:t>
            </w:r>
          </w:p>
        </w:tc>
        <w:tc>
          <w:tcPr>
            <w:tcW w:w="80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w w:val="82"/>
              </w:rPr>
              <w:t>●</w:t>
            </w:r>
          </w:p>
        </w:tc>
        <w:tc>
          <w:tcPr>
            <w:tcW w:w="88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rPr>
              <w:t>●</w:t>
            </w:r>
          </w:p>
        </w:tc>
        <w:tc>
          <w:tcPr>
            <w:tcW w:w="62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rPr>
              <w:t>●</w:t>
            </w:r>
          </w:p>
        </w:tc>
        <w:tc>
          <w:tcPr>
            <w:tcW w:w="58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w w:val="82"/>
              </w:rPr>
              <w:t>●</w:t>
            </w:r>
          </w:p>
        </w:tc>
        <w:tc>
          <w:tcPr>
            <w:tcW w:w="64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rPr>
              <w:t>●</w:t>
            </w:r>
          </w:p>
        </w:tc>
        <w:tc>
          <w:tcPr>
            <w:tcW w:w="60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rPr>
              <w:t>●</w:t>
            </w:r>
          </w:p>
        </w:tc>
        <w:tc>
          <w:tcPr>
            <w:tcW w:w="54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rPr>
              <w:t>●</w:t>
            </w:r>
          </w:p>
        </w:tc>
        <w:tc>
          <w:tcPr>
            <w:tcW w:w="58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rPr>
              <w:t>●</w:t>
            </w:r>
          </w:p>
        </w:tc>
        <w:tc>
          <w:tcPr>
            <w:tcW w:w="500" w:type="dxa"/>
            <w:vAlign w:val="bottom"/>
            <w:tcBorders>
              <w:bottom w:val="single" w:sz="8" w:color="16479F"/>
            </w:tcBorders>
          </w:tcPr>
          <w:p>
            <w:pPr>
              <w:spacing w:after="0"/>
              <w:rPr>
                <w:sz w:val="20"/>
                <w:szCs w:val="20"/>
                <w:color w:val="auto"/>
              </w:rPr>
            </w:pPr>
          </w:p>
        </w:tc>
        <w:tc>
          <w:tcPr>
            <w:tcW w:w="20" w:type="dxa"/>
            <w:vAlign w:val="bottom"/>
          </w:tcPr>
          <w:p>
            <w:pPr>
              <w:spacing w:after="0"/>
              <w:rPr>
                <w:sz w:val="20"/>
                <w:szCs w:val="20"/>
                <w:color w:val="auto"/>
              </w:rPr>
            </w:pPr>
          </w:p>
        </w:tc>
      </w:tr>
      <w:tr>
        <w:trPr>
          <w:trHeight w:val="419"/>
        </w:trPr>
        <w:tc>
          <w:tcPr>
            <w:tcW w:w="4820" w:type="dxa"/>
            <w:vAlign w:val="bottom"/>
            <w:gridSpan w:val="3"/>
          </w:tcPr>
          <w:p>
            <w:pPr>
              <w:ind w:left="60"/>
              <w:spacing w:after="0"/>
              <w:rPr>
                <w:sz w:val="20"/>
                <w:szCs w:val="20"/>
                <w:color w:val="auto"/>
              </w:rPr>
            </w:pPr>
            <w:r>
              <w:rPr>
                <w:rFonts w:ascii="Arial" w:cs="Arial" w:eastAsia="Arial" w:hAnsi="Arial"/>
                <w:sz w:val="16"/>
                <w:szCs w:val="16"/>
                <w:b w:val="1"/>
                <w:bCs w:val="1"/>
                <w:color w:val="auto"/>
              </w:rPr>
              <w:t>TENURE/AGE/GENDER</w:t>
            </w: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3"/>
        </w:trPr>
        <w:tc>
          <w:tcPr>
            <w:tcW w:w="760" w:type="dxa"/>
            <w:vAlign w:val="bottom"/>
            <w:gridSpan w:val="2"/>
            <w:shd w:val="clear" w:color="auto" w:fill="16479F"/>
          </w:tcPr>
          <w:p>
            <w:pPr>
              <w:spacing w:after="0"/>
              <w:rPr>
                <w:sz w:val="5"/>
                <w:szCs w:val="5"/>
                <w:color w:val="auto"/>
              </w:rPr>
            </w:pPr>
          </w:p>
        </w:tc>
        <w:tc>
          <w:tcPr>
            <w:tcW w:w="4060" w:type="dxa"/>
            <w:vAlign w:val="bottom"/>
            <w:shd w:val="clear" w:color="auto" w:fill="16479F"/>
          </w:tcPr>
          <w:p>
            <w:pPr>
              <w:spacing w:after="0"/>
              <w:rPr>
                <w:sz w:val="5"/>
                <w:szCs w:val="5"/>
                <w:color w:val="auto"/>
              </w:rPr>
            </w:pPr>
          </w:p>
        </w:tc>
        <w:tc>
          <w:tcPr>
            <w:tcW w:w="680" w:type="dxa"/>
            <w:vAlign w:val="bottom"/>
            <w:shd w:val="clear" w:color="auto" w:fill="16479F"/>
          </w:tcPr>
          <w:p>
            <w:pPr>
              <w:spacing w:after="0"/>
              <w:rPr>
                <w:sz w:val="5"/>
                <w:szCs w:val="5"/>
                <w:color w:val="auto"/>
              </w:rPr>
            </w:pPr>
          </w:p>
        </w:tc>
        <w:tc>
          <w:tcPr>
            <w:tcW w:w="800" w:type="dxa"/>
            <w:vAlign w:val="bottom"/>
            <w:shd w:val="clear" w:color="auto" w:fill="16479F"/>
          </w:tcPr>
          <w:p>
            <w:pPr>
              <w:spacing w:after="0"/>
              <w:rPr>
                <w:sz w:val="5"/>
                <w:szCs w:val="5"/>
                <w:color w:val="auto"/>
              </w:rPr>
            </w:pPr>
          </w:p>
        </w:tc>
        <w:tc>
          <w:tcPr>
            <w:tcW w:w="880" w:type="dxa"/>
            <w:vAlign w:val="bottom"/>
            <w:shd w:val="clear" w:color="auto" w:fill="16479F"/>
          </w:tcPr>
          <w:p>
            <w:pPr>
              <w:spacing w:after="0"/>
              <w:rPr>
                <w:sz w:val="5"/>
                <w:szCs w:val="5"/>
                <w:color w:val="auto"/>
              </w:rPr>
            </w:pPr>
          </w:p>
        </w:tc>
        <w:tc>
          <w:tcPr>
            <w:tcW w:w="620" w:type="dxa"/>
            <w:vAlign w:val="bottom"/>
            <w:shd w:val="clear" w:color="auto" w:fill="16479F"/>
          </w:tcPr>
          <w:p>
            <w:pPr>
              <w:spacing w:after="0"/>
              <w:rPr>
                <w:sz w:val="5"/>
                <w:szCs w:val="5"/>
                <w:color w:val="auto"/>
              </w:rPr>
            </w:pPr>
          </w:p>
        </w:tc>
        <w:tc>
          <w:tcPr>
            <w:tcW w:w="580" w:type="dxa"/>
            <w:vAlign w:val="bottom"/>
            <w:shd w:val="clear" w:color="auto" w:fill="16479F"/>
          </w:tcPr>
          <w:p>
            <w:pPr>
              <w:spacing w:after="0"/>
              <w:rPr>
                <w:sz w:val="5"/>
                <w:szCs w:val="5"/>
                <w:color w:val="auto"/>
              </w:rPr>
            </w:pPr>
          </w:p>
        </w:tc>
        <w:tc>
          <w:tcPr>
            <w:tcW w:w="640" w:type="dxa"/>
            <w:vAlign w:val="bottom"/>
            <w:shd w:val="clear" w:color="auto" w:fill="16479F"/>
          </w:tcPr>
          <w:p>
            <w:pPr>
              <w:spacing w:after="0"/>
              <w:rPr>
                <w:sz w:val="5"/>
                <w:szCs w:val="5"/>
                <w:color w:val="auto"/>
              </w:rPr>
            </w:pPr>
          </w:p>
        </w:tc>
        <w:tc>
          <w:tcPr>
            <w:tcW w:w="600" w:type="dxa"/>
            <w:vAlign w:val="bottom"/>
            <w:shd w:val="clear" w:color="auto" w:fill="16479F"/>
          </w:tcPr>
          <w:p>
            <w:pPr>
              <w:spacing w:after="0"/>
              <w:rPr>
                <w:sz w:val="5"/>
                <w:szCs w:val="5"/>
                <w:color w:val="auto"/>
              </w:rPr>
            </w:pPr>
          </w:p>
        </w:tc>
        <w:tc>
          <w:tcPr>
            <w:tcW w:w="540" w:type="dxa"/>
            <w:vAlign w:val="bottom"/>
            <w:shd w:val="clear" w:color="auto" w:fill="16479F"/>
          </w:tcPr>
          <w:p>
            <w:pPr>
              <w:spacing w:after="0"/>
              <w:rPr>
                <w:sz w:val="5"/>
                <w:szCs w:val="5"/>
                <w:color w:val="auto"/>
              </w:rPr>
            </w:pPr>
          </w:p>
        </w:tc>
        <w:tc>
          <w:tcPr>
            <w:tcW w:w="580" w:type="dxa"/>
            <w:vAlign w:val="bottom"/>
            <w:shd w:val="clear" w:color="auto" w:fill="16479F"/>
          </w:tcPr>
          <w:p>
            <w:pPr>
              <w:spacing w:after="0"/>
              <w:rPr>
                <w:sz w:val="5"/>
                <w:szCs w:val="5"/>
                <w:color w:val="auto"/>
              </w:rPr>
            </w:pPr>
          </w:p>
        </w:tc>
        <w:tc>
          <w:tcPr>
            <w:tcW w:w="500" w:type="dxa"/>
            <w:vAlign w:val="bottom"/>
            <w:shd w:val="clear" w:color="auto" w:fill="16479F"/>
          </w:tcPr>
          <w:p>
            <w:pPr>
              <w:spacing w:after="0"/>
              <w:rPr>
                <w:sz w:val="5"/>
                <w:szCs w:val="5"/>
                <w:color w:val="auto"/>
              </w:rPr>
            </w:pPr>
          </w:p>
        </w:tc>
        <w:tc>
          <w:tcPr>
            <w:tcW w:w="20" w:type="dxa"/>
            <w:vAlign w:val="bottom"/>
          </w:tcPr>
          <w:p>
            <w:pPr>
              <w:spacing w:after="0"/>
              <w:rPr>
                <w:sz w:val="5"/>
                <w:szCs w:val="5"/>
                <w:color w:val="auto"/>
              </w:rPr>
            </w:pPr>
          </w:p>
        </w:tc>
      </w:tr>
      <w:tr>
        <w:trPr>
          <w:trHeight w:val="234"/>
        </w:trPr>
        <w:tc>
          <w:tcPr>
            <w:tcW w:w="760" w:type="dxa"/>
            <w:vAlign w:val="bottom"/>
            <w:tcBorders>
              <w:bottom w:val="single" w:sz="8" w:color="16479F"/>
            </w:tcBorders>
            <w:gridSpan w:val="2"/>
          </w:tcPr>
          <w:p>
            <w:pPr>
              <w:ind w:left="180"/>
              <w:spacing w:after="0"/>
              <w:rPr>
                <w:sz w:val="20"/>
                <w:szCs w:val="20"/>
                <w:color w:val="auto"/>
              </w:rPr>
            </w:pPr>
            <w:r>
              <w:rPr>
                <w:rFonts w:ascii="Arial" w:cs="Arial" w:eastAsia="Arial" w:hAnsi="Arial"/>
                <w:sz w:val="16"/>
                <w:szCs w:val="16"/>
                <w:color w:val="auto"/>
              </w:rPr>
              <w:t>Tenure</w:t>
            </w:r>
          </w:p>
        </w:tc>
        <w:tc>
          <w:tcPr>
            <w:tcW w:w="4060" w:type="dxa"/>
            <w:vAlign w:val="bottom"/>
            <w:tcBorders>
              <w:bottom w:val="single" w:sz="8" w:color="16479F"/>
            </w:tcBorders>
          </w:tcPr>
          <w:p>
            <w:pPr>
              <w:spacing w:after="0"/>
              <w:rPr>
                <w:sz w:val="20"/>
                <w:szCs w:val="20"/>
                <w:color w:val="auto"/>
              </w:rPr>
            </w:pPr>
          </w:p>
        </w:tc>
        <w:tc>
          <w:tcPr>
            <w:tcW w:w="680" w:type="dxa"/>
            <w:vAlign w:val="bottom"/>
            <w:tcBorders>
              <w:bottom w:val="single" w:sz="8" w:color="16479F"/>
            </w:tcBorders>
          </w:tcPr>
          <w:p>
            <w:pPr>
              <w:jc w:val="center"/>
              <w:ind w:left="120"/>
              <w:spacing w:after="0"/>
              <w:rPr>
                <w:sz w:val="20"/>
                <w:szCs w:val="20"/>
                <w:color w:val="auto"/>
              </w:rPr>
            </w:pPr>
            <w:r>
              <w:rPr>
                <w:rFonts w:ascii="Arial" w:cs="Arial" w:eastAsia="Arial" w:hAnsi="Arial"/>
                <w:sz w:val="16"/>
                <w:szCs w:val="16"/>
                <w:color w:val="auto"/>
                <w:w w:val="89"/>
              </w:rPr>
              <w:t>8</w:t>
            </w:r>
          </w:p>
        </w:tc>
        <w:tc>
          <w:tcPr>
            <w:tcW w:w="80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auto"/>
                <w:w w:val="89"/>
              </w:rPr>
              <w:t>7</w:t>
            </w:r>
          </w:p>
        </w:tc>
        <w:tc>
          <w:tcPr>
            <w:tcW w:w="88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auto"/>
              </w:rPr>
              <w:t>14</w:t>
            </w:r>
          </w:p>
        </w:tc>
        <w:tc>
          <w:tcPr>
            <w:tcW w:w="62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auto"/>
              </w:rPr>
              <w:t>12</w:t>
            </w:r>
          </w:p>
        </w:tc>
        <w:tc>
          <w:tcPr>
            <w:tcW w:w="58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auto"/>
                <w:w w:val="89"/>
              </w:rPr>
              <w:t>5</w:t>
            </w:r>
          </w:p>
        </w:tc>
        <w:tc>
          <w:tcPr>
            <w:tcW w:w="64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auto"/>
                <w:w w:val="89"/>
              </w:rPr>
              <w:t>2</w:t>
            </w:r>
          </w:p>
        </w:tc>
        <w:tc>
          <w:tcPr>
            <w:tcW w:w="60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auto"/>
              </w:rPr>
              <w:t>14</w:t>
            </w:r>
          </w:p>
        </w:tc>
        <w:tc>
          <w:tcPr>
            <w:tcW w:w="54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auto"/>
                <w:w w:val="89"/>
              </w:rPr>
              <w:t>4</w:t>
            </w:r>
          </w:p>
        </w:tc>
        <w:tc>
          <w:tcPr>
            <w:tcW w:w="58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auto"/>
                <w:w w:val="98"/>
              </w:rPr>
              <w:t>&lt;1</w:t>
            </w:r>
          </w:p>
        </w:tc>
        <w:tc>
          <w:tcPr>
            <w:tcW w:w="50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auto"/>
                <w:w w:val="89"/>
              </w:rPr>
              <w:t>2</w:t>
            </w:r>
          </w:p>
        </w:tc>
        <w:tc>
          <w:tcPr>
            <w:tcW w:w="20" w:type="dxa"/>
            <w:vAlign w:val="bottom"/>
          </w:tcPr>
          <w:p>
            <w:pPr>
              <w:spacing w:after="0"/>
              <w:rPr>
                <w:sz w:val="20"/>
                <w:szCs w:val="20"/>
                <w:color w:val="auto"/>
              </w:rPr>
            </w:pPr>
          </w:p>
        </w:tc>
      </w:tr>
      <w:tr>
        <w:trPr>
          <w:trHeight w:val="234"/>
        </w:trPr>
        <w:tc>
          <w:tcPr>
            <w:tcW w:w="760" w:type="dxa"/>
            <w:vAlign w:val="bottom"/>
            <w:tcBorders>
              <w:bottom w:val="single" w:sz="8" w:color="16479F"/>
            </w:tcBorders>
            <w:gridSpan w:val="2"/>
          </w:tcPr>
          <w:p>
            <w:pPr>
              <w:ind w:left="180"/>
              <w:spacing w:after="0"/>
              <w:rPr>
                <w:sz w:val="20"/>
                <w:szCs w:val="20"/>
                <w:color w:val="auto"/>
              </w:rPr>
            </w:pPr>
            <w:r>
              <w:rPr>
                <w:rFonts w:ascii="Arial" w:cs="Arial" w:eastAsia="Arial" w:hAnsi="Arial"/>
                <w:sz w:val="16"/>
                <w:szCs w:val="16"/>
                <w:color w:val="auto"/>
              </w:rPr>
              <w:t>Age</w:t>
            </w:r>
          </w:p>
        </w:tc>
        <w:tc>
          <w:tcPr>
            <w:tcW w:w="4060" w:type="dxa"/>
            <w:vAlign w:val="bottom"/>
            <w:tcBorders>
              <w:bottom w:val="single" w:sz="8" w:color="16479F"/>
            </w:tcBorders>
          </w:tcPr>
          <w:p>
            <w:pPr>
              <w:spacing w:after="0"/>
              <w:rPr>
                <w:sz w:val="20"/>
                <w:szCs w:val="20"/>
                <w:color w:val="auto"/>
              </w:rPr>
            </w:pPr>
          </w:p>
        </w:tc>
        <w:tc>
          <w:tcPr>
            <w:tcW w:w="680" w:type="dxa"/>
            <w:vAlign w:val="bottom"/>
            <w:tcBorders>
              <w:bottom w:val="single" w:sz="8" w:color="16479F"/>
            </w:tcBorders>
          </w:tcPr>
          <w:p>
            <w:pPr>
              <w:jc w:val="center"/>
              <w:ind w:left="140"/>
              <w:spacing w:after="0"/>
              <w:rPr>
                <w:sz w:val="20"/>
                <w:szCs w:val="20"/>
                <w:color w:val="auto"/>
              </w:rPr>
            </w:pPr>
            <w:r>
              <w:rPr>
                <w:rFonts w:ascii="Arial" w:cs="Arial" w:eastAsia="Arial" w:hAnsi="Arial"/>
                <w:sz w:val="16"/>
                <w:szCs w:val="16"/>
                <w:color w:val="auto"/>
              </w:rPr>
              <w:t>62</w:t>
            </w:r>
          </w:p>
        </w:tc>
        <w:tc>
          <w:tcPr>
            <w:tcW w:w="80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auto"/>
              </w:rPr>
              <w:t>66</w:t>
            </w:r>
          </w:p>
        </w:tc>
        <w:tc>
          <w:tcPr>
            <w:tcW w:w="88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auto"/>
              </w:rPr>
              <w:t>63</w:t>
            </w:r>
          </w:p>
        </w:tc>
        <w:tc>
          <w:tcPr>
            <w:tcW w:w="62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auto"/>
              </w:rPr>
              <w:t>70</w:t>
            </w:r>
          </w:p>
        </w:tc>
        <w:tc>
          <w:tcPr>
            <w:tcW w:w="58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auto"/>
              </w:rPr>
              <w:t>63</w:t>
            </w:r>
          </w:p>
        </w:tc>
        <w:tc>
          <w:tcPr>
            <w:tcW w:w="64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auto"/>
              </w:rPr>
              <w:t>52</w:t>
            </w:r>
          </w:p>
        </w:tc>
        <w:tc>
          <w:tcPr>
            <w:tcW w:w="60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auto"/>
              </w:rPr>
              <w:t>61</w:t>
            </w:r>
          </w:p>
        </w:tc>
        <w:tc>
          <w:tcPr>
            <w:tcW w:w="54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auto"/>
              </w:rPr>
              <w:t>55</w:t>
            </w:r>
          </w:p>
        </w:tc>
        <w:tc>
          <w:tcPr>
            <w:tcW w:w="58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auto"/>
              </w:rPr>
              <w:t>57</w:t>
            </w:r>
          </w:p>
        </w:tc>
        <w:tc>
          <w:tcPr>
            <w:tcW w:w="50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auto"/>
                <w:w w:val="89"/>
              </w:rPr>
              <w:t>65</w:t>
            </w:r>
          </w:p>
        </w:tc>
        <w:tc>
          <w:tcPr>
            <w:tcW w:w="20" w:type="dxa"/>
            <w:vAlign w:val="bottom"/>
          </w:tcPr>
          <w:p>
            <w:pPr>
              <w:spacing w:after="0"/>
              <w:rPr>
                <w:sz w:val="20"/>
                <w:szCs w:val="20"/>
                <w:color w:val="auto"/>
              </w:rPr>
            </w:pPr>
          </w:p>
        </w:tc>
      </w:tr>
      <w:tr>
        <w:trPr>
          <w:trHeight w:val="222"/>
        </w:trPr>
        <w:tc>
          <w:tcPr>
            <w:tcW w:w="760" w:type="dxa"/>
            <w:vAlign w:val="bottom"/>
            <w:gridSpan w:val="2"/>
          </w:tcPr>
          <w:p>
            <w:pPr>
              <w:ind w:left="180"/>
              <w:spacing w:after="0"/>
              <w:rPr>
                <w:sz w:val="20"/>
                <w:szCs w:val="20"/>
                <w:color w:val="auto"/>
              </w:rPr>
            </w:pPr>
            <w:r>
              <w:rPr>
                <w:rFonts w:ascii="Arial" w:cs="Arial" w:eastAsia="Arial" w:hAnsi="Arial"/>
                <w:sz w:val="16"/>
                <w:szCs w:val="16"/>
                <w:color w:val="auto"/>
              </w:rPr>
              <w:t>Gender</w:t>
            </w:r>
          </w:p>
        </w:tc>
        <w:tc>
          <w:tcPr>
            <w:tcW w:w="4060" w:type="dxa"/>
            <w:vAlign w:val="bottom"/>
          </w:tcPr>
          <w:p>
            <w:pPr>
              <w:spacing w:after="0"/>
              <w:rPr>
                <w:sz w:val="19"/>
                <w:szCs w:val="19"/>
                <w:color w:val="auto"/>
              </w:rPr>
            </w:pPr>
          </w:p>
        </w:tc>
        <w:tc>
          <w:tcPr>
            <w:tcW w:w="680" w:type="dxa"/>
            <w:vAlign w:val="bottom"/>
          </w:tcPr>
          <w:p>
            <w:pPr>
              <w:jc w:val="center"/>
              <w:ind w:left="120"/>
              <w:spacing w:after="0"/>
              <w:rPr>
                <w:sz w:val="20"/>
                <w:szCs w:val="20"/>
                <w:color w:val="auto"/>
              </w:rPr>
            </w:pPr>
            <w:r>
              <w:rPr>
                <w:rFonts w:ascii="Arial" w:cs="Arial" w:eastAsia="Arial" w:hAnsi="Arial"/>
                <w:sz w:val="16"/>
                <w:szCs w:val="16"/>
                <w:color w:val="auto"/>
                <w:w w:val="89"/>
              </w:rPr>
              <w:t>M</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M</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M</w:t>
            </w:r>
          </w:p>
        </w:tc>
        <w:tc>
          <w:tcPr>
            <w:tcW w:w="620" w:type="dxa"/>
            <w:vAlign w:val="bottom"/>
          </w:tcPr>
          <w:p>
            <w:pPr>
              <w:jc w:val="center"/>
              <w:spacing w:after="0"/>
              <w:rPr>
                <w:sz w:val="20"/>
                <w:szCs w:val="20"/>
                <w:color w:val="auto"/>
              </w:rPr>
            </w:pPr>
            <w:r>
              <w:rPr>
                <w:rFonts w:ascii="Arial" w:cs="Arial" w:eastAsia="Arial" w:hAnsi="Arial"/>
                <w:sz w:val="16"/>
                <w:szCs w:val="16"/>
                <w:color w:val="auto"/>
              </w:rPr>
              <w:t>F</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M</w:t>
            </w:r>
          </w:p>
        </w:tc>
        <w:tc>
          <w:tcPr>
            <w:tcW w:w="640" w:type="dxa"/>
            <w:vAlign w:val="bottom"/>
          </w:tcPr>
          <w:p>
            <w:pPr>
              <w:jc w:val="center"/>
              <w:spacing w:after="0"/>
              <w:rPr>
                <w:sz w:val="20"/>
                <w:szCs w:val="20"/>
                <w:color w:val="auto"/>
              </w:rPr>
            </w:pPr>
            <w:r>
              <w:rPr>
                <w:rFonts w:ascii="Arial" w:cs="Arial" w:eastAsia="Arial" w:hAnsi="Arial"/>
                <w:sz w:val="16"/>
                <w:szCs w:val="16"/>
                <w:color w:val="auto"/>
              </w:rPr>
              <w:t>M</w:t>
            </w:r>
          </w:p>
        </w:tc>
        <w:tc>
          <w:tcPr>
            <w:tcW w:w="600" w:type="dxa"/>
            <w:vAlign w:val="bottom"/>
          </w:tcPr>
          <w:p>
            <w:pPr>
              <w:jc w:val="center"/>
              <w:spacing w:after="0"/>
              <w:rPr>
                <w:sz w:val="20"/>
                <w:szCs w:val="20"/>
                <w:color w:val="auto"/>
              </w:rPr>
            </w:pPr>
            <w:r>
              <w:rPr>
                <w:rFonts w:ascii="Arial" w:cs="Arial" w:eastAsia="Arial" w:hAnsi="Arial"/>
                <w:sz w:val="16"/>
                <w:szCs w:val="16"/>
                <w:color w:val="auto"/>
              </w:rPr>
              <w:t>F</w:t>
            </w:r>
          </w:p>
        </w:tc>
        <w:tc>
          <w:tcPr>
            <w:tcW w:w="540" w:type="dxa"/>
            <w:vAlign w:val="bottom"/>
          </w:tcPr>
          <w:p>
            <w:pPr>
              <w:jc w:val="center"/>
              <w:spacing w:after="0"/>
              <w:rPr>
                <w:sz w:val="20"/>
                <w:szCs w:val="20"/>
                <w:color w:val="auto"/>
              </w:rPr>
            </w:pPr>
            <w:r>
              <w:rPr>
                <w:rFonts w:ascii="Arial" w:cs="Arial" w:eastAsia="Arial" w:hAnsi="Arial"/>
                <w:sz w:val="16"/>
                <w:szCs w:val="16"/>
                <w:color w:val="auto"/>
              </w:rPr>
              <w:t>M</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M</w:t>
            </w:r>
          </w:p>
        </w:tc>
        <w:tc>
          <w:tcPr>
            <w:tcW w:w="500" w:type="dxa"/>
            <w:vAlign w:val="bottom"/>
          </w:tcPr>
          <w:p>
            <w:pPr>
              <w:jc w:val="center"/>
              <w:spacing w:after="0"/>
              <w:rPr>
                <w:sz w:val="20"/>
                <w:szCs w:val="20"/>
                <w:color w:val="auto"/>
              </w:rPr>
            </w:pPr>
            <w:r>
              <w:rPr>
                <w:rFonts w:ascii="Arial" w:cs="Arial" w:eastAsia="Arial" w:hAnsi="Arial"/>
                <w:sz w:val="16"/>
                <w:szCs w:val="16"/>
                <w:color w:val="auto"/>
                <w:w w:val="81"/>
              </w:rPr>
              <w:t>F</w:t>
            </w:r>
          </w:p>
        </w:tc>
        <w:tc>
          <w:tcPr>
            <w:tcW w:w="20" w:type="dxa"/>
            <w:vAlign w:val="bottom"/>
          </w:tcPr>
          <w:p>
            <w:pPr>
              <w:spacing w:after="0"/>
              <w:rPr>
                <w:sz w:val="19"/>
                <w:szCs w:val="19"/>
                <w:color w:val="auto"/>
              </w:rPr>
            </w:pPr>
          </w:p>
        </w:tc>
      </w:tr>
      <w:tr>
        <w:trPr>
          <w:trHeight w:val="438"/>
        </w:trPr>
        <w:tc>
          <w:tcPr>
            <w:tcW w:w="4820" w:type="dxa"/>
            <w:vAlign w:val="bottom"/>
            <w:gridSpan w:val="3"/>
          </w:tcPr>
          <w:p>
            <w:pPr>
              <w:ind w:left="60"/>
              <w:spacing w:after="0"/>
              <w:rPr>
                <w:sz w:val="20"/>
                <w:szCs w:val="20"/>
                <w:color w:val="auto"/>
              </w:rPr>
            </w:pPr>
            <w:r>
              <w:rPr>
                <w:rFonts w:ascii="Arial" w:cs="Arial" w:eastAsia="Arial" w:hAnsi="Arial"/>
                <w:sz w:val="16"/>
                <w:szCs w:val="16"/>
                <w:b w:val="1"/>
                <w:bCs w:val="1"/>
                <w:color w:val="auto"/>
              </w:rPr>
              <w:t>RACE/ETHNICITY/BIRTHPLACE</w:t>
            </w: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3"/>
        </w:trPr>
        <w:tc>
          <w:tcPr>
            <w:tcW w:w="4820" w:type="dxa"/>
            <w:vAlign w:val="bottom"/>
            <w:gridSpan w:val="3"/>
            <w:shd w:val="clear" w:color="auto" w:fill="16479F"/>
          </w:tcPr>
          <w:p>
            <w:pPr>
              <w:spacing w:after="0"/>
              <w:rPr>
                <w:sz w:val="5"/>
                <w:szCs w:val="5"/>
                <w:color w:val="auto"/>
              </w:rPr>
            </w:pPr>
          </w:p>
        </w:tc>
        <w:tc>
          <w:tcPr>
            <w:tcW w:w="680" w:type="dxa"/>
            <w:vAlign w:val="bottom"/>
            <w:shd w:val="clear" w:color="auto" w:fill="16479F"/>
          </w:tcPr>
          <w:p>
            <w:pPr>
              <w:spacing w:after="0"/>
              <w:rPr>
                <w:sz w:val="5"/>
                <w:szCs w:val="5"/>
                <w:color w:val="auto"/>
              </w:rPr>
            </w:pPr>
          </w:p>
        </w:tc>
        <w:tc>
          <w:tcPr>
            <w:tcW w:w="800" w:type="dxa"/>
            <w:vAlign w:val="bottom"/>
            <w:shd w:val="clear" w:color="auto" w:fill="16479F"/>
          </w:tcPr>
          <w:p>
            <w:pPr>
              <w:spacing w:after="0"/>
              <w:rPr>
                <w:sz w:val="5"/>
                <w:szCs w:val="5"/>
                <w:color w:val="auto"/>
              </w:rPr>
            </w:pPr>
          </w:p>
        </w:tc>
        <w:tc>
          <w:tcPr>
            <w:tcW w:w="880" w:type="dxa"/>
            <w:vAlign w:val="bottom"/>
            <w:shd w:val="clear" w:color="auto" w:fill="16479F"/>
          </w:tcPr>
          <w:p>
            <w:pPr>
              <w:spacing w:after="0"/>
              <w:rPr>
                <w:sz w:val="5"/>
                <w:szCs w:val="5"/>
                <w:color w:val="auto"/>
              </w:rPr>
            </w:pPr>
          </w:p>
        </w:tc>
        <w:tc>
          <w:tcPr>
            <w:tcW w:w="620" w:type="dxa"/>
            <w:vAlign w:val="bottom"/>
            <w:shd w:val="clear" w:color="auto" w:fill="16479F"/>
          </w:tcPr>
          <w:p>
            <w:pPr>
              <w:spacing w:after="0"/>
              <w:rPr>
                <w:sz w:val="5"/>
                <w:szCs w:val="5"/>
                <w:color w:val="auto"/>
              </w:rPr>
            </w:pPr>
          </w:p>
        </w:tc>
        <w:tc>
          <w:tcPr>
            <w:tcW w:w="580" w:type="dxa"/>
            <w:vAlign w:val="bottom"/>
            <w:shd w:val="clear" w:color="auto" w:fill="16479F"/>
          </w:tcPr>
          <w:p>
            <w:pPr>
              <w:spacing w:after="0"/>
              <w:rPr>
                <w:sz w:val="5"/>
                <w:szCs w:val="5"/>
                <w:color w:val="auto"/>
              </w:rPr>
            </w:pPr>
          </w:p>
        </w:tc>
        <w:tc>
          <w:tcPr>
            <w:tcW w:w="640" w:type="dxa"/>
            <w:vAlign w:val="bottom"/>
            <w:shd w:val="clear" w:color="auto" w:fill="16479F"/>
          </w:tcPr>
          <w:p>
            <w:pPr>
              <w:spacing w:after="0"/>
              <w:rPr>
                <w:sz w:val="5"/>
                <w:szCs w:val="5"/>
                <w:color w:val="auto"/>
              </w:rPr>
            </w:pPr>
          </w:p>
        </w:tc>
        <w:tc>
          <w:tcPr>
            <w:tcW w:w="600" w:type="dxa"/>
            <w:vAlign w:val="bottom"/>
            <w:shd w:val="clear" w:color="auto" w:fill="16479F"/>
          </w:tcPr>
          <w:p>
            <w:pPr>
              <w:spacing w:after="0"/>
              <w:rPr>
                <w:sz w:val="5"/>
                <w:szCs w:val="5"/>
                <w:color w:val="auto"/>
              </w:rPr>
            </w:pPr>
          </w:p>
        </w:tc>
        <w:tc>
          <w:tcPr>
            <w:tcW w:w="540" w:type="dxa"/>
            <w:vAlign w:val="bottom"/>
            <w:shd w:val="clear" w:color="auto" w:fill="16479F"/>
          </w:tcPr>
          <w:p>
            <w:pPr>
              <w:spacing w:after="0"/>
              <w:rPr>
                <w:sz w:val="5"/>
                <w:szCs w:val="5"/>
                <w:color w:val="auto"/>
              </w:rPr>
            </w:pPr>
          </w:p>
        </w:tc>
        <w:tc>
          <w:tcPr>
            <w:tcW w:w="580" w:type="dxa"/>
            <w:vAlign w:val="bottom"/>
            <w:shd w:val="clear" w:color="auto" w:fill="16479F"/>
          </w:tcPr>
          <w:p>
            <w:pPr>
              <w:spacing w:after="0"/>
              <w:rPr>
                <w:sz w:val="5"/>
                <w:szCs w:val="5"/>
                <w:color w:val="auto"/>
              </w:rPr>
            </w:pPr>
          </w:p>
        </w:tc>
        <w:tc>
          <w:tcPr>
            <w:tcW w:w="500" w:type="dxa"/>
            <w:vAlign w:val="bottom"/>
            <w:shd w:val="clear" w:color="auto" w:fill="16479F"/>
          </w:tcPr>
          <w:p>
            <w:pPr>
              <w:spacing w:after="0"/>
              <w:rPr>
                <w:sz w:val="5"/>
                <w:szCs w:val="5"/>
                <w:color w:val="auto"/>
              </w:rPr>
            </w:pPr>
          </w:p>
        </w:tc>
        <w:tc>
          <w:tcPr>
            <w:tcW w:w="20" w:type="dxa"/>
            <w:vAlign w:val="bottom"/>
          </w:tcPr>
          <w:p>
            <w:pPr>
              <w:spacing w:after="0"/>
              <w:rPr>
                <w:sz w:val="5"/>
                <w:szCs w:val="5"/>
                <w:color w:val="auto"/>
              </w:rPr>
            </w:pPr>
          </w:p>
        </w:tc>
      </w:tr>
      <w:tr>
        <w:trPr>
          <w:trHeight w:val="234"/>
        </w:trPr>
        <w:tc>
          <w:tcPr>
            <w:tcW w:w="4820" w:type="dxa"/>
            <w:vAlign w:val="bottom"/>
            <w:tcBorders>
              <w:bottom w:val="single" w:sz="8" w:color="16479F"/>
            </w:tcBorders>
            <w:gridSpan w:val="3"/>
          </w:tcPr>
          <w:p>
            <w:pPr>
              <w:ind w:left="180"/>
              <w:spacing w:after="0"/>
              <w:rPr>
                <w:sz w:val="20"/>
                <w:szCs w:val="20"/>
                <w:color w:val="auto"/>
              </w:rPr>
            </w:pPr>
            <w:r>
              <w:rPr>
                <w:rFonts w:ascii="Arial" w:cs="Arial" w:eastAsia="Arial" w:hAnsi="Arial"/>
                <w:sz w:val="16"/>
                <w:szCs w:val="16"/>
                <w:color w:val="auto"/>
              </w:rPr>
              <w:t>African American/Black</w:t>
            </w:r>
          </w:p>
        </w:tc>
        <w:tc>
          <w:tcPr>
            <w:tcW w:w="680" w:type="dxa"/>
            <w:vAlign w:val="bottom"/>
            <w:tcBorders>
              <w:bottom w:val="single" w:sz="8" w:color="16479F"/>
            </w:tcBorders>
          </w:tcPr>
          <w:p>
            <w:pPr>
              <w:spacing w:after="0"/>
              <w:rPr>
                <w:sz w:val="20"/>
                <w:szCs w:val="20"/>
                <w:color w:val="auto"/>
              </w:rPr>
            </w:pPr>
          </w:p>
        </w:tc>
        <w:tc>
          <w:tcPr>
            <w:tcW w:w="800" w:type="dxa"/>
            <w:vAlign w:val="bottom"/>
            <w:tcBorders>
              <w:bottom w:val="single" w:sz="8" w:color="16479F"/>
            </w:tcBorders>
          </w:tcPr>
          <w:p>
            <w:pPr>
              <w:spacing w:after="0"/>
              <w:rPr>
                <w:sz w:val="20"/>
                <w:szCs w:val="20"/>
                <w:color w:val="auto"/>
              </w:rPr>
            </w:pPr>
          </w:p>
        </w:tc>
        <w:tc>
          <w:tcPr>
            <w:tcW w:w="880" w:type="dxa"/>
            <w:vAlign w:val="bottom"/>
            <w:tcBorders>
              <w:bottom w:val="single" w:sz="8" w:color="16479F"/>
            </w:tcBorders>
          </w:tcPr>
          <w:p>
            <w:pPr>
              <w:spacing w:after="0"/>
              <w:rPr>
                <w:sz w:val="20"/>
                <w:szCs w:val="20"/>
                <w:color w:val="auto"/>
              </w:rPr>
            </w:pPr>
          </w:p>
        </w:tc>
        <w:tc>
          <w:tcPr>
            <w:tcW w:w="620" w:type="dxa"/>
            <w:vAlign w:val="bottom"/>
            <w:tcBorders>
              <w:bottom w:val="single" w:sz="8" w:color="16479F"/>
            </w:tcBorders>
          </w:tcPr>
          <w:p>
            <w:pPr>
              <w:spacing w:after="0"/>
              <w:rPr>
                <w:sz w:val="20"/>
                <w:szCs w:val="20"/>
                <w:color w:val="auto"/>
              </w:rPr>
            </w:pPr>
          </w:p>
        </w:tc>
        <w:tc>
          <w:tcPr>
            <w:tcW w:w="580" w:type="dxa"/>
            <w:vAlign w:val="bottom"/>
            <w:tcBorders>
              <w:bottom w:val="single" w:sz="8" w:color="16479F"/>
            </w:tcBorders>
          </w:tcPr>
          <w:p>
            <w:pPr>
              <w:spacing w:after="0"/>
              <w:rPr>
                <w:sz w:val="20"/>
                <w:szCs w:val="20"/>
                <w:color w:val="auto"/>
              </w:rPr>
            </w:pPr>
          </w:p>
        </w:tc>
        <w:tc>
          <w:tcPr>
            <w:tcW w:w="640" w:type="dxa"/>
            <w:vAlign w:val="bottom"/>
            <w:tcBorders>
              <w:bottom w:val="single" w:sz="8" w:color="16479F"/>
            </w:tcBorders>
          </w:tcPr>
          <w:p>
            <w:pPr>
              <w:spacing w:after="0"/>
              <w:rPr>
                <w:sz w:val="20"/>
                <w:szCs w:val="20"/>
                <w:color w:val="auto"/>
              </w:rPr>
            </w:pPr>
          </w:p>
        </w:tc>
        <w:tc>
          <w:tcPr>
            <w:tcW w:w="600" w:type="dxa"/>
            <w:vAlign w:val="bottom"/>
            <w:tcBorders>
              <w:bottom w:val="single" w:sz="8" w:color="16479F"/>
            </w:tcBorders>
          </w:tcPr>
          <w:p>
            <w:pPr>
              <w:spacing w:after="0"/>
              <w:rPr>
                <w:sz w:val="20"/>
                <w:szCs w:val="20"/>
                <w:color w:val="auto"/>
              </w:rPr>
            </w:pPr>
          </w:p>
        </w:tc>
        <w:tc>
          <w:tcPr>
            <w:tcW w:w="54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rPr>
              <w:t>●</w:t>
            </w:r>
          </w:p>
        </w:tc>
        <w:tc>
          <w:tcPr>
            <w:tcW w:w="580" w:type="dxa"/>
            <w:vAlign w:val="bottom"/>
            <w:tcBorders>
              <w:bottom w:val="single" w:sz="8" w:color="16479F"/>
            </w:tcBorders>
          </w:tcPr>
          <w:p>
            <w:pPr>
              <w:spacing w:after="0"/>
              <w:rPr>
                <w:sz w:val="20"/>
                <w:szCs w:val="20"/>
                <w:color w:val="auto"/>
              </w:rPr>
            </w:pPr>
          </w:p>
        </w:tc>
        <w:tc>
          <w:tcPr>
            <w:tcW w:w="500" w:type="dxa"/>
            <w:vAlign w:val="bottom"/>
            <w:tcBorders>
              <w:bottom w:val="single" w:sz="8" w:color="16479F"/>
            </w:tcBorders>
          </w:tcPr>
          <w:p>
            <w:pPr>
              <w:spacing w:after="0"/>
              <w:rPr>
                <w:sz w:val="20"/>
                <w:szCs w:val="20"/>
                <w:color w:val="auto"/>
              </w:rPr>
            </w:pPr>
          </w:p>
        </w:tc>
        <w:tc>
          <w:tcPr>
            <w:tcW w:w="20" w:type="dxa"/>
            <w:vAlign w:val="bottom"/>
          </w:tcPr>
          <w:p>
            <w:pPr>
              <w:spacing w:after="0"/>
              <w:rPr>
                <w:sz w:val="20"/>
                <w:szCs w:val="20"/>
                <w:color w:val="auto"/>
              </w:rPr>
            </w:pPr>
          </w:p>
        </w:tc>
      </w:tr>
      <w:tr>
        <w:trPr>
          <w:trHeight w:val="234"/>
        </w:trPr>
        <w:tc>
          <w:tcPr>
            <w:tcW w:w="4820" w:type="dxa"/>
            <w:vAlign w:val="bottom"/>
            <w:tcBorders>
              <w:bottom w:val="single" w:sz="8" w:color="16479F"/>
            </w:tcBorders>
            <w:gridSpan w:val="3"/>
          </w:tcPr>
          <w:p>
            <w:pPr>
              <w:ind w:left="180"/>
              <w:spacing w:after="0"/>
              <w:rPr>
                <w:sz w:val="20"/>
                <w:szCs w:val="20"/>
                <w:color w:val="auto"/>
              </w:rPr>
            </w:pPr>
            <w:r>
              <w:rPr>
                <w:rFonts w:ascii="Arial" w:cs="Arial" w:eastAsia="Arial" w:hAnsi="Arial"/>
                <w:sz w:val="16"/>
                <w:szCs w:val="16"/>
                <w:color w:val="auto"/>
              </w:rPr>
              <w:t>Alaskan Native/Native American</w:t>
            </w:r>
          </w:p>
        </w:tc>
        <w:tc>
          <w:tcPr>
            <w:tcW w:w="680" w:type="dxa"/>
            <w:vAlign w:val="bottom"/>
            <w:tcBorders>
              <w:bottom w:val="single" w:sz="8" w:color="16479F"/>
            </w:tcBorders>
          </w:tcPr>
          <w:p>
            <w:pPr>
              <w:spacing w:after="0"/>
              <w:rPr>
                <w:sz w:val="20"/>
                <w:szCs w:val="20"/>
                <w:color w:val="auto"/>
              </w:rPr>
            </w:pPr>
          </w:p>
        </w:tc>
        <w:tc>
          <w:tcPr>
            <w:tcW w:w="800" w:type="dxa"/>
            <w:vAlign w:val="bottom"/>
            <w:tcBorders>
              <w:bottom w:val="single" w:sz="8" w:color="16479F"/>
            </w:tcBorders>
          </w:tcPr>
          <w:p>
            <w:pPr>
              <w:spacing w:after="0"/>
              <w:rPr>
                <w:sz w:val="20"/>
                <w:szCs w:val="20"/>
                <w:color w:val="auto"/>
              </w:rPr>
            </w:pPr>
          </w:p>
        </w:tc>
        <w:tc>
          <w:tcPr>
            <w:tcW w:w="880" w:type="dxa"/>
            <w:vAlign w:val="bottom"/>
            <w:tcBorders>
              <w:bottom w:val="single" w:sz="8" w:color="16479F"/>
            </w:tcBorders>
          </w:tcPr>
          <w:p>
            <w:pPr>
              <w:spacing w:after="0"/>
              <w:rPr>
                <w:sz w:val="20"/>
                <w:szCs w:val="20"/>
                <w:color w:val="auto"/>
              </w:rPr>
            </w:pPr>
          </w:p>
        </w:tc>
        <w:tc>
          <w:tcPr>
            <w:tcW w:w="620" w:type="dxa"/>
            <w:vAlign w:val="bottom"/>
            <w:tcBorders>
              <w:bottom w:val="single" w:sz="8" w:color="16479F"/>
            </w:tcBorders>
          </w:tcPr>
          <w:p>
            <w:pPr>
              <w:spacing w:after="0"/>
              <w:rPr>
                <w:sz w:val="20"/>
                <w:szCs w:val="20"/>
                <w:color w:val="auto"/>
              </w:rPr>
            </w:pPr>
          </w:p>
        </w:tc>
        <w:tc>
          <w:tcPr>
            <w:tcW w:w="580" w:type="dxa"/>
            <w:vAlign w:val="bottom"/>
            <w:tcBorders>
              <w:bottom w:val="single" w:sz="8" w:color="16479F"/>
            </w:tcBorders>
          </w:tcPr>
          <w:p>
            <w:pPr>
              <w:spacing w:after="0"/>
              <w:rPr>
                <w:sz w:val="20"/>
                <w:szCs w:val="20"/>
                <w:color w:val="auto"/>
              </w:rPr>
            </w:pPr>
          </w:p>
        </w:tc>
        <w:tc>
          <w:tcPr>
            <w:tcW w:w="640" w:type="dxa"/>
            <w:vAlign w:val="bottom"/>
            <w:tcBorders>
              <w:bottom w:val="single" w:sz="8" w:color="16479F"/>
            </w:tcBorders>
          </w:tcPr>
          <w:p>
            <w:pPr>
              <w:spacing w:after="0"/>
              <w:rPr>
                <w:sz w:val="20"/>
                <w:szCs w:val="20"/>
                <w:color w:val="auto"/>
              </w:rPr>
            </w:pPr>
          </w:p>
        </w:tc>
        <w:tc>
          <w:tcPr>
            <w:tcW w:w="600" w:type="dxa"/>
            <w:vAlign w:val="bottom"/>
            <w:tcBorders>
              <w:bottom w:val="single" w:sz="8" w:color="16479F"/>
            </w:tcBorders>
          </w:tcPr>
          <w:p>
            <w:pPr>
              <w:spacing w:after="0"/>
              <w:rPr>
                <w:sz w:val="20"/>
                <w:szCs w:val="20"/>
                <w:color w:val="auto"/>
              </w:rPr>
            </w:pPr>
          </w:p>
        </w:tc>
        <w:tc>
          <w:tcPr>
            <w:tcW w:w="540" w:type="dxa"/>
            <w:vAlign w:val="bottom"/>
            <w:tcBorders>
              <w:bottom w:val="single" w:sz="8" w:color="16479F"/>
            </w:tcBorders>
          </w:tcPr>
          <w:p>
            <w:pPr>
              <w:spacing w:after="0"/>
              <w:rPr>
                <w:sz w:val="20"/>
                <w:szCs w:val="20"/>
                <w:color w:val="auto"/>
              </w:rPr>
            </w:pPr>
          </w:p>
        </w:tc>
        <w:tc>
          <w:tcPr>
            <w:tcW w:w="580" w:type="dxa"/>
            <w:vAlign w:val="bottom"/>
            <w:tcBorders>
              <w:bottom w:val="single" w:sz="8" w:color="16479F"/>
            </w:tcBorders>
          </w:tcPr>
          <w:p>
            <w:pPr>
              <w:spacing w:after="0"/>
              <w:rPr>
                <w:sz w:val="20"/>
                <w:szCs w:val="20"/>
                <w:color w:val="auto"/>
              </w:rPr>
            </w:pPr>
          </w:p>
        </w:tc>
        <w:tc>
          <w:tcPr>
            <w:tcW w:w="500" w:type="dxa"/>
            <w:vAlign w:val="bottom"/>
            <w:tcBorders>
              <w:bottom w:val="single" w:sz="8" w:color="16479F"/>
            </w:tcBorders>
          </w:tcPr>
          <w:p>
            <w:pPr>
              <w:spacing w:after="0"/>
              <w:rPr>
                <w:sz w:val="20"/>
                <w:szCs w:val="20"/>
                <w:color w:val="auto"/>
              </w:rPr>
            </w:pPr>
          </w:p>
        </w:tc>
        <w:tc>
          <w:tcPr>
            <w:tcW w:w="20" w:type="dxa"/>
            <w:vAlign w:val="bottom"/>
          </w:tcPr>
          <w:p>
            <w:pPr>
              <w:spacing w:after="0"/>
              <w:rPr>
                <w:sz w:val="20"/>
                <w:szCs w:val="20"/>
                <w:color w:val="auto"/>
              </w:rPr>
            </w:pPr>
          </w:p>
        </w:tc>
      </w:tr>
      <w:tr>
        <w:trPr>
          <w:trHeight w:val="234"/>
        </w:trPr>
        <w:tc>
          <w:tcPr>
            <w:tcW w:w="4820" w:type="dxa"/>
            <w:vAlign w:val="bottom"/>
            <w:tcBorders>
              <w:bottom w:val="single" w:sz="8" w:color="16479F"/>
            </w:tcBorders>
            <w:gridSpan w:val="3"/>
          </w:tcPr>
          <w:p>
            <w:pPr>
              <w:ind w:left="180"/>
              <w:spacing w:after="0"/>
              <w:rPr>
                <w:sz w:val="20"/>
                <w:szCs w:val="20"/>
                <w:color w:val="auto"/>
              </w:rPr>
            </w:pPr>
            <w:r>
              <w:rPr>
                <w:rFonts w:ascii="Arial" w:cs="Arial" w:eastAsia="Arial" w:hAnsi="Arial"/>
                <w:sz w:val="16"/>
                <w:szCs w:val="16"/>
                <w:color w:val="auto"/>
              </w:rPr>
              <w:t>Asian/South Asian</w:t>
            </w:r>
          </w:p>
        </w:tc>
        <w:tc>
          <w:tcPr>
            <w:tcW w:w="680" w:type="dxa"/>
            <w:vAlign w:val="bottom"/>
            <w:tcBorders>
              <w:bottom w:val="single" w:sz="8" w:color="16479F"/>
            </w:tcBorders>
          </w:tcPr>
          <w:p>
            <w:pPr>
              <w:spacing w:after="0"/>
              <w:rPr>
                <w:sz w:val="20"/>
                <w:szCs w:val="20"/>
                <w:color w:val="auto"/>
              </w:rPr>
            </w:pPr>
          </w:p>
        </w:tc>
        <w:tc>
          <w:tcPr>
            <w:tcW w:w="800" w:type="dxa"/>
            <w:vAlign w:val="bottom"/>
            <w:tcBorders>
              <w:bottom w:val="single" w:sz="8" w:color="16479F"/>
            </w:tcBorders>
          </w:tcPr>
          <w:p>
            <w:pPr>
              <w:spacing w:after="0"/>
              <w:rPr>
                <w:sz w:val="20"/>
                <w:szCs w:val="20"/>
                <w:color w:val="auto"/>
              </w:rPr>
            </w:pPr>
          </w:p>
        </w:tc>
        <w:tc>
          <w:tcPr>
            <w:tcW w:w="880" w:type="dxa"/>
            <w:vAlign w:val="bottom"/>
            <w:tcBorders>
              <w:bottom w:val="single" w:sz="8" w:color="16479F"/>
            </w:tcBorders>
          </w:tcPr>
          <w:p>
            <w:pPr>
              <w:spacing w:after="0"/>
              <w:rPr>
                <w:sz w:val="20"/>
                <w:szCs w:val="20"/>
                <w:color w:val="auto"/>
              </w:rPr>
            </w:pPr>
          </w:p>
        </w:tc>
        <w:tc>
          <w:tcPr>
            <w:tcW w:w="620" w:type="dxa"/>
            <w:vAlign w:val="bottom"/>
            <w:tcBorders>
              <w:bottom w:val="single" w:sz="8" w:color="16479F"/>
            </w:tcBorders>
          </w:tcPr>
          <w:p>
            <w:pPr>
              <w:spacing w:after="0"/>
              <w:rPr>
                <w:sz w:val="20"/>
                <w:szCs w:val="20"/>
                <w:color w:val="auto"/>
              </w:rPr>
            </w:pPr>
          </w:p>
        </w:tc>
        <w:tc>
          <w:tcPr>
            <w:tcW w:w="580" w:type="dxa"/>
            <w:vAlign w:val="bottom"/>
            <w:tcBorders>
              <w:bottom w:val="single" w:sz="8" w:color="16479F"/>
            </w:tcBorders>
          </w:tcPr>
          <w:p>
            <w:pPr>
              <w:spacing w:after="0"/>
              <w:rPr>
                <w:sz w:val="20"/>
                <w:szCs w:val="20"/>
                <w:color w:val="auto"/>
              </w:rPr>
            </w:pPr>
          </w:p>
        </w:tc>
        <w:tc>
          <w:tcPr>
            <w:tcW w:w="640" w:type="dxa"/>
            <w:vAlign w:val="bottom"/>
            <w:tcBorders>
              <w:bottom w:val="single" w:sz="8" w:color="16479F"/>
            </w:tcBorders>
          </w:tcPr>
          <w:p>
            <w:pPr>
              <w:spacing w:after="0"/>
              <w:rPr>
                <w:sz w:val="20"/>
                <w:szCs w:val="20"/>
                <w:color w:val="auto"/>
              </w:rPr>
            </w:pPr>
          </w:p>
        </w:tc>
        <w:tc>
          <w:tcPr>
            <w:tcW w:w="600" w:type="dxa"/>
            <w:vAlign w:val="bottom"/>
            <w:tcBorders>
              <w:bottom w:val="single" w:sz="8" w:color="16479F"/>
            </w:tcBorders>
          </w:tcPr>
          <w:p>
            <w:pPr>
              <w:spacing w:after="0"/>
              <w:rPr>
                <w:sz w:val="20"/>
                <w:szCs w:val="20"/>
                <w:color w:val="auto"/>
              </w:rPr>
            </w:pPr>
          </w:p>
        </w:tc>
        <w:tc>
          <w:tcPr>
            <w:tcW w:w="540" w:type="dxa"/>
            <w:vAlign w:val="bottom"/>
            <w:tcBorders>
              <w:bottom w:val="single" w:sz="8" w:color="16479F"/>
            </w:tcBorders>
          </w:tcPr>
          <w:p>
            <w:pPr>
              <w:spacing w:after="0"/>
              <w:rPr>
                <w:sz w:val="20"/>
                <w:szCs w:val="20"/>
                <w:color w:val="auto"/>
              </w:rPr>
            </w:pPr>
          </w:p>
        </w:tc>
        <w:tc>
          <w:tcPr>
            <w:tcW w:w="58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rPr>
              <w:t>●</w:t>
            </w:r>
          </w:p>
        </w:tc>
        <w:tc>
          <w:tcPr>
            <w:tcW w:w="500" w:type="dxa"/>
            <w:vAlign w:val="bottom"/>
            <w:tcBorders>
              <w:bottom w:val="single" w:sz="8" w:color="16479F"/>
            </w:tcBorders>
          </w:tcPr>
          <w:p>
            <w:pPr>
              <w:spacing w:after="0"/>
              <w:rPr>
                <w:sz w:val="20"/>
                <w:szCs w:val="20"/>
                <w:color w:val="auto"/>
              </w:rPr>
            </w:pPr>
          </w:p>
        </w:tc>
        <w:tc>
          <w:tcPr>
            <w:tcW w:w="20" w:type="dxa"/>
            <w:vAlign w:val="bottom"/>
          </w:tcPr>
          <w:p>
            <w:pPr>
              <w:spacing w:after="0"/>
              <w:rPr>
                <w:sz w:val="20"/>
                <w:szCs w:val="20"/>
                <w:color w:val="auto"/>
              </w:rPr>
            </w:pPr>
          </w:p>
        </w:tc>
      </w:tr>
      <w:tr>
        <w:trPr>
          <w:trHeight w:val="234"/>
        </w:trPr>
        <w:tc>
          <w:tcPr>
            <w:tcW w:w="4820" w:type="dxa"/>
            <w:vAlign w:val="bottom"/>
            <w:tcBorders>
              <w:bottom w:val="single" w:sz="8" w:color="16479F"/>
            </w:tcBorders>
            <w:gridSpan w:val="3"/>
          </w:tcPr>
          <w:p>
            <w:pPr>
              <w:ind w:left="180"/>
              <w:spacing w:after="0"/>
              <w:rPr>
                <w:sz w:val="20"/>
                <w:szCs w:val="20"/>
                <w:color w:val="auto"/>
              </w:rPr>
            </w:pPr>
            <w:r>
              <w:rPr>
                <w:rFonts w:ascii="Arial" w:cs="Arial" w:eastAsia="Arial" w:hAnsi="Arial"/>
                <w:sz w:val="16"/>
                <w:szCs w:val="16"/>
                <w:color w:val="auto"/>
              </w:rPr>
              <w:t>Caucasian/White</w:t>
            </w:r>
          </w:p>
        </w:tc>
        <w:tc>
          <w:tcPr>
            <w:tcW w:w="680" w:type="dxa"/>
            <w:vAlign w:val="bottom"/>
            <w:tcBorders>
              <w:bottom w:val="single" w:sz="8" w:color="16479F"/>
            </w:tcBorders>
          </w:tcPr>
          <w:p>
            <w:pPr>
              <w:jc w:val="center"/>
              <w:ind w:left="140"/>
              <w:spacing w:after="0"/>
              <w:rPr>
                <w:sz w:val="20"/>
                <w:szCs w:val="20"/>
                <w:color w:val="auto"/>
              </w:rPr>
            </w:pPr>
            <w:r>
              <w:rPr>
                <w:rFonts w:ascii="Arial" w:cs="Arial" w:eastAsia="Arial" w:hAnsi="Arial"/>
                <w:sz w:val="16"/>
                <w:szCs w:val="16"/>
                <w:color w:val="16479F"/>
              </w:rPr>
              <w:t>●</w:t>
            </w:r>
          </w:p>
        </w:tc>
        <w:tc>
          <w:tcPr>
            <w:tcW w:w="80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w w:val="82"/>
              </w:rPr>
              <w:t>●</w:t>
            </w:r>
          </w:p>
        </w:tc>
        <w:tc>
          <w:tcPr>
            <w:tcW w:w="880" w:type="dxa"/>
            <w:vAlign w:val="bottom"/>
            <w:tcBorders>
              <w:bottom w:val="single" w:sz="8" w:color="16479F"/>
            </w:tcBorders>
          </w:tcPr>
          <w:p>
            <w:pPr>
              <w:spacing w:after="0"/>
              <w:rPr>
                <w:sz w:val="20"/>
                <w:szCs w:val="20"/>
                <w:color w:val="auto"/>
              </w:rPr>
            </w:pPr>
          </w:p>
        </w:tc>
        <w:tc>
          <w:tcPr>
            <w:tcW w:w="62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rPr>
              <w:t>●</w:t>
            </w:r>
          </w:p>
        </w:tc>
        <w:tc>
          <w:tcPr>
            <w:tcW w:w="58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w w:val="82"/>
              </w:rPr>
              <w:t>●</w:t>
            </w:r>
          </w:p>
        </w:tc>
        <w:tc>
          <w:tcPr>
            <w:tcW w:w="64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rPr>
              <w:t>●</w:t>
            </w:r>
          </w:p>
        </w:tc>
        <w:tc>
          <w:tcPr>
            <w:tcW w:w="60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rPr>
              <w:t>●</w:t>
            </w:r>
          </w:p>
        </w:tc>
        <w:tc>
          <w:tcPr>
            <w:tcW w:w="540" w:type="dxa"/>
            <w:vAlign w:val="bottom"/>
            <w:tcBorders>
              <w:bottom w:val="single" w:sz="8" w:color="16479F"/>
            </w:tcBorders>
          </w:tcPr>
          <w:p>
            <w:pPr>
              <w:spacing w:after="0"/>
              <w:rPr>
                <w:sz w:val="20"/>
                <w:szCs w:val="20"/>
                <w:color w:val="auto"/>
              </w:rPr>
            </w:pPr>
          </w:p>
        </w:tc>
        <w:tc>
          <w:tcPr>
            <w:tcW w:w="580" w:type="dxa"/>
            <w:vAlign w:val="bottom"/>
            <w:tcBorders>
              <w:bottom w:val="single" w:sz="8" w:color="16479F"/>
            </w:tcBorders>
          </w:tcPr>
          <w:p>
            <w:pPr>
              <w:spacing w:after="0"/>
              <w:rPr>
                <w:sz w:val="20"/>
                <w:szCs w:val="20"/>
                <w:color w:val="auto"/>
              </w:rPr>
            </w:pPr>
          </w:p>
        </w:tc>
        <w:tc>
          <w:tcPr>
            <w:tcW w:w="50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w w:val="82"/>
              </w:rPr>
              <w:t>●</w:t>
            </w:r>
          </w:p>
        </w:tc>
        <w:tc>
          <w:tcPr>
            <w:tcW w:w="20" w:type="dxa"/>
            <w:vAlign w:val="bottom"/>
          </w:tcPr>
          <w:p>
            <w:pPr>
              <w:spacing w:after="0"/>
              <w:rPr>
                <w:sz w:val="20"/>
                <w:szCs w:val="20"/>
                <w:color w:val="auto"/>
              </w:rPr>
            </w:pPr>
          </w:p>
        </w:tc>
      </w:tr>
      <w:tr>
        <w:trPr>
          <w:trHeight w:val="234"/>
        </w:trPr>
        <w:tc>
          <w:tcPr>
            <w:tcW w:w="4820" w:type="dxa"/>
            <w:vAlign w:val="bottom"/>
            <w:tcBorders>
              <w:bottom w:val="single" w:sz="8" w:color="16479F"/>
            </w:tcBorders>
            <w:gridSpan w:val="3"/>
          </w:tcPr>
          <w:p>
            <w:pPr>
              <w:ind w:left="180"/>
              <w:spacing w:after="0"/>
              <w:rPr>
                <w:sz w:val="20"/>
                <w:szCs w:val="20"/>
                <w:color w:val="auto"/>
              </w:rPr>
            </w:pPr>
            <w:r>
              <w:rPr>
                <w:rFonts w:ascii="Arial" w:cs="Arial" w:eastAsia="Arial" w:hAnsi="Arial"/>
                <w:sz w:val="16"/>
                <w:szCs w:val="16"/>
                <w:color w:val="auto"/>
              </w:rPr>
              <w:t>Hispanic/Latino</w:t>
            </w:r>
          </w:p>
        </w:tc>
        <w:tc>
          <w:tcPr>
            <w:tcW w:w="680" w:type="dxa"/>
            <w:vAlign w:val="bottom"/>
            <w:tcBorders>
              <w:bottom w:val="single" w:sz="8" w:color="16479F"/>
            </w:tcBorders>
          </w:tcPr>
          <w:p>
            <w:pPr>
              <w:spacing w:after="0"/>
              <w:rPr>
                <w:sz w:val="20"/>
                <w:szCs w:val="20"/>
                <w:color w:val="auto"/>
              </w:rPr>
            </w:pPr>
          </w:p>
        </w:tc>
        <w:tc>
          <w:tcPr>
            <w:tcW w:w="800" w:type="dxa"/>
            <w:vAlign w:val="bottom"/>
            <w:tcBorders>
              <w:bottom w:val="single" w:sz="8" w:color="16479F"/>
            </w:tcBorders>
          </w:tcPr>
          <w:p>
            <w:pPr>
              <w:spacing w:after="0"/>
              <w:rPr>
                <w:sz w:val="20"/>
                <w:szCs w:val="20"/>
                <w:color w:val="auto"/>
              </w:rPr>
            </w:pPr>
          </w:p>
        </w:tc>
        <w:tc>
          <w:tcPr>
            <w:tcW w:w="88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rPr>
              <w:t>●</w:t>
            </w:r>
          </w:p>
        </w:tc>
        <w:tc>
          <w:tcPr>
            <w:tcW w:w="620" w:type="dxa"/>
            <w:vAlign w:val="bottom"/>
            <w:tcBorders>
              <w:bottom w:val="single" w:sz="8" w:color="16479F"/>
            </w:tcBorders>
          </w:tcPr>
          <w:p>
            <w:pPr>
              <w:spacing w:after="0"/>
              <w:rPr>
                <w:sz w:val="20"/>
                <w:szCs w:val="20"/>
                <w:color w:val="auto"/>
              </w:rPr>
            </w:pPr>
          </w:p>
        </w:tc>
        <w:tc>
          <w:tcPr>
            <w:tcW w:w="580" w:type="dxa"/>
            <w:vAlign w:val="bottom"/>
            <w:tcBorders>
              <w:bottom w:val="single" w:sz="8" w:color="16479F"/>
            </w:tcBorders>
          </w:tcPr>
          <w:p>
            <w:pPr>
              <w:spacing w:after="0"/>
              <w:rPr>
                <w:sz w:val="20"/>
                <w:szCs w:val="20"/>
                <w:color w:val="auto"/>
              </w:rPr>
            </w:pPr>
          </w:p>
        </w:tc>
        <w:tc>
          <w:tcPr>
            <w:tcW w:w="640" w:type="dxa"/>
            <w:vAlign w:val="bottom"/>
            <w:tcBorders>
              <w:bottom w:val="single" w:sz="8" w:color="16479F"/>
            </w:tcBorders>
          </w:tcPr>
          <w:p>
            <w:pPr>
              <w:spacing w:after="0"/>
              <w:rPr>
                <w:sz w:val="20"/>
                <w:szCs w:val="20"/>
                <w:color w:val="auto"/>
              </w:rPr>
            </w:pPr>
          </w:p>
        </w:tc>
        <w:tc>
          <w:tcPr>
            <w:tcW w:w="600" w:type="dxa"/>
            <w:vAlign w:val="bottom"/>
            <w:tcBorders>
              <w:bottom w:val="single" w:sz="8" w:color="16479F"/>
            </w:tcBorders>
          </w:tcPr>
          <w:p>
            <w:pPr>
              <w:spacing w:after="0"/>
              <w:rPr>
                <w:sz w:val="20"/>
                <w:szCs w:val="20"/>
                <w:color w:val="auto"/>
              </w:rPr>
            </w:pPr>
          </w:p>
        </w:tc>
        <w:tc>
          <w:tcPr>
            <w:tcW w:w="540" w:type="dxa"/>
            <w:vAlign w:val="bottom"/>
            <w:tcBorders>
              <w:bottom w:val="single" w:sz="8" w:color="16479F"/>
            </w:tcBorders>
          </w:tcPr>
          <w:p>
            <w:pPr>
              <w:spacing w:after="0"/>
              <w:rPr>
                <w:sz w:val="20"/>
                <w:szCs w:val="20"/>
                <w:color w:val="auto"/>
              </w:rPr>
            </w:pPr>
          </w:p>
        </w:tc>
        <w:tc>
          <w:tcPr>
            <w:tcW w:w="580" w:type="dxa"/>
            <w:vAlign w:val="bottom"/>
            <w:tcBorders>
              <w:bottom w:val="single" w:sz="8" w:color="16479F"/>
            </w:tcBorders>
          </w:tcPr>
          <w:p>
            <w:pPr>
              <w:spacing w:after="0"/>
              <w:rPr>
                <w:sz w:val="20"/>
                <w:szCs w:val="20"/>
                <w:color w:val="auto"/>
              </w:rPr>
            </w:pPr>
          </w:p>
        </w:tc>
        <w:tc>
          <w:tcPr>
            <w:tcW w:w="500" w:type="dxa"/>
            <w:vAlign w:val="bottom"/>
            <w:tcBorders>
              <w:bottom w:val="single" w:sz="8" w:color="16479F"/>
            </w:tcBorders>
          </w:tcPr>
          <w:p>
            <w:pPr>
              <w:spacing w:after="0"/>
              <w:rPr>
                <w:sz w:val="20"/>
                <w:szCs w:val="20"/>
                <w:color w:val="auto"/>
              </w:rPr>
            </w:pPr>
          </w:p>
        </w:tc>
        <w:tc>
          <w:tcPr>
            <w:tcW w:w="20" w:type="dxa"/>
            <w:vAlign w:val="bottom"/>
          </w:tcPr>
          <w:p>
            <w:pPr>
              <w:spacing w:after="0"/>
              <w:rPr>
                <w:sz w:val="20"/>
                <w:szCs w:val="20"/>
                <w:color w:val="auto"/>
              </w:rPr>
            </w:pPr>
          </w:p>
        </w:tc>
      </w:tr>
      <w:tr>
        <w:trPr>
          <w:trHeight w:val="234"/>
        </w:trPr>
        <w:tc>
          <w:tcPr>
            <w:tcW w:w="4820" w:type="dxa"/>
            <w:vAlign w:val="bottom"/>
            <w:tcBorders>
              <w:bottom w:val="single" w:sz="8" w:color="16479F"/>
            </w:tcBorders>
            <w:gridSpan w:val="3"/>
          </w:tcPr>
          <w:p>
            <w:pPr>
              <w:ind w:left="180"/>
              <w:spacing w:after="0"/>
              <w:rPr>
                <w:sz w:val="20"/>
                <w:szCs w:val="20"/>
                <w:color w:val="auto"/>
              </w:rPr>
            </w:pPr>
            <w:r>
              <w:rPr>
                <w:rFonts w:ascii="Arial" w:cs="Arial" w:eastAsia="Arial" w:hAnsi="Arial"/>
                <w:sz w:val="16"/>
                <w:szCs w:val="16"/>
                <w:color w:val="auto"/>
              </w:rPr>
              <w:t>Native Hawaiian or Pacific Islander</w:t>
            </w:r>
          </w:p>
        </w:tc>
        <w:tc>
          <w:tcPr>
            <w:tcW w:w="680" w:type="dxa"/>
            <w:vAlign w:val="bottom"/>
            <w:tcBorders>
              <w:bottom w:val="single" w:sz="8" w:color="16479F"/>
            </w:tcBorders>
          </w:tcPr>
          <w:p>
            <w:pPr>
              <w:spacing w:after="0"/>
              <w:rPr>
                <w:sz w:val="20"/>
                <w:szCs w:val="20"/>
                <w:color w:val="auto"/>
              </w:rPr>
            </w:pPr>
          </w:p>
        </w:tc>
        <w:tc>
          <w:tcPr>
            <w:tcW w:w="800" w:type="dxa"/>
            <w:vAlign w:val="bottom"/>
            <w:tcBorders>
              <w:bottom w:val="single" w:sz="8" w:color="16479F"/>
            </w:tcBorders>
          </w:tcPr>
          <w:p>
            <w:pPr>
              <w:spacing w:after="0"/>
              <w:rPr>
                <w:sz w:val="20"/>
                <w:szCs w:val="20"/>
                <w:color w:val="auto"/>
              </w:rPr>
            </w:pPr>
          </w:p>
        </w:tc>
        <w:tc>
          <w:tcPr>
            <w:tcW w:w="880" w:type="dxa"/>
            <w:vAlign w:val="bottom"/>
            <w:tcBorders>
              <w:bottom w:val="single" w:sz="8" w:color="16479F"/>
            </w:tcBorders>
          </w:tcPr>
          <w:p>
            <w:pPr>
              <w:spacing w:after="0"/>
              <w:rPr>
                <w:sz w:val="20"/>
                <w:szCs w:val="20"/>
                <w:color w:val="auto"/>
              </w:rPr>
            </w:pPr>
          </w:p>
        </w:tc>
        <w:tc>
          <w:tcPr>
            <w:tcW w:w="620" w:type="dxa"/>
            <w:vAlign w:val="bottom"/>
            <w:tcBorders>
              <w:bottom w:val="single" w:sz="8" w:color="16479F"/>
            </w:tcBorders>
          </w:tcPr>
          <w:p>
            <w:pPr>
              <w:spacing w:after="0"/>
              <w:rPr>
                <w:sz w:val="20"/>
                <w:szCs w:val="20"/>
                <w:color w:val="auto"/>
              </w:rPr>
            </w:pPr>
          </w:p>
        </w:tc>
        <w:tc>
          <w:tcPr>
            <w:tcW w:w="580" w:type="dxa"/>
            <w:vAlign w:val="bottom"/>
            <w:tcBorders>
              <w:bottom w:val="single" w:sz="8" w:color="16479F"/>
            </w:tcBorders>
          </w:tcPr>
          <w:p>
            <w:pPr>
              <w:spacing w:after="0"/>
              <w:rPr>
                <w:sz w:val="20"/>
                <w:szCs w:val="20"/>
                <w:color w:val="auto"/>
              </w:rPr>
            </w:pPr>
          </w:p>
        </w:tc>
        <w:tc>
          <w:tcPr>
            <w:tcW w:w="640" w:type="dxa"/>
            <w:vAlign w:val="bottom"/>
            <w:tcBorders>
              <w:bottom w:val="single" w:sz="8" w:color="16479F"/>
            </w:tcBorders>
          </w:tcPr>
          <w:p>
            <w:pPr>
              <w:spacing w:after="0"/>
              <w:rPr>
                <w:sz w:val="20"/>
                <w:szCs w:val="20"/>
                <w:color w:val="auto"/>
              </w:rPr>
            </w:pPr>
          </w:p>
        </w:tc>
        <w:tc>
          <w:tcPr>
            <w:tcW w:w="600" w:type="dxa"/>
            <w:vAlign w:val="bottom"/>
            <w:tcBorders>
              <w:bottom w:val="single" w:sz="8" w:color="16479F"/>
            </w:tcBorders>
          </w:tcPr>
          <w:p>
            <w:pPr>
              <w:spacing w:after="0"/>
              <w:rPr>
                <w:sz w:val="20"/>
                <w:szCs w:val="20"/>
                <w:color w:val="auto"/>
              </w:rPr>
            </w:pPr>
          </w:p>
        </w:tc>
        <w:tc>
          <w:tcPr>
            <w:tcW w:w="540" w:type="dxa"/>
            <w:vAlign w:val="bottom"/>
            <w:tcBorders>
              <w:bottom w:val="single" w:sz="8" w:color="16479F"/>
            </w:tcBorders>
          </w:tcPr>
          <w:p>
            <w:pPr>
              <w:spacing w:after="0"/>
              <w:rPr>
                <w:sz w:val="20"/>
                <w:szCs w:val="20"/>
                <w:color w:val="auto"/>
              </w:rPr>
            </w:pPr>
          </w:p>
        </w:tc>
        <w:tc>
          <w:tcPr>
            <w:tcW w:w="580" w:type="dxa"/>
            <w:vAlign w:val="bottom"/>
            <w:tcBorders>
              <w:bottom w:val="single" w:sz="8" w:color="16479F"/>
            </w:tcBorders>
          </w:tcPr>
          <w:p>
            <w:pPr>
              <w:spacing w:after="0"/>
              <w:rPr>
                <w:sz w:val="20"/>
                <w:szCs w:val="20"/>
                <w:color w:val="auto"/>
              </w:rPr>
            </w:pPr>
          </w:p>
        </w:tc>
        <w:tc>
          <w:tcPr>
            <w:tcW w:w="500" w:type="dxa"/>
            <w:vAlign w:val="bottom"/>
            <w:tcBorders>
              <w:bottom w:val="single" w:sz="8" w:color="16479F"/>
            </w:tcBorders>
          </w:tcPr>
          <w:p>
            <w:pPr>
              <w:spacing w:after="0"/>
              <w:rPr>
                <w:sz w:val="20"/>
                <w:szCs w:val="20"/>
                <w:color w:val="auto"/>
              </w:rPr>
            </w:pPr>
          </w:p>
        </w:tc>
        <w:tc>
          <w:tcPr>
            <w:tcW w:w="20" w:type="dxa"/>
            <w:vAlign w:val="bottom"/>
          </w:tcPr>
          <w:p>
            <w:pPr>
              <w:spacing w:after="0"/>
              <w:rPr>
                <w:sz w:val="20"/>
                <w:szCs w:val="20"/>
                <w:color w:val="auto"/>
              </w:rPr>
            </w:pPr>
          </w:p>
        </w:tc>
      </w:tr>
      <w:tr>
        <w:trPr>
          <w:trHeight w:val="234"/>
        </w:trPr>
        <w:tc>
          <w:tcPr>
            <w:tcW w:w="4820" w:type="dxa"/>
            <w:vAlign w:val="bottom"/>
            <w:tcBorders>
              <w:bottom w:val="single" w:sz="8" w:color="16479F"/>
            </w:tcBorders>
            <w:gridSpan w:val="3"/>
          </w:tcPr>
          <w:p>
            <w:pPr>
              <w:ind w:left="180"/>
              <w:spacing w:after="0"/>
              <w:rPr>
                <w:sz w:val="20"/>
                <w:szCs w:val="20"/>
                <w:color w:val="auto"/>
              </w:rPr>
            </w:pPr>
            <w:r>
              <w:rPr>
                <w:rFonts w:ascii="Arial" w:cs="Arial" w:eastAsia="Arial" w:hAnsi="Arial"/>
                <w:sz w:val="16"/>
                <w:szCs w:val="16"/>
                <w:color w:val="auto"/>
              </w:rPr>
              <w:t>Two or More Races</w:t>
            </w:r>
          </w:p>
        </w:tc>
        <w:tc>
          <w:tcPr>
            <w:tcW w:w="680" w:type="dxa"/>
            <w:vAlign w:val="bottom"/>
            <w:tcBorders>
              <w:bottom w:val="single" w:sz="8" w:color="16479F"/>
            </w:tcBorders>
          </w:tcPr>
          <w:p>
            <w:pPr>
              <w:spacing w:after="0"/>
              <w:rPr>
                <w:sz w:val="20"/>
                <w:szCs w:val="20"/>
                <w:color w:val="auto"/>
              </w:rPr>
            </w:pPr>
          </w:p>
        </w:tc>
        <w:tc>
          <w:tcPr>
            <w:tcW w:w="800" w:type="dxa"/>
            <w:vAlign w:val="bottom"/>
            <w:tcBorders>
              <w:bottom w:val="single" w:sz="8" w:color="16479F"/>
            </w:tcBorders>
          </w:tcPr>
          <w:p>
            <w:pPr>
              <w:spacing w:after="0"/>
              <w:rPr>
                <w:sz w:val="20"/>
                <w:szCs w:val="20"/>
                <w:color w:val="auto"/>
              </w:rPr>
            </w:pPr>
          </w:p>
        </w:tc>
        <w:tc>
          <w:tcPr>
            <w:tcW w:w="880" w:type="dxa"/>
            <w:vAlign w:val="bottom"/>
            <w:tcBorders>
              <w:bottom w:val="single" w:sz="8" w:color="16479F"/>
            </w:tcBorders>
          </w:tcPr>
          <w:p>
            <w:pPr>
              <w:spacing w:after="0"/>
              <w:rPr>
                <w:sz w:val="20"/>
                <w:szCs w:val="20"/>
                <w:color w:val="auto"/>
              </w:rPr>
            </w:pPr>
          </w:p>
        </w:tc>
        <w:tc>
          <w:tcPr>
            <w:tcW w:w="620" w:type="dxa"/>
            <w:vAlign w:val="bottom"/>
            <w:tcBorders>
              <w:bottom w:val="single" w:sz="8" w:color="16479F"/>
            </w:tcBorders>
          </w:tcPr>
          <w:p>
            <w:pPr>
              <w:spacing w:after="0"/>
              <w:rPr>
                <w:sz w:val="20"/>
                <w:szCs w:val="20"/>
                <w:color w:val="auto"/>
              </w:rPr>
            </w:pPr>
          </w:p>
        </w:tc>
        <w:tc>
          <w:tcPr>
            <w:tcW w:w="580" w:type="dxa"/>
            <w:vAlign w:val="bottom"/>
            <w:tcBorders>
              <w:bottom w:val="single" w:sz="8" w:color="16479F"/>
            </w:tcBorders>
          </w:tcPr>
          <w:p>
            <w:pPr>
              <w:spacing w:after="0"/>
              <w:rPr>
                <w:sz w:val="20"/>
                <w:szCs w:val="20"/>
                <w:color w:val="auto"/>
              </w:rPr>
            </w:pPr>
          </w:p>
        </w:tc>
        <w:tc>
          <w:tcPr>
            <w:tcW w:w="640" w:type="dxa"/>
            <w:vAlign w:val="bottom"/>
            <w:tcBorders>
              <w:bottom w:val="single" w:sz="8" w:color="16479F"/>
            </w:tcBorders>
          </w:tcPr>
          <w:p>
            <w:pPr>
              <w:spacing w:after="0"/>
              <w:rPr>
                <w:sz w:val="20"/>
                <w:szCs w:val="20"/>
                <w:color w:val="auto"/>
              </w:rPr>
            </w:pPr>
          </w:p>
        </w:tc>
        <w:tc>
          <w:tcPr>
            <w:tcW w:w="600" w:type="dxa"/>
            <w:vAlign w:val="bottom"/>
            <w:tcBorders>
              <w:bottom w:val="single" w:sz="8" w:color="16479F"/>
            </w:tcBorders>
          </w:tcPr>
          <w:p>
            <w:pPr>
              <w:spacing w:after="0"/>
              <w:rPr>
                <w:sz w:val="20"/>
                <w:szCs w:val="20"/>
                <w:color w:val="auto"/>
              </w:rPr>
            </w:pPr>
          </w:p>
        </w:tc>
        <w:tc>
          <w:tcPr>
            <w:tcW w:w="540" w:type="dxa"/>
            <w:vAlign w:val="bottom"/>
            <w:tcBorders>
              <w:bottom w:val="single" w:sz="8" w:color="16479F"/>
            </w:tcBorders>
          </w:tcPr>
          <w:p>
            <w:pPr>
              <w:spacing w:after="0"/>
              <w:rPr>
                <w:sz w:val="20"/>
                <w:szCs w:val="20"/>
                <w:color w:val="auto"/>
              </w:rPr>
            </w:pPr>
          </w:p>
        </w:tc>
        <w:tc>
          <w:tcPr>
            <w:tcW w:w="580" w:type="dxa"/>
            <w:vAlign w:val="bottom"/>
            <w:tcBorders>
              <w:bottom w:val="single" w:sz="8" w:color="16479F"/>
            </w:tcBorders>
          </w:tcPr>
          <w:p>
            <w:pPr>
              <w:spacing w:after="0"/>
              <w:rPr>
                <w:sz w:val="20"/>
                <w:szCs w:val="20"/>
                <w:color w:val="auto"/>
              </w:rPr>
            </w:pPr>
          </w:p>
        </w:tc>
        <w:tc>
          <w:tcPr>
            <w:tcW w:w="500" w:type="dxa"/>
            <w:vAlign w:val="bottom"/>
            <w:tcBorders>
              <w:bottom w:val="single" w:sz="8" w:color="16479F"/>
            </w:tcBorders>
          </w:tcPr>
          <w:p>
            <w:pPr>
              <w:spacing w:after="0"/>
              <w:rPr>
                <w:sz w:val="20"/>
                <w:szCs w:val="20"/>
                <w:color w:val="auto"/>
              </w:rPr>
            </w:pPr>
          </w:p>
        </w:tc>
        <w:tc>
          <w:tcPr>
            <w:tcW w:w="20" w:type="dxa"/>
            <w:vAlign w:val="bottom"/>
          </w:tcPr>
          <w:p>
            <w:pPr>
              <w:spacing w:after="0"/>
              <w:rPr>
                <w:sz w:val="20"/>
                <w:szCs w:val="20"/>
                <w:color w:val="auto"/>
              </w:rPr>
            </w:pPr>
          </w:p>
        </w:tc>
      </w:tr>
      <w:tr>
        <w:trPr>
          <w:trHeight w:val="234"/>
        </w:trPr>
        <w:tc>
          <w:tcPr>
            <w:tcW w:w="4820" w:type="dxa"/>
            <w:vAlign w:val="bottom"/>
            <w:tcBorders>
              <w:bottom w:val="single" w:sz="8" w:color="16479F"/>
            </w:tcBorders>
            <w:gridSpan w:val="3"/>
          </w:tcPr>
          <w:p>
            <w:pPr>
              <w:ind w:left="180"/>
              <w:spacing w:after="0"/>
              <w:rPr>
                <w:sz w:val="20"/>
                <w:szCs w:val="20"/>
                <w:color w:val="auto"/>
              </w:rPr>
            </w:pPr>
            <w:r>
              <w:rPr>
                <w:rFonts w:ascii="Arial" w:cs="Arial" w:eastAsia="Arial" w:hAnsi="Arial"/>
                <w:sz w:val="16"/>
                <w:szCs w:val="16"/>
                <w:color w:val="auto"/>
              </w:rPr>
              <w:t>LGBTQ+</w:t>
            </w:r>
          </w:p>
        </w:tc>
        <w:tc>
          <w:tcPr>
            <w:tcW w:w="680" w:type="dxa"/>
            <w:vAlign w:val="bottom"/>
            <w:tcBorders>
              <w:bottom w:val="single" w:sz="8" w:color="16479F"/>
            </w:tcBorders>
          </w:tcPr>
          <w:p>
            <w:pPr>
              <w:spacing w:after="0"/>
              <w:rPr>
                <w:sz w:val="20"/>
                <w:szCs w:val="20"/>
                <w:color w:val="auto"/>
              </w:rPr>
            </w:pPr>
          </w:p>
        </w:tc>
        <w:tc>
          <w:tcPr>
            <w:tcW w:w="800" w:type="dxa"/>
            <w:vAlign w:val="bottom"/>
            <w:tcBorders>
              <w:bottom w:val="single" w:sz="8" w:color="16479F"/>
            </w:tcBorders>
          </w:tcPr>
          <w:p>
            <w:pPr>
              <w:spacing w:after="0"/>
              <w:rPr>
                <w:sz w:val="20"/>
                <w:szCs w:val="20"/>
                <w:color w:val="auto"/>
              </w:rPr>
            </w:pPr>
          </w:p>
        </w:tc>
        <w:tc>
          <w:tcPr>
            <w:tcW w:w="880" w:type="dxa"/>
            <w:vAlign w:val="bottom"/>
            <w:tcBorders>
              <w:bottom w:val="single" w:sz="8" w:color="16479F"/>
            </w:tcBorders>
          </w:tcPr>
          <w:p>
            <w:pPr>
              <w:spacing w:after="0"/>
              <w:rPr>
                <w:sz w:val="20"/>
                <w:szCs w:val="20"/>
                <w:color w:val="auto"/>
              </w:rPr>
            </w:pPr>
          </w:p>
        </w:tc>
        <w:tc>
          <w:tcPr>
            <w:tcW w:w="620" w:type="dxa"/>
            <w:vAlign w:val="bottom"/>
            <w:tcBorders>
              <w:bottom w:val="single" w:sz="8" w:color="16479F"/>
            </w:tcBorders>
          </w:tcPr>
          <w:p>
            <w:pPr>
              <w:spacing w:after="0"/>
              <w:rPr>
                <w:sz w:val="20"/>
                <w:szCs w:val="20"/>
                <w:color w:val="auto"/>
              </w:rPr>
            </w:pPr>
          </w:p>
        </w:tc>
        <w:tc>
          <w:tcPr>
            <w:tcW w:w="580" w:type="dxa"/>
            <w:vAlign w:val="bottom"/>
            <w:tcBorders>
              <w:bottom w:val="single" w:sz="8" w:color="16479F"/>
            </w:tcBorders>
          </w:tcPr>
          <w:p>
            <w:pPr>
              <w:spacing w:after="0"/>
              <w:rPr>
                <w:sz w:val="20"/>
                <w:szCs w:val="20"/>
                <w:color w:val="auto"/>
              </w:rPr>
            </w:pPr>
          </w:p>
        </w:tc>
        <w:tc>
          <w:tcPr>
            <w:tcW w:w="640" w:type="dxa"/>
            <w:vAlign w:val="bottom"/>
            <w:tcBorders>
              <w:bottom w:val="single" w:sz="8" w:color="16479F"/>
            </w:tcBorders>
          </w:tcPr>
          <w:p>
            <w:pPr>
              <w:spacing w:after="0"/>
              <w:rPr>
                <w:sz w:val="20"/>
                <w:szCs w:val="20"/>
                <w:color w:val="auto"/>
              </w:rPr>
            </w:pPr>
          </w:p>
        </w:tc>
        <w:tc>
          <w:tcPr>
            <w:tcW w:w="600" w:type="dxa"/>
            <w:vAlign w:val="bottom"/>
            <w:tcBorders>
              <w:bottom w:val="single" w:sz="8" w:color="16479F"/>
            </w:tcBorders>
          </w:tcPr>
          <w:p>
            <w:pPr>
              <w:spacing w:after="0"/>
              <w:rPr>
                <w:sz w:val="20"/>
                <w:szCs w:val="20"/>
                <w:color w:val="auto"/>
              </w:rPr>
            </w:pPr>
          </w:p>
        </w:tc>
        <w:tc>
          <w:tcPr>
            <w:tcW w:w="540" w:type="dxa"/>
            <w:vAlign w:val="bottom"/>
            <w:tcBorders>
              <w:bottom w:val="single" w:sz="8" w:color="16479F"/>
            </w:tcBorders>
          </w:tcPr>
          <w:p>
            <w:pPr>
              <w:spacing w:after="0"/>
              <w:rPr>
                <w:sz w:val="20"/>
                <w:szCs w:val="20"/>
                <w:color w:val="auto"/>
              </w:rPr>
            </w:pPr>
          </w:p>
        </w:tc>
        <w:tc>
          <w:tcPr>
            <w:tcW w:w="580" w:type="dxa"/>
            <w:vAlign w:val="bottom"/>
            <w:tcBorders>
              <w:bottom w:val="single" w:sz="8" w:color="16479F"/>
            </w:tcBorders>
          </w:tcPr>
          <w:p>
            <w:pPr>
              <w:spacing w:after="0"/>
              <w:rPr>
                <w:sz w:val="20"/>
                <w:szCs w:val="20"/>
                <w:color w:val="auto"/>
              </w:rPr>
            </w:pPr>
          </w:p>
        </w:tc>
        <w:tc>
          <w:tcPr>
            <w:tcW w:w="500" w:type="dxa"/>
            <w:vAlign w:val="bottom"/>
            <w:tcBorders>
              <w:bottom w:val="single" w:sz="8" w:color="16479F"/>
            </w:tcBorders>
          </w:tcPr>
          <w:p>
            <w:pPr>
              <w:spacing w:after="0"/>
              <w:rPr>
                <w:sz w:val="20"/>
                <w:szCs w:val="20"/>
                <w:color w:val="auto"/>
              </w:rPr>
            </w:pPr>
          </w:p>
        </w:tc>
        <w:tc>
          <w:tcPr>
            <w:tcW w:w="20" w:type="dxa"/>
            <w:vAlign w:val="bottom"/>
          </w:tcPr>
          <w:p>
            <w:pPr>
              <w:spacing w:after="0"/>
              <w:rPr>
                <w:sz w:val="20"/>
                <w:szCs w:val="20"/>
                <w:color w:val="auto"/>
              </w:rPr>
            </w:pPr>
          </w:p>
        </w:tc>
      </w:tr>
      <w:tr>
        <w:trPr>
          <w:trHeight w:val="234"/>
        </w:trPr>
        <w:tc>
          <w:tcPr>
            <w:tcW w:w="4820" w:type="dxa"/>
            <w:vAlign w:val="bottom"/>
            <w:tcBorders>
              <w:bottom w:val="single" w:sz="8" w:color="16479F"/>
            </w:tcBorders>
            <w:gridSpan w:val="3"/>
          </w:tcPr>
          <w:p>
            <w:pPr>
              <w:ind w:left="180"/>
              <w:spacing w:after="0"/>
              <w:rPr>
                <w:sz w:val="20"/>
                <w:szCs w:val="20"/>
                <w:color w:val="auto"/>
              </w:rPr>
            </w:pPr>
            <w:r>
              <w:rPr>
                <w:rFonts w:ascii="Arial" w:cs="Arial" w:eastAsia="Arial" w:hAnsi="Arial"/>
                <w:sz w:val="16"/>
                <w:szCs w:val="16"/>
                <w:color w:val="auto"/>
              </w:rPr>
              <w:t>Born Outside of the U.S.</w:t>
            </w:r>
          </w:p>
        </w:tc>
        <w:tc>
          <w:tcPr>
            <w:tcW w:w="680" w:type="dxa"/>
            <w:vAlign w:val="bottom"/>
            <w:tcBorders>
              <w:bottom w:val="single" w:sz="8" w:color="16479F"/>
            </w:tcBorders>
          </w:tcPr>
          <w:p>
            <w:pPr>
              <w:jc w:val="center"/>
              <w:ind w:left="140"/>
              <w:spacing w:after="0"/>
              <w:rPr>
                <w:sz w:val="20"/>
                <w:szCs w:val="20"/>
                <w:color w:val="auto"/>
              </w:rPr>
            </w:pPr>
            <w:r>
              <w:rPr>
                <w:rFonts w:ascii="Arial" w:cs="Arial" w:eastAsia="Arial" w:hAnsi="Arial"/>
                <w:sz w:val="16"/>
                <w:szCs w:val="16"/>
                <w:color w:val="16479F"/>
              </w:rPr>
              <w:t>●</w:t>
            </w:r>
          </w:p>
        </w:tc>
        <w:tc>
          <w:tcPr>
            <w:tcW w:w="800" w:type="dxa"/>
            <w:vAlign w:val="bottom"/>
            <w:tcBorders>
              <w:bottom w:val="single" w:sz="8" w:color="16479F"/>
            </w:tcBorders>
          </w:tcPr>
          <w:p>
            <w:pPr>
              <w:spacing w:after="0"/>
              <w:rPr>
                <w:sz w:val="20"/>
                <w:szCs w:val="20"/>
                <w:color w:val="auto"/>
              </w:rPr>
            </w:pPr>
          </w:p>
        </w:tc>
        <w:tc>
          <w:tcPr>
            <w:tcW w:w="88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rPr>
              <w:t>●</w:t>
            </w:r>
          </w:p>
        </w:tc>
        <w:tc>
          <w:tcPr>
            <w:tcW w:w="620" w:type="dxa"/>
            <w:vAlign w:val="bottom"/>
            <w:tcBorders>
              <w:bottom w:val="single" w:sz="8" w:color="16479F"/>
            </w:tcBorders>
          </w:tcPr>
          <w:p>
            <w:pPr>
              <w:spacing w:after="0"/>
              <w:rPr>
                <w:sz w:val="20"/>
                <w:szCs w:val="20"/>
                <w:color w:val="auto"/>
              </w:rPr>
            </w:pPr>
          </w:p>
        </w:tc>
        <w:tc>
          <w:tcPr>
            <w:tcW w:w="58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w w:val="82"/>
              </w:rPr>
              <w:t>●</w:t>
            </w:r>
          </w:p>
        </w:tc>
        <w:tc>
          <w:tcPr>
            <w:tcW w:w="64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rPr>
              <w:t>●</w:t>
            </w:r>
          </w:p>
        </w:tc>
        <w:tc>
          <w:tcPr>
            <w:tcW w:w="600" w:type="dxa"/>
            <w:vAlign w:val="bottom"/>
            <w:tcBorders>
              <w:bottom w:val="single" w:sz="8" w:color="16479F"/>
            </w:tcBorders>
          </w:tcPr>
          <w:p>
            <w:pPr>
              <w:spacing w:after="0"/>
              <w:rPr>
                <w:sz w:val="20"/>
                <w:szCs w:val="20"/>
                <w:color w:val="auto"/>
              </w:rPr>
            </w:pPr>
          </w:p>
        </w:tc>
        <w:tc>
          <w:tcPr>
            <w:tcW w:w="540" w:type="dxa"/>
            <w:vAlign w:val="bottom"/>
            <w:tcBorders>
              <w:bottom w:val="single" w:sz="8" w:color="16479F"/>
            </w:tcBorders>
          </w:tcPr>
          <w:p>
            <w:pPr>
              <w:spacing w:after="0"/>
              <w:rPr>
                <w:sz w:val="20"/>
                <w:szCs w:val="20"/>
                <w:color w:val="auto"/>
              </w:rPr>
            </w:pPr>
          </w:p>
        </w:tc>
        <w:tc>
          <w:tcPr>
            <w:tcW w:w="580" w:type="dxa"/>
            <w:vAlign w:val="bottom"/>
            <w:tcBorders>
              <w:bottom w:val="single" w:sz="8" w:color="16479F"/>
            </w:tcBorders>
          </w:tcPr>
          <w:p>
            <w:pPr>
              <w:jc w:val="center"/>
              <w:spacing w:after="0"/>
              <w:rPr>
                <w:sz w:val="20"/>
                <w:szCs w:val="20"/>
                <w:color w:val="auto"/>
              </w:rPr>
            </w:pPr>
            <w:r>
              <w:rPr>
                <w:rFonts w:ascii="Arial" w:cs="Arial" w:eastAsia="Arial" w:hAnsi="Arial"/>
                <w:sz w:val="16"/>
                <w:szCs w:val="16"/>
                <w:color w:val="16479F"/>
              </w:rPr>
              <w:t>●</w:t>
            </w:r>
          </w:p>
        </w:tc>
        <w:tc>
          <w:tcPr>
            <w:tcW w:w="500" w:type="dxa"/>
            <w:vAlign w:val="bottom"/>
            <w:tcBorders>
              <w:bottom w:val="single" w:sz="8" w:color="16479F"/>
            </w:tcBorders>
          </w:tcPr>
          <w:p>
            <w:pPr>
              <w:spacing w:after="0"/>
              <w:rPr>
                <w:sz w:val="20"/>
                <w:szCs w:val="20"/>
                <w:color w:val="auto"/>
              </w:rPr>
            </w:pPr>
          </w:p>
        </w:tc>
        <w:tc>
          <w:tcPr>
            <w:tcW w:w="20" w:type="dxa"/>
            <w:vAlign w:val="bottom"/>
          </w:tcPr>
          <w:p>
            <w:pPr>
              <w:spacing w:after="0"/>
              <w:rPr>
                <w:sz w:val="20"/>
                <w:szCs w:val="20"/>
                <w:color w:val="auto"/>
              </w:rPr>
            </w:pPr>
          </w:p>
        </w:tc>
      </w:tr>
      <w:tr>
        <w:trPr>
          <w:trHeight w:val="305"/>
        </w:trPr>
        <w:tc>
          <w:tcPr>
            <w:tcW w:w="70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406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7144385</wp:posOffset>
            </wp:positionH>
            <wp:positionV relativeFrom="paragraph">
              <wp:posOffset>-13970</wp:posOffset>
            </wp:positionV>
            <wp:extent cx="127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3" w:name="page24"/>
    <w:bookmarkEnd w:id="23"/>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00" w:type="dxa"/>
            <w:vAlign w:val="bottom"/>
            <w:tcBorders>
              <w:right w:val="single" w:sz="8" w:color="16479F"/>
            </w:tcBorders>
          </w:tcPr>
          <w:p>
            <w:pPr>
              <w:ind w:left="8740"/>
              <w:spacing w:after="0"/>
              <w:rPr>
                <w:sz w:val="20"/>
                <w:szCs w:val="20"/>
                <w:color w:val="auto"/>
              </w:rPr>
            </w:pPr>
            <w:r>
              <w:rPr>
                <w:rFonts w:ascii="Arial" w:cs="Arial" w:eastAsia="Arial" w:hAnsi="Arial"/>
                <w:sz w:val="14"/>
                <w:szCs w:val="14"/>
                <w:b w:val="1"/>
                <w:bCs w:val="1"/>
                <w:color w:val="16479F"/>
              </w:rPr>
              <w:t>2022 PROXY STATEMENT</w:t>
            </w:r>
          </w:p>
        </w:tc>
        <w:tc>
          <w:tcPr>
            <w:tcW w:w="640" w:type="dxa"/>
            <w:vAlign w:val="bottom"/>
          </w:tcPr>
          <w:p>
            <w:pPr>
              <w:jc w:val="right"/>
              <w:ind w:right="9"/>
              <w:spacing w:after="0"/>
              <w:rPr>
                <w:sz w:val="20"/>
                <w:szCs w:val="20"/>
                <w:color w:val="auto"/>
              </w:rPr>
            </w:pPr>
            <w:r>
              <w:rPr>
                <w:rFonts w:ascii="Arial" w:cs="Arial" w:eastAsia="Arial" w:hAnsi="Arial"/>
                <w:sz w:val="14"/>
                <w:szCs w:val="14"/>
                <w:b w:val="1"/>
                <w:bCs w:val="1"/>
                <w:color w:val="16479F"/>
              </w:rPr>
              <w:t>23</w:t>
            </w:r>
          </w:p>
        </w:tc>
      </w:tr>
      <w:tr>
        <w:trPr>
          <w:trHeight w:val="65"/>
        </w:trPr>
        <w:tc>
          <w:tcPr>
            <w:tcW w:w="10600" w:type="dxa"/>
            <w:vAlign w:val="bottom"/>
            <w:tcBorders>
              <w:bottom w:val="single" w:sz="8" w:color="16479F"/>
              <w:right w:val="single" w:sz="8" w:color="16479F"/>
            </w:tcBorders>
          </w:tcPr>
          <w:p>
            <w:pPr>
              <w:spacing w:after="0"/>
              <w:rPr>
                <w:sz w:val="5"/>
                <w:szCs w:val="5"/>
                <w:color w:val="auto"/>
              </w:rPr>
            </w:pPr>
          </w:p>
        </w:tc>
        <w:tc>
          <w:tcPr>
            <w:tcW w:w="640" w:type="dxa"/>
            <w:vAlign w:val="bottom"/>
            <w:tcBorders>
              <w:bottom w:val="single" w:sz="8" w:color="16479F"/>
            </w:tcBorders>
          </w:tcPr>
          <w:p>
            <w:pPr>
              <w:spacing w:after="0"/>
              <w:rPr>
                <w:sz w:val="5"/>
                <w:szCs w:val="5"/>
                <w:color w:val="auto"/>
              </w:rPr>
            </w:pPr>
          </w:p>
        </w:tc>
      </w:tr>
    </w:tbl>
    <w:p>
      <w:pPr>
        <w:spacing w:after="0" w:line="151" w:lineRule="exact"/>
        <w:rPr>
          <w:sz w:val="20"/>
          <w:szCs w:val="20"/>
          <w:color w:val="auto"/>
        </w:rPr>
      </w:pPr>
    </w:p>
    <w:p>
      <w:pPr>
        <w:spacing w:after="0"/>
        <w:rPr>
          <w:sz w:val="20"/>
          <w:szCs w:val="20"/>
          <w:color w:val="auto"/>
        </w:rPr>
      </w:pPr>
      <w:r>
        <w:rPr>
          <w:rFonts w:ascii="Arial" w:cs="Arial" w:eastAsia="Arial" w:hAnsi="Arial"/>
          <w:sz w:val="32"/>
          <w:szCs w:val="32"/>
          <w:b w:val="1"/>
          <w:bCs w:val="1"/>
          <w:color w:val="16479F"/>
        </w:rPr>
        <w:t>2022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163195</wp:posOffset>
            </wp:positionV>
            <wp:extent cx="1428115" cy="35794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428115" cy="35794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40" w:right="520"/>
        <w:spacing w:after="0" w:line="384" w:lineRule="auto"/>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color w:val="16479F"/>
        </w:rPr>
        <w:t>2013</w:t>
      </w:r>
      <w:r>
        <w:rPr>
          <w:rFonts w:ascii="Arial" w:cs="Arial" w:eastAsia="Arial" w:hAnsi="Arial"/>
          <w:sz w:val="16"/>
          <w:szCs w:val="16"/>
          <w:color w:val="auto"/>
        </w:rPr>
        <w:t xml:space="preserve"> Age: </w:t>
      </w:r>
      <w:r>
        <w:rPr>
          <w:rFonts w:ascii="Arial" w:cs="Arial" w:eastAsia="Arial" w:hAnsi="Arial"/>
          <w:sz w:val="16"/>
          <w:szCs w:val="16"/>
          <w:color w:val="16479F"/>
        </w:rPr>
        <w:t>62 years old</w:t>
      </w:r>
      <w:r>
        <w:rPr>
          <w:rFonts w:ascii="Arial" w:cs="Arial" w:eastAsia="Arial" w:hAnsi="Arial"/>
          <w:sz w:val="16"/>
          <w:szCs w:val="16"/>
          <w:color w:val="auto"/>
        </w:rPr>
        <w:t xml:space="preserve"> Committees:</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6"/>
          <w:szCs w:val="16"/>
          <w:color w:val="16479F"/>
        </w:rPr>
        <w:t>Audit Committee (Member)</w:t>
      </w:r>
    </w:p>
    <w:p>
      <w:pPr>
        <w:spacing w:after="0" w:line="3" w:lineRule="exact"/>
        <w:rPr>
          <w:sz w:val="20"/>
          <w:szCs w:val="20"/>
          <w:color w:val="auto"/>
        </w:rPr>
      </w:pPr>
    </w:p>
    <w:p>
      <w:pPr>
        <w:ind w:left="140"/>
        <w:spacing w:after="0"/>
        <w:rPr>
          <w:sz w:val="20"/>
          <w:szCs w:val="20"/>
          <w:color w:val="auto"/>
        </w:rPr>
      </w:pPr>
      <w:r>
        <w:rPr>
          <w:rFonts w:ascii="Arial" w:cs="Arial" w:eastAsia="Arial" w:hAnsi="Arial"/>
          <w:sz w:val="15"/>
          <w:szCs w:val="15"/>
          <w:color w:val="16479F"/>
        </w:rPr>
        <w:t>Strategy Committee (Chair)</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ROBERT G. ASHE</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b w:val="1"/>
          <w:bCs w:val="1"/>
          <w:color w:val="16479F"/>
        </w:rPr>
        <w:t>Independent Lead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56515</wp:posOffset>
            </wp:positionV>
            <wp:extent cx="5551805" cy="508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551805" cy="50800"/>
                    </a:xfrm>
                    <a:prstGeom prst="rect">
                      <a:avLst/>
                    </a:prstGeom>
                    <a:noFill/>
                  </pic:spPr>
                </pic:pic>
              </a:graphicData>
            </a:graphic>
          </wp:anchor>
        </w:drawing>
      </w:r>
    </w:p>
    <w:p>
      <w:pPr>
        <w:spacing w:after="0" w:line="245" w:lineRule="exact"/>
        <w:rPr>
          <w:sz w:val="20"/>
          <w:szCs w:val="20"/>
          <w:color w:val="auto"/>
        </w:rPr>
      </w:pPr>
    </w:p>
    <w:p>
      <w:pPr>
        <w:ind w:right="60"/>
        <w:spacing w:after="0" w:line="245" w:lineRule="auto"/>
        <w:rPr>
          <w:sz w:val="20"/>
          <w:szCs w:val="20"/>
          <w:color w:val="auto"/>
        </w:rPr>
      </w:pPr>
      <w:r>
        <w:rPr>
          <w:rFonts w:ascii="Arial" w:cs="Arial" w:eastAsia="Arial" w:hAnsi="Arial"/>
          <w:sz w:val="16"/>
          <w:szCs w:val="16"/>
          <w:color w:val="auto"/>
        </w:rPr>
        <w:t>Mr. Ashe retired from IBM Corporation (“IBM”) in January 2012, where he had most recently served as General Manager of Business Analytics from 2010 to 2012 and before that as General Manager of Business Intelligence and Performance Management since 2008, following IBM’s acquisition of Cognos Inc. (“Cognos”), a Canadian provider of business intelligence and performance management software. Mr. Ashe worked for Cognos from 1984 to 2008, holding various executive positions, including most recently President and Chief Executive Officer from 2004 to 2008, President and Chief Operating Officer from 2002 to 2004 and Chief Corporate Officer from 2001 to 2002, during a portion of which time he also served as Chief Financial Officer. He also held various Senior Vice President positions in Worldwide Field Operations, Products and Application Development Tools from 1996 to 2001. Prior to that, he held various Vice President roles within Product Development and Corporate Finance. Mr. Ashe holds a Bachelor of Commerce from the University of Ottawa. Mr. Ashe is also a Certified Public Accountant in Canada.</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16479F"/>
        </w:rPr>
        <w:t>CURRENT OTHER PUBLIC COMPANY DIRECTORSHIPS: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Shopify Inc. (May 2015 to present)</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16479F"/>
        </w:rPr>
        <w:t>PRIOR OTHER PUBLIC COMPANY DIRECTORSHIPS: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ServiceSource International, Inc. (March 2013 to May 2020) and Halogen Software Inc.</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(February 2013 to April 2017)</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16479F"/>
        </w:rPr>
        <w:t>QUALIFICATIONS:</w:t>
      </w:r>
    </w:p>
    <w:p>
      <w:pPr>
        <w:spacing w:after="0" w:line="104" w:lineRule="exact"/>
        <w:rPr>
          <w:sz w:val="20"/>
          <w:szCs w:val="20"/>
          <w:color w:val="auto"/>
        </w:rPr>
      </w:pPr>
    </w:p>
    <w:p>
      <w:pPr>
        <w:ind w:right="240"/>
        <w:spacing w:after="0" w:line="247" w:lineRule="auto"/>
        <w:rPr>
          <w:sz w:val="20"/>
          <w:szCs w:val="20"/>
          <w:color w:val="auto"/>
        </w:rPr>
      </w:pPr>
      <w:r>
        <w:rPr>
          <w:rFonts w:ascii="Arial" w:cs="Arial" w:eastAsia="Arial" w:hAnsi="Arial"/>
          <w:sz w:val="16"/>
          <w:szCs w:val="16"/>
          <w:color w:val="auto"/>
        </w:rPr>
        <w:t>We believe that Mr. Ashe’s over 30 years of experience in the technology sector, including his oversight of product marketing, software development, revenue growth initiatives and strategic transactions, render him qualified to serve as one of our directors. As a member of other public company boards and the former CEO of a public company, Mr. Ashe also brings to the Board insight with respect to the Board’s roles and responsibilities that are vital to his role as our Lead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26670</wp:posOffset>
            </wp:positionV>
            <wp:extent cx="71335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-1584325</wp:posOffset>
            </wp:positionH>
            <wp:positionV relativeFrom="paragraph">
              <wp:posOffset>100965</wp:posOffset>
            </wp:positionV>
            <wp:extent cx="7154545"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2">
            <w:col w:w="2080" w:space="420"/>
            <w:col w:w="8740"/>
          </w:cols>
          <w:pgMar w:left="320" w:top="121" w:right="339" w:bottom="1440" w:gutter="0" w:footer="0" w:header="0"/>
          <w:type w:val="continuous"/>
        </w:sectPr>
      </w:pPr>
    </w:p>
    <w:bookmarkStart w:id="24" w:name="page25"/>
    <w:bookmarkEnd w:id="24"/>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00" w:type="dxa"/>
            <w:vAlign w:val="bottom"/>
            <w:tcBorders>
              <w:right w:val="single" w:sz="8" w:color="16479F"/>
            </w:tcBorders>
          </w:tcPr>
          <w:p>
            <w:pPr>
              <w:jc w:val="right"/>
              <w:ind w:right="369"/>
              <w:spacing w:after="0"/>
              <w:rPr>
                <w:sz w:val="20"/>
                <w:szCs w:val="20"/>
                <w:color w:val="auto"/>
              </w:rPr>
            </w:pPr>
            <w:r>
              <w:rPr>
                <w:rFonts w:ascii="Arial" w:cs="Arial" w:eastAsia="Arial" w:hAnsi="Arial"/>
                <w:sz w:val="14"/>
                <w:szCs w:val="14"/>
                <w:b w:val="1"/>
                <w:bCs w:val="1"/>
                <w:color w:val="16479F"/>
              </w:rPr>
              <w:t>24</w:t>
            </w:r>
          </w:p>
        </w:tc>
        <w:tc>
          <w:tcPr>
            <w:tcW w:w="10540" w:type="dxa"/>
            <w:vAlign w:val="bottom"/>
          </w:tcPr>
          <w:p>
            <w:pPr>
              <w:ind w:left="100"/>
              <w:spacing w:after="0"/>
              <w:rPr>
                <w:sz w:val="20"/>
                <w:szCs w:val="20"/>
                <w:color w:val="auto"/>
              </w:rPr>
            </w:pPr>
            <w:r>
              <w:rPr>
                <w:rFonts w:ascii="Arial" w:cs="Arial" w:eastAsia="Arial" w:hAnsi="Arial"/>
                <w:sz w:val="14"/>
                <w:szCs w:val="14"/>
                <w:b w:val="1"/>
                <w:bCs w:val="1"/>
                <w:color w:val="16479F"/>
              </w:rPr>
              <w:t>MSCI  |  PROPOSAL NO. 1: ELECTION OF DIRECTORS</w:t>
            </w:r>
          </w:p>
        </w:tc>
      </w:tr>
      <w:tr>
        <w:trPr>
          <w:trHeight w:val="65"/>
        </w:trPr>
        <w:tc>
          <w:tcPr>
            <w:tcW w:w="700" w:type="dxa"/>
            <w:vAlign w:val="bottom"/>
            <w:tcBorders>
              <w:bottom w:val="single" w:sz="8" w:color="16479F"/>
              <w:right w:val="single" w:sz="8" w:color="16479F"/>
            </w:tcBorders>
          </w:tcPr>
          <w:p>
            <w:pPr>
              <w:spacing w:after="0"/>
              <w:rPr>
                <w:sz w:val="5"/>
                <w:szCs w:val="5"/>
                <w:color w:val="auto"/>
              </w:rPr>
            </w:pPr>
          </w:p>
        </w:tc>
        <w:tc>
          <w:tcPr>
            <w:tcW w:w="10540" w:type="dxa"/>
            <w:vAlign w:val="bottom"/>
            <w:tcBorders>
              <w:bottom w:val="single" w:sz="8" w:color="16479F"/>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118745</wp:posOffset>
            </wp:positionV>
            <wp:extent cx="1428115" cy="29502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428115" cy="29502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40" w:right="420"/>
        <w:spacing w:after="0" w:line="384" w:lineRule="auto"/>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color w:val="16479F"/>
        </w:rPr>
        <w:t>2015</w:t>
      </w:r>
      <w:r>
        <w:rPr>
          <w:rFonts w:ascii="Arial" w:cs="Arial" w:eastAsia="Arial" w:hAnsi="Arial"/>
          <w:sz w:val="16"/>
          <w:szCs w:val="16"/>
          <w:color w:val="auto"/>
        </w:rPr>
        <w:t xml:space="preserve"> Age: </w:t>
      </w:r>
      <w:r>
        <w:rPr>
          <w:rFonts w:ascii="Arial" w:cs="Arial" w:eastAsia="Arial" w:hAnsi="Arial"/>
          <w:sz w:val="16"/>
          <w:szCs w:val="16"/>
          <w:color w:val="16479F"/>
        </w:rPr>
        <w:t>66 years old</w:t>
      </w:r>
      <w:r>
        <w:rPr>
          <w:rFonts w:ascii="Arial" w:cs="Arial" w:eastAsia="Arial" w:hAnsi="Arial"/>
          <w:sz w:val="16"/>
          <w:szCs w:val="16"/>
          <w:color w:val="auto"/>
        </w:rPr>
        <w:t xml:space="preserve"> Committees:</w:t>
      </w:r>
    </w:p>
    <w:p>
      <w:pPr>
        <w:spacing w:after="0" w:line="1" w:lineRule="exact"/>
        <w:rPr>
          <w:sz w:val="20"/>
          <w:szCs w:val="20"/>
          <w:color w:val="auto"/>
        </w:rPr>
      </w:pPr>
    </w:p>
    <w:p>
      <w:pPr>
        <w:ind w:left="140"/>
        <w:spacing w:after="0" w:line="250" w:lineRule="auto"/>
        <w:rPr>
          <w:sz w:val="20"/>
          <w:szCs w:val="20"/>
          <w:color w:val="auto"/>
        </w:rPr>
      </w:pPr>
      <w:r>
        <w:rPr>
          <w:rFonts w:ascii="Arial" w:cs="Arial" w:eastAsia="Arial" w:hAnsi="Arial"/>
          <w:sz w:val="16"/>
          <w:szCs w:val="16"/>
          <w:color w:val="16479F"/>
        </w:rPr>
        <w:t>Audit Committee (Chair) Compensation Committee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594360</wp:posOffset>
            </wp:positionV>
            <wp:extent cx="1428115" cy="24739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428115" cy="24739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WAYNE EDMUNDS</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b w:val="1"/>
          <w:bCs w:val="1"/>
          <w:color w:val="16479F"/>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56515</wp:posOffset>
            </wp:positionV>
            <wp:extent cx="5551805" cy="508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551805" cy="50800"/>
                    </a:xfrm>
                    <a:prstGeom prst="rect">
                      <a:avLst/>
                    </a:prstGeom>
                    <a:noFill/>
                  </pic:spPr>
                </pic:pic>
              </a:graphicData>
            </a:graphic>
          </wp:anchor>
        </w:drawing>
      </w:r>
    </w:p>
    <w:p>
      <w:pPr>
        <w:spacing w:after="0" w:line="245" w:lineRule="exact"/>
        <w:rPr>
          <w:sz w:val="20"/>
          <w:szCs w:val="20"/>
          <w:color w:val="auto"/>
        </w:rPr>
      </w:pPr>
    </w:p>
    <w:p>
      <w:pPr>
        <w:ind w:right="80"/>
        <w:spacing w:after="0" w:line="245" w:lineRule="auto"/>
        <w:rPr>
          <w:sz w:val="20"/>
          <w:szCs w:val="20"/>
          <w:color w:val="auto"/>
        </w:rPr>
      </w:pPr>
      <w:r>
        <w:rPr>
          <w:rFonts w:ascii="Arial" w:cs="Arial" w:eastAsia="Arial" w:hAnsi="Arial"/>
          <w:sz w:val="16"/>
          <w:szCs w:val="16"/>
          <w:color w:val="auto"/>
        </w:rPr>
        <w:t>Mr. Edmunds previously served as the Interim Group Chief Executive of BBA Aviation plc from July 2017 to March 2018. He previously served as Chief Executive Officer of Invensys plc at Invensys Systems, Inc. (“Invensys”) from 2011 until his retirement in 2014. Previously, Mr. Edmunds was Chief Financial Officer of Invensys. Prior to joining Invensys in 2008, Mr. Edmunds was Senior Vice President of Finance at Reuters America, Inc. from 2005 to 2008. Mr. Edmunds served as the Chief Financial Officer of Innovance Networks Inc. (“Innovance”) from 2000 to 2004, where he was responsible for financial planning and operations. Prior to joining Innovance, Mr. Edmunds held other senior management roles in the technology sector, including working 17 years at Lucent Technologies, Inc., where he served as Vice President of Finance for the Optical Networking Division and as Vice President of Marketing and Business Development and was responsible for Europe, Middle East and Africa operations. Mr. Edmunds began his career at Amerada Hess Oil as an analyst in Corporate Treasury. Mr. Edmunds holds a Bachelor of Arts in accounting from Rutgers University and an M.B.A. in finance from Pace University.</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16479F"/>
        </w:rPr>
        <w:t>PRIOR OTHER PUBLIC COMPANY DIRECTORSHIPS:</w:t>
      </w:r>
    </w:p>
    <w:p>
      <w:pPr>
        <w:spacing w:after="0" w:line="117" w:lineRule="exact"/>
        <w:rPr>
          <w:sz w:val="20"/>
          <w:szCs w:val="20"/>
          <w:color w:val="auto"/>
        </w:rPr>
      </w:pPr>
    </w:p>
    <w:p>
      <w:pPr>
        <w:ind w:right="280"/>
        <w:spacing w:after="0" w:line="256" w:lineRule="auto"/>
        <w:rPr>
          <w:sz w:val="20"/>
          <w:szCs w:val="20"/>
          <w:color w:val="auto"/>
        </w:rPr>
      </w:pPr>
      <w:r>
        <w:rPr>
          <w:rFonts w:ascii="Arial" w:cs="Arial" w:eastAsia="Arial" w:hAnsi="Arial"/>
          <w:sz w:val="16"/>
          <w:szCs w:val="16"/>
          <w:color w:val="auto"/>
        </w:rPr>
        <w:t>Signature Aviation plc (August 2013 to June 2021), Dialight plc (February 2016 to August 2019) and Ashtead Group plc (February 2014 to September 2018)</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16479F"/>
        </w:rPr>
        <w:t>QUALIFICATIONS:</w:t>
      </w:r>
    </w:p>
    <w:p>
      <w:pPr>
        <w:spacing w:after="0" w:line="117"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auto"/>
        </w:rPr>
        <w:t>We believe that Mr. Edmunds’ extensive insight into global companies in the technology sector and his memberships on the Boards of multiple international companies render him qualified to serve as one of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21590</wp:posOffset>
            </wp:positionV>
            <wp:extent cx="71335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80" w:space="520"/>
            <w:col w:w="87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40"/>
        <w:spacing w:after="0"/>
        <w:rPr>
          <w:sz w:val="20"/>
          <w:szCs w:val="20"/>
          <w:color w:val="auto"/>
        </w:rPr>
      </w:pPr>
      <w:r>
        <w:rPr>
          <w:rFonts w:ascii="Arial" w:cs="Arial" w:eastAsia="Arial" w:hAnsi="Arial"/>
          <w:sz w:val="15"/>
          <w:szCs w:val="15"/>
          <w:color w:val="auto"/>
        </w:rPr>
        <w:t xml:space="preserve">Director since: </w:t>
      </w:r>
      <w:r>
        <w:rPr>
          <w:rFonts w:ascii="Arial" w:cs="Arial" w:eastAsia="Arial" w:hAnsi="Arial"/>
          <w:sz w:val="15"/>
          <w:szCs w:val="15"/>
          <w:color w:val="16479F"/>
        </w:rPr>
        <w:t>2007</w:t>
      </w:r>
    </w:p>
    <w:p>
      <w:pPr>
        <w:spacing w:after="0" w:line="17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color w:val="16479F"/>
        </w:rPr>
        <w:t>63 years old</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HENRY A. FERNANDEZ</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b w:val="1"/>
          <w:bCs w:val="1"/>
          <w:color w:val="16479F"/>
        </w:rPr>
        <w:t>Chairman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56515</wp:posOffset>
            </wp:positionV>
            <wp:extent cx="5551805" cy="508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551805" cy="50800"/>
                    </a:xfrm>
                    <a:prstGeom prst="rect">
                      <a:avLst/>
                    </a:prstGeom>
                    <a:noFill/>
                  </pic:spPr>
                </pic:pic>
              </a:graphicData>
            </a:graphic>
          </wp:anchor>
        </w:drawing>
      </w:r>
    </w:p>
    <w:p>
      <w:pPr>
        <w:spacing w:after="0" w:line="245" w:lineRule="exact"/>
        <w:rPr>
          <w:sz w:val="20"/>
          <w:szCs w:val="20"/>
          <w:color w:val="auto"/>
        </w:rPr>
      </w:pPr>
    </w:p>
    <w:p>
      <w:pPr>
        <w:ind w:right="120"/>
        <w:spacing w:after="0" w:line="246" w:lineRule="auto"/>
        <w:rPr>
          <w:sz w:val="20"/>
          <w:szCs w:val="20"/>
          <w:color w:val="auto"/>
        </w:rPr>
      </w:pPr>
      <w:r>
        <w:rPr>
          <w:rFonts w:ascii="Arial" w:cs="Arial" w:eastAsia="Arial" w:hAnsi="Arial"/>
          <w:sz w:val="16"/>
          <w:szCs w:val="16"/>
          <w:color w:val="auto"/>
        </w:rPr>
        <w:t>Mr. Fernandez has served as Chairman of our Board since 2007 and as our CEO and a director since 1998. He also served as head of the MSCI business from 1996 to 1998 and as President from 1998 to October 2017. Before leading MSCI’s transition to becoming a fully independent, standalone public company in 2007, he was a Managing Director at Morgan Stanley, where he worked in emerging markets business strategy, equity derivatives sales and trading, mergers and acquisitions, and corporate and mortgage finance. Mr. Fernandez worked for Morgan Stanley from 1983 to 1991 and from 1994 to 2007. Mr. Fernandez holds a Bachelor of Arts in economics from Georgetown University, an M.B.A. from the Stanford University Graduate School of Business and pursued doctoral studies in economics at Princeton University.</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16479F"/>
        </w:rPr>
        <w:t>CURRENT OTHER PUBLIC COMPANY DIRECTORSHIPS: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Royalty Pharma plc (August 2020 to present)</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16479F"/>
        </w:rPr>
        <w:t>QUALIFICATIONS:</w:t>
      </w:r>
    </w:p>
    <w:p>
      <w:pPr>
        <w:spacing w:after="0" w:line="117" w:lineRule="exact"/>
        <w:rPr>
          <w:sz w:val="20"/>
          <w:szCs w:val="20"/>
          <w:color w:val="auto"/>
        </w:rPr>
      </w:pPr>
    </w:p>
    <w:p>
      <w:pPr>
        <w:jc w:val="both"/>
        <w:ind w:right="440"/>
        <w:spacing w:after="0" w:line="250" w:lineRule="auto"/>
        <w:rPr>
          <w:sz w:val="20"/>
          <w:szCs w:val="20"/>
          <w:color w:val="auto"/>
        </w:rPr>
      </w:pPr>
      <w:r>
        <w:rPr>
          <w:rFonts w:ascii="Arial" w:cs="Arial" w:eastAsia="Arial" w:hAnsi="Arial"/>
          <w:sz w:val="16"/>
          <w:szCs w:val="16"/>
          <w:color w:val="auto"/>
        </w:rPr>
        <w:t>We believe that Mr. Fernandez’s extensive experience and leadership in the financial services industry as well as his unparalleled knowledge of MSCI and its business, including as our Chairman and Chief Executive Officer, render him qualified to serve as one of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24765</wp:posOffset>
            </wp:positionV>
            <wp:extent cx="71335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-1584325</wp:posOffset>
            </wp:positionH>
            <wp:positionV relativeFrom="paragraph">
              <wp:posOffset>99060</wp:posOffset>
            </wp:positionV>
            <wp:extent cx="715454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2">
            <w:col w:w="1780" w:space="720"/>
            <w:col w:w="8740"/>
          </w:cols>
          <w:pgMar w:left="320" w:top="121" w:right="339" w:bottom="1440" w:gutter="0" w:footer="0" w:header="0"/>
          <w:type w:val="continuous"/>
        </w:sectPr>
      </w:pPr>
    </w:p>
    <w:bookmarkStart w:id="25" w:name="page26"/>
    <w:bookmarkEnd w:id="25"/>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00" w:type="dxa"/>
            <w:vAlign w:val="bottom"/>
            <w:tcBorders>
              <w:right w:val="single" w:sz="8" w:color="16479F"/>
            </w:tcBorders>
          </w:tcPr>
          <w:p>
            <w:pPr>
              <w:ind w:left="8740"/>
              <w:spacing w:after="0"/>
              <w:rPr>
                <w:sz w:val="20"/>
                <w:szCs w:val="20"/>
                <w:color w:val="auto"/>
              </w:rPr>
            </w:pPr>
            <w:r>
              <w:rPr>
                <w:rFonts w:ascii="Arial" w:cs="Arial" w:eastAsia="Arial" w:hAnsi="Arial"/>
                <w:sz w:val="14"/>
                <w:szCs w:val="14"/>
                <w:b w:val="1"/>
                <w:bCs w:val="1"/>
                <w:color w:val="16479F"/>
              </w:rPr>
              <w:t>2022 PROXY STATEMENT</w:t>
            </w:r>
          </w:p>
        </w:tc>
        <w:tc>
          <w:tcPr>
            <w:tcW w:w="640" w:type="dxa"/>
            <w:vAlign w:val="bottom"/>
          </w:tcPr>
          <w:p>
            <w:pPr>
              <w:jc w:val="right"/>
              <w:ind w:right="9"/>
              <w:spacing w:after="0"/>
              <w:rPr>
                <w:sz w:val="20"/>
                <w:szCs w:val="20"/>
                <w:color w:val="auto"/>
              </w:rPr>
            </w:pPr>
            <w:r>
              <w:rPr>
                <w:rFonts w:ascii="Arial" w:cs="Arial" w:eastAsia="Arial" w:hAnsi="Arial"/>
                <w:sz w:val="14"/>
                <w:szCs w:val="14"/>
                <w:b w:val="1"/>
                <w:bCs w:val="1"/>
                <w:color w:val="16479F"/>
              </w:rPr>
              <w:t>25</w:t>
            </w:r>
          </w:p>
        </w:tc>
      </w:tr>
      <w:tr>
        <w:trPr>
          <w:trHeight w:val="65"/>
        </w:trPr>
        <w:tc>
          <w:tcPr>
            <w:tcW w:w="10600" w:type="dxa"/>
            <w:vAlign w:val="bottom"/>
            <w:tcBorders>
              <w:bottom w:val="single" w:sz="8" w:color="16479F"/>
              <w:right w:val="single" w:sz="8" w:color="16479F"/>
            </w:tcBorders>
          </w:tcPr>
          <w:p>
            <w:pPr>
              <w:spacing w:after="0"/>
              <w:rPr>
                <w:sz w:val="5"/>
                <w:szCs w:val="5"/>
                <w:color w:val="auto"/>
              </w:rPr>
            </w:pPr>
          </w:p>
        </w:tc>
        <w:tc>
          <w:tcPr>
            <w:tcW w:w="640" w:type="dxa"/>
            <w:vAlign w:val="bottom"/>
            <w:tcBorders>
              <w:bottom w:val="single" w:sz="8" w:color="16479F"/>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118745</wp:posOffset>
            </wp:positionV>
            <wp:extent cx="1428115" cy="29845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428115" cy="29845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color w:val="16479F"/>
        </w:rPr>
        <w:t>2009</w:t>
      </w:r>
    </w:p>
    <w:p>
      <w:pPr>
        <w:spacing w:after="0" w:line="16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color w:val="16479F"/>
        </w:rPr>
        <w:t>70 years old</w:t>
      </w:r>
    </w:p>
    <w:p>
      <w:pPr>
        <w:spacing w:after="0" w:line="164" w:lineRule="exact"/>
        <w:rPr>
          <w:sz w:val="20"/>
          <w:szCs w:val="20"/>
          <w:color w:val="auto"/>
        </w:rPr>
      </w:pPr>
    </w:p>
    <w:p>
      <w:pPr>
        <w:ind w:left="140"/>
        <w:spacing w:after="0" w:line="250" w:lineRule="auto"/>
        <w:rPr>
          <w:sz w:val="20"/>
          <w:szCs w:val="20"/>
          <w:color w:val="auto"/>
        </w:rPr>
      </w:pPr>
      <w:r>
        <w:rPr>
          <w:rFonts w:ascii="Arial" w:cs="Arial" w:eastAsia="Arial" w:hAnsi="Arial"/>
          <w:sz w:val="16"/>
          <w:szCs w:val="16"/>
          <w:color w:val="auto"/>
        </w:rPr>
        <w:t xml:space="preserve">Committees: </w:t>
      </w:r>
      <w:r>
        <w:rPr>
          <w:rFonts w:ascii="Arial" w:cs="Arial" w:eastAsia="Arial" w:hAnsi="Arial"/>
          <w:sz w:val="16"/>
          <w:szCs w:val="16"/>
          <w:color w:val="16479F"/>
        </w:rPr>
        <w:t>Governance Committee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696595</wp:posOffset>
            </wp:positionV>
            <wp:extent cx="1428115" cy="26612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428115" cy="26612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CATHERINE R. KINNEY</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b w:val="1"/>
          <w:bCs w:val="1"/>
          <w:color w:val="16479F"/>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56515</wp:posOffset>
            </wp:positionV>
            <wp:extent cx="5551805" cy="508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551805" cy="50800"/>
                    </a:xfrm>
                    <a:prstGeom prst="rect">
                      <a:avLst/>
                    </a:prstGeom>
                    <a:noFill/>
                  </pic:spPr>
                </pic:pic>
              </a:graphicData>
            </a:graphic>
          </wp:anchor>
        </w:drawing>
      </w:r>
    </w:p>
    <w:p>
      <w:pPr>
        <w:spacing w:after="0" w:line="245" w:lineRule="exact"/>
        <w:rPr>
          <w:sz w:val="20"/>
          <w:szCs w:val="20"/>
          <w:color w:val="auto"/>
        </w:rPr>
      </w:pPr>
    </w:p>
    <w:p>
      <w:pPr>
        <w:ind w:right="160"/>
        <w:spacing w:after="0" w:line="246" w:lineRule="auto"/>
        <w:rPr>
          <w:sz w:val="20"/>
          <w:szCs w:val="20"/>
          <w:color w:val="auto"/>
        </w:rPr>
      </w:pPr>
      <w:r>
        <w:rPr>
          <w:rFonts w:ascii="Arial" w:cs="Arial" w:eastAsia="Arial" w:hAnsi="Arial"/>
          <w:sz w:val="16"/>
          <w:szCs w:val="16"/>
          <w:color w:val="auto"/>
        </w:rPr>
        <w:t>Ms. Kinney retired from NYSE Euronext in March 2009, having served as a Co-President and Co-Chief Operating Officer from 2002 to 2008. From 2007 to 2009, she served in Paris overseeing global listings, marketing and branding, and served as part of the integration team following the merger of NYSE and Euronext in April 2007. Ms. Kinney joined NYSE in 1974 and rose through the ranks holding management positions with responsibility for several divisions, including: all client relationships from 1996 to 2007, trading floor operations and technology from 1987 to 1996 and regulation from 2002 to 2004. Ms. Kinney holds a Bachelor of Arts from Iona College and has completed the Advanced Management Program at Harvard Graduate School of Business. She has received honorary degrees from Georgetown University, Fordham University and Rosemont College.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16479F"/>
        </w:rPr>
        <w:t>CURRENT OTHER PUBLIC COMPANY DIRECTORSHIPS: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MetLife Inc. (April 2009 to present) and SolarWinds Corporation (October 2018 to present)</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16479F"/>
        </w:rPr>
        <w:t>PRIOR OTHER PUBLIC COMPANY DIRECTORSHIPS: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QTS Realty Trust, Inc. (August 2013 to September 2021)</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16479F"/>
        </w:rPr>
        <w:t>QUALIFICATIONS:</w:t>
      </w:r>
    </w:p>
    <w:p>
      <w:pPr>
        <w:spacing w:after="0" w:line="104" w:lineRule="exact"/>
        <w:rPr>
          <w:sz w:val="20"/>
          <w:szCs w:val="20"/>
          <w:color w:val="auto"/>
        </w:rPr>
      </w:pPr>
    </w:p>
    <w:p>
      <w:pPr>
        <w:jc w:val="both"/>
        <w:ind w:right="180"/>
        <w:spacing w:after="0" w:line="250" w:lineRule="auto"/>
        <w:rPr>
          <w:sz w:val="20"/>
          <w:szCs w:val="20"/>
          <w:color w:val="auto"/>
        </w:rPr>
      </w:pPr>
      <w:r>
        <w:rPr>
          <w:rFonts w:ascii="Arial" w:cs="Arial" w:eastAsia="Arial" w:hAnsi="Arial"/>
          <w:sz w:val="16"/>
          <w:szCs w:val="16"/>
          <w:color w:val="auto"/>
        </w:rPr>
        <w:t>We believe that Ms. Kinney’s management experience, including her role in overseeing a multinational business, as well as her expertise in corporate governance, including her role in developing the NYSE corporate governance standards for listed companies, render her qualified to serve as one of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24765</wp:posOffset>
            </wp:positionV>
            <wp:extent cx="71335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20" w:space="680"/>
            <w:col w:w="87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color w:val="16479F"/>
        </w:rPr>
        <w:t>2017</w:t>
      </w:r>
    </w:p>
    <w:p>
      <w:pPr>
        <w:spacing w:after="0" w:line="16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color w:val="16479F"/>
        </w:rPr>
        <w:t>63 years old</w:t>
      </w:r>
    </w:p>
    <w:p>
      <w:pPr>
        <w:spacing w:after="0" w:line="164" w:lineRule="exact"/>
        <w:rPr>
          <w:sz w:val="20"/>
          <w:szCs w:val="20"/>
          <w:color w:val="auto"/>
        </w:rPr>
      </w:pPr>
    </w:p>
    <w:p>
      <w:pPr>
        <w:ind w:left="140"/>
        <w:spacing w:after="0" w:line="244" w:lineRule="auto"/>
        <w:rPr>
          <w:sz w:val="20"/>
          <w:szCs w:val="20"/>
          <w:color w:val="auto"/>
        </w:rPr>
      </w:pPr>
      <w:r>
        <w:rPr>
          <w:rFonts w:ascii="Arial" w:cs="Arial" w:eastAsia="Arial" w:hAnsi="Arial"/>
          <w:sz w:val="16"/>
          <w:szCs w:val="16"/>
          <w:color w:val="auto"/>
        </w:rPr>
        <w:t xml:space="preserve">Committees: </w:t>
      </w:r>
      <w:r>
        <w:rPr>
          <w:rFonts w:ascii="Arial" w:cs="Arial" w:eastAsia="Arial" w:hAnsi="Arial"/>
          <w:sz w:val="16"/>
          <w:szCs w:val="16"/>
          <w:color w:val="16479F"/>
        </w:rPr>
        <w:t>Governance Committee (Chair)</w:t>
      </w:r>
    </w:p>
    <w:p>
      <w:pPr>
        <w:spacing w:after="0" w:line="1" w:lineRule="exact"/>
        <w:rPr>
          <w:sz w:val="20"/>
          <w:szCs w:val="20"/>
          <w:color w:val="auto"/>
        </w:rPr>
      </w:pPr>
    </w:p>
    <w:p>
      <w:pPr>
        <w:ind w:left="140" w:right="260"/>
        <w:spacing w:after="0" w:line="256" w:lineRule="auto"/>
        <w:rPr>
          <w:sz w:val="20"/>
          <w:szCs w:val="20"/>
          <w:color w:val="auto"/>
        </w:rPr>
      </w:pPr>
      <w:r>
        <w:rPr>
          <w:rFonts w:ascii="Arial" w:cs="Arial" w:eastAsia="Arial" w:hAnsi="Arial"/>
          <w:sz w:val="16"/>
          <w:szCs w:val="16"/>
          <w:color w:val="16479F"/>
        </w:rPr>
        <w:t>Strategy Committee (Member)</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JACQUES P. PEROLD</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b w:val="1"/>
          <w:bCs w:val="1"/>
          <w:color w:val="16479F"/>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56515</wp:posOffset>
            </wp:positionV>
            <wp:extent cx="5551805" cy="508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551805" cy="50800"/>
                    </a:xfrm>
                    <a:prstGeom prst="rect">
                      <a:avLst/>
                    </a:prstGeom>
                    <a:noFill/>
                  </pic:spPr>
                </pic:pic>
              </a:graphicData>
            </a:graphic>
          </wp:anchor>
        </w:drawing>
      </w:r>
    </w:p>
    <w:p>
      <w:pPr>
        <w:spacing w:after="0" w:line="245" w:lineRule="exact"/>
        <w:rPr>
          <w:sz w:val="20"/>
          <w:szCs w:val="20"/>
          <w:color w:val="auto"/>
        </w:rPr>
      </w:pPr>
    </w:p>
    <w:p>
      <w:pPr>
        <w:ind w:right="60"/>
        <w:spacing w:after="0" w:line="246" w:lineRule="auto"/>
        <w:rPr>
          <w:sz w:val="20"/>
          <w:szCs w:val="20"/>
          <w:color w:val="auto"/>
        </w:rPr>
      </w:pPr>
      <w:r>
        <w:rPr>
          <w:rFonts w:ascii="Arial" w:cs="Arial" w:eastAsia="Arial" w:hAnsi="Arial"/>
          <w:sz w:val="16"/>
          <w:szCs w:val="16"/>
          <w:color w:val="auto"/>
        </w:rPr>
        <w:t>Mr. Perold was president of Fidelity Management &amp; Research Company, the investment advisor for Fidelity’s family of mutual funds, until his retirement in 2014. From 2001 to 2009, Mr. Perold was president of Geode Capital Management, LLC, a sub-advisor to Fidelity. He is currently a trustee of New York Life Insurance Company’s MainStay mutual funds, a trustee of Partners in Health, and a co-founder, CEO and Chairman of CapShift, a company focused on enabling impact investments from donor-advised funds and foundations. Mr. Perold holds a Bachelor of Arts degree in economic history from the University of Cape Town and a post-graduate Bachelor of Arts Honours degree in sociology from the University of Cape Town.</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16479F"/>
        </w:rPr>
        <w:t>CURRENT OTHER PUBLIC COMPANY DIRECTORSHIPS: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Allstate Corporation (December 2015 to present)</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16479F"/>
        </w:rPr>
        <w:t>QUALIFICATIONS:</w:t>
      </w:r>
    </w:p>
    <w:p>
      <w:pPr>
        <w:spacing w:after="0" w:line="117" w:lineRule="exact"/>
        <w:rPr>
          <w:sz w:val="20"/>
          <w:szCs w:val="20"/>
          <w:color w:val="auto"/>
        </w:rPr>
      </w:pPr>
    </w:p>
    <w:p>
      <w:pPr>
        <w:jc w:val="both"/>
        <w:ind w:right="140"/>
        <w:spacing w:after="0" w:line="250" w:lineRule="auto"/>
        <w:rPr>
          <w:sz w:val="20"/>
          <w:szCs w:val="20"/>
          <w:color w:val="auto"/>
        </w:rPr>
      </w:pPr>
      <w:r>
        <w:rPr>
          <w:rFonts w:ascii="Arial" w:cs="Arial" w:eastAsia="Arial" w:hAnsi="Arial"/>
          <w:sz w:val="16"/>
          <w:szCs w:val="16"/>
          <w:color w:val="auto"/>
        </w:rPr>
        <w:t>We believe that Mr. Perold’s over 30 years of experience and leadership in strategy and operations as well as experience as an investment professional at one of the world’s largest asset management firms render him qualified to serve as one of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212090</wp:posOffset>
            </wp:positionV>
            <wp:extent cx="71335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-1584325</wp:posOffset>
            </wp:positionH>
            <wp:positionV relativeFrom="paragraph">
              <wp:posOffset>286385</wp:posOffset>
            </wp:positionV>
            <wp:extent cx="7154545"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2">
            <w:col w:w="1820" w:space="680"/>
            <w:col w:w="8740"/>
          </w:cols>
          <w:pgMar w:left="320" w:top="121" w:right="339" w:bottom="1440" w:gutter="0" w:footer="0" w:header="0"/>
          <w:type w:val="continuous"/>
        </w:sectPr>
      </w:pPr>
    </w:p>
    <w:bookmarkStart w:id="26" w:name="page27"/>
    <w:bookmarkEnd w:id="26"/>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00" w:type="dxa"/>
            <w:vAlign w:val="bottom"/>
            <w:tcBorders>
              <w:right w:val="single" w:sz="8" w:color="16479F"/>
            </w:tcBorders>
          </w:tcPr>
          <w:p>
            <w:pPr>
              <w:jc w:val="right"/>
              <w:ind w:right="369"/>
              <w:spacing w:after="0"/>
              <w:rPr>
                <w:sz w:val="20"/>
                <w:szCs w:val="20"/>
                <w:color w:val="auto"/>
              </w:rPr>
            </w:pPr>
            <w:r>
              <w:rPr>
                <w:rFonts w:ascii="Arial" w:cs="Arial" w:eastAsia="Arial" w:hAnsi="Arial"/>
                <w:sz w:val="14"/>
                <w:szCs w:val="14"/>
                <w:b w:val="1"/>
                <w:bCs w:val="1"/>
                <w:color w:val="16479F"/>
              </w:rPr>
              <w:t>26</w:t>
            </w:r>
          </w:p>
        </w:tc>
        <w:tc>
          <w:tcPr>
            <w:tcW w:w="10540" w:type="dxa"/>
            <w:vAlign w:val="bottom"/>
          </w:tcPr>
          <w:p>
            <w:pPr>
              <w:ind w:left="100"/>
              <w:spacing w:after="0"/>
              <w:rPr>
                <w:sz w:val="20"/>
                <w:szCs w:val="20"/>
                <w:color w:val="auto"/>
              </w:rPr>
            </w:pPr>
            <w:r>
              <w:rPr>
                <w:rFonts w:ascii="Arial" w:cs="Arial" w:eastAsia="Arial" w:hAnsi="Arial"/>
                <w:sz w:val="14"/>
                <w:szCs w:val="14"/>
                <w:b w:val="1"/>
                <w:bCs w:val="1"/>
                <w:color w:val="16479F"/>
              </w:rPr>
              <w:t>MSCI  |  PROPOSAL NO. 1: ELECTION OF DIRECTORS</w:t>
            </w:r>
          </w:p>
        </w:tc>
      </w:tr>
      <w:tr>
        <w:trPr>
          <w:trHeight w:val="65"/>
        </w:trPr>
        <w:tc>
          <w:tcPr>
            <w:tcW w:w="700" w:type="dxa"/>
            <w:vAlign w:val="bottom"/>
            <w:tcBorders>
              <w:bottom w:val="single" w:sz="8" w:color="16479F"/>
              <w:right w:val="single" w:sz="8" w:color="16479F"/>
            </w:tcBorders>
          </w:tcPr>
          <w:p>
            <w:pPr>
              <w:spacing w:after="0"/>
              <w:rPr>
                <w:sz w:val="5"/>
                <w:szCs w:val="5"/>
                <w:color w:val="auto"/>
              </w:rPr>
            </w:pPr>
          </w:p>
        </w:tc>
        <w:tc>
          <w:tcPr>
            <w:tcW w:w="10540" w:type="dxa"/>
            <w:vAlign w:val="bottom"/>
            <w:tcBorders>
              <w:bottom w:val="single" w:sz="8" w:color="16479F"/>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118745</wp:posOffset>
            </wp:positionV>
            <wp:extent cx="1428115" cy="25419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428115" cy="25419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40" w:right="500"/>
        <w:spacing w:after="0" w:line="384" w:lineRule="auto"/>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color w:val="16479F"/>
        </w:rPr>
        <w:t>2020</w:t>
      </w:r>
      <w:r>
        <w:rPr>
          <w:rFonts w:ascii="Arial" w:cs="Arial" w:eastAsia="Arial" w:hAnsi="Arial"/>
          <w:sz w:val="16"/>
          <w:szCs w:val="16"/>
          <w:color w:val="auto"/>
        </w:rPr>
        <w:t xml:space="preserve"> Age: </w:t>
      </w:r>
      <w:r>
        <w:rPr>
          <w:rFonts w:ascii="Arial" w:cs="Arial" w:eastAsia="Arial" w:hAnsi="Arial"/>
          <w:sz w:val="16"/>
          <w:szCs w:val="16"/>
          <w:color w:val="16479F"/>
        </w:rPr>
        <w:t>52 years old</w:t>
      </w:r>
      <w:r>
        <w:rPr>
          <w:rFonts w:ascii="Arial" w:cs="Arial" w:eastAsia="Arial" w:hAnsi="Arial"/>
          <w:sz w:val="16"/>
          <w:szCs w:val="16"/>
          <w:color w:val="auto"/>
        </w:rPr>
        <w:t xml:space="preserve"> Committees:</w:t>
      </w:r>
    </w:p>
    <w:p>
      <w:pPr>
        <w:spacing w:after="0" w:line="1" w:lineRule="exact"/>
        <w:rPr>
          <w:sz w:val="20"/>
          <w:szCs w:val="20"/>
          <w:color w:val="auto"/>
        </w:rPr>
      </w:pPr>
    </w:p>
    <w:p>
      <w:pPr>
        <w:ind w:left="140"/>
        <w:spacing w:after="0" w:line="250" w:lineRule="auto"/>
        <w:rPr>
          <w:sz w:val="20"/>
          <w:szCs w:val="20"/>
          <w:color w:val="auto"/>
        </w:rPr>
      </w:pPr>
      <w:r>
        <w:rPr>
          <w:rFonts w:ascii="Arial" w:cs="Arial" w:eastAsia="Arial" w:hAnsi="Arial"/>
          <w:sz w:val="16"/>
          <w:szCs w:val="16"/>
          <w:color w:val="16479F"/>
        </w:rPr>
        <w:t>Audit Committee (Member) Strategy Committee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152400</wp:posOffset>
            </wp:positionV>
            <wp:extent cx="1428115" cy="255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428115" cy="255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SANDY C. RATTRAY</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b w:val="1"/>
          <w:bCs w:val="1"/>
          <w:color w:val="16479F"/>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56515</wp:posOffset>
            </wp:positionV>
            <wp:extent cx="5551805" cy="508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551805" cy="50800"/>
                    </a:xfrm>
                    <a:prstGeom prst="rect">
                      <a:avLst/>
                    </a:prstGeom>
                    <a:noFill/>
                  </pic:spPr>
                </pic:pic>
              </a:graphicData>
            </a:graphic>
          </wp:anchor>
        </w:drawing>
      </w:r>
    </w:p>
    <w:p>
      <w:pPr>
        <w:spacing w:after="0" w:line="245" w:lineRule="exact"/>
        <w:rPr>
          <w:sz w:val="20"/>
          <w:szCs w:val="20"/>
          <w:color w:val="auto"/>
        </w:rPr>
      </w:pPr>
    </w:p>
    <w:p>
      <w:pPr>
        <w:ind w:right="80"/>
        <w:spacing w:after="0" w:line="246" w:lineRule="auto"/>
        <w:rPr>
          <w:sz w:val="20"/>
          <w:szCs w:val="20"/>
          <w:color w:val="auto"/>
        </w:rPr>
      </w:pPr>
      <w:r>
        <w:rPr>
          <w:rFonts w:ascii="Arial" w:cs="Arial" w:eastAsia="Arial" w:hAnsi="Arial"/>
          <w:sz w:val="16"/>
          <w:szCs w:val="16"/>
          <w:color w:val="auto"/>
        </w:rPr>
        <w:t>Mr. Rattray retired from Man Group plc in September 2021, having served as Chief Investment Officer from 2017 to September 2021. He previously served as Chief Executive Officer of Man AHL from 2013 to 2017 and Chief Investment Officer of Man Systematic Strategies from 2010 to 2013. Prior to holding such positions, he held several other senior leadership positions at Man Group. Before joining GLG Partners, which was later acquired by Man Group in 2007, he spent 15 years at Goldman Sachs where he held various positions, including Managing Director and head of the Fundamental Strategy Group. Mr. Rattray also sits on the MSCI Advisory Council. He holds a Master’s Degree in Natural Sciences and Economics from the University of Cambridge and a Licence Spéciale from the Université Libre de Bruxelles. He is also a governor of the Southbank Centre in London.</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16479F"/>
        </w:rPr>
        <w:t>QUALIFICATIONS:</w:t>
      </w:r>
    </w:p>
    <w:p>
      <w:pPr>
        <w:spacing w:after="0" w:line="117" w:lineRule="exact"/>
        <w:rPr>
          <w:sz w:val="20"/>
          <w:szCs w:val="20"/>
          <w:color w:val="auto"/>
        </w:rPr>
      </w:pPr>
    </w:p>
    <w:p>
      <w:pPr>
        <w:ind w:right="440"/>
        <w:spacing w:after="0" w:line="256" w:lineRule="auto"/>
        <w:rPr>
          <w:sz w:val="20"/>
          <w:szCs w:val="20"/>
          <w:color w:val="auto"/>
        </w:rPr>
      </w:pPr>
      <w:r>
        <w:rPr>
          <w:rFonts w:ascii="Arial" w:cs="Arial" w:eastAsia="Arial" w:hAnsi="Arial"/>
          <w:sz w:val="16"/>
          <w:szCs w:val="16"/>
          <w:color w:val="auto"/>
        </w:rPr>
        <w:t>We believe that Mr. Rattray’s over 25 years of experience in the global investment industry, including his focus on the technological innovation impacting the industry, render him qualified to serve as one of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489585</wp:posOffset>
            </wp:positionV>
            <wp:extent cx="71335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931" w:lineRule="exact"/>
        <w:rPr>
          <w:sz w:val="20"/>
          <w:szCs w:val="20"/>
          <w:color w:val="auto"/>
        </w:rPr>
      </w:pPr>
    </w:p>
    <w:p>
      <w:pPr>
        <w:sectPr>
          <w:pgSz w:w="11900" w:h="16838" w:orient="portrait"/>
          <w:cols w:equalWidth="0" w:num="2">
            <w:col w:w="2060" w:space="440"/>
            <w:col w:w="87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40" w:right="500"/>
        <w:spacing w:after="0" w:line="384" w:lineRule="auto"/>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color w:val="16479F"/>
        </w:rPr>
        <w:t>2007</w:t>
      </w:r>
      <w:r>
        <w:rPr>
          <w:rFonts w:ascii="Arial" w:cs="Arial" w:eastAsia="Arial" w:hAnsi="Arial"/>
          <w:sz w:val="16"/>
          <w:szCs w:val="16"/>
          <w:color w:val="auto"/>
        </w:rPr>
        <w:t xml:space="preserve"> Age: </w:t>
      </w:r>
      <w:r>
        <w:rPr>
          <w:rFonts w:ascii="Arial" w:cs="Arial" w:eastAsia="Arial" w:hAnsi="Arial"/>
          <w:sz w:val="16"/>
          <w:szCs w:val="16"/>
          <w:color w:val="16479F"/>
        </w:rPr>
        <w:t>61 years old</w:t>
      </w:r>
      <w:r>
        <w:rPr>
          <w:rFonts w:ascii="Arial" w:cs="Arial" w:eastAsia="Arial" w:hAnsi="Arial"/>
          <w:sz w:val="16"/>
          <w:szCs w:val="16"/>
          <w:color w:val="auto"/>
        </w:rPr>
        <w:t xml:space="preserve"> Committees:</w:t>
      </w:r>
    </w:p>
    <w:p>
      <w:pPr>
        <w:spacing w:after="0" w:line="1" w:lineRule="exact"/>
        <w:rPr>
          <w:sz w:val="20"/>
          <w:szCs w:val="20"/>
          <w:color w:val="auto"/>
        </w:rPr>
      </w:pPr>
    </w:p>
    <w:p>
      <w:pPr>
        <w:jc w:val="both"/>
        <w:ind w:left="140"/>
        <w:spacing w:after="0" w:line="250" w:lineRule="auto"/>
        <w:rPr>
          <w:sz w:val="20"/>
          <w:szCs w:val="20"/>
          <w:color w:val="auto"/>
        </w:rPr>
      </w:pPr>
      <w:r>
        <w:rPr>
          <w:rFonts w:ascii="Arial" w:cs="Arial" w:eastAsia="Arial" w:hAnsi="Arial"/>
          <w:sz w:val="16"/>
          <w:szCs w:val="16"/>
          <w:color w:val="16479F"/>
        </w:rPr>
        <w:t>Audit Committee (Member) Compensation Committee (Chair)</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LINDA H. RIEFLER</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b w:val="1"/>
          <w:bCs w:val="1"/>
          <w:color w:val="16479F"/>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56515</wp:posOffset>
            </wp:positionV>
            <wp:extent cx="5551805" cy="508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551805" cy="50800"/>
                    </a:xfrm>
                    <a:prstGeom prst="rect">
                      <a:avLst/>
                    </a:prstGeom>
                    <a:noFill/>
                  </pic:spPr>
                </pic:pic>
              </a:graphicData>
            </a:graphic>
          </wp:anchor>
        </w:drawing>
      </w:r>
    </w:p>
    <w:p>
      <w:pPr>
        <w:spacing w:after="0" w:line="245" w:lineRule="exact"/>
        <w:rPr>
          <w:sz w:val="20"/>
          <w:szCs w:val="20"/>
          <w:color w:val="auto"/>
        </w:rPr>
      </w:pPr>
    </w:p>
    <w:p>
      <w:pPr>
        <w:ind w:right="80"/>
        <w:spacing w:after="0" w:line="246" w:lineRule="auto"/>
        <w:rPr>
          <w:sz w:val="20"/>
          <w:szCs w:val="20"/>
          <w:color w:val="auto"/>
        </w:rPr>
      </w:pPr>
      <w:r>
        <w:rPr>
          <w:rFonts w:ascii="Arial" w:cs="Arial" w:eastAsia="Arial" w:hAnsi="Arial"/>
          <w:sz w:val="16"/>
          <w:szCs w:val="16"/>
          <w:color w:val="auto"/>
        </w:rPr>
        <w:t>Ms. Riefler retired from Morgan Stanley in February 2013. Ms. Riefler served as the Chair of Global Research at Morgan Stanley from June 2011 to February 2013 and prior to that served as the Global Head of Research from 2008. She was the Chief Talent Officer of Morgan Stanley from 2006 to 2008. In these roles she served on both the Management Committee and Operating Committee of Morgan Stanley. Ms. Riefler joined Morgan Stanley in 1987 in the Capital Markets division and was appointed a Managing Director in 1998 while in the Research division. Ms. Riefler holds a Bachelor of Arts in economics from Princeton University and an M.B.A. from the Stanford University Graduate School of Business.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16479F"/>
        </w:rPr>
        <w:t>CURRENT OTHER PUBLIC COMPANY DIRECTORSHIPS: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CSX Corporation (March 2017 to present)</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16479F"/>
        </w:rPr>
        <w:t>QUALIFICATIONS:</w:t>
      </w:r>
    </w:p>
    <w:p>
      <w:pPr>
        <w:spacing w:after="0" w:line="117" w:lineRule="exact"/>
        <w:rPr>
          <w:sz w:val="20"/>
          <w:szCs w:val="20"/>
          <w:color w:val="auto"/>
        </w:rPr>
      </w:pPr>
    </w:p>
    <w:p>
      <w:pPr>
        <w:ind w:right="340"/>
        <w:spacing w:after="0" w:line="256" w:lineRule="auto"/>
        <w:rPr>
          <w:sz w:val="20"/>
          <w:szCs w:val="20"/>
          <w:color w:val="auto"/>
        </w:rPr>
      </w:pPr>
      <w:r>
        <w:rPr>
          <w:rFonts w:ascii="Arial" w:cs="Arial" w:eastAsia="Arial" w:hAnsi="Arial"/>
          <w:sz w:val="16"/>
          <w:szCs w:val="16"/>
          <w:color w:val="auto"/>
        </w:rPr>
        <w:t>We believe that Ms. Riefler’s in-depth knowledge of talent management, risk management, company valuation and the global capital markets render her qualified to serve as one of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344805</wp:posOffset>
            </wp:positionV>
            <wp:extent cx="71335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-1584325</wp:posOffset>
            </wp:positionH>
            <wp:positionV relativeFrom="paragraph">
              <wp:posOffset>538480</wp:posOffset>
            </wp:positionV>
            <wp:extent cx="7154545"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2">
            <w:col w:w="2060" w:space="440"/>
            <w:col w:w="8740"/>
          </w:cols>
          <w:pgMar w:left="320" w:top="121" w:right="339" w:bottom="1440" w:gutter="0" w:footer="0" w:header="0"/>
          <w:type w:val="continuous"/>
        </w:sectPr>
      </w:pPr>
    </w:p>
    <w:bookmarkStart w:id="27" w:name="page28"/>
    <w:bookmarkEnd w:id="27"/>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00" w:type="dxa"/>
            <w:vAlign w:val="bottom"/>
            <w:tcBorders>
              <w:right w:val="single" w:sz="8" w:color="16479F"/>
            </w:tcBorders>
          </w:tcPr>
          <w:p>
            <w:pPr>
              <w:ind w:left="8740"/>
              <w:spacing w:after="0"/>
              <w:rPr>
                <w:sz w:val="20"/>
                <w:szCs w:val="20"/>
                <w:color w:val="auto"/>
              </w:rPr>
            </w:pPr>
            <w:r>
              <w:rPr>
                <w:rFonts w:ascii="Arial" w:cs="Arial" w:eastAsia="Arial" w:hAnsi="Arial"/>
                <w:sz w:val="14"/>
                <w:szCs w:val="14"/>
                <w:b w:val="1"/>
                <w:bCs w:val="1"/>
                <w:color w:val="16479F"/>
              </w:rPr>
              <w:t>2022 PROXY STATEMENT</w:t>
            </w:r>
          </w:p>
        </w:tc>
        <w:tc>
          <w:tcPr>
            <w:tcW w:w="640" w:type="dxa"/>
            <w:vAlign w:val="bottom"/>
          </w:tcPr>
          <w:p>
            <w:pPr>
              <w:jc w:val="right"/>
              <w:ind w:right="9"/>
              <w:spacing w:after="0"/>
              <w:rPr>
                <w:sz w:val="20"/>
                <w:szCs w:val="20"/>
                <w:color w:val="auto"/>
              </w:rPr>
            </w:pPr>
            <w:r>
              <w:rPr>
                <w:rFonts w:ascii="Arial" w:cs="Arial" w:eastAsia="Arial" w:hAnsi="Arial"/>
                <w:sz w:val="14"/>
                <w:szCs w:val="14"/>
                <w:b w:val="1"/>
                <w:bCs w:val="1"/>
                <w:color w:val="16479F"/>
              </w:rPr>
              <w:t>27</w:t>
            </w:r>
          </w:p>
        </w:tc>
      </w:tr>
      <w:tr>
        <w:trPr>
          <w:trHeight w:val="65"/>
        </w:trPr>
        <w:tc>
          <w:tcPr>
            <w:tcW w:w="10600" w:type="dxa"/>
            <w:vAlign w:val="bottom"/>
            <w:tcBorders>
              <w:bottom w:val="single" w:sz="8" w:color="16479F"/>
              <w:right w:val="single" w:sz="8" w:color="16479F"/>
            </w:tcBorders>
          </w:tcPr>
          <w:p>
            <w:pPr>
              <w:spacing w:after="0"/>
              <w:rPr>
                <w:sz w:val="5"/>
                <w:szCs w:val="5"/>
                <w:color w:val="auto"/>
              </w:rPr>
            </w:pPr>
          </w:p>
        </w:tc>
        <w:tc>
          <w:tcPr>
            <w:tcW w:w="640" w:type="dxa"/>
            <w:vAlign w:val="bottom"/>
            <w:tcBorders>
              <w:bottom w:val="single" w:sz="8" w:color="16479F"/>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118745</wp:posOffset>
            </wp:positionV>
            <wp:extent cx="1428115" cy="27463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428115" cy="27463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color w:val="16479F"/>
        </w:rPr>
        <w:t>2017</w:t>
      </w:r>
    </w:p>
    <w:p>
      <w:pPr>
        <w:spacing w:after="0" w:line="16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color w:val="16479F"/>
        </w:rPr>
        <w:t>55 years old</w:t>
      </w:r>
    </w:p>
    <w:p>
      <w:pPr>
        <w:spacing w:after="0" w:line="16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Committees:</w:t>
      </w:r>
    </w:p>
    <w:p>
      <w:pPr>
        <w:spacing w:after="0" w:line="3" w:lineRule="exact"/>
        <w:rPr>
          <w:sz w:val="20"/>
          <w:szCs w:val="20"/>
          <w:color w:val="auto"/>
        </w:rPr>
      </w:pPr>
    </w:p>
    <w:p>
      <w:pPr>
        <w:ind w:left="140"/>
        <w:spacing w:after="0"/>
        <w:rPr>
          <w:sz w:val="20"/>
          <w:szCs w:val="20"/>
          <w:color w:val="auto"/>
        </w:rPr>
      </w:pPr>
      <w:r>
        <w:rPr>
          <w:rFonts w:ascii="Arial" w:cs="Arial" w:eastAsia="Arial" w:hAnsi="Arial"/>
          <w:sz w:val="15"/>
          <w:szCs w:val="15"/>
          <w:color w:val="16479F"/>
        </w:rPr>
        <w:t>Compensation Committee</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6"/>
          <w:szCs w:val="16"/>
          <w:color w:val="16479F"/>
        </w:rPr>
        <w:t>(Member)</w:t>
      </w:r>
    </w:p>
    <w:p>
      <w:pPr>
        <w:spacing w:after="0" w:line="3" w:lineRule="exact"/>
        <w:rPr>
          <w:sz w:val="20"/>
          <w:szCs w:val="20"/>
          <w:color w:val="auto"/>
        </w:rPr>
      </w:pPr>
    </w:p>
    <w:p>
      <w:pPr>
        <w:ind w:left="140" w:right="420"/>
        <w:spacing w:after="0" w:line="256" w:lineRule="auto"/>
        <w:rPr>
          <w:sz w:val="20"/>
          <w:szCs w:val="20"/>
          <w:color w:val="auto"/>
        </w:rPr>
      </w:pPr>
      <w:r>
        <w:rPr>
          <w:rFonts w:ascii="Arial" w:cs="Arial" w:eastAsia="Arial" w:hAnsi="Arial"/>
          <w:sz w:val="16"/>
          <w:szCs w:val="16"/>
          <w:color w:val="16479F"/>
        </w:rPr>
        <w:t>Strategy Committee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242570</wp:posOffset>
            </wp:positionV>
            <wp:extent cx="1428115" cy="24739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428115" cy="24739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MARCUS L. SMITH</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b w:val="1"/>
          <w:bCs w:val="1"/>
          <w:color w:val="16479F"/>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56515</wp:posOffset>
            </wp:positionV>
            <wp:extent cx="5551805" cy="508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551805" cy="50800"/>
                    </a:xfrm>
                    <a:prstGeom prst="rect">
                      <a:avLst/>
                    </a:prstGeom>
                    <a:noFill/>
                  </pic:spPr>
                </pic:pic>
              </a:graphicData>
            </a:graphic>
          </wp:anchor>
        </w:drawing>
      </w:r>
    </w:p>
    <w:p>
      <w:pPr>
        <w:spacing w:after="0" w:line="245" w:lineRule="exact"/>
        <w:rPr>
          <w:sz w:val="20"/>
          <w:szCs w:val="20"/>
          <w:color w:val="auto"/>
        </w:rPr>
      </w:pPr>
    </w:p>
    <w:p>
      <w:pPr>
        <w:ind w:right="80"/>
        <w:spacing w:after="0" w:line="246" w:lineRule="auto"/>
        <w:rPr>
          <w:sz w:val="20"/>
          <w:szCs w:val="20"/>
          <w:color w:val="auto"/>
        </w:rPr>
      </w:pPr>
      <w:r>
        <w:rPr>
          <w:rFonts w:ascii="Arial" w:cs="Arial" w:eastAsia="Arial" w:hAnsi="Arial"/>
          <w:sz w:val="16"/>
          <w:szCs w:val="16"/>
          <w:color w:val="auto"/>
        </w:rPr>
        <w:t>Mr. Smith was the Chief Investment Officer, Canada Equity and a Portfolio Manager, International Equities at MFS Investment Management (“MFS”) until his retirement in April 2017. As a portfolio manager, he was responsible for managing the MFS Institutional International Equity Portfolio and the International Concentrated Portfolio. He joined MFS in 1994 and held a variety of positions, including Chief Investment Officer (Asia) from 2010 to 2012, based in Boston, Director of Asian Research from 2005 to 2009, based in Singapore, and Equity Analyst from 1995 to 2000, based in London. Mr. Smith currently also serves as a trustee for certain Eaton Vance funds. Mr. Smith holds a Bachelor of Science from the University of Mount Union and an M.B.A. from the Wharton School, University of Pennsylvania.</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16479F"/>
        </w:rPr>
        <w:t>CURRENT OTHER PUBLIC COMPANY DIRECTORSHIPS: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First Industrial Realty Trust, Inc. (February 2021 to present)</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16479F"/>
        </w:rPr>
        <w:t>PRIOR OTHER PUBLIC COMPANY DIRECTORSHIPS: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DCT Industrial Trust, Inc. (October 2017 to August 2018)</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16479F"/>
        </w:rPr>
        <w:t>QUALIFICATIONS:</w:t>
      </w:r>
    </w:p>
    <w:p>
      <w:pPr>
        <w:spacing w:after="0" w:line="104"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We believe that Mr. Smith’s extensive experience in global financial markets and as an investment professional, including experience in Asia and Europe, render him qualified to serve as one of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21590</wp:posOffset>
            </wp:positionV>
            <wp:extent cx="71335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80" w:space="520"/>
            <w:col w:w="87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40" w:right="500"/>
        <w:spacing w:after="0" w:line="384" w:lineRule="auto"/>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color w:val="16479F"/>
        </w:rPr>
        <w:t>2021</w:t>
      </w:r>
      <w:r>
        <w:rPr>
          <w:rFonts w:ascii="Arial" w:cs="Arial" w:eastAsia="Arial" w:hAnsi="Arial"/>
          <w:sz w:val="16"/>
          <w:szCs w:val="16"/>
          <w:color w:val="auto"/>
        </w:rPr>
        <w:t xml:space="preserve"> Age: </w:t>
      </w:r>
      <w:r>
        <w:rPr>
          <w:rFonts w:ascii="Arial" w:cs="Arial" w:eastAsia="Arial" w:hAnsi="Arial"/>
          <w:sz w:val="16"/>
          <w:szCs w:val="16"/>
          <w:color w:val="16479F"/>
        </w:rPr>
        <w:t>57 years old</w:t>
      </w:r>
      <w:r>
        <w:rPr>
          <w:rFonts w:ascii="Arial" w:cs="Arial" w:eastAsia="Arial" w:hAnsi="Arial"/>
          <w:sz w:val="16"/>
          <w:szCs w:val="16"/>
          <w:color w:val="auto"/>
        </w:rPr>
        <w:t xml:space="preserve"> Committees:</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5"/>
          <w:szCs w:val="15"/>
          <w:color w:val="16479F"/>
        </w:rPr>
        <w:t>Audit Committee (Member)</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RAJAT TANEJA</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b w:val="1"/>
          <w:bCs w:val="1"/>
          <w:color w:val="16479F"/>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56515</wp:posOffset>
            </wp:positionV>
            <wp:extent cx="5551805" cy="508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551805" cy="50800"/>
                    </a:xfrm>
                    <a:prstGeom prst="rect">
                      <a:avLst/>
                    </a:prstGeom>
                    <a:noFill/>
                  </pic:spPr>
                </pic:pic>
              </a:graphicData>
            </a:graphic>
          </wp:anchor>
        </w:drawing>
      </w:r>
    </w:p>
    <w:p>
      <w:pPr>
        <w:spacing w:after="0" w:line="245" w:lineRule="exact"/>
        <w:rPr>
          <w:sz w:val="20"/>
          <w:szCs w:val="20"/>
          <w:color w:val="auto"/>
        </w:rPr>
      </w:pPr>
    </w:p>
    <w:p>
      <w:pPr>
        <w:ind w:right="60"/>
        <w:spacing w:after="0" w:line="246" w:lineRule="auto"/>
        <w:rPr>
          <w:sz w:val="20"/>
          <w:szCs w:val="20"/>
          <w:color w:val="auto"/>
        </w:rPr>
      </w:pPr>
      <w:r>
        <w:rPr>
          <w:rFonts w:ascii="Arial" w:cs="Arial" w:eastAsia="Arial" w:hAnsi="Arial"/>
          <w:sz w:val="16"/>
          <w:szCs w:val="16"/>
          <w:color w:val="auto"/>
        </w:rPr>
        <w:t>Mr. Taneja is currently the President of Technology for Visa Inc. (“Visa”), a role he has held since September 2019. He joined Visa in November 2013 and served as Executive Vice President of Technology and Operations until August 2019. Prior to joining Visa, Mr. Taneja was Executive Vice President and Chief Technology Officer of Electronic Arts Inc. from October 2011 until November 2013. From August 1996 until October 2011, he served in various roles at Microsoft Corporation (“Microsoft”), including as the Corporate Vice President, Commerce Division. At Microsoft, Mr. Taneja led the development and deployment of commerce and transaction technologies across its connected services, the company’s online digital advertising platforms and its first business online service offering. Mr. Taneja holds a Bachelor of Engineering from Jadavpur University and a Master of Business Administration from Washington State University.</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16479F"/>
        </w:rPr>
        <w:t>PRIOR OTHER PUBLIC COMPANY DIRECTORSHIPS: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Ellie Mae, Inc. (June 2015 to April 2019)</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16479F"/>
        </w:rPr>
        <w:t>QUALIFICATIONS:</w:t>
      </w:r>
    </w:p>
    <w:p>
      <w:pPr>
        <w:spacing w:after="0" w:line="117"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auto"/>
        </w:rPr>
        <w:t>We believe that Mr. Taneja’s over 30 years of experience in global technology, innovation and research and development render him qualified to serve as one of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21590</wp:posOffset>
            </wp:positionV>
            <wp:extent cx="71335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-1584325</wp:posOffset>
            </wp:positionH>
            <wp:positionV relativeFrom="paragraph">
              <wp:posOffset>95885</wp:posOffset>
            </wp:positionV>
            <wp:extent cx="715454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2">
            <w:col w:w="2060" w:space="440"/>
            <w:col w:w="8740"/>
          </w:cols>
          <w:pgMar w:left="320" w:top="121" w:right="339" w:bottom="1440" w:gutter="0" w:footer="0" w:header="0"/>
          <w:type w:val="continuous"/>
        </w:sectPr>
      </w:pPr>
    </w:p>
    <w:bookmarkStart w:id="28" w:name="page29"/>
    <w:bookmarkEnd w:id="28"/>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00" w:type="dxa"/>
            <w:vAlign w:val="bottom"/>
            <w:tcBorders>
              <w:right w:val="single" w:sz="8" w:color="16479F"/>
            </w:tcBorders>
          </w:tcPr>
          <w:p>
            <w:pPr>
              <w:jc w:val="right"/>
              <w:ind w:right="369"/>
              <w:spacing w:after="0"/>
              <w:rPr>
                <w:sz w:val="20"/>
                <w:szCs w:val="20"/>
                <w:color w:val="auto"/>
              </w:rPr>
            </w:pPr>
            <w:r>
              <w:rPr>
                <w:rFonts w:ascii="Arial" w:cs="Arial" w:eastAsia="Arial" w:hAnsi="Arial"/>
                <w:sz w:val="14"/>
                <w:szCs w:val="14"/>
                <w:b w:val="1"/>
                <w:bCs w:val="1"/>
                <w:color w:val="16479F"/>
              </w:rPr>
              <w:t>28</w:t>
            </w:r>
          </w:p>
        </w:tc>
        <w:tc>
          <w:tcPr>
            <w:tcW w:w="10540" w:type="dxa"/>
            <w:vAlign w:val="bottom"/>
          </w:tcPr>
          <w:p>
            <w:pPr>
              <w:ind w:left="100"/>
              <w:spacing w:after="0"/>
              <w:rPr>
                <w:sz w:val="20"/>
                <w:szCs w:val="20"/>
                <w:color w:val="auto"/>
              </w:rPr>
            </w:pPr>
            <w:r>
              <w:rPr>
                <w:rFonts w:ascii="Arial" w:cs="Arial" w:eastAsia="Arial" w:hAnsi="Arial"/>
                <w:sz w:val="14"/>
                <w:szCs w:val="14"/>
                <w:b w:val="1"/>
                <w:bCs w:val="1"/>
                <w:color w:val="16479F"/>
              </w:rPr>
              <w:t>MSCI  |  PROPOSAL NO. 1: ELECTION OF DIRECTORS</w:t>
            </w:r>
          </w:p>
        </w:tc>
      </w:tr>
      <w:tr>
        <w:trPr>
          <w:trHeight w:val="65"/>
        </w:trPr>
        <w:tc>
          <w:tcPr>
            <w:tcW w:w="700" w:type="dxa"/>
            <w:vAlign w:val="bottom"/>
            <w:tcBorders>
              <w:bottom w:val="single" w:sz="8" w:color="16479F"/>
              <w:right w:val="single" w:sz="8" w:color="16479F"/>
            </w:tcBorders>
          </w:tcPr>
          <w:p>
            <w:pPr>
              <w:spacing w:after="0"/>
              <w:rPr>
                <w:sz w:val="5"/>
                <w:szCs w:val="5"/>
                <w:color w:val="auto"/>
              </w:rPr>
            </w:pPr>
          </w:p>
        </w:tc>
        <w:tc>
          <w:tcPr>
            <w:tcW w:w="10540" w:type="dxa"/>
            <w:vAlign w:val="bottom"/>
            <w:tcBorders>
              <w:bottom w:val="single" w:sz="8" w:color="16479F"/>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118745</wp:posOffset>
            </wp:positionV>
            <wp:extent cx="1428115" cy="26866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428115" cy="268668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color w:val="16479F"/>
        </w:rPr>
        <w:t>2020</w:t>
      </w:r>
    </w:p>
    <w:p>
      <w:pPr>
        <w:spacing w:after="0" w:line="16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color w:val="16479F"/>
        </w:rPr>
        <w:t>65 years old</w:t>
      </w:r>
    </w:p>
    <w:p>
      <w:pPr>
        <w:spacing w:after="0" w:line="164" w:lineRule="exact"/>
        <w:rPr>
          <w:sz w:val="20"/>
          <w:szCs w:val="20"/>
          <w:color w:val="auto"/>
        </w:rPr>
      </w:pPr>
    </w:p>
    <w:p>
      <w:pPr>
        <w:ind w:left="140"/>
        <w:spacing w:after="0" w:line="244" w:lineRule="auto"/>
        <w:rPr>
          <w:sz w:val="20"/>
          <w:szCs w:val="20"/>
          <w:color w:val="auto"/>
        </w:rPr>
      </w:pPr>
      <w:r>
        <w:rPr>
          <w:rFonts w:ascii="Arial" w:cs="Arial" w:eastAsia="Arial" w:hAnsi="Arial"/>
          <w:sz w:val="16"/>
          <w:szCs w:val="16"/>
          <w:color w:val="auto"/>
        </w:rPr>
        <w:t xml:space="preserve">Committees: </w:t>
      </w:r>
      <w:r>
        <w:rPr>
          <w:rFonts w:ascii="Arial" w:cs="Arial" w:eastAsia="Arial" w:hAnsi="Arial"/>
          <w:sz w:val="16"/>
          <w:szCs w:val="16"/>
          <w:color w:val="16479F"/>
        </w:rPr>
        <w:t>Governance Committee (Member)</w:t>
      </w:r>
    </w:p>
    <w:p>
      <w:pPr>
        <w:spacing w:after="0" w:line="1" w:lineRule="exact"/>
        <w:rPr>
          <w:sz w:val="20"/>
          <w:szCs w:val="20"/>
          <w:color w:val="auto"/>
        </w:rPr>
      </w:pPr>
    </w:p>
    <w:p>
      <w:pPr>
        <w:ind w:left="140" w:right="260"/>
        <w:spacing w:after="0" w:line="256" w:lineRule="auto"/>
        <w:rPr>
          <w:sz w:val="20"/>
          <w:szCs w:val="20"/>
          <w:color w:val="auto"/>
        </w:rPr>
      </w:pPr>
      <w:r>
        <w:rPr>
          <w:rFonts w:ascii="Arial" w:cs="Arial" w:eastAsia="Arial" w:hAnsi="Arial"/>
          <w:sz w:val="16"/>
          <w:szCs w:val="16"/>
          <w:color w:val="16479F"/>
        </w:rPr>
        <w:t>Strategy Committee (Member)</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PAULA VOLENT</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b w:val="1"/>
          <w:bCs w:val="1"/>
          <w:color w:val="16479F"/>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56515</wp:posOffset>
            </wp:positionV>
            <wp:extent cx="5551805" cy="508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551805" cy="50800"/>
                    </a:xfrm>
                    <a:prstGeom prst="rect">
                      <a:avLst/>
                    </a:prstGeom>
                    <a:noFill/>
                  </pic:spPr>
                </pic:pic>
              </a:graphicData>
            </a:graphic>
          </wp:anchor>
        </w:drawing>
      </w:r>
    </w:p>
    <w:p>
      <w:pPr>
        <w:spacing w:after="0" w:line="245" w:lineRule="exact"/>
        <w:rPr>
          <w:sz w:val="20"/>
          <w:szCs w:val="20"/>
          <w:color w:val="auto"/>
        </w:rPr>
      </w:pPr>
    </w:p>
    <w:p>
      <w:pPr>
        <w:ind w:right="60"/>
        <w:spacing w:after="0" w:line="246" w:lineRule="auto"/>
        <w:rPr>
          <w:sz w:val="20"/>
          <w:szCs w:val="20"/>
          <w:color w:val="auto"/>
        </w:rPr>
      </w:pPr>
      <w:r>
        <w:rPr>
          <w:rFonts w:ascii="Arial" w:cs="Arial" w:eastAsia="Arial" w:hAnsi="Arial"/>
          <w:sz w:val="16"/>
          <w:szCs w:val="16"/>
          <w:color w:val="auto"/>
        </w:rPr>
        <w:t>Ms. Volent is currently Vice President and Chief Investment Officer at The Rockefeller University, a role she has held since August 2021. She previously served as Senior Vice President for Investments and Chief Investment Officer at Bowdoin College from 2006 to June 2021, Vice President for Investments at Bowdoin College from 2002 to 2006, and Associate Treasurer at Bowdoin College from 2000 to 2002. Prior to joining Bowdoin College in 2000, Ms. Volent served as a Senior Associate at the Yale Investments Office and before focusing on endowment management, she worked as a paper conservator. She holds an M.B.A. from Yale School of Management, a Master of Arts from the Institute of Fine Arts, New York University and a Bachelor of Arts from the University of New Hampshire.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16479F"/>
        </w:rPr>
        <w:t>CURRENT OTHER PUBLIC COMPANY DIRECTORSHIPS: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1stdibs.com, Inc. (June 2021 to present)</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16479F"/>
        </w:rPr>
        <w:t>QUALIFICATIONS:</w:t>
      </w:r>
    </w:p>
    <w:p>
      <w:pPr>
        <w:spacing w:after="0" w:line="117"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We believe that Ms. Volent’s experience as a Chief Investment Officer at a number of institutions and her engagement with the global investment community render her qualified to serve as one of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353060</wp:posOffset>
            </wp:positionV>
            <wp:extent cx="71335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-1584325</wp:posOffset>
            </wp:positionH>
            <wp:positionV relativeFrom="paragraph">
              <wp:posOffset>427355</wp:posOffset>
            </wp:positionV>
            <wp:extent cx="7154545"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2">
            <w:col w:w="1820" w:space="680"/>
            <w:col w:w="8740"/>
          </w:cols>
          <w:pgMar w:left="320" w:top="121" w:right="339" w:bottom="1440" w:gutter="0" w:footer="0" w:header="0"/>
          <w:type w:val="continuous"/>
        </w:sectPr>
      </w:pPr>
    </w:p>
    <w:bookmarkStart w:id="29" w:name="page30"/>
    <w:bookmarkEnd w:id="29"/>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00" w:type="dxa"/>
            <w:vAlign w:val="bottom"/>
            <w:tcBorders>
              <w:right w:val="single" w:sz="8" w:color="16479F"/>
            </w:tcBorders>
          </w:tcPr>
          <w:p>
            <w:pPr>
              <w:ind w:left="8740"/>
              <w:spacing w:after="0"/>
              <w:rPr>
                <w:sz w:val="20"/>
                <w:szCs w:val="20"/>
                <w:color w:val="auto"/>
              </w:rPr>
            </w:pPr>
            <w:r>
              <w:rPr>
                <w:rFonts w:ascii="Arial" w:cs="Arial" w:eastAsia="Arial" w:hAnsi="Arial"/>
                <w:sz w:val="14"/>
                <w:szCs w:val="14"/>
                <w:b w:val="1"/>
                <w:bCs w:val="1"/>
                <w:color w:val="16479F"/>
              </w:rPr>
              <w:t>2022 PROXY STATEMENT</w:t>
            </w:r>
          </w:p>
        </w:tc>
        <w:tc>
          <w:tcPr>
            <w:tcW w:w="640" w:type="dxa"/>
            <w:vAlign w:val="bottom"/>
          </w:tcPr>
          <w:p>
            <w:pPr>
              <w:jc w:val="right"/>
              <w:ind w:right="9"/>
              <w:spacing w:after="0"/>
              <w:rPr>
                <w:sz w:val="20"/>
                <w:szCs w:val="20"/>
                <w:color w:val="auto"/>
              </w:rPr>
            </w:pPr>
            <w:r>
              <w:rPr>
                <w:rFonts w:ascii="Arial" w:cs="Arial" w:eastAsia="Arial" w:hAnsi="Arial"/>
                <w:sz w:val="14"/>
                <w:szCs w:val="14"/>
                <w:b w:val="1"/>
                <w:bCs w:val="1"/>
                <w:color w:val="16479F"/>
              </w:rPr>
              <w:t>29</w:t>
            </w:r>
          </w:p>
        </w:tc>
      </w:tr>
      <w:tr>
        <w:trPr>
          <w:trHeight w:val="65"/>
        </w:trPr>
        <w:tc>
          <w:tcPr>
            <w:tcW w:w="10600" w:type="dxa"/>
            <w:vAlign w:val="bottom"/>
            <w:tcBorders>
              <w:bottom w:val="single" w:sz="8" w:color="16479F"/>
              <w:right w:val="single" w:sz="8" w:color="16479F"/>
            </w:tcBorders>
          </w:tcPr>
          <w:p>
            <w:pPr>
              <w:spacing w:after="0"/>
              <w:rPr>
                <w:sz w:val="5"/>
                <w:szCs w:val="5"/>
                <w:color w:val="auto"/>
              </w:rPr>
            </w:pPr>
          </w:p>
        </w:tc>
        <w:tc>
          <w:tcPr>
            <w:tcW w:w="640" w:type="dxa"/>
            <w:vAlign w:val="bottom"/>
            <w:tcBorders>
              <w:bottom w:val="single" w:sz="8" w:color="16479F"/>
            </w:tcBorders>
          </w:tcPr>
          <w:p>
            <w:pPr>
              <w:spacing w:after="0"/>
              <w:rPr>
                <w:sz w:val="5"/>
                <w:szCs w:val="5"/>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54"/>
          <w:szCs w:val="54"/>
          <w:b w:val="1"/>
          <w:bCs w:val="1"/>
          <w:color w:val="002739"/>
        </w:rPr>
        <w:t>Corporate Governance</w:t>
      </w:r>
    </w:p>
    <w:p>
      <w:pPr>
        <w:spacing w:after="0" w:line="230" w:lineRule="exact"/>
        <w:rPr>
          <w:sz w:val="20"/>
          <w:szCs w:val="20"/>
          <w:color w:val="auto"/>
        </w:rPr>
      </w:pPr>
    </w:p>
    <w:p>
      <w:pPr>
        <w:spacing w:after="0"/>
        <w:rPr>
          <w:sz w:val="20"/>
          <w:szCs w:val="20"/>
          <w:color w:val="auto"/>
        </w:rPr>
      </w:pPr>
      <w:r>
        <w:rPr>
          <w:rFonts w:ascii="Arial" w:cs="Arial" w:eastAsia="Arial" w:hAnsi="Arial"/>
          <w:sz w:val="32"/>
          <w:szCs w:val="32"/>
          <w:b w:val="1"/>
          <w:bCs w:val="1"/>
          <w:color w:val="16479F"/>
        </w:rPr>
        <w:t>Robust Corporate Governance Practices</w:t>
      </w:r>
    </w:p>
    <w:p>
      <w:pPr>
        <w:spacing w:after="0" w:line="259" w:lineRule="exact"/>
        <w:rPr>
          <w:sz w:val="20"/>
          <w:szCs w:val="20"/>
          <w:color w:val="auto"/>
        </w:rPr>
      </w:pPr>
    </w:p>
    <w:p>
      <w:pPr>
        <w:ind w:right="60"/>
        <w:spacing w:after="0" w:line="246" w:lineRule="auto"/>
        <w:rPr>
          <w:sz w:val="20"/>
          <w:szCs w:val="20"/>
          <w:color w:val="auto"/>
        </w:rPr>
      </w:pPr>
      <w:r>
        <w:rPr>
          <w:rFonts w:ascii="Arial" w:cs="Arial" w:eastAsia="Arial" w:hAnsi="Arial"/>
          <w:sz w:val="16"/>
          <w:szCs w:val="16"/>
          <w:color w:val="auto"/>
        </w:rPr>
        <w:t>MSCI’s Board of Directors adhere to governance principles designed to ensure the continued effectiveness of the Board and excellence in the execution of its duties. The Board has in place a set of governance guidelines reflecting these principles, including the Board’s policy of requiring a significant majority of the Board to be comprised of independent directors; the importance of reflecting a diversity of occupational and personal backgrounds and experience on the Board, including with respect to demographics such as gender, nationality, race, ethnicity, geography and age; and the practice of regularly scheduled executive sessions, including sessions of independent directors without members of management. The MSCI Corporate Governance Policies reflect our principles on corporate governance matters.</w:t>
      </w:r>
    </w:p>
    <w:p>
      <w:pPr>
        <w:spacing w:after="0" w:line="154" w:lineRule="exact"/>
        <w:rPr>
          <w:sz w:val="20"/>
          <w:szCs w:val="20"/>
          <w:color w:val="auto"/>
        </w:rPr>
      </w:pPr>
    </w:p>
    <w:p>
      <w:pPr>
        <w:jc w:val="both"/>
        <w:ind w:right="100"/>
        <w:spacing w:after="0" w:line="250" w:lineRule="auto"/>
        <w:rPr>
          <w:sz w:val="20"/>
          <w:szCs w:val="20"/>
          <w:color w:val="auto"/>
        </w:rPr>
      </w:pPr>
      <w:r>
        <w:rPr>
          <w:rFonts w:ascii="Arial" w:cs="Arial" w:eastAsia="Arial" w:hAnsi="Arial"/>
          <w:sz w:val="16"/>
          <w:szCs w:val="16"/>
          <w:color w:val="auto"/>
        </w:rPr>
        <w:t>MSCI also has a Code of Ethics and Business Conduct for directors, executive officers and employees, which is reviewed annually by the Board of Directors. Any amendment to, or waiver of, the Code of Ethics and Business Conduct that applies to one of our directors or executive officers may be made only by the Board or a Board committee.</w:t>
      </w:r>
    </w:p>
    <w:p>
      <w:pPr>
        <w:spacing w:after="0" w:line="164"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Corporate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156845</wp:posOffset>
            </wp:positionV>
            <wp:extent cx="7133590" cy="29076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3590" cy="290766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520" w:hanging="245"/>
        <w:spacing w:after="0"/>
        <w:tabs>
          <w:tab w:leader="none" w:pos="520" w:val="left"/>
        </w:tabs>
        <w:numPr>
          <w:ilvl w:val="0"/>
          <w:numId w:val="43"/>
        </w:numPr>
        <w:rPr>
          <w:rFonts w:ascii="Arial" w:cs="Arial" w:eastAsia="Arial" w:hAnsi="Arial"/>
          <w:sz w:val="16"/>
          <w:szCs w:val="16"/>
          <w:color w:val="16479F"/>
        </w:rPr>
      </w:pPr>
      <w:r>
        <w:rPr>
          <w:rFonts w:ascii="Arial" w:cs="Arial" w:eastAsia="Arial" w:hAnsi="Arial"/>
          <w:sz w:val="16"/>
          <w:szCs w:val="16"/>
          <w:color w:val="auto"/>
        </w:rPr>
        <w:t>All director nominees except our CEO are independent.</w:t>
      </w:r>
    </w:p>
    <w:p>
      <w:pPr>
        <w:spacing w:after="0" w:line="83" w:lineRule="exact"/>
        <w:rPr>
          <w:rFonts w:ascii="Arial" w:cs="Arial" w:eastAsia="Arial" w:hAnsi="Arial"/>
          <w:sz w:val="16"/>
          <w:szCs w:val="16"/>
          <w:color w:val="16479F"/>
        </w:rPr>
      </w:pPr>
    </w:p>
    <w:p>
      <w:pPr>
        <w:ind w:left="520" w:hanging="245"/>
        <w:spacing w:after="0"/>
        <w:tabs>
          <w:tab w:leader="none" w:pos="520" w:val="left"/>
        </w:tabs>
        <w:numPr>
          <w:ilvl w:val="0"/>
          <w:numId w:val="43"/>
        </w:numPr>
        <w:rPr>
          <w:rFonts w:ascii="Arial" w:cs="Arial" w:eastAsia="Arial" w:hAnsi="Arial"/>
          <w:sz w:val="16"/>
          <w:szCs w:val="16"/>
          <w:color w:val="16479F"/>
        </w:rPr>
      </w:pPr>
      <w:r>
        <w:rPr>
          <w:rFonts w:ascii="Arial" w:cs="Arial" w:eastAsia="Arial" w:hAnsi="Arial"/>
          <w:sz w:val="16"/>
          <w:szCs w:val="16"/>
          <w:color w:val="auto"/>
        </w:rPr>
        <w:t>Strong, independent lead director and independent Board committees.</w:t>
      </w:r>
    </w:p>
    <w:p>
      <w:pPr>
        <w:spacing w:after="0" w:line="83" w:lineRule="exact"/>
        <w:rPr>
          <w:rFonts w:ascii="Arial" w:cs="Arial" w:eastAsia="Arial" w:hAnsi="Arial"/>
          <w:sz w:val="16"/>
          <w:szCs w:val="16"/>
          <w:color w:val="16479F"/>
        </w:rPr>
      </w:pPr>
    </w:p>
    <w:p>
      <w:pPr>
        <w:ind w:left="520" w:hanging="245"/>
        <w:spacing w:after="0"/>
        <w:tabs>
          <w:tab w:leader="none" w:pos="520" w:val="left"/>
        </w:tabs>
        <w:numPr>
          <w:ilvl w:val="0"/>
          <w:numId w:val="43"/>
        </w:numPr>
        <w:rPr>
          <w:rFonts w:ascii="Arial" w:cs="Arial" w:eastAsia="Arial" w:hAnsi="Arial"/>
          <w:sz w:val="16"/>
          <w:szCs w:val="16"/>
          <w:color w:val="16479F"/>
        </w:rPr>
      </w:pPr>
      <w:r>
        <w:rPr>
          <w:rFonts w:ascii="Arial" w:cs="Arial" w:eastAsia="Arial" w:hAnsi="Arial"/>
          <w:sz w:val="16"/>
          <w:szCs w:val="16"/>
          <w:color w:val="auto"/>
        </w:rPr>
        <w:t>One share, one vote.</w:t>
      </w:r>
    </w:p>
    <w:p>
      <w:pPr>
        <w:spacing w:after="0" w:line="83" w:lineRule="exact"/>
        <w:rPr>
          <w:rFonts w:ascii="Arial" w:cs="Arial" w:eastAsia="Arial" w:hAnsi="Arial"/>
          <w:sz w:val="16"/>
          <w:szCs w:val="16"/>
          <w:color w:val="16479F"/>
        </w:rPr>
      </w:pPr>
    </w:p>
    <w:p>
      <w:pPr>
        <w:ind w:left="520" w:hanging="245"/>
        <w:spacing w:after="0"/>
        <w:tabs>
          <w:tab w:leader="none" w:pos="520" w:val="left"/>
        </w:tabs>
        <w:numPr>
          <w:ilvl w:val="0"/>
          <w:numId w:val="43"/>
        </w:numPr>
        <w:rPr>
          <w:rFonts w:ascii="Arial" w:cs="Arial" w:eastAsia="Arial" w:hAnsi="Arial"/>
          <w:sz w:val="16"/>
          <w:szCs w:val="16"/>
          <w:color w:val="16479F"/>
        </w:rPr>
      </w:pPr>
      <w:r>
        <w:rPr>
          <w:rFonts w:ascii="Arial" w:cs="Arial" w:eastAsia="Arial" w:hAnsi="Arial"/>
          <w:sz w:val="16"/>
          <w:szCs w:val="16"/>
          <w:color w:val="auto"/>
        </w:rPr>
        <w:t>Annual election of directors.</w:t>
      </w:r>
    </w:p>
    <w:p>
      <w:pPr>
        <w:spacing w:after="0" w:line="83" w:lineRule="exact"/>
        <w:rPr>
          <w:rFonts w:ascii="Arial" w:cs="Arial" w:eastAsia="Arial" w:hAnsi="Arial"/>
          <w:sz w:val="16"/>
          <w:szCs w:val="16"/>
          <w:color w:val="16479F"/>
        </w:rPr>
      </w:pPr>
    </w:p>
    <w:p>
      <w:pPr>
        <w:ind w:left="520" w:hanging="245"/>
        <w:spacing w:after="0"/>
        <w:tabs>
          <w:tab w:leader="none" w:pos="520" w:val="left"/>
        </w:tabs>
        <w:numPr>
          <w:ilvl w:val="0"/>
          <w:numId w:val="43"/>
        </w:numPr>
        <w:rPr>
          <w:rFonts w:ascii="Arial" w:cs="Arial" w:eastAsia="Arial" w:hAnsi="Arial"/>
          <w:sz w:val="16"/>
          <w:szCs w:val="16"/>
          <w:color w:val="16479F"/>
        </w:rPr>
      </w:pPr>
      <w:r>
        <w:rPr>
          <w:rFonts w:ascii="Arial" w:cs="Arial" w:eastAsia="Arial" w:hAnsi="Arial"/>
          <w:sz w:val="16"/>
          <w:szCs w:val="16"/>
          <w:color w:val="auto"/>
        </w:rPr>
        <w:t>Proxy access.</w:t>
      </w:r>
    </w:p>
    <w:p>
      <w:pPr>
        <w:spacing w:after="0" w:line="83" w:lineRule="exact"/>
        <w:rPr>
          <w:rFonts w:ascii="Arial" w:cs="Arial" w:eastAsia="Arial" w:hAnsi="Arial"/>
          <w:sz w:val="16"/>
          <w:szCs w:val="16"/>
          <w:color w:val="16479F"/>
        </w:rPr>
      </w:pPr>
    </w:p>
    <w:p>
      <w:pPr>
        <w:ind w:left="520" w:hanging="245"/>
        <w:spacing w:after="0"/>
        <w:tabs>
          <w:tab w:leader="none" w:pos="520" w:val="left"/>
        </w:tabs>
        <w:numPr>
          <w:ilvl w:val="0"/>
          <w:numId w:val="43"/>
        </w:numPr>
        <w:rPr>
          <w:rFonts w:ascii="Arial" w:cs="Arial" w:eastAsia="Arial" w:hAnsi="Arial"/>
          <w:sz w:val="16"/>
          <w:szCs w:val="16"/>
          <w:color w:val="16479F"/>
        </w:rPr>
      </w:pPr>
      <w:r>
        <w:rPr>
          <w:rFonts w:ascii="Arial" w:cs="Arial" w:eastAsia="Arial" w:hAnsi="Arial"/>
          <w:sz w:val="16"/>
          <w:szCs w:val="16"/>
          <w:color w:val="auto"/>
        </w:rPr>
        <w:t>Majority vote for uncontested elections and plurality standard for contested elections.</w:t>
      </w:r>
    </w:p>
    <w:p>
      <w:pPr>
        <w:spacing w:after="0" w:line="83" w:lineRule="exact"/>
        <w:rPr>
          <w:rFonts w:ascii="Arial" w:cs="Arial" w:eastAsia="Arial" w:hAnsi="Arial"/>
          <w:sz w:val="16"/>
          <w:szCs w:val="16"/>
          <w:color w:val="16479F"/>
        </w:rPr>
      </w:pPr>
    </w:p>
    <w:p>
      <w:pPr>
        <w:ind w:left="520" w:hanging="245"/>
        <w:spacing w:after="0"/>
        <w:tabs>
          <w:tab w:leader="none" w:pos="520" w:val="left"/>
        </w:tabs>
        <w:numPr>
          <w:ilvl w:val="0"/>
          <w:numId w:val="43"/>
        </w:numPr>
        <w:rPr>
          <w:rFonts w:ascii="Arial" w:cs="Arial" w:eastAsia="Arial" w:hAnsi="Arial"/>
          <w:sz w:val="16"/>
          <w:szCs w:val="16"/>
          <w:color w:val="16479F"/>
        </w:rPr>
      </w:pPr>
      <w:r>
        <w:rPr>
          <w:rFonts w:ascii="Arial" w:cs="Arial" w:eastAsia="Arial" w:hAnsi="Arial"/>
          <w:sz w:val="16"/>
          <w:szCs w:val="16"/>
          <w:color w:val="auto"/>
        </w:rPr>
        <w:t>No shareholder rights plan (i.e., a poison pill).</w:t>
      </w:r>
    </w:p>
    <w:p>
      <w:pPr>
        <w:spacing w:after="0" w:line="83" w:lineRule="exact"/>
        <w:rPr>
          <w:rFonts w:ascii="Arial" w:cs="Arial" w:eastAsia="Arial" w:hAnsi="Arial"/>
          <w:sz w:val="16"/>
          <w:szCs w:val="16"/>
          <w:color w:val="16479F"/>
        </w:rPr>
      </w:pPr>
    </w:p>
    <w:p>
      <w:pPr>
        <w:ind w:left="520" w:hanging="245"/>
        <w:spacing w:after="0"/>
        <w:tabs>
          <w:tab w:leader="none" w:pos="520" w:val="left"/>
        </w:tabs>
        <w:numPr>
          <w:ilvl w:val="0"/>
          <w:numId w:val="43"/>
        </w:numPr>
        <w:rPr>
          <w:rFonts w:ascii="Arial" w:cs="Arial" w:eastAsia="Arial" w:hAnsi="Arial"/>
          <w:sz w:val="16"/>
          <w:szCs w:val="16"/>
          <w:color w:val="16479F"/>
        </w:rPr>
      </w:pPr>
      <w:r>
        <w:rPr>
          <w:rFonts w:ascii="Arial" w:cs="Arial" w:eastAsia="Arial" w:hAnsi="Arial"/>
          <w:sz w:val="16"/>
          <w:szCs w:val="16"/>
          <w:color w:val="auto"/>
        </w:rPr>
        <w:t>Board oversight of corporate responsibility, enterprise risk management and IT/cyber risk.</w:t>
      </w:r>
    </w:p>
    <w:p>
      <w:pPr>
        <w:spacing w:after="0" w:line="83" w:lineRule="exact"/>
        <w:rPr>
          <w:rFonts w:ascii="Arial" w:cs="Arial" w:eastAsia="Arial" w:hAnsi="Arial"/>
          <w:sz w:val="16"/>
          <w:szCs w:val="16"/>
          <w:color w:val="16479F"/>
        </w:rPr>
      </w:pPr>
    </w:p>
    <w:p>
      <w:pPr>
        <w:ind w:left="520" w:hanging="245"/>
        <w:spacing w:after="0"/>
        <w:tabs>
          <w:tab w:leader="none" w:pos="520" w:val="left"/>
        </w:tabs>
        <w:numPr>
          <w:ilvl w:val="0"/>
          <w:numId w:val="43"/>
        </w:numPr>
        <w:rPr>
          <w:rFonts w:ascii="Arial" w:cs="Arial" w:eastAsia="Arial" w:hAnsi="Arial"/>
          <w:sz w:val="16"/>
          <w:szCs w:val="16"/>
          <w:color w:val="16479F"/>
        </w:rPr>
      </w:pPr>
      <w:r>
        <w:rPr>
          <w:rFonts w:ascii="Arial" w:cs="Arial" w:eastAsia="Arial" w:hAnsi="Arial"/>
          <w:sz w:val="16"/>
          <w:szCs w:val="16"/>
          <w:color w:val="auto"/>
        </w:rPr>
        <w:t>Annual Board, committee and director evaluations, with third-party evaluation firm engaged periodically, including in 2019.</w:t>
      </w:r>
    </w:p>
    <w:p>
      <w:pPr>
        <w:spacing w:after="0" w:line="83" w:lineRule="exact"/>
        <w:rPr>
          <w:rFonts w:ascii="Arial" w:cs="Arial" w:eastAsia="Arial" w:hAnsi="Arial"/>
          <w:sz w:val="16"/>
          <w:szCs w:val="16"/>
          <w:color w:val="16479F"/>
        </w:rPr>
      </w:pPr>
    </w:p>
    <w:p>
      <w:pPr>
        <w:ind w:left="520" w:hanging="245"/>
        <w:spacing w:after="0"/>
        <w:tabs>
          <w:tab w:leader="none" w:pos="520" w:val="left"/>
        </w:tabs>
        <w:numPr>
          <w:ilvl w:val="0"/>
          <w:numId w:val="43"/>
        </w:numPr>
        <w:rPr>
          <w:rFonts w:ascii="Arial" w:cs="Arial" w:eastAsia="Arial" w:hAnsi="Arial"/>
          <w:sz w:val="16"/>
          <w:szCs w:val="16"/>
          <w:color w:val="16479F"/>
        </w:rPr>
      </w:pPr>
      <w:r>
        <w:rPr>
          <w:rFonts w:ascii="Arial" w:cs="Arial" w:eastAsia="Arial" w:hAnsi="Arial"/>
          <w:sz w:val="16"/>
          <w:szCs w:val="16"/>
          <w:color w:val="auto"/>
        </w:rPr>
        <w:t>Executive session of independent directors held after each quarterly Board meeting.</w:t>
      </w:r>
    </w:p>
    <w:p>
      <w:pPr>
        <w:spacing w:after="0" w:line="83" w:lineRule="exact"/>
        <w:rPr>
          <w:rFonts w:ascii="Arial" w:cs="Arial" w:eastAsia="Arial" w:hAnsi="Arial"/>
          <w:sz w:val="16"/>
          <w:szCs w:val="16"/>
          <w:color w:val="16479F"/>
        </w:rPr>
      </w:pPr>
    </w:p>
    <w:p>
      <w:pPr>
        <w:ind w:left="520" w:hanging="245"/>
        <w:spacing w:after="0"/>
        <w:tabs>
          <w:tab w:leader="none" w:pos="520" w:val="left"/>
        </w:tabs>
        <w:numPr>
          <w:ilvl w:val="0"/>
          <w:numId w:val="43"/>
        </w:numPr>
        <w:rPr>
          <w:rFonts w:ascii="Arial" w:cs="Arial" w:eastAsia="Arial" w:hAnsi="Arial"/>
          <w:sz w:val="16"/>
          <w:szCs w:val="16"/>
          <w:color w:val="16479F"/>
        </w:rPr>
      </w:pPr>
      <w:r>
        <w:rPr>
          <w:rFonts w:ascii="Arial" w:cs="Arial" w:eastAsia="Arial" w:hAnsi="Arial"/>
          <w:sz w:val="16"/>
          <w:szCs w:val="16"/>
          <w:color w:val="auto"/>
        </w:rPr>
        <w:t>Limits on multiple board service.</w:t>
      </w:r>
    </w:p>
    <w:p>
      <w:pPr>
        <w:spacing w:after="0" w:line="83" w:lineRule="exact"/>
        <w:rPr>
          <w:rFonts w:ascii="Arial" w:cs="Arial" w:eastAsia="Arial" w:hAnsi="Arial"/>
          <w:sz w:val="16"/>
          <w:szCs w:val="16"/>
          <w:color w:val="16479F"/>
        </w:rPr>
      </w:pPr>
    </w:p>
    <w:p>
      <w:pPr>
        <w:ind w:left="520" w:hanging="245"/>
        <w:spacing w:after="0"/>
        <w:tabs>
          <w:tab w:leader="none" w:pos="520" w:val="left"/>
        </w:tabs>
        <w:numPr>
          <w:ilvl w:val="0"/>
          <w:numId w:val="43"/>
        </w:numPr>
        <w:rPr>
          <w:rFonts w:ascii="Arial" w:cs="Arial" w:eastAsia="Arial" w:hAnsi="Arial"/>
          <w:sz w:val="16"/>
          <w:szCs w:val="16"/>
          <w:color w:val="16479F"/>
        </w:rPr>
      </w:pPr>
      <w:r>
        <w:rPr>
          <w:rFonts w:ascii="Arial" w:cs="Arial" w:eastAsia="Arial" w:hAnsi="Arial"/>
          <w:sz w:val="16"/>
          <w:szCs w:val="16"/>
          <w:color w:val="auto"/>
        </w:rPr>
        <w:t>Robust director share ownership and retention guidelines (further enhanced in 2022).</w:t>
      </w:r>
    </w:p>
    <w:p>
      <w:pPr>
        <w:spacing w:after="0" w:line="83" w:lineRule="exact"/>
        <w:rPr>
          <w:rFonts w:ascii="Arial" w:cs="Arial" w:eastAsia="Arial" w:hAnsi="Arial"/>
          <w:sz w:val="16"/>
          <w:szCs w:val="16"/>
          <w:color w:val="16479F"/>
        </w:rPr>
      </w:pPr>
    </w:p>
    <w:p>
      <w:pPr>
        <w:ind w:left="520" w:hanging="245"/>
        <w:spacing w:after="0"/>
        <w:tabs>
          <w:tab w:leader="none" w:pos="520" w:val="left"/>
        </w:tabs>
        <w:numPr>
          <w:ilvl w:val="0"/>
          <w:numId w:val="43"/>
        </w:numPr>
        <w:rPr>
          <w:rFonts w:ascii="Arial" w:cs="Arial" w:eastAsia="Arial" w:hAnsi="Arial"/>
          <w:sz w:val="16"/>
          <w:szCs w:val="16"/>
          <w:color w:val="16479F"/>
        </w:rPr>
      </w:pPr>
      <w:r>
        <w:rPr>
          <w:rFonts w:ascii="Arial" w:cs="Arial" w:eastAsia="Arial" w:hAnsi="Arial"/>
          <w:sz w:val="16"/>
          <w:szCs w:val="16"/>
          <w:color w:val="auto"/>
        </w:rPr>
        <w:t>Annual review of Code of Ethics and Business Conduct, committee charters and Corporate Governance Policies.</w:t>
      </w:r>
    </w:p>
    <w:p>
      <w:pPr>
        <w:spacing w:after="0" w:line="83" w:lineRule="exact"/>
        <w:rPr>
          <w:rFonts w:ascii="Arial" w:cs="Arial" w:eastAsia="Arial" w:hAnsi="Arial"/>
          <w:sz w:val="16"/>
          <w:szCs w:val="16"/>
          <w:color w:val="16479F"/>
        </w:rPr>
      </w:pPr>
    </w:p>
    <w:p>
      <w:pPr>
        <w:ind w:left="520" w:hanging="245"/>
        <w:spacing w:after="0"/>
        <w:tabs>
          <w:tab w:leader="none" w:pos="520" w:val="left"/>
        </w:tabs>
        <w:numPr>
          <w:ilvl w:val="0"/>
          <w:numId w:val="43"/>
        </w:numPr>
        <w:rPr>
          <w:rFonts w:ascii="Arial" w:cs="Arial" w:eastAsia="Arial" w:hAnsi="Arial"/>
          <w:sz w:val="16"/>
          <w:szCs w:val="16"/>
          <w:color w:val="16479F"/>
        </w:rPr>
      </w:pPr>
      <w:r>
        <w:rPr>
          <w:rFonts w:ascii="Arial" w:cs="Arial" w:eastAsia="Arial" w:hAnsi="Arial"/>
          <w:sz w:val="16"/>
          <w:szCs w:val="16"/>
          <w:color w:val="auto"/>
        </w:rPr>
        <w:t>Annual off-season shareholder outreach around corporate responsibility, including regular director participation.</w:t>
      </w:r>
    </w:p>
    <w:p>
      <w:pPr>
        <w:spacing w:after="0" w:line="83" w:lineRule="exact"/>
        <w:rPr>
          <w:rFonts w:ascii="Arial" w:cs="Arial" w:eastAsia="Arial" w:hAnsi="Arial"/>
          <w:sz w:val="16"/>
          <w:szCs w:val="16"/>
          <w:color w:val="16479F"/>
        </w:rPr>
      </w:pPr>
    </w:p>
    <w:p>
      <w:pPr>
        <w:ind w:left="520" w:hanging="245"/>
        <w:spacing w:after="0"/>
        <w:tabs>
          <w:tab w:leader="none" w:pos="520" w:val="left"/>
        </w:tabs>
        <w:numPr>
          <w:ilvl w:val="0"/>
          <w:numId w:val="43"/>
        </w:numPr>
        <w:rPr>
          <w:rFonts w:ascii="Arial" w:cs="Arial" w:eastAsia="Arial" w:hAnsi="Arial"/>
          <w:sz w:val="16"/>
          <w:szCs w:val="16"/>
          <w:color w:val="16479F"/>
        </w:rPr>
      </w:pPr>
      <w:r>
        <w:rPr>
          <w:rFonts w:ascii="Arial" w:cs="Arial" w:eastAsia="Arial" w:hAnsi="Arial"/>
          <w:sz w:val="16"/>
          <w:szCs w:val="16"/>
          <w:color w:val="auto"/>
        </w:rPr>
        <w:t>Full Board participation in succession and progression planning.</w:t>
      </w:r>
    </w:p>
    <w:p>
      <w:pPr>
        <w:spacing w:after="0" w:line="83" w:lineRule="exact"/>
        <w:rPr>
          <w:rFonts w:ascii="Arial" w:cs="Arial" w:eastAsia="Arial" w:hAnsi="Arial"/>
          <w:sz w:val="16"/>
          <w:szCs w:val="16"/>
          <w:color w:val="16479F"/>
        </w:rPr>
      </w:pPr>
    </w:p>
    <w:p>
      <w:pPr>
        <w:ind w:left="520" w:hanging="245"/>
        <w:spacing w:after="0"/>
        <w:tabs>
          <w:tab w:leader="none" w:pos="520" w:val="left"/>
        </w:tabs>
        <w:numPr>
          <w:ilvl w:val="0"/>
          <w:numId w:val="43"/>
        </w:numPr>
        <w:rPr>
          <w:rFonts w:ascii="Arial" w:cs="Arial" w:eastAsia="Arial" w:hAnsi="Arial"/>
          <w:sz w:val="16"/>
          <w:szCs w:val="16"/>
          <w:color w:val="16479F"/>
        </w:rPr>
      </w:pPr>
      <w:r>
        <w:rPr>
          <w:rFonts w:ascii="Arial" w:cs="Arial" w:eastAsia="Arial" w:hAnsi="Arial"/>
          <w:sz w:val="16"/>
          <w:szCs w:val="16"/>
          <w:color w:val="auto"/>
        </w:rPr>
        <w:t>Targeted director education program, including leveraging in-house expertise to educate directors on climate.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186055</wp:posOffset>
            </wp:positionV>
            <wp:extent cx="7154545"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149860</wp:posOffset>
            </wp:positionV>
            <wp:extent cx="7133590" cy="2127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3590" cy="212725"/>
                    </a:xfrm>
                    <a:prstGeom prst="rect">
                      <a:avLst/>
                    </a:prstGeom>
                    <a:noFill/>
                  </pic:spPr>
                </pic:pic>
              </a:graphicData>
            </a:graphic>
          </wp:anchor>
        </w:drawing>
      </w:r>
    </w:p>
    <w:p>
      <w:pPr>
        <w:spacing w:after="0" w:line="283"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4"/>
          <w:szCs w:val="14"/>
          <w:b w:val="1"/>
          <w:bCs w:val="1"/>
          <w:color w:val="16479F"/>
        </w:rPr>
        <w:t>30</w:t>
      </w:r>
      <w:r>
        <w:rPr>
          <w:sz w:val="20"/>
          <w:szCs w:val="20"/>
          <w:color w:val="auto"/>
        </w:rPr>
        <w:tab/>
      </w:r>
      <w:r>
        <w:rPr>
          <w:rFonts w:ascii="Arial" w:cs="Arial" w:eastAsia="Arial" w:hAnsi="Arial"/>
          <w:sz w:val="14"/>
          <w:szCs w:val="14"/>
          <w:b w:val="1"/>
          <w:bCs w:val="1"/>
          <w:color w:val="16479F"/>
        </w:rPr>
        <w:t>MSCI  |  CORPORATE GOVERNANCE</w:t>
      </w:r>
    </w:p>
    <w:p>
      <w:pPr>
        <w:spacing w:after="0" w:line="285" w:lineRule="exact"/>
        <w:rPr>
          <w:sz w:val="20"/>
          <w:szCs w:val="20"/>
          <w:color w:val="auto"/>
        </w:rPr>
      </w:pPr>
    </w:p>
    <w:p>
      <w:pPr>
        <w:spacing w:after="0"/>
        <w:rPr>
          <w:sz w:val="20"/>
          <w:szCs w:val="20"/>
          <w:color w:val="auto"/>
        </w:rPr>
      </w:pPr>
      <w:r>
        <w:rPr>
          <w:rFonts w:ascii="Arial" w:cs="Arial" w:eastAsia="Arial" w:hAnsi="Arial"/>
          <w:sz w:val="32"/>
          <w:szCs w:val="32"/>
          <w:b w:val="1"/>
          <w:bCs w:val="1"/>
          <w:color w:val="16479F"/>
        </w:rPr>
        <w:t>Composition and Board Refreshment</w:t>
      </w:r>
    </w:p>
    <w:p>
      <w:pPr>
        <w:spacing w:after="0" w:line="222"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Director Qualifications</w:t>
      </w:r>
    </w:p>
    <w:p>
      <w:pPr>
        <w:spacing w:after="0" w:line="249" w:lineRule="exact"/>
        <w:rPr>
          <w:sz w:val="20"/>
          <w:szCs w:val="20"/>
          <w:color w:val="auto"/>
        </w:rPr>
      </w:pPr>
    </w:p>
    <w:p>
      <w:pPr>
        <w:ind w:right="60"/>
        <w:spacing w:after="0" w:line="246" w:lineRule="auto"/>
        <w:rPr>
          <w:sz w:val="20"/>
          <w:szCs w:val="20"/>
          <w:color w:val="auto"/>
        </w:rPr>
      </w:pPr>
      <w:r>
        <w:rPr>
          <w:rFonts w:ascii="Arial" w:cs="Arial" w:eastAsia="Arial" w:hAnsi="Arial"/>
          <w:sz w:val="16"/>
          <w:szCs w:val="16"/>
          <w:color w:val="auto"/>
        </w:rPr>
        <w:t>The Governance Committee’s charter requires it to review candidates’ qualifications for membership on the Board or a committee of the Board, including making a specific determination as to the independence of each candidate based on criteria approved by the Board (and taking into account the enhanced independence, financial literacy and financial expertise standards that may be required under applicable law or NYSE rules for audit committee membership purposes, and heightened independence standards that may be required under law or NYSE rules for compensation committee membership purposes). If the Governance Committee determines that adding a new director is advisable, it will recommend such individual to the Board for appointment as a member of the Board and any committees (as applicable).</w:t>
      </w:r>
    </w:p>
    <w:p>
      <w:pPr>
        <w:spacing w:after="0" w:line="154"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Consistent with our Corporate Governance Policies, when appointing directors, the Board seeks members who combine sound business judgment, professionalism and a broad spectrum of experience and expertise with a reputation for the highest standards of ethics and integrity. Directors should have experience in positions with a high degree of responsibility, be leaders or senior managers in the companies or institutions with which they are or were affiliated and be selected based upon contributions they can make to the Board and management and their ability to represent and advance the interests of the Company and its shareholders. The Board will also take into account the diversity of a candidate’s perspectives, background and other demographics. Our diversity objectives are also implemented and monitored through periodic reviews by the Governance Committee of the composition of the Board and its committees in light of the then-current challenges and needs of the Board, the Company and each committee, which result in determinations as to whether it may be appropriate to make changes after considering issues of judgment, diversity, age, skills, background and experience. The composition of our current Board demonstrates the Board’s commitment to diversity in a number of areas. Women represent 30% of our current director nominees. Our directors also have differing backgrounds, educations, professional experiences, skills, ages, national origins and viewpoints.</w:t>
      </w:r>
    </w:p>
    <w:p>
      <w:pPr>
        <w:spacing w:after="0" w:line="173"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Tenure and Board Refreshment</w:t>
      </w:r>
    </w:p>
    <w:p>
      <w:pPr>
        <w:spacing w:after="0" w:line="249" w:lineRule="exact"/>
        <w:rPr>
          <w:sz w:val="20"/>
          <w:szCs w:val="20"/>
          <w:color w:val="auto"/>
        </w:rPr>
      </w:pPr>
    </w:p>
    <w:p>
      <w:pPr>
        <w:ind w:right="160"/>
        <w:spacing w:after="0" w:line="247" w:lineRule="auto"/>
        <w:rPr>
          <w:sz w:val="20"/>
          <w:szCs w:val="20"/>
          <w:color w:val="auto"/>
        </w:rPr>
      </w:pPr>
      <w:r>
        <w:rPr>
          <w:rFonts w:ascii="Arial" w:cs="Arial" w:eastAsia="Arial" w:hAnsi="Arial"/>
          <w:sz w:val="16"/>
          <w:szCs w:val="16"/>
          <w:color w:val="auto"/>
        </w:rPr>
        <w:t>Our Board has shown an ongoing commitment to Board refreshment and to having highly qualified, independent perspectives in the boardroom. Five of the Company’s director nominees have been added to the Board since the beginning of 2017. The average tenure of the independent director nominees is currently 6.4 years. The average tenure is 7.2 years if Mr. Fernandez is included. Also, under our Corporate Governance Policies, directors should not stand for re-election following their 72nd birthday. Since 2019, two directors have retired following their 72nd birthday and two directors decided not to stand for re-election. These retirements and decisions have provided us with opportunities for Board refreshment.</w:t>
      </w:r>
    </w:p>
    <w:p>
      <w:pPr>
        <w:spacing w:after="0" w:line="131" w:lineRule="exact"/>
        <w:rPr>
          <w:sz w:val="20"/>
          <w:szCs w:val="20"/>
          <w:color w:val="auto"/>
        </w:rPr>
      </w:pPr>
    </w:p>
    <w:tbl>
      <w:tblPr>
        <w:tblLayout w:type="fixed"/>
        <w:tblInd w:w="1440" w:type="dxa"/>
        <w:tblCellMar>
          <w:top w:w="0" w:type="dxa"/>
          <w:left w:w="0" w:type="dxa"/>
          <w:bottom w:w="0" w:type="dxa"/>
          <w:right w:w="0" w:type="dxa"/>
        </w:tblCellMar>
      </w:tblPr>
      <w:tr>
        <w:trPr>
          <w:trHeight w:val="187"/>
        </w:trPr>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6"/>
              </w:rPr>
              <w:t>Alice W.</w:t>
            </w: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7"/>
        </w:trPr>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9"/>
              </w:rPr>
              <w:t>Paula Volent</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Handy and</w:t>
            </w:r>
          </w:p>
        </w:tc>
        <w:tc>
          <w:tcPr>
            <w:tcW w:w="8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rPr>
              <w:t>Rajat</w:t>
            </w:r>
          </w:p>
        </w:tc>
      </w:tr>
      <w:tr>
        <w:trPr>
          <w:trHeight w:val="187"/>
        </w:trPr>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9"/>
              </w:rPr>
              <w:t>Jacques</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9"/>
              </w:rPr>
              <w:t>Marcus L.</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rPr>
              <w:t>Patrick</w:t>
            </w:r>
          </w:p>
        </w:tc>
        <w:tc>
          <w:tcPr>
            <w:tcW w:w="1940" w:type="dxa"/>
            <w:vAlign w:val="bottom"/>
            <w:gridSpan w:val="2"/>
          </w:tcPr>
          <w:p>
            <w:pPr>
              <w:ind w:left="80"/>
              <w:spacing w:after="0"/>
              <w:rPr>
                <w:sz w:val="20"/>
                <w:szCs w:val="20"/>
                <w:color w:val="auto"/>
              </w:rPr>
            </w:pPr>
            <w:r>
              <w:rPr>
                <w:rFonts w:ascii="Arial" w:cs="Arial" w:eastAsia="Arial" w:hAnsi="Arial"/>
                <w:sz w:val="16"/>
                <w:szCs w:val="16"/>
                <w:b w:val="1"/>
                <w:bCs w:val="1"/>
                <w:color w:val="auto"/>
              </w:rPr>
              <w:t>Rodolphe M.  Wendy E.</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8"/>
              </w:rPr>
              <w:t>and Sandy</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9"/>
              </w:rPr>
              <w:t>George</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9"/>
              </w:rPr>
              <w:t>Benjamin</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8"/>
              </w:rPr>
              <w:t>Taneja</w:t>
            </w:r>
          </w:p>
        </w:tc>
      </w:tr>
      <w:tr>
        <w:trPr>
          <w:trHeight w:val="187"/>
        </w:trPr>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5"/>
              </w:rPr>
              <w:t>P. Perold</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8"/>
              </w:rPr>
              <w:t>Smith</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98"/>
              </w:rPr>
              <w:t>Tierney</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9"/>
              </w:rPr>
              <w:t>Vallee</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rPr>
              <w:t>Lane</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rPr>
              <w:t>Rattray</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7"/>
              </w:rPr>
              <w:t>W. Siguler</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8"/>
              </w:rPr>
              <w:t>DuPont</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9"/>
              </w:rPr>
              <w:t>appointed</w:t>
            </w:r>
          </w:p>
        </w:tc>
      </w:tr>
      <w:tr>
        <w:trPr>
          <w:trHeight w:val="213"/>
        </w:trPr>
        <w:tc>
          <w:tcPr>
            <w:tcW w:w="840" w:type="dxa"/>
            <w:vAlign w:val="bottom"/>
          </w:tcPr>
          <w:p>
            <w:pPr>
              <w:jc w:val="center"/>
              <w:spacing w:after="0"/>
              <w:rPr>
                <w:sz w:val="20"/>
                <w:szCs w:val="20"/>
                <w:color w:val="auto"/>
              </w:rPr>
            </w:pPr>
            <w:r>
              <w:rPr>
                <w:rFonts w:ascii="Arial" w:cs="Arial" w:eastAsia="Arial" w:hAnsi="Arial"/>
                <w:sz w:val="16"/>
                <w:szCs w:val="16"/>
                <w:b w:val="1"/>
                <w:bCs w:val="1"/>
                <w:color w:val="auto"/>
              </w:rPr>
              <w:t>appointed</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9"/>
              </w:rPr>
              <w:t>appointed</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rPr>
              <w:t>retired</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rPr>
              <w:t>retired</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rPr>
              <w:t>retired</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9"/>
              </w:rPr>
              <w:t>appointed</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retired</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rPr>
              <w:t>retired</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rPr>
              <w:t>to Board</w:t>
            </w:r>
          </w:p>
        </w:tc>
      </w:tr>
      <w:tr>
        <w:trPr>
          <w:trHeight w:val="523"/>
        </w:trPr>
        <w:tc>
          <w:tcPr>
            <w:tcW w:w="840" w:type="dxa"/>
            <w:vAlign w:val="bottom"/>
          </w:tcPr>
          <w:p>
            <w:pPr>
              <w:jc w:val="center"/>
              <w:spacing w:after="0"/>
              <w:rPr>
                <w:sz w:val="20"/>
                <w:szCs w:val="20"/>
                <w:color w:val="auto"/>
              </w:rPr>
            </w:pPr>
            <w:r>
              <w:rPr>
                <w:rFonts w:ascii="Arial" w:cs="Arial" w:eastAsia="Arial" w:hAnsi="Arial"/>
                <w:sz w:val="16"/>
                <w:szCs w:val="16"/>
                <w:b w:val="1"/>
                <w:bCs w:val="1"/>
                <w:color w:val="auto"/>
              </w:rPr>
              <w:t>March 6,</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9"/>
              </w:rPr>
              <w:t>November 2,</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98"/>
              </w:rPr>
              <w:t>May 1,</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rPr>
              <w:t>May 10,</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rPr>
              <w:t>April 25,</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rPr>
              <w:t>February 26,</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April 28,</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rPr>
              <w:t>April 27,</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rPr>
              <w:t>June 1,</w:t>
            </w:r>
          </w:p>
        </w:tc>
      </w:tr>
      <w:tr>
        <w:trPr>
          <w:trHeight w:val="213"/>
        </w:trPr>
        <w:tc>
          <w:tcPr>
            <w:tcW w:w="840" w:type="dxa"/>
            <w:vAlign w:val="bottom"/>
          </w:tcPr>
          <w:p>
            <w:pPr>
              <w:jc w:val="center"/>
              <w:spacing w:after="0"/>
              <w:rPr>
                <w:sz w:val="20"/>
                <w:szCs w:val="20"/>
                <w:color w:val="auto"/>
              </w:rPr>
            </w:pPr>
            <w:r>
              <w:rPr>
                <w:rFonts w:ascii="Arial" w:cs="Arial" w:eastAsia="Arial" w:hAnsi="Arial"/>
                <w:sz w:val="16"/>
                <w:szCs w:val="16"/>
                <w:b w:val="1"/>
                <w:bCs w:val="1"/>
                <w:color w:val="auto"/>
              </w:rPr>
              <w:t>2017</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rPr>
              <w:t>2017</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rPr>
              <w:t>2018</w:t>
            </w:r>
          </w:p>
        </w:tc>
        <w:tc>
          <w:tcPr>
            <w:tcW w:w="1020" w:type="dxa"/>
            <w:vAlign w:val="bottom"/>
          </w:tcPr>
          <w:p>
            <w:pPr>
              <w:jc w:val="center"/>
              <w:ind w:left="20"/>
              <w:spacing w:after="0"/>
              <w:rPr>
                <w:sz w:val="20"/>
                <w:szCs w:val="20"/>
                <w:color w:val="auto"/>
              </w:rPr>
            </w:pPr>
            <w:r>
              <w:rPr>
                <w:rFonts w:ascii="Arial" w:cs="Arial" w:eastAsia="Arial" w:hAnsi="Arial"/>
                <w:sz w:val="16"/>
                <w:szCs w:val="16"/>
                <w:b w:val="1"/>
                <w:bCs w:val="1"/>
                <w:color w:val="auto"/>
              </w:rPr>
              <w:t>2018</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rPr>
              <w:t>2019</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rPr>
              <w:t>2020</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2020</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rPr>
              <w:t>2021</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1127125</wp:posOffset>
            </wp:positionH>
            <wp:positionV relativeFrom="paragraph">
              <wp:posOffset>-403860</wp:posOffset>
            </wp:positionV>
            <wp:extent cx="5033645" cy="850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033645" cy="850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Director Re-nomination</w:t>
      </w:r>
    </w:p>
    <w:p>
      <w:pPr>
        <w:spacing w:after="0" w:line="249" w:lineRule="exact"/>
        <w:rPr>
          <w:sz w:val="20"/>
          <w:szCs w:val="20"/>
          <w:color w:val="auto"/>
        </w:rPr>
      </w:pPr>
    </w:p>
    <w:p>
      <w:pPr>
        <w:ind w:right="420"/>
        <w:spacing w:after="0" w:line="256" w:lineRule="auto"/>
        <w:rPr>
          <w:sz w:val="20"/>
          <w:szCs w:val="20"/>
          <w:color w:val="auto"/>
        </w:rPr>
      </w:pPr>
      <w:r>
        <w:rPr>
          <w:rFonts w:ascii="Arial" w:cs="Arial" w:eastAsia="Arial" w:hAnsi="Arial"/>
          <w:sz w:val="16"/>
          <w:szCs w:val="16"/>
          <w:color w:val="auto"/>
        </w:rPr>
        <w:t>The Governance Committee also assesses the performance of current directors in its evaluation of current directors for re-nomination to the Board or re-appointment to any 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87630</wp:posOffset>
            </wp:positionV>
            <wp:extent cx="7154545"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00" w:type="dxa"/>
            <w:vAlign w:val="bottom"/>
            <w:tcBorders>
              <w:right w:val="single" w:sz="8" w:color="16479F"/>
            </w:tcBorders>
          </w:tcPr>
          <w:p>
            <w:pPr>
              <w:ind w:left="8740"/>
              <w:spacing w:after="0"/>
              <w:rPr>
                <w:sz w:val="20"/>
                <w:szCs w:val="20"/>
                <w:color w:val="auto"/>
              </w:rPr>
            </w:pPr>
            <w:r>
              <w:rPr>
                <w:rFonts w:ascii="Arial" w:cs="Arial" w:eastAsia="Arial" w:hAnsi="Arial"/>
                <w:sz w:val="14"/>
                <w:szCs w:val="14"/>
                <w:b w:val="1"/>
                <w:bCs w:val="1"/>
                <w:color w:val="16479F"/>
              </w:rPr>
              <w:t>2022 PROXY STATEMENT</w:t>
            </w:r>
          </w:p>
        </w:tc>
        <w:tc>
          <w:tcPr>
            <w:tcW w:w="640" w:type="dxa"/>
            <w:vAlign w:val="bottom"/>
          </w:tcPr>
          <w:p>
            <w:pPr>
              <w:jc w:val="right"/>
              <w:ind w:right="9"/>
              <w:spacing w:after="0"/>
              <w:rPr>
                <w:sz w:val="20"/>
                <w:szCs w:val="20"/>
                <w:color w:val="auto"/>
              </w:rPr>
            </w:pPr>
            <w:r>
              <w:rPr>
                <w:rFonts w:ascii="Arial" w:cs="Arial" w:eastAsia="Arial" w:hAnsi="Arial"/>
                <w:sz w:val="14"/>
                <w:szCs w:val="14"/>
                <w:b w:val="1"/>
                <w:bCs w:val="1"/>
                <w:color w:val="16479F"/>
              </w:rPr>
              <w:t>31</w:t>
            </w:r>
          </w:p>
        </w:tc>
      </w:tr>
      <w:tr>
        <w:trPr>
          <w:trHeight w:val="65"/>
        </w:trPr>
        <w:tc>
          <w:tcPr>
            <w:tcW w:w="10600" w:type="dxa"/>
            <w:vAlign w:val="bottom"/>
            <w:tcBorders>
              <w:bottom w:val="single" w:sz="8" w:color="16479F"/>
              <w:right w:val="single" w:sz="8" w:color="16479F"/>
            </w:tcBorders>
          </w:tcPr>
          <w:p>
            <w:pPr>
              <w:spacing w:after="0"/>
              <w:rPr>
                <w:sz w:val="5"/>
                <w:szCs w:val="5"/>
                <w:color w:val="auto"/>
              </w:rPr>
            </w:pPr>
          </w:p>
        </w:tc>
        <w:tc>
          <w:tcPr>
            <w:tcW w:w="640" w:type="dxa"/>
            <w:vAlign w:val="bottom"/>
            <w:tcBorders>
              <w:bottom w:val="single" w:sz="8" w:color="16479F"/>
            </w:tcBorders>
          </w:tcPr>
          <w:p>
            <w:pPr>
              <w:spacing w:after="0"/>
              <w:rPr>
                <w:sz w:val="5"/>
                <w:szCs w:val="5"/>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New Director Search Process</w:t>
      </w:r>
    </w:p>
    <w:p>
      <w:pPr>
        <w:spacing w:after="0" w:line="249"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Our newest director, Rajat Taneja, was appointed to the Board in 2021. Mr. Taneja has extensive global technology, innovation and research and development experience. His deep knowledge around cybersecurity and risk oversight aligned with the objective of the Audit Committee, to which he was appointed. The appointment of Mr. Taneja was the result of the rigorous search process outlined below.</w:t>
      </w:r>
    </w:p>
    <w:p>
      <w:pPr>
        <w:spacing w:after="0" w:line="148"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Our Board is committed to diversity within its membership. The Governance Committee, as part of the search process for any new director, includes women and diverse talent in the pool of candidates and any search firm it engages is instructed to identify a diverse slate of candidates. The Board takes into account diversity of perspectives, background, and other characteristics, including diversity with respect to demographics such as gender, nationality, race, ethnicity, geography and 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93980</wp:posOffset>
            </wp:positionV>
            <wp:extent cx="7133590" cy="42424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3590" cy="42424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98" w:lineRule="exact"/>
        <w:rPr>
          <w:sz w:val="20"/>
          <w:szCs w:val="20"/>
          <w:color w:val="auto"/>
        </w:rPr>
      </w:pPr>
    </w:p>
    <w:p>
      <w:pPr>
        <w:ind w:left="200"/>
        <w:spacing w:after="0"/>
        <w:rPr>
          <w:sz w:val="20"/>
          <w:szCs w:val="20"/>
          <w:color w:val="auto"/>
        </w:rPr>
      </w:pPr>
      <w:r>
        <w:rPr>
          <w:rFonts w:ascii="Arial" w:cs="Arial" w:eastAsia="Arial" w:hAnsi="Arial"/>
          <w:sz w:val="54"/>
          <w:szCs w:val="54"/>
          <w:b w:val="1"/>
          <w:bCs w:val="1"/>
          <w:color w:val="002739"/>
        </w:rPr>
        <w:t>1</w:t>
      </w:r>
    </w:p>
    <w:p>
      <w:pPr>
        <w:spacing w:after="0" w:line="54" w:lineRule="exact"/>
        <w:rPr>
          <w:sz w:val="20"/>
          <w:szCs w:val="20"/>
          <w:color w:val="auto"/>
        </w:rPr>
      </w:pPr>
    </w:p>
    <w:p>
      <w:pPr>
        <w:ind w:left="200" w:right="380"/>
        <w:spacing w:after="0" w:line="250" w:lineRule="auto"/>
        <w:rPr>
          <w:sz w:val="20"/>
          <w:szCs w:val="20"/>
          <w:color w:val="auto"/>
        </w:rPr>
      </w:pPr>
      <w:r>
        <w:rPr>
          <w:rFonts w:ascii="Arial" w:cs="Arial" w:eastAsia="Arial" w:hAnsi="Arial"/>
          <w:sz w:val="16"/>
          <w:szCs w:val="16"/>
          <w:b w:val="1"/>
          <w:bCs w:val="1"/>
          <w:color w:val="002739"/>
        </w:rPr>
        <w:t>DIRECTOR RECRUITMENT PROCESS</w:t>
      </w:r>
    </w:p>
    <w:p>
      <w:pPr>
        <w:spacing w:after="0" w:line="200" w:lineRule="exact"/>
        <w:rPr>
          <w:sz w:val="20"/>
          <w:szCs w:val="20"/>
          <w:color w:val="auto"/>
        </w:rPr>
      </w:pPr>
    </w:p>
    <w:p>
      <w:pPr>
        <w:spacing w:after="0" w:line="264" w:lineRule="exact"/>
        <w:rPr>
          <w:sz w:val="20"/>
          <w:szCs w:val="20"/>
          <w:color w:val="auto"/>
        </w:rPr>
      </w:pPr>
    </w:p>
    <w:p>
      <w:pPr>
        <w:ind w:left="200"/>
        <w:spacing w:after="0"/>
        <w:rPr>
          <w:sz w:val="20"/>
          <w:szCs w:val="20"/>
          <w:color w:val="auto"/>
        </w:rPr>
      </w:pPr>
      <w:r>
        <w:rPr>
          <w:rFonts w:ascii="Arial" w:cs="Arial" w:eastAsia="Arial" w:hAnsi="Arial"/>
          <w:sz w:val="54"/>
          <w:szCs w:val="54"/>
          <w:b w:val="1"/>
          <w:bCs w:val="1"/>
          <w:color w:val="002739"/>
        </w:rPr>
        <w:t>2</w:t>
      </w:r>
    </w:p>
    <w:p>
      <w:pPr>
        <w:spacing w:after="0" w:line="54" w:lineRule="exact"/>
        <w:rPr>
          <w:sz w:val="20"/>
          <w:szCs w:val="20"/>
          <w:color w:val="auto"/>
        </w:rPr>
      </w:pPr>
    </w:p>
    <w:p>
      <w:pPr>
        <w:ind w:left="200"/>
        <w:spacing w:after="0" w:line="250" w:lineRule="auto"/>
        <w:rPr>
          <w:sz w:val="20"/>
          <w:szCs w:val="20"/>
          <w:color w:val="auto"/>
        </w:rPr>
      </w:pPr>
      <w:r>
        <w:rPr>
          <w:rFonts w:ascii="Arial" w:cs="Arial" w:eastAsia="Arial" w:hAnsi="Arial"/>
          <w:sz w:val="16"/>
          <w:szCs w:val="16"/>
          <w:b w:val="1"/>
          <w:bCs w:val="1"/>
          <w:color w:val="002739"/>
        </w:rPr>
        <w:t>IDENTIFICATION AND INTERVIEW OF CANDIDATES</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54"/>
          <w:szCs w:val="54"/>
          <w:b w:val="1"/>
          <w:bCs w:val="1"/>
          <w:color w:val="002739"/>
        </w:rPr>
        <w:t>3</w:t>
      </w:r>
    </w:p>
    <w:p>
      <w:pPr>
        <w:spacing w:after="0" w:line="54" w:lineRule="exact"/>
        <w:rPr>
          <w:sz w:val="20"/>
          <w:szCs w:val="20"/>
          <w:color w:val="auto"/>
        </w:rPr>
      </w:pPr>
    </w:p>
    <w:p>
      <w:pPr>
        <w:ind w:left="200" w:right="140"/>
        <w:spacing w:after="0" w:line="289" w:lineRule="auto"/>
        <w:rPr>
          <w:sz w:val="20"/>
          <w:szCs w:val="20"/>
          <w:color w:val="auto"/>
        </w:rPr>
      </w:pPr>
      <w:r>
        <w:rPr>
          <w:rFonts w:ascii="Arial" w:cs="Arial" w:eastAsia="Arial" w:hAnsi="Arial"/>
          <w:sz w:val="15"/>
          <w:szCs w:val="15"/>
          <w:b w:val="1"/>
          <w:bCs w:val="1"/>
          <w:color w:val="002739"/>
        </w:rPr>
        <w:t>BOARD DECISION AND NOMINATION</w:t>
      </w:r>
    </w:p>
    <w:p>
      <w:pPr>
        <w:spacing w:after="0" w:line="200" w:lineRule="exact"/>
        <w:rPr>
          <w:sz w:val="20"/>
          <w:szCs w:val="20"/>
          <w:color w:val="auto"/>
        </w:rPr>
      </w:pPr>
    </w:p>
    <w:p>
      <w:pPr>
        <w:spacing w:after="0" w:line="236" w:lineRule="exact"/>
        <w:rPr>
          <w:sz w:val="20"/>
          <w:szCs w:val="20"/>
          <w:color w:val="auto"/>
        </w:rPr>
      </w:pPr>
    </w:p>
    <w:p>
      <w:pPr>
        <w:ind w:left="200"/>
        <w:spacing w:after="0"/>
        <w:rPr>
          <w:sz w:val="20"/>
          <w:szCs w:val="20"/>
          <w:color w:val="auto"/>
        </w:rPr>
      </w:pPr>
      <w:r>
        <w:rPr>
          <w:rFonts w:ascii="Arial" w:cs="Arial" w:eastAsia="Arial" w:hAnsi="Arial"/>
          <w:sz w:val="54"/>
          <w:szCs w:val="54"/>
          <w:b w:val="1"/>
          <w:bCs w:val="1"/>
          <w:color w:val="16479F"/>
        </w:rPr>
        <w:t>4</w:t>
      </w:r>
    </w:p>
    <w:p>
      <w:pPr>
        <w:spacing w:after="0" w:line="54"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16479F"/>
        </w:rPr>
        <w:t>NEW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Proxy Access</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ind w:right="200"/>
        <w:spacing w:after="0" w:line="246" w:lineRule="auto"/>
        <w:rPr>
          <w:sz w:val="20"/>
          <w:szCs w:val="20"/>
          <w:color w:val="auto"/>
        </w:rPr>
      </w:pPr>
      <w:r>
        <w:rPr>
          <w:rFonts w:ascii="Arial" w:cs="Arial" w:eastAsia="Arial" w:hAnsi="Arial"/>
          <w:sz w:val="16"/>
          <w:szCs w:val="16"/>
          <w:color w:val="auto"/>
        </w:rPr>
        <w:t>The Governance Committee, with the feedback of the full Board, identifies key skills that would best serve the future needs of the Board and the Company. Pursuant to the authority granted in its charter, the Governance Committee retains a professional search firm to assist in the process of identifying, evaluating and conducting due diligence on potential director candidates. The Governance Committee instructs the search firm to focus on candidates with relevant industry experience and to seek a diverse slate of candidates. Using a search firm provides additional assurance to the Governance Committee that it is conducting a comprehensive search and evaluating a broad and diverse pool of potential candidates. Additionally, the Governance Committee solicits input from members of management and the Board.</w:t>
      </w:r>
    </w:p>
    <w:p>
      <w:pPr>
        <w:spacing w:after="0" w:line="200" w:lineRule="exact"/>
        <w:rPr>
          <w:sz w:val="20"/>
          <w:szCs w:val="20"/>
          <w:color w:val="auto"/>
        </w:rPr>
      </w:pPr>
    </w:p>
    <w:p>
      <w:pPr>
        <w:spacing w:after="0" w:line="207" w:lineRule="exact"/>
        <w:rPr>
          <w:sz w:val="20"/>
          <w:szCs w:val="20"/>
          <w:color w:val="auto"/>
        </w:rPr>
      </w:pPr>
    </w:p>
    <w:p>
      <w:pPr>
        <w:jc w:val="both"/>
        <w:ind w:right="340"/>
        <w:spacing w:after="0" w:line="250" w:lineRule="auto"/>
        <w:rPr>
          <w:sz w:val="20"/>
          <w:szCs w:val="20"/>
          <w:color w:val="auto"/>
        </w:rPr>
      </w:pPr>
      <w:r>
        <w:rPr>
          <w:rFonts w:ascii="Arial" w:cs="Arial" w:eastAsia="Arial" w:hAnsi="Arial"/>
          <w:sz w:val="16"/>
          <w:szCs w:val="16"/>
          <w:color w:val="auto"/>
        </w:rPr>
        <w:t>From the candidates provided by the third-party search firm as well as input from directors and management, the Governance Committee identifies a short list of high-potential candidates, and the search firm then conducts an initial assessment of these candidates’ skills, experience, background and availability to commit to Board service.</w:t>
      </w:r>
    </w:p>
    <w:p>
      <w:pPr>
        <w:spacing w:after="0" w:line="148" w:lineRule="exact"/>
        <w:rPr>
          <w:sz w:val="20"/>
          <w:szCs w:val="20"/>
          <w:color w:val="auto"/>
        </w:rPr>
      </w:pPr>
    </w:p>
    <w:p>
      <w:pPr>
        <w:ind w:right="600"/>
        <w:spacing w:after="0" w:line="256" w:lineRule="auto"/>
        <w:rPr>
          <w:sz w:val="20"/>
          <w:szCs w:val="20"/>
          <w:color w:val="auto"/>
        </w:rPr>
      </w:pPr>
      <w:r>
        <w:rPr>
          <w:rFonts w:ascii="Arial" w:cs="Arial" w:eastAsia="Arial" w:hAnsi="Arial"/>
          <w:sz w:val="16"/>
          <w:szCs w:val="16"/>
          <w:color w:val="auto"/>
        </w:rPr>
        <w:t>The Governance Committee Chair meets with a number of candidates. Certain candidates also meet with members of the Governance Committee, the Chairman and the Lead Director.</w:t>
      </w:r>
    </w:p>
    <w:p>
      <w:pPr>
        <w:spacing w:after="0" w:line="331" w:lineRule="exact"/>
        <w:rPr>
          <w:sz w:val="20"/>
          <w:szCs w:val="20"/>
          <w:color w:val="auto"/>
        </w:rPr>
      </w:pPr>
    </w:p>
    <w:p>
      <w:pPr>
        <w:ind w:right="280"/>
        <w:spacing w:after="0" w:line="250" w:lineRule="auto"/>
        <w:rPr>
          <w:sz w:val="20"/>
          <w:szCs w:val="20"/>
          <w:color w:val="auto"/>
        </w:rPr>
      </w:pPr>
      <w:r>
        <w:rPr>
          <w:rFonts w:ascii="Arial" w:cs="Arial" w:eastAsia="Arial" w:hAnsi="Arial"/>
          <w:sz w:val="16"/>
          <w:szCs w:val="16"/>
          <w:color w:val="auto"/>
        </w:rPr>
        <w:t>The Governance Committee presents qualified candidates to the Board. In reviewing the potential candidates, the Board takes into account the qualifications discussed in “Director Qualifications” of this Proxy Statement. Following discussion and confirmation of the independence of such candidates, the Board formally appoints candidates to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0" w:hanging="191"/>
        <w:spacing w:after="0"/>
        <w:tabs>
          <w:tab w:leader="none" w:pos="200" w:val="left"/>
        </w:tabs>
        <w:numPr>
          <w:ilvl w:val="0"/>
          <w:numId w:val="44"/>
        </w:numPr>
        <w:rPr>
          <w:rFonts w:ascii="Arial" w:cs="Arial" w:eastAsia="Arial" w:hAnsi="Arial"/>
          <w:sz w:val="16"/>
          <w:szCs w:val="16"/>
          <w:color w:val="16479F"/>
        </w:rPr>
      </w:pPr>
      <w:r>
        <w:rPr>
          <w:rFonts w:ascii="Arial" w:cs="Arial" w:eastAsia="Arial" w:hAnsi="Arial"/>
          <w:sz w:val="16"/>
          <w:szCs w:val="16"/>
          <w:color w:val="auto"/>
        </w:rPr>
        <w:t>The Board appointed Rajat Taneja to the Board, effective June 1, 2021.</w:t>
      </w:r>
    </w:p>
    <w:p>
      <w:pPr>
        <w:spacing w:after="0" w:line="97" w:lineRule="exact"/>
        <w:rPr>
          <w:rFonts w:ascii="Arial" w:cs="Arial" w:eastAsia="Arial" w:hAnsi="Arial"/>
          <w:sz w:val="16"/>
          <w:szCs w:val="16"/>
          <w:color w:val="16479F"/>
        </w:rPr>
      </w:pPr>
    </w:p>
    <w:p>
      <w:pPr>
        <w:ind w:left="200" w:hanging="191"/>
        <w:spacing w:after="0"/>
        <w:tabs>
          <w:tab w:leader="none" w:pos="200" w:val="left"/>
        </w:tabs>
        <w:numPr>
          <w:ilvl w:val="0"/>
          <w:numId w:val="44"/>
        </w:numPr>
        <w:rPr>
          <w:rFonts w:ascii="Arial" w:cs="Arial" w:eastAsia="Arial" w:hAnsi="Arial"/>
          <w:sz w:val="16"/>
          <w:szCs w:val="16"/>
          <w:color w:val="16479F"/>
        </w:rPr>
      </w:pPr>
      <w:r>
        <w:rPr>
          <w:rFonts w:ascii="Arial" w:cs="Arial" w:eastAsia="Arial" w:hAnsi="Arial"/>
          <w:sz w:val="16"/>
          <w:szCs w:val="16"/>
          <w:color w:val="auto"/>
        </w:rPr>
        <w:t>Mr. Taneja’s Qualifications:</w:t>
      </w:r>
    </w:p>
    <w:p>
      <w:pPr>
        <w:spacing w:after="0" w:line="83" w:lineRule="exact"/>
        <w:rPr>
          <w:rFonts w:ascii="Arial" w:cs="Arial" w:eastAsia="Arial" w:hAnsi="Arial"/>
          <w:sz w:val="16"/>
          <w:szCs w:val="16"/>
          <w:color w:val="16479F"/>
        </w:rPr>
      </w:pPr>
    </w:p>
    <w:p>
      <w:pPr>
        <w:ind w:left="380" w:hanging="193"/>
        <w:spacing w:after="0"/>
        <w:tabs>
          <w:tab w:leader="none" w:pos="380" w:val="left"/>
        </w:tabs>
        <w:numPr>
          <w:ilvl w:val="1"/>
          <w:numId w:val="44"/>
        </w:numPr>
        <w:rPr>
          <w:rFonts w:ascii="Arial" w:cs="Arial" w:eastAsia="Arial" w:hAnsi="Arial"/>
          <w:sz w:val="16"/>
          <w:szCs w:val="16"/>
          <w:color w:val="16479F"/>
        </w:rPr>
      </w:pPr>
      <w:r>
        <w:rPr>
          <w:rFonts w:ascii="Arial" w:cs="Arial" w:eastAsia="Arial" w:hAnsi="Arial"/>
          <w:sz w:val="16"/>
          <w:szCs w:val="16"/>
          <w:color w:val="auto"/>
        </w:rPr>
        <w:t>Over 30 years of global technology, innovation and research and development experience.</w:t>
      </w:r>
    </w:p>
    <w:p>
      <w:pPr>
        <w:spacing w:after="0" w:line="97" w:lineRule="exact"/>
        <w:rPr>
          <w:rFonts w:ascii="Arial" w:cs="Arial" w:eastAsia="Arial" w:hAnsi="Arial"/>
          <w:sz w:val="16"/>
          <w:szCs w:val="16"/>
          <w:color w:val="16479F"/>
        </w:rPr>
      </w:pPr>
    </w:p>
    <w:p>
      <w:pPr>
        <w:ind w:left="360" w:right="380" w:hanging="173"/>
        <w:spacing w:after="0" w:line="256" w:lineRule="auto"/>
        <w:tabs>
          <w:tab w:leader="none" w:pos="368" w:val="left"/>
        </w:tabs>
        <w:numPr>
          <w:ilvl w:val="1"/>
          <w:numId w:val="44"/>
        </w:numPr>
        <w:rPr>
          <w:rFonts w:ascii="Arial" w:cs="Arial" w:eastAsia="Arial" w:hAnsi="Arial"/>
          <w:sz w:val="16"/>
          <w:szCs w:val="16"/>
          <w:color w:val="16479F"/>
        </w:rPr>
      </w:pPr>
      <w:r>
        <w:rPr>
          <w:rFonts w:ascii="Arial" w:cs="Arial" w:eastAsia="Arial" w:hAnsi="Arial"/>
          <w:sz w:val="16"/>
          <w:szCs w:val="16"/>
          <w:color w:val="auto"/>
        </w:rPr>
        <w:t>Leverages his experience to provide invaluable insight into the continuing transformation of MSCI’s data and technology capabilities.</w:t>
      </w:r>
    </w:p>
    <w:p>
      <w:pPr>
        <w:spacing w:after="0" w:line="76" w:lineRule="exact"/>
        <w:rPr>
          <w:rFonts w:ascii="Arial" w:cs="Arial" w:eastAsia="Arial" w:hAnsi="Arial"/>
          <w:sz w:val="16"/>
          <w:szCs w:val="16"/>
          <w:color w:val="16479F"/>
        </w:rPr>
      </w:pPr>
    </w:p>
    <w:p>
      <w:pPr>
        <w:ind w:left="360" w:right="1000" w:hanging="173"/>
        <w:spacing w:after="0" w:line="256" w:lineRule="auto"/>
        <w:tabs>
          <w:tab w:leader="none" w:pos="368" w:val="left"/>
        </w:tabs>
        <w:numPr>
          <w:ilvl w:val="1"/>
          <w:numId w:val="44"/>
        </w:numPr>
        <w:rPr>
          <w:rFonts w:ascii="Arial" w:cs="Arial" w:eastAsia="Arial" w:hAnsi="Arial"/>
          <w:sz w:val="16"/>
          <w:szCs w:val="16"/>
          <w:color w:val="16479F"/>
        </w:rPr>
      </w:pPr>
      <w:r>
        <w:rPr>
          <w:rFonts w:ascii="Arial" w:cs="Arial" w:eastAsia="Arial" w:hAnsi="Arial"/>
          <w:sz w:val="16"/>
          <w:szCs w:val="16"/>
          <w:color w:val="auto"/>
        </w:rPr>
        <w:t>Prior public company board experience, including service on the Technology and Cybersecurity Committee and Governance and Corporate Responsibility Committee.</w:t>
      </w:r>
    </w:p>
    <w:p>
      <w:pPr>
        <w:spacing w:after="0" w:line="805" w:lineRule="exact"/>
        <w:rPr>
          <w:sz w:val="20"/>
          <w:szCs w:val="20"/>
          <w:color w:val="auto"/>
        </w:rPr>
      </w:pPr>
    </w:p>
    <w:p>
      <w:pPr>
        <w:sectPr>
          <w:pgSz w:w="11900" w:h="16838" w:orient="portrait"/>
          <w:cols w:equalWidth="0" w:num="2">
            <w:col w:w="1760" w:space="220"/>
            <w:col w:w="9260"/>
          </w:cols>
          <w:pgMar w:left="320" w:top="121" w:right="339" w:bottom="1440" w:gutter="0" w:footer="0" w:header="0"/>
          <w:type w:val="continuous"/>
        </w:sectPr>
      </w:pPr>
    </w:p>
    <w:p>
      <w:pPr>
        <w:spacing w:after="0" w:line="7"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In response to shareholder engagement, we amended our Bylaws in 2020 to permit a shareholder, or a group of up to 20 shareholders, owning at least three percent of the Company’s outstanding common stock continuously for at least three years to nominate and include in the Company’s annual meeting proxy materials director nominees constituting the greater of two directors or twenty percent of the total number of directors on the Board, provided that such shareholder(s) and nominee(s) satisfy the requirements specified in the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7154545"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149860</wp:posOffset>
            </wp:positionV>
            <wp:extent cx="7133590" cy="2127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3590" cy="212725"/>
                    </a:xfrm>
                    <a:prstGeom prst="rect">
                      <a:avLst/>
                    </a:prstGeom>
                    <a:noFill/>
                  </pic:spPr>
                </pic:pic>
              </a:graphicData>
            </a:graphic>
          </wp:anchor>
        </w:drawing>
      </w:r>
    </w:p>
    <w:p>
      <w:pPr>
        <w:spacing w:after="0" w:line="283"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4"/>
          <w:szCs w:val="14"/>
          <w:b w:val="1"/>
          <w:bCs w:val="1"/>
          <w:color w:val="16479F"/>
        </w:rPr>
        <w:t>32</w:t>
      </w:r>
      <w:r>
        <w:rPr>
          <w:sz w:val="20"/>
          <w:szCs w:val="20"/>
          <w:color w:val="auto"/>
        </w:rPr>
        <w:tab/>
      </w:r>
      <w:r>
        <w:rPr>
          <w:rFonts w:ascii="Arial" w:cs="Arial" w:eastAsia="Arial" w:hAnsi="Arial"/>
          <w:sz w:val="14"/>
          <w:szCs w:val="14"/>
          <w:b w:val="1"/>
          <w:bCs w:val="1"/>
          <w:color w:val="16479F"/>
        </w:rPr>
        <w:t>MSCI  |  CORPORATE GOVERNANCE</w:t>
      </w:r>
    </w:p>
    <w:p>
      <w:pPr>
        <w:spacing w:after="0" w:line="285" w:lineRule="exact"/>
        <w:rPr>
          <w:sz w:val="20"/>
          <w:szCs w:val="20"/>
          <w:color w:val="auto"/>
        </w:rPr>
      </w:pPr>
    </w:p>
    <w:p>
      <w:pPr>
        <w:spacing w:after="0"/>
        <w:rPr>
          <w:sz w:val="20"/>
          <w:szCs w:val="20"/>
          <w:color w:val="auto"/>
        </w:rPr>
      </w:pPr>
      <w:r>
        <w:rPr>
          <w:rFonts w:ascii="Arial" w:cs="Arial" w:eastAsia="Arial" w:hAnsi="Arial"/>
          <w:sz w:val="32"/>
          <w:szCs w:val="32"/>
          <w:b w:val="1"/>
          <w:bCs w:val="1"/>
          <w:color w:val="16479F"/>
        </w:rPr>
        <w:t>Structure of our Board</w:t>
      </w:r>
    </w:p>
    <w:p>
      <w:pPr>
        <w:spacing w:after="0" w:line="222"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Independent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5437505</wp:posOffset>
            </wp:positionH>
            <wp:positionV relativeFrom="paragraph">
              <wp:posOffset>-173990</wp:posOffset>
            </wp:positionV>
            <wp:extent cx="1700530" cy="1037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700530" cy="1037590"/>
                    </a:xfrm>
                    <a:prstGeom prst="rect">
                      <a:avLst/>
                    </a:prstGeom>
                    <a:noFill/>
                  </pic:spPr>
                </pic:pic>
              </a:graphicData>
            </a:graphic>
          </wp:anchor>
        </w:drawing>
      </w:r>
    </w:p>
    <w:p>
      <w:pPr>
        <w:spacing w:after="0" w:line="390" w:lineRule="exact"/>
        <w:rPr>
          <w:sz w:val="20"/>
          <w:szCs w:val="20"/>
          <w:color w:val="auto"/>
        </w:rPr>
      </w:pPr>
    </w:p>
    <w:p>
      <w:pPr>
        <w:ind w:right="3000"/>
        <w:spacing w:after="0" w:line="247" w:lineRule="auto"/>
        <w:rPr>
          <w:sz w:val="20"/>
          <w:szCs w:val="20"/>
          <w:color w:val="auto"/>
        </w:rPr>
      </w:pPr>
      <w:r>
        <w:rPr>
          <w:rFonts w:ascii="Arial" w:cs="Arial" w:eastAsia="Arial" w:hAnsi="Arial"/>
          <w:sz w:val="16"/>
          <w:szCs w:val="16"/>
          <w:color w:val="auto"/>
        </w:rPr>
        <w:t>Under the MSCI Corporate Governance Policies, the full Board affirmatively determines the independence of directors and reviews the financial and other relationships between the independent directors and MSCI as part of its assessment of director independence. The Governance Committee also makes specific determinations as to the independence of each candidate when reviewing candidates’ qualifications for membership on the Board or a committee of the Board. Director independence is also monitored by the full Board on an ongoing basis.</w:t>
      </w:r>
    </w:p>
    <w:p>
      <w:pPr>
        <w:spacing w:after="0" w:line="165"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Our Corporate Governance Policies provide that the Board should have a significant majority of independent directors meeting the independence requirements of the NYSE. Our Board has determined that each of Messrs. Ashe, Edmunds, Perold, Rattray, Smith, and Taneja and Mmes. Kinney, Riefler and Volent is independent in accordance with the requirements of our Corporate Governance Policies, which follow the NYSE rules and guidelines. In making such determinations, there were no material transactions, relationships or arrangements not disclosed herein under “Other Matters—Certain Transactions” to be considered by the Board in determining whether each director was independent. Therefore, 9 of our 10 current directors are independent. Only Mr. Fernandez is not independent because of his position as CEO of MSCI.</w:t>
      </w:r>
    </w:p>
    <w:p>
      <w:pPr>
        <w:spacing w:after="0" w:line="154"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All members of the Audit Committee, Compensation Committee, Governance Committee and Strategy Committee satisfy the independence requirements of the NYSE. In addition, each member of the Audit Committee and Compensation Committee meets the heightened independence standards of the NYSE required for audit committee and compensation committee members,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Board Leadership</w:t>
      </w:r>
    </w:p>
    <w:p>
      <w:pPr>
        <w:spacing w:after="0" w:line="249" w:lineRule="exact"/>
        <w:rPr>
          <w:sz w:val="20"/>
          <w:szCs w:val="20"/>
          <w:color w:val="auto"/>
        </w:rPr>
      </w:pPr>
    </w:p>
    <w:p>
      <w:pPr>
        <w:jc w:val="both"/>
        <w:ind w:right="360"/>
        <w:spacing w:after="0" w:line="250" w:lineRule="auto"/>
        <w:rPr>
          <w:sz w:val="20"/>
          <w:szCs w:val="20"/>
          <w:color w:val="auto"/>
        </w:rPr>
      </w:pPr>
      <w:r>
        <w:rPr>
          <w:rFonts w:ascii="Arial" w:cs="Arial" w:eastAsia="Arial" w:hAnsi="Arial"/>
          <w:sz w:val="16"/>
          <w:szCs w:val="16"/>
          <w:color w:val="auto"/>
        </w:rPr>
        <w:t>The Governance Committee is responsible for the continuing review of the governance structure of the Board, and for recommending to the Board those structures and practices best suited to MSCI and its stockholders. The Governance Committee and the Board recognize that different structures may be appropriate under different circumstances.</w:t>
      </w:r>
    </w:p>
    <w:p>
      <w:pPr>
        <w:spacing w:after="0" w:line="148" w:lineRule="exact"/>
        <w:rPr>
          <w:sz w:val="20"/>
          <w:szCs w:val="20"/>
          <w:color w:val="auto"/>
        </w:rPr>
      </w:pPr>
    </w:p>
    <w:p>
      <w:pPr>
        <w:ind w:right="360"/>
        <w:spacing w:after="0" w:line="247" w:lineRule="auto"/>
        <w:rPr>
          <w:sz w:val="20"/>
          <w:szCs w:val="20"/>
          <w:color w:val="auto"/>
        </w:rPr>
      </w:pPr>
      <w:r>
        <w:rPr>
          <w:rFonts w:ascii="Arial" w:cs="Arial" w:eastAsia="Arial" w:hAnsi="Arial"/>
          <w:sz w:val="16"/>
          <w:szCs w:val="16"/>
          <w:color w:val="auto"/>
        </w:rPr>
        <w:t>We believe that it is in the best interests of MSCI and its shareholders to combine the roles of Chairman and CEO at this time, alongside a robust and independent Lead Director. We believe Mr. Fernandez is best situated to serve as Chairman because he is the director most knowledgeable about the Company’s products, services and industry, and is in a position to effectively identify strategic priorities, recommend appropriate agendas and lead the execution of our strategy. We also believe that combining the role of Chairman and CEO facilitates the flow of information between management and the Board, provides clear accountability and promotes efficient decision making, all of which are essential to effective governance.</w:t>
      </w:r>
    </w:p>
    <w:p>
      <w:pPr>
        <w:spacing w:after="0" w:line="151"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A strong, independent Lead Director with clearly defined duties and responsibilities further enhances the contributions of MSCI’s independent directors, which have been and continue to be substantial. Robert G. Ashe has been our Lead Director since April 2018. As Lead Director, Mr. Ashe has significant authority and responsibilities to provide for an effective and independent Board. At the same time, the Company’s other independent directors bring experience, oversight and expertise from various perspectives and disciplines.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93980</wp:posOffset>
            </wp:positionV>
            <wp:extent cx="7133590" cy="8159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3590" cy="815975"/>
                    </a:xfrm>
                    <a:prstGeom prst="rect">
                      <a:avLst/>
                    </a:prstGeom>
                    <a:noFill/>
                  </pic:spPr>
                </pic:pic>
              </a:graphicData>
            </a:graphic>
          </wp:anchor>
        </w:drawing>
      </w:r>
    </w:p>
    <w:p>
      <w:pPr>
        <w:spacing w:after="0" w:line="284" w:lineRule="exact"/>
        <w:rPr>
          <w:sz w:val="20"/>
          <w:szCs w:val="20"/>
          <w:color w:val="auto"/>
        </w:rPr>
      </w:pPr>
    </w:p>
    <w:p>
      <w:pPr>
        <w:ind w:left="180" w:right="200"/>
        <w:spacing w:after="0" w:line="254" w:lineRule="auto"/>
        <w:rPr>
          <w:sz w:val="20"/>
          <w:szCs w:val="20"/>
          <w:color w:val="auto"/>
        </w:rPr>
      </w:pPr>
      <w:r>
        <w:rPr>
          <w:rFonts w:ascii="Arial" w:cs="Arial" w:eastAsia="Arial" w:hAnsi="Arial"/>
          <w:sz w:val="16"/>
          <w:szCs w:val="16"/>
          <w:b w:val="1"/>
          <w:bCs w:val="1"/>
          <w:color w:val="auto"/>
        </w:rPr>
        <w:t>The Board strongly believes that its leadership structure strikes the right balance of allowing our Chairman and CEO to promote a clear, unified vision for the Company’s strategy, providing the leadership critical for effectively and efficiently implementing the actions needed to ensure strong performance over the long term, while ensuring robust, independent oversight by the Board and the Lead Director. The key attributes and responsibilities of the Chairman and the Lead Director roles (which are set forth below) have evolved over time to make MSCI’s leadership both decisive and effective, and to enable the Company to execute on its growth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165100</wp:posOffset>
            </wp:positionV>
            <wp:extent cx="7154545"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3" w:name="page34"/>
    <w:bookmarkEnd w:id="33"/>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00" w:type="dxa"/>
            <w:vAlign w:val="bottom"/>
            <w:tcBorders>
              <w:right w:val="single" w:sz="8" w:color="16479F"/>
            </w:tcBorders>
          </w:tcPr>
          <w:p>
            <w:pPr>
              <w:ind w:left="8740"/>
              <w:spacing w:after="0"/>
              <w:rPr>
                <w:sz w:val="20"/>
                <w:szCs w:val="20"/>
                <w:color w:val="auto"/>
              </w:rPr>
            </w:pPr>
            <w:r>
              <w:rPr>
                <w:rFonts w:ascii="Arial" w:cs="Arial" w:eastAsia="Arial" w:hAnsi="Arial"/>
                <w:sz w:val="14"/>
                <w:szCs w:val="14"/>
                <w:b w:val="1"/>
                <w:bCs w:val="1"/>
                <w:color w:val="16479F"/>
              </w:rPr>
              <w:t>2022 PROXY STATEMENT</w:t>
            </w:r>
          </w:p>
        </w:tc>
        <w:tc>
          <w:tcPr>
            <w:tcW w:w="640" w:type="dxa"/>
            <w:vAlign w:val="bottom"/>
          </w:tcPr>
          <w:p>
            <w:pPr>
              <w:jc w:val="right"/>
              <w:ind w:right="9"/>
              <w:spacing w:after="0"/>
              <w:rPr>
                <w:sz w:val="20"/>
                <w:szCs w:val="20"/>
                <w:color w:val="auto"/>
              </w:rPr>
            </w:pPr>
            <w:r>
              <w:rPr>
                <w:rFonts w:ascii="Arial" w:cs="Arial" w:eastAsia="Arial" w:hAnsi="Arial"/>
                <w:sz w:val="14"/>
                <w:szCs w:val="14"/>
                <w:b w:val="1"/>
                <w:bCs w:val="1"/>
                <w:color w:val="16479F"/>
              </w:rPr>
              <w:t>33</w:t>
            </w:r>
          </w:p>
        </w:tc>
      </w:tr>
      <w:tr>
        <w:trPr>
          <w:trHeight w:val="65"/>
        </w:trPr>
        <w:tc>
          <w:tcPr>
            <w:tcW w:w="10600" w:type="dxa"/>
            <w:vAlign w:val="bottom"/>
            <w:tcBorders>
              <w:bottom w:val="single" w:sz="8" w:color="16479F"/>
              <w:right w:val="single" w:sz="8" w:color="16479F"/>
            </w:tcBorders>
          </w:tcPr>
          <w:p>
            <w:pPr>
              <w:spacing w:after="0"/>
              <w:rPr>
                <w:sz w:val="5"/>
                <w:szCs w:val="5"/>
                <w:color w:val="auto"/>
              </w:rPr>
            </w:pPr>
          </w:p>
        </w:tc>
        <w:tc>
          <w:tcPr>
            <w:tcW w:w="640" w:type="dxa"/>
            <w:vAlign w:val="bottom"/>
            <w:tcBorders>
              <w:bottom w:val="single" w:sz="8" w:color="16479F"/>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187325</wp:posOffset>
            </wp:positionV>
            <wp:extent cx="7133590" cy="1873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3590" cy="18732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p>
      <w:pPr>
        <w:spacing w:after="0" w:line="330"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FFFFFF"/>
        </w:rPr>
        <w:t>CHAIRMAN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47625</wp:posOffset>
            </wp:positionV>
            <wp:extent cx="7133590" cy="2959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3590" cy="2959100"/>
                    </a:xfrm>
                    <a:prstGeom prst="rect">
                      <a:avLst/>
                    </a:prstGeom>
                    <a:noFill/>
                  </pic:spPr>
                </pic:pic>
              </a:graphicData>
            </a:graphic>
          </wp:anchor>
        </w:drawing>
      </w:r>
    </w:p>
    <w:p>
      <w:pPr>
        <w:spacing w:after="0" w:line="111" w:lineRule="exact"/>
        <w:rPr>
          <w:sz w:val="20"/>
          <w:szCs w:val="20"/>
          <w:color w:val="auto"/>
        </w:rPr>
      </w:pPr>
    </w:p>
    <w:p>
      <w:pPr>
        <w:ind w:left="280" w:right="320" w:hanging="184"/>
        <w:spacing w:after="0" w:line="256" w:lineRule="auto"/>
        <w:tabs>
          <w:tab w:leader="none" w:pos="279" w:val="left"/>
        </w:tabs>
        <w:numPr>
          <w:ilvl w:val="0"/>
          <w:numId w:val="45"/>
        </w:numPr>
        <w:rPr>
          <w:rFonts w:ascii="Arial" w:cs="Arial" w:eastAsia="Arial" w:hAnsi="Arial"/>
          <w:sz w:val="16"/>
          <w:szCs w:val="16"/>
          <w:color w:val="16479F"/>
        </w:rPr>
      </w:pPr>
      <w:r>
        <w:rPr>
          <w:rFonts w:ascii="Arial" w:cs="Arial" w:eastAsia="Arial" w:hAnsi="Arial"/>
          <w:sz w:val="16"/>
          <w:szCs w:val="16"/>
          <w:color w:val="auto"/>
        </w:rPr>
        <w:t>Unparalleled historical knowledge and depth of understanding of the Company and its businesses</w:t>
      </w:r>
    </w:p>
    <w:p>
      <w:pPr>
        <w:spacing w:after="0" w:line="35" w:lineRule="exact"/>
        <w:rPr>
          <w:rFonts w:ascii="Arial" w:cs="Arial" w:eastAsia="Arial" w:hAnsi="Arial"/>
          <w:sz w:val="16"/>
          <w:szCs w:val="16"/>
          <w:color w:val="16479F"/>
        </w:rPr>
      </w:pPr>
    </w:p>
    <w:p>
      <w:pPr>
        <w:ind w:left="280" w:right="120" w:hanging="184"/>
        <w:spacing w:after="0" w:line="256" w:lineRule="auto"/>
        <w:tabs>
          <w:tab w:leader="none" w:pos="279" w:val="left"/>
        </w:tabs>
        <w:numPr>
          <w:ilvl w:val="0"/>
          <w:numId w:val="45"/>
        </w:numPr>
        <w:rPr>
          <w:rFonts w:ascii="Arial" w:cs="Arial" w:eastAsia="Arial" w:hAnsi="Arial"/>
          <w:sz w:val="16"/>
          <w:szCs w:val="16"/>
          <w:color w:val="16479F"/>
        </w:rPr>
      </w:pPr>
      <w:r>
        <w:rPr>
          <w:rFonts w:ascii="Arial" w:cs="Arial" w:eastAsia="Arial" w:hAnsi="Arial"/>
          <w:sz w:val="16"/>
          <w:szCs w:val="16"/>
          <w:color w:val="auto"/>
        </w:rPr>
        <w:t>Oversees the Executive Committee (which includes all of our executive officers) in its day-to-day management of the Company</w:t>
      </w:r>
    </w:p>
    <w:p>
      <w:pPr>
        <w:spacing w:after="0" w:line="35" w:lineRule="exact"/>
        <w:rPr>
          <w:rFonts w:ascii="Arial" w:cs="Arial" w:eastAsia="Arial" w:hAnsi="Arial"/>
          <w:sz w:val="16"/>
          <w:szCs w:val="16"/>
          <w:color w:val="16479F"/>
        </w:rPr>
      </w:pPr>
    </w:p>
    <w:p>
      <w:pPr>
        <w:ind w:left="280" w:hanging="184"/>
        <w:spacing w:after="0"/>
        <w:tabs>
          <w:tab w:leader="none" w:pos="280" w:val="left"/>
        </w:tabs>
        <w:numPr>
          <w:ilvl w:val="0"/>
          <w:numId w:val="45"/>
        </w:numPr>
        <w:rPr>
          <w:rFonts w:ascii="Arial" w:cs="Arial" w:eastAsia="Arial" w:hAnsi="Arial"/>
          <w:sz w:val="16"/>
          <w:szCs w:val="16"/>
          <w:color w:val="16479F"/>
        </w:rPr>
      </w:pPr>
      <w:r>
        <w:rPr>
          <w:rFonts w:ascii="Arial" w:cs="Arial" w:eastAsia="Arial" w:hAnsi="Arial"/>
          <w:sz w:val="16"/>
          <w:szCs w:val="16"/>
          <w:color w:val="auto"/>
        </w:rPr>
        <w:t>Chairs Board meetings and annual shareholder meeting</w:t>
      </w:r>
    </w:p>
    <w:p>
      <w:pPr>
        <w:spacing w:after="0" w:line="57" w:lineRule="exact"/>
        <w:rPr>
          <w:rFonts w:ascii="Arial" w:cs="Arial" w:eastAsia="Arial" w:hAnsi="Arial"/>
          <w:sz w:val="16"/>
          <w:szCs w:val="16"/>
          <w:color w:val="16479F"/>
        </w:rPr>
      </w:pPr>
    </w:p>
    <w:p>
      <w:pPr>
        <w:ind w:left="280" w:right="80" w:hanging="184"/>
        <w:spacing w:after="0" w:line="256" w:lineRule="auto"/>
        <w:tabs>
          <w:tab w:leader="none" w:pos="279" w:val="left"/>
        </w:tabs>
        <w:numPr>
          <w:ilvl w:val="0"/>
          <w:numId w:val="45"/>
        </w:numPr>
        <w:rPr>
          <w:rFonts w:ascii="Arial" w:cs="Arial" w:eastAsia="Arial" w:hAnsi="Arial"/>
          <w:sz w:val="16"/>
          <w:szCs w:val="16"/>
          <w:color w:val="16479F"/>
        </w:rPr>
      </w:pPr>
      <w:r>
        <w:rPr>
          <w:rFonts w:ascii="Arial" w:cs="Arial" w:eastAsia="Arial" w:hAnsi="Arial"/>
          <w:sz w:val="16"/>
          <w:szCs w:val="16"/>
          <w:color w:val="auto"/>
        </w:rPr>
        <w:t>Works with the Lead Director to set agendas for Board meetings (which the Lead Director approves)</w:t>
      </w:r>
    </w:p>
    <w:p>
      <w:pPr>
        <w:spacing w:after="0" w:line="35" w:lineRule="exact"/>
        <w:rPr>
          <w:rFonts w:ascii="Arial" w:cs="Arial" w:eastAsia="Arial" w:hAnsi="Arial"/>
          <w:sz w:val="16"/>
          <w:szCs w:val="16"/>
          <w:color w:val="16479F"/>
        </w:rPr>
      </w:pPr>
    </w:p>
    <w:p>
      <w:pPr>
        <w:ind w:left="280" w:right="480" w:hanging="184"/>
        <w:spacing w:after="0" w:line="256" w:lineRule="auto"/>
        <w:tabs>
          <w:tab w:leader="none" w:pos="279" w:val="left"/>
        </w:tabs>
        <w:numPr>
          <w:ilvl w:val="0"/>
          <w:numId w:val="45"/>
        </w:numPr>
        <w:rPr>
          <w:rFonts w:ascii="Arial" w:cs="Arial" w:eastAsia="Arial" w:hAnsi="Arial"/>
          <w:sz w:val="16"/>
          <w:szCs w:val="16"/>
          <w:color w:val="16479F"/>
        </w:rPr>
      </w:pPr>
      <w:r>
        <w:rPr>
          <w:rFonts w:ascii="Arial" w:cs="Arial" w:eastAsia="Arial" w:hAnsi="Arial"/>
          <w:sz w:val="16"/>
          <w:szCs w:val="16"/>
          <w:color w:val="auto"/>
        </w:rPr>
        <w:t>Collaborates with the Board on the Company’s strategy and leads management in implementing that strategy</w:t>
      </w:r>
    </w:p>
    <w:p>
      <w:pPr>
        <w:spacing w:after="0" w:line="35" w:lineRule="exact"/>
        <w:rPr>
          <w:rFonts w:ascii="Arial" w:cs="Arial" w:eastAsia="Arial" w:hAnsi="Arial"/>
          <w:sz w:val="16"/>
          <w:szCs w:val="16"/>
          <w:color w:val="16479F"/>
        </w:rPr>
      </w:pPr>
    </w:p>
    <w:p>
      <w:pPr>
        <w:ind w:left="280" w:right="460" w:hanging="184"/>
        <w:spacing w:after="0" w:line="256" w:lineRule="auto"/>
        <w:tabs>
          <w:tab w:leader="none" w:pos="279" w:val="left"/>
        </w:tabs>
        <w:numPr>
          <w:ilvl w:val="0"/>
          <w:numId w:val="45"/>
        </w:numPr>
        <w:rPr>
          <w:rFonts w:ascii="Arial" w:cs="Arial" w:eastAsia="Arial" w:hAnsi="Arial"/>
          <w:sz w:val="16"/>
          <w:szCs w:val="16"/>
          <w:color w:val="16479F"/>
        </w:rPr>
      </w:pPr>
      <w:r>
        <w:rPr>
          <w:rFonts w:ascii="Arial" w:cs="Arial" w:eastAsia="Arial" w:hAnsi="Arial"/>
          <w:sz w:val="16"/>
          <w:szCs w:val="16"/>
          <w:color w:val="auto"/>
        </w:rPr>
        <w:t>Meets frequently with clients and shareholders and communicates feedback to the Board and senior management</w:t>
      </w:r>
    </w:p>
    <w:p>
      <w:pPr>
        <w:spacing w:after="0" w:line="35" w:lineRule="exact"/>
        <w:rPr>
          <w:rFonts w:ascii="Arial" w:cs="Arial" w:eastAsia="Arial" w:hAnsi="Arial"/>
          <w:sz w:val="16"/>
          <w:szCs w:val="16"/>
          <w:color w:val="16479F"/>
        </w:rPr>
      </w:pPr>
    </w:p>
    <w:p>
      <w:pPr>
        <w:ind w:left="280" w:hanging="184"/>
        <w:spacing w:after="0" w:line="256" w:lineRule="auto"/>
        <w:tabs>
          <w:tab w:leader="none" w:pos="279" w:val="left"/>
        </w:tabs>
        <w:numPr>
          <w:ilvl w:val="0"/>
          <w:numId w:val="45"/>
        </w:numPr>
        <w:rPr>
          <w:rFonts w:ascii="Arial" w:cs="Arial" w:eastAsia="Arial" w:hAnsi="Arial"/>
          <w:sz w:val="16"/>
          <w:szCs w:val="16"/>
          <w:color w:val="16479F"/>
        </w:rPr>
      </w:pPr>
      <w:r>
        <w:rPr>
          <w:rFonts w:ascii="Arial" w:cs="Arial" w:eastAsia="Arial" w:hAnsi="Arial"/>
          <w:sz w:val="16"/>
          <w:szCs w:val="16"/>
          <w:color w:val="auto"/>
        </w:rPr>
        <w:t>Manages the development of senior management and our businesses to succeed in a dynamic and competitive landscape</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ind w:left="33"/>
        <w:spacing w:after="0"/>
        <w:rPr>
          <w:sz w:val="20"/>
          <w:szCs w:val="20"/>
          <w:color w:val="auto"/>
        </w:rPr>
      </w:pPr>
      <w:r>
        <w:rPr>
          <w:rFonts w:ascii="Arial" w:cs="Arial" w:eastAsia="Arial" w:hAnsi="Arial"/>
          <w:sz w:val="16"/>
          <w:szCs w:val="16"/>
          <w:b w:val="1"/>
          <w:bCs w:val="1"/>
          <w:color w:val="FFFFFF"/>
        </w:rPr>
        <w:t>LEAD DIRECTOR</w:t>
      </w:r>
    </w:p>
    <w:p>
      <w:pPr>
        <w:spacing w:after="0" w:line="131" w:lineRule="exact"/>
        <w:rPr>
          <w:sz w:val="20"/>
          <w:szCs w:val="20"/>
          <w:color w:val="auto"/>
        </w:rPr>
      </w:pPr>
    </w:p>
    <w:p>
      <w:pPr>
        <w:ind w:left="193" w:hanging="193"/>
        <w:spacing w:after="0"/>
        <w:tabs>
          <w:tab w:leader="none" w:pos="193" w:val="left"/>
        </w:tabs>
        <w:numPr>
          <w:ilvl w:val="0"/>
          <w:numId w:val="46"/>
        </w:numPr>
        <w:rPr>
          <w:rFonts w:ascii="Arial" w:cs="Arial" w:eastAsia="Arial" w:hAnsi="Arial"/>
          <w:sz w:val="16"/>
          <w:szCs w:val="16"/>
          <w:color w:val="16479F"/>
        </w:rPr>
      </w:pPr>
      <w:r>
        <w:rPr>
          <w:rFonts w:ascii="Arial" w:cs="Arial" w:eastAsia="Arial" w:hAnsi="Arial"/>
          <w:sz w:val="16"/>
          <w:szCs w:val="16"/>
          <w:color w:val="auto"/>
        </w:rPr>
        <w:t>Strong and independent leadership style</w:t>
      </w:r>
    </w:p>
    <w:p>
      <w:pPr>
        <w:spacing w:after="0" w:line="57" w:lineRule="exact"/>
        <w:rPr>
          <w:rFonts w:ascii="Arial" w:cs="Arial" w:eastAsia="Arial" w:hAnsi="Arial"/>
          <w:sz w:val="16"/>
          <w:szCs w:val="16"/>
          <w:color w:val="16479F"/>
        </w:rPr>
      </w:pPr>
    </w:p>
    <w:p>
      <w:pPr>
        <w:ind w:left="193" w:hanging="193"/>
        <w:spacing w:after="0"/>
        <w:tabs>
          <w:tab w:leader="none" w:pos="193" w:val="left"/>
        </w:tabs>
        <w:numPr>
          <w:ilvl w:val="0"/>
          <w:numId w:val="46"/>
        </w:numPr>
        <w:rPr>
          <w:rFonts w:ascii="Arial" w:cs="Arial" w:eastAsia="Arial" w:hAnsi="Arial"/>
          <w:sz w:val="16"/>
          <w:szCs w:val="16"/>
          <w:color w:val="16479F"/>
        </w:rPr>
      </w:pPr>
      <w:r>
        <w:rPr>
          <w:rFonts w:ascii="Arial" w:cs="Arial" w:eastAsia="Arial" w:hAnsi="Arial"/>
          <w:sz w:val="16"/>
          <w:szCs w:val="16"/>
          <w:color w:val="auto"/>
        </w:rPr>
        <w:t>Appointed annually by the Board’s independent directors</w:t>
      </w:r>
    </w:p>
    <w:p>
      <w:pPr>
        <w:spacing w:after="0" w:line="57" w:lineRule="exact"/>
        <w:rPr>
          <w:rFonts w:ascii="Arial" w:cs="Arial" w:eastAsia="Arial" w:hAnsi="Arial"/>
          <w:sz w:val="16"/>
          <w:szCs w:val="16"/>
          <w:color w:val="16479F"/>
        </w:rPr>
      </w:pPr>
    </w:p>
    <w:p>
      <w:pPr>
        <w:jc w:val="both"/>
        <w:ind w:left="193" w:right="520" w:hanging="193"/>
        <w:spacing w:after="0" w:line="256" w:lineRule="auto"/>
        <w:tabs>
          <w:tab w:leader="none" w:pos="192" w:val="left"/>
        </w:tabs>
        <w:numPr>
          <w:ilvl w:val="0"/>
          <w:numId w:val="46"/>
        </w:numPr>
        <w:rPr>
          <w:rFonts w:ascii="Arial" w:cs="Arial" w:eastAsia="Arial" w:hAnsi="Arial"/>
          <w:sz w:val="16"/>
          <w:szCs w:val="16"/>
          <w:color w:val="16479F"/>
        </w:rPr>
      </w:pPr>
      <w:r>
        <w:rPr>
          <w:rFonts w:ascii="Arial" w:cs="Arial" w:eastAsia="Arial" w:hAnsi="Arial"/>
          <w:sz w:val="16"/>
          <w:szCs w:val="16"/>
          <w:color w:val="auto"/>
        </w:rPr>
        <w:t>Presides at all meetings of the Board at which the Chairman is not present and has the authority to call independent director sessions</w:t>
      </w:r>
    </w:p>
    <w:p>
      <w:pPr>
        <w:spacing w:after="0" w:line="35" w:lineRule="exact"/>
        <w:rPr>
          <w:rFonts w:ascii="Arial" w:cs="Arial" w:eastAsia="Arial" w:hAnsi="Arial"/>
          <w:sz w:val="16"/>
          <w:szCs w:val="16"/>
          <w:color w:val="16479F"/>
        </w:rPr>
      </w:pPr>
    </w:p>
    <w:p>
      <w:pPr>
        <w:ind w:left="193" w:right="200" w:hanging="193"/>
        <w:spacing w:after="0" w:line="250" w:lineRule="auto"/>
        <w:tabs>
          <w:tab w:leader="none" w:pos="192" w:val="left"/>
        </w:tabs>
        <w:numPr>
          <w:ilvl w:val="0"/>
          <w:numId w:val="46"/>
        </w:numPr>
        <w:rPr>
          <w:rFonts w:ascii="Arial" w:cs="Arial" w:eastAsia="Arial" w:hAnsi="Arial"/>
          <w:sz w:val="16"/>
          <w:szCs w:val="16"/>
          <w:color w:val="16479F"/>
        </w:rPr>
      </w:pPr>
      <w:r>
        <w:rPr>
          <w:rFonts w:ascii="Arial" w:cs="Arial" w:eastAsia="Arial" w:hAnsi="Arial"/>
          <w:sz w:val="16"/>
          <w:szCs w:val="16"/>
          <w:color w:val="auto"/>
        </w:rPr>
        <w:t>Approves other Board related materials (directors, acting through the Lead Director, may propose matters to be included on the agenda for a meeting)</w:t>
      </w:r>
    </w:p>
    <w:p>
      <w:pPr>
        <w:spacing w:after="0" w:line="40" w:lineRule="exact"/>
        <w:rPr>
          <w:rFonts w:ascii="Arial" w:cs="Arial" w:eastAsia="Arial" w:hAnsi="Arial"/>
          <w:sz w:val="16"/>
          <w:szCs w:val="16"/>
          <w:color w:val="16479F"/>
        </w:rPr>
      </w:pPr>
    </w:p>
    <w:p>
      <w:pPr>
        <w:ind w:left="193" w:right="360" w:hanging="193"/>
        <w:spacing w:after="0" w:line="256" w:lineRule="auto"/>
        <w:tabs>
          <w:tab w:leader="none" w:pos="192" w:val="left"/>
        </w:tabs>
        <w:numPr>
          <w:ilvl w:val="0"/>
          <w:numId w:val="46"/>
        </w:numPr>
        <w:rPr>
          <w:rFonts w:ascii="Arial" w:cs="Arial" w:eastAsia="Arial" w:hAnsi="Arial"/>
          <w:sz w:val="16"/>
          <w:szCs w:val="16"/>
          <w:color w:val="16479F"/>
        </w:rPr>
      </w:pPr>
      <w:r>
        <w:rPr>
          <w:rFonts w:ascii="Arial" w:cs="Arial" w:eastAsia="Arial" w:hAnsi="Arial"/>
          <w:sz w:val="16"/>
          <w:szCs w:val="16"/>
          <w:color w:val="auto"/>
        </w:rPr>
        <w:t>Approves Board meeting agendas and schedules to assure sufficient time for discussion of all items</w:t>
      </w:r>
    </w:p>
    <w:p>
      <w:pPr>
        <w:spacing w:after="0" w:line="35" w:lineRule="exact"/>
        <w:rPr>
          <w:rFonts w:ascii="Arial" w:cs="Arial" w:eastAsia="Arial" w:hAnsi="Arial"/>
          <w:sz w:val="16"/>
          <w:szCs w:val="16"/>
          <w:color w:val="16479F"/>
        </w:rPr>
      </w:pPr>
    </w:p>
    <w:p>
      <w:pPr>
        <w:ind w:left="193" w:right="120" w:hanging="193"/>
        <w:spacing w:after="0" w:line="250" w:lineRule="auto"/>
        <w:tabs>
          <w:tab w:leader="none" w:pos="192" w:val="left"/>
        </w:tabs>
        <w:numPr>
          <w:ilvl w:val="0"/>
          <w:numId w:val="46"/>
        </w:numPr>
        <w:rPr>
          <w:rFonts w:ascii="Arial" w:cs="Arial" w:eastAsia="Arial" w:hAnsi="Arial"/>
          <w:sz w:val="16"/>
          <w:szCs w:val="16"/>
          <w:color w:val="16479F"/>
        </w:rPr>
      </w:pPr>
      <w:r>
        <w:rPr>
          <w:rFonts w:ascii="Arial" w:cs="Arial" w:eastAsia="Arial" w:hAnsi="Arial"/>
          <w:sz w:val="16"/>
          <w:szCs w:val="16"/>
          <w:color w:val="auto"/>
        </w:rPr>
        <w:t>Facilitates a strong, independent oversight function by leading executive sessions of independent directors at least after every quarterly Board meeting</w:t>
      </w:r>
    </w:p>
    <w:p>
      <w:pPr>
        <w:spacing w:after="0" w:line="40" w:lineRule="exact"/>
        <w:rPr>
          <w:rFonts w:ascii="Arial" w:cs="Arial" w:eastAsia="Arial" w:hAnsi="Arial"/>
          <w:sz w:val="16"/>
          <w:szCs w:val="16"/>
          <w:color w:val="16479F"/>
        </w:rPr>
      </w:pPr>
    </w:p>
    <w:p>
      <w:pPr>
        <w:ind w:left="193" w:right="500" w:hanging="193"/>
        <w:spacing w:after="0" w:line="256" w:lineRule="auto"/>
        <w:tabs>
          <w:tab w:leader="none" w:pos="192" w:val="left"/>
        </w:tabs>
        <w:numPr>
          <w:ilvl w:val="0"/>
          <w:numId w:val="46"/>
        </w:numPr>
        <w:rPr>
          <w:rFonts w:ascii="Arial" w:cs="Arial" w:eastAsia="Arial" w:hAnsi="Arial"/>
          <w:sz w:val="16"/>
          <w:szCs w:val="16"/>
          <w:color w:val="16479F"/>
        </w:rPr>
      </w:pPr>
      <w:r>
        <w:rPr>
          <w:rFonts w:ascii="Arial" w:cs="Arial" w:eastAsia="Arial" w:hAnsi="Arial"/>
          <w:sz w:val="16"/>
          <w:szCs w:val="16"/>
          <w:color w:val="auto"/>
        </w:rPr>
        <w:t>Facilitates communication between the Chairman and independent directors</w:t>
      </w:r>
    </w:p>
    <w:p>
      <w:pPr>
        <w:spacing w:after="0" w:line="35" w:lineRule="exact"/>
        <w:rPr>
          <w:rFonts w:ascii="Arial" w:cs="Arial" w:eastAsia="Arial" w:hAnsi="Arial"/>
          <w:sz w:val="16"/>
          <w:szCs w:val="16"/>
          <w:color w:val="16479F"/>
        </w:rPr>
      </w:pPr>
    </w:p>
    <w:p>
      <w:pPr>
        <w:ind w:left="193" w:hanging="193"/>
        <w:spacing w:after="0"/>
        <w:tabs>
          <w:tab w:leader="none" w:pos="193" w:val="left"/>
        </w:tabs>
        <w:numPr>
          <w:ilvl w:val="0"/>
          <w:numId w:val="46"/>
        </w:numPr>
        <w:rPr>
          <w:rFonts w:ascii="Arial" w:cs="Arial" w:eastAsia="Arial" w:hAnsi="Arial"/>
          <w:sz w:val="16"/>
          <w:szCs w:val="16"/>
          <w:color w:val="16479F"/>
        </w:rPr>
      </w:pPr>
      <w:r>
        <w:rPr>
          <w:rFonts w:ascii="Arial" w:cs="Arial" w:eastAsia="Arial" w:hAnsi="Arial"/>
          <w:sz w:val="16"/>
          <w:szCs w:val="16"/>
          <w:color w:val="auto"/>
        </w:rPr>
        <w:t>Leads Board and individual director evaluations</w:t>
      </w:r>
    </w:p>
    <w:p>
      <w:pPr>
        <w:spacing w:after="0" w:line="57" w:lineRule="exact"/>
        <w:rPr>
          <w:rFonts w:ascii="Arial" w:cs="Arial" w:eastAsia="Arial" w:hAnsi="Arial"/>
          <w:sz w:val="16"/>
          <w:szCs w:val="16"/>
          <w:color w:val="16479F"/>
        </w:rPr>
      </w:pPr>
    </w:p>
    <w:p>
      <w:pPr>
        <w:ind w:left="193" w:hanging="193"/>
        <w:spacing w:after="0"/>
        <w:tabs>
          <w:tab w:leader="none" w:pos="193" w:val="left"/>
        </w:tabs>
        <w:numPr>
          <w:ilvl w:val="0"/>
          <w:numId w:val="46"/>
        </w:numPr>
        <w:rPr>
          <w:rFonts w:ascii="Arial" w:cs="Arial" w:eastAsia="Arial" w:hAnsi="Arial"/>
          <w:sz w:val="16"/>
          <w:szCs w:val="16"/>
          <w:color w:val="16479F"/>
        </w:rPr>
      </w:pPr>
      <w:r>
        <w:rPr>
          <w:rFonts w:ascii="Arial" w:cs="Arial" w:eastAsia="Arial" w:hAnsi="Arial"/>
          <w:sz w:val="16"/>
          <w:szCs w:val="16"/>
          <w:color w:val="auto"/>
        </w:rPr>
        <w:t>Meets directly with management other than the CEO and President &amp;</w:t>
      </w:r>
    </w:p>
    <w:p>
      <w:pPr>
        <w:spacing w:after="0" w:line="3" w:lineRule="exact"/>
        <w:rPr>
          <w:rFonts w:ascii="Arial" w:cs="Arial" w:eastAsia="Arial" w:hAnsi="Arial"/>
          <w:sz w:val="16"/>
          <w:szCs w:val="16"/>
          <w:color w:val="16479F"/>
        </w:rPr>
      </w:pPr>
    </w:p>
    <w:p>
      <w:pPr>
        <w:ind w:left="193"/>
        <w:spacing w:after="0"/>
        <w:rPr>
          <w:rFonts w:ascii="Arial" w:cs="Arial" w:eastAsia="Arial" w:hAnsi="Arial"/>
          <w:sz w:val="16"/>
          <w:szCs w:val="16"/>
          <w:color w:val="16479F"/>
        </w:rPr>
      </w:pPr>
      <w:r>
        <w:rPr>
          <w:rFonts w:ascii="Arial" w:cs="Arial" w:eastAsia="Arial" w:hAnsi="Arial"/>
          <w:sz w:val="16"/>
          <w:szCs w:val="16"/>
          <w:color w:val="auto"/>
        </w:rPr>
        <w:t>COO</w:t>
      </w:r>
    </w:p>
    <w:p>
      <w:pPr>
        <w:spacing w:after="0" w:line="57" w:lineRule="exact"/>
        <w:rPr>
          <w:rFonts w:ascii="Arial" w:cs="Arial" w:eastAsia="Arial" w:hAnsi="Arial"/>
          <w:sz w:val="16"/>
          <w:szCs w:val="16"/>
          <w:color w:val="16479F"/>
        </w:rPr>
      </w:pPr>
    </w:p>
    <w:p>
      <w:pPr>
        <w:ind w:left="193" w:right="360" w:hanging="193"/>
        <w:spacing w:after="0" w:line="256" w:lineRule="auto"/>
        <w:tabs>
          <w:tab w:leader="none" w:pos="192" w:val="left"/>
        </w:tabs>
        <w:numPr>
          <w:ilvl w:val="0"/>
          <w:numId w:val="46"/>
        </w:numPr>
        <w:rPr>
          <w:rFonts w:ascii="Arial" w:cs="Arial" w:eastAsia="Arial" w:hAnsi="Arial"/>
          <w:sz w:val="16"/>
          <w:szCs w:val="16"/>
          <w:color w:val="16479F"/>
        </w:rPr>
      </w:pPr>
      <w:r>
        <w:rPr>
          <w:rFonts w:ascii="Arial" w:cs="Arial" w:eastAsia="Arial" w:hAnsi="Arial"/>
          <w:sz w:val="16"/>
          <w:szCs w:val="16"/>
          <w:color w:val="auto"/>
        </w:rPr>
        <w:t>Consults and directly communicates with shareholders and other key constituents, as appropriate</w:t>
      </w:r>
    </w:p>
    <w:p>
      <w:pPr>
        <w:spacing w:after="0" w:line="35" w:lineRule="exact"/>
        <w:rPr>
          <w:rFonts w:ascii="Arial" w:cs="Arial" w:eastAsia="Arial" w:hAnsi="Arial"/>
          <w:sz w:val="16"/>
          <w:szCs w:val="16"/>
          <w:color w:val="16479F"/>
        </w:rPr>
      </w:pPr>
    </w:p>
    <w:p>
      <w:pPr>
        <w:ind w:left="193" w:right="60" w:hanging="193"/>
        <w:spacing w:after="0" w:line="256" w:lineRule="auto"/>
        <w:tabs>
          <w:tab w:leader="none" w:pos="192" w:val="left"/>
        </w:tabs>
        <w:numPr>
          <w:ilvl w:val="0"/>
          <w:numId w:val="46"/>
        </w:numPr>
        <w:rPr>
          <w:rFonts w:ascii="Arial" w:cs="Arial" w:eastAsia="Arial" w:hAnsi="Arial"/>
          <w:sz w:val="16"/>
          <w:szCs w:val="16"/>
          <w:color w:val="16479F"/>
        </w:rPr>
      </w:pPr>
      <w:r>
        <w:rPr>
          <w:rFonts w:ascii="Arial" w:cs="Arial" w:eastAsia="Arial" w:hAnsi="Arial"/>
          <w:sz w:val="16"/>
          <w:szCs w:val="16"/>
          <w:color w:val="auto"/>
        </w:rPr>
        <w:t>Collaborates with the Compensation Committee to oversee management succession planning efforts</w:t>
      </w:r>
    </w:p>
    <w:p>
      <w:pPr>
        <w:spacing w:after="0" w:line="200" w:lineRule="exact"/>
        <w:rPr>
          <w:sz w:val="20"/>
          <w:szCs w:val="20"/>
          <w:color w:val="auto"/>
        </w:rPr>
      </w:pPr>
    </w:p>
    <w:p>
      <w:pPr>
        <w:sectPr>
          <w:pgSz w:w="11900" w:h="16838" w:orient="portrait"/>
          <w:cols w:equalWidth="0" w:num="2">
            <w:col w:w="5440" w:space="387"/>
            <w:col w:w="5433"/>
          </w:cols>
          <w:pgMar w:left="320" w:top="121" w:right="319" w:bottom="1440" w:gutter="0" w:footer="0" w:header="0"/>
          <w:type w:val="continuous"/>
        </w:sectPr>
      </w:pPr>
    </w:p>
    <w:p>
      <w:pPr>
        <w:spacing w:after="0" w:line="77"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While we believe that continuing to combine the roles of Chairman and CEO is the most effective leadership structure for our Board and the Company at this time, our Bylaws and Corporate Governance Policies also permit a structure where the CEO would not serve contemporaneously as the Chairman of the Board should the separation of such roles be deemed appropriate and in the best interests of MSCI and its shareholders in the future.</w:t>
      </w:r>
    </w:p>
    <w:p>
      <w:pPr>
        <w:spacing w:after="0" w:line="164"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Committees of the Board of Directors</w:t>
      </w:r>
    </w:p>
    <w:p>
      <w:pPr>
        <w:spacing w:after="0" w:line="249"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 xml:space="preserve">Our Board has adopted a written charter for each of the Audit Committee, Compensation Committee, Governance Committee and Strategy Committee setting forth the roles and responsibilities of each committee. The Board and each committee may, from time-to-time, form and delegate authority to subcommittees when appropriate. Each committee annually reviews and assesses the adequacy of its charter and recommends any proposed changes to the Board for approval. You may access these charters on our website’s Investor Relations homepage </w:t>
      </w:r>
      <w:r>
        <w:rPr>
          <w:rFonts w:ascii="Arial" w:cs="Arial" w:eastAsia="Arial" w:hAnsi="Arial"/>
          <w:sz w:val="16"/>
          <w:szCs w:val="16"/>
          <w:color w:val="00B5AA"/>
        </w:rPr>
        <w:t>(https://ir.msci.com)</w:t>
      </w:r>
      <w:r>
        <w:rPr>
          <w:rFonts w:ascii="Arial" w:cs="Arial" w:eastAsia="Arial" w:hAnsi="Arial"/>
          <w:sz w:val="16"/>
          <w:szCs w:val="16"/>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provides detail on the composition of each of our designated standing committees as of March 16, 2022.</w:t>
      </w:r>
    </w:p>
    <w:p>
      <w:pPr>
        <w:spacing w:after="0" w:line="176" w:lineRule="exact"/>
        <w:rPr>
          <w:sz w:val="20"/>
          <w:szCs w:val="20"/>
          <w:color w:val="auto"/>
        </w:rPr>
      </w:pPr>
    </w:p>
    <w:p>
      <w:pPr>
        <w:ind w:left="7440"/>
        <w:spacing w:after="0"/>
        <w:tabs>
          <w:tab w:leader="none" w:pos="8180" w:val="left"/>
          <w:tab w:leader="none" w:pos="9380" w:val="left"/>
          <w:tab w:leader="none" w:pos="10500" w:val="left"/>
        </w:tabs>
        <w:rPr>
          <w:sz w:val="20"/>
          <w:szCs w:val="20"/>
          <w:color w:val="auto"/>
        </w:rPr>
      </w:pPr>
      <w:r>
        <w:rPr>
          <w:rFonts w:ascii="Arial" w:cs="Arial" w:eastAsia="Arial" w:hAnsi="Arial"/>
          <w:sz w:val="14"/>
          <w:szCs w:val="14"/>
          <w:b w:val="1"/>
          <w:bCs w:val="1"/>
          <w:color w:val="auto"/>
        </w:rPr>
        <w:t>Audit</w:t>
      </w:r>
      <w:r>
        <w:rPr>
          <w:sz w:val="20"/>
          <w:szCs w:val="20"/>
          <w:color w:val="auto"/>
        </w:rPr>
        <w:tab/>
      </w:r>
      <w:r>
        <w:rPr>
          <w:rFonts w:ascii="Arial" w:cs="Arial" w:eastAsia="Arial" w:hAnsi="Arial"/>
          <w:sz w:val="14"/>
          <w:szCs w:val="14"/>
          <w:b w:val="1"/>
          <w:bCs w:val="1"/>
          <w:color w:val="auto"/>
        </w:rPr>
        <w:t>Compensation</w:t>
        <w:tab/>
        <w:t>Governance</w:t>
      </w:r>
      <w:r>
        <w:rPr>
          <w:sz w:val="20"/>
          <w:szCs w:val="20"/>
          <w:color w:val="auto"/>
        </w:rPr>
        <w:tab/>
      </w:r>
      <w:r>
        <w:rPr>
          <w:rFonts w:ascii="Arial" w:cs="Arial" w:eastAsia="Arial" w:hAnsi="Arial"/>
          <w:sz w:val="14"/>
          <w:szCs w:val="14"/>
          <w:b w:val="1"/>
          <w:bCs w:val="1"/>
          <w:color w:val="auto"/>
        </w:rPr>
        <w:t>Strategy</w:t>
      </w:r>
    </w:p>
    <w:p>
      <w:pPr>
        <w:spacing w:after="0" w:line="18" w:lineRule="exact"/>
        <w:rPr>
          <w:sz w:val="20"/>
          <w:szCs w:val="20"/>
          <w:color w:val="auto"/>
        </w:rPr>
      </w:pPr>
    </w:p>
    <w:p>
      <w:pPr>
        <w:ind w:left="60"/>
        <w:spacing w:after="0"/>
        <w:tabs>
          <w:tab w:leader="none" w:pos="7240" w:val="left"/>
          <w:tab w:leader="none" w:pos="8320" w:val="left"/>
          <w:tab w:leader="none" w:pos="9440" w:val="left"/>
          <w:tab w:leader="none" w:pos="10420" w:val="left"/>
        </w:tabs>
        <w:rPr>
          <w:sz w:val="20"/>
          <w:szCs w:val="20"/>
          <w:color w:val="auto"/>
        </w:rPr>
      </w:pPr>
      <w:r>
        <w:rPr>
          <w:rFonts w:ascii="Arial" w:cs="Arial" w:eastAsia="Arial" w:hAnsi="Arial"/>
          <w:sz w:val="14"/>
          <w:szCs w:val="14"/>
          <w:b w:val="1"/>
          <w:bCs w:val="1"/>
          <w:color w:val="auto"/>
        </w:rPr>
        <w:t>Name of Director</w:t>
      </w:r>
      <w:r>
        <w:rPr>
          <w:sz w:val="20"/>
          <w:szCs w:val="20"/>
          <w:color w:val="auto"/>
        </w:rPr>
        <w:tab/>
      </w:r>
      <w:r>
        <w:rPr>
          <w:rFonts w:ascii="Arial" w:cs="Arial" w:eastAsia="Arial" w:hAnsi="Arial"/>
          <w:sz w:val="14"/>
          <w:szCs w:val="14"/>
          <w:b w:val="1"/>
          <w:bCs w:val="1"/>
          <w:color w:val="auto"/>
        </w:rPr>
        <w:t>Committee</w:t>
      </w:r>
      <w:r>
        <w:rPr>
          <w:sz w:val="20"/>
          <w:szCs w:val="20"/>
          <w:color w:val="auto"/>
        </w:rPr>
        <w:tab/>
      </w:r>
      <w:r>
        <w:rPr>
          <w:rFonts w:ascii="Arial" w:cs="Arial" w:eastAsia="Arial" w:hAnsi="Arial"/>
          <w:sz w:val="14"/>
          <w:szCs w:val="14"/>
          <w:b w:val="1"/>
          <w:bCs w:val="1"/>
          <w:color w:val="auto"/>
        </w:rPr>
        <w:t>Committee</w:t>
      </w:r>
      <w:r>
        <w:rPr>
          <w:sz w:val="20"/>
          <w:szCs w:val="20"/>
          <w:color w:val="auto"/>
        </w:rPr>
        <w:tab/>
      </w:r>
      <w:r>
        <w:rPr>
          <w:rFonts w:ascii="Arial" w:cs="Arial" w:eastAsia="Arial" w:hAnsi="Arial"/>
          <w:sz w:val="14"/>
          <w:szCs w:val="14"/>
          <w:b w:val="1"/>
          <w:bCs w:val="1"/>
          <w:color w:val="auto"/>
        </w:rPr>
        <w:t>Committee</w:t>
        <w:tab/>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18732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3590" cy="187325"/>
                    </a:xfrm>
                    <a:prstGeom prst="rect">
                      <a:avLst/>
                    </a:prstGeom>
                    <a:noFill/>
                  </pic:spPr>
                </pic:pic>
              </a:graphicData>
            </a:graphic>
          </wp:anchor>
        </w:drawing>
      </w:r>
    </w:p>
    <w:p>
      <w:pPr>
        <w:spacing w:after="0" w:line="2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Henry A. Fernandez</w:t>
      </w:r>
      <w:r>
        <w:rPr>
          <w:rFonts w:ascii="Arial" w:cs="Arial" w:eastAsia="Arial" w:hAnsi="Arial"/>
          <w:sz w:val="26"/>
          <w:szCs w:val="26"/>
          <w:b w:val="1"/>
          <w:bCs w:val="1"/>
          <w:color w:val="auto"/>
          <w:vertAlign w:val="superscript"/>
        </w:rPr>
        <w:t>(1)</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Robert G.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7133590" cy="2806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3590" cy="280670"/>
                    </a:xfrm>
                    <a:prstGeom prst="rect">
                      <a:avLst/>
                    </a:prstGeom>
                    <a:noFill/>
                  </pic:spPr>
                </pic:pic>
              </a:graphicData>
            </a:graphic>
          </wp:anchor>
        </w:drawing>
      </w:r>
    </w:p>
    <w:p>
      <w:pPr>
        <w:spacing w:after="0" w:line="1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Wayne Edmunds</w:t>
      </w:r>
    </w:p>
    <w:p>
      <w:pPr>
        <w:spacing w:after="0" w:line="5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Catherine R. Kinney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7133590" cy="2806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3590" cy="280670"/>
                    </a:xfrm>
                    <a:prstGeom prst="rect">
                      <a:avLst/>
                    </a:prstGeom>
                    <a:noFill/>
                  </pic:spPr>
                </pic:pic>
              </a:graphicData>
            </a:graphic>
          </wp:anchor>
        </w:drawing>
      </w:r>
    </w:p>
    <w:p>
      <w:pPr>
        <w:spacing w:after="0" w:line="3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Jacques P. Perold</w:t>
      </w:r>
    </w:p>
    <w:p>
      <w:pPr>
        <w:spacing w:after="0" w:line="5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Sandy C. Rattray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7133590" cy="2806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3590" cy="280670"/>
                    </a:xfrm>
                    <a:prstGeom prst="rect">
                      <a:avLst/>
                    </a:prstGeom>
                    <a:noFill/>
                  </pic:spPr>
                </pic:pic>
              </a:graphicData>
            </a:graphic>
          </wp:anchor>
        </w:drawing>
      </w:r>
    </w:p>
    <w:p>
      <w:pPr>
        <w:spacing w:after="0" w:line="3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Linda H. Riefler</w:t>
      </w:r>
    </w:p>
    <w:p>
      <w:pPr>
        <w:spacing w:after="0" w:line="5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Marcus L.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7133590" cy="3060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3590" cy="306070"/>
                    </a:xfrm>
                    <a:prstGeom prst="rect">
                      <a:avLst/>
                    </a:prstGeom>
                    <a:noFill/>
                  </pic:spPr>
                </pic:pic>
              </a:graphicData>
            </a:graphic>
          </wp:anchor>
        </w:drawing>
      </w:r>
    </w:p>
    <w:p>
      <w:pPr>
        <w:spacing w:after="0" w:line="3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Rajat Taneja</w:t>
      </w:r>
      <w:r>
        <w:rPr>
          <w:rFonts w:ascii="Arial" w:cs="Arial" w:eastAsia="Arial" w:hAnsi="Arial"/>
          <w:sz w:val="26"/>
          <w:szCs w:val="26"/>
          <w:b w:val="1"/>
          <w:bCs w:val="1"/>
          <w:color w:val="auto"/>
          <w:vertAlign w:val="superscript"/>
        </w:rPr>
        <w:t>(2)</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Paula Volent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35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-108585</wp:posOffset>
            </wp:positionV>
            <wp:extent cx="110490" cy="1104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10490" cy="110490"/>
                    </a:xfrm>
                    <a:prstGeom prst="rect">
                      <a:avLst/>
                    </a:prstGeom>
                    <a:noFill/>
                  </pic:spPr>
                </pic:pic>
              </a:graphicData>
            </a:graphic>
          </wp:anchor>
        </w:drawing>
        <w:drawing>
          <wp:anchor simplePos="0" relativeHeight="251657728" behindDoc="1" locked="0" layoutInCell="0" allowOverlap="1">
            <wp:simplePos x="0" y="0"/>
            <wp:positionH relativeFrom="column">
              <wp:posOffset>6814820</wp:posOffset>
            </wp:positionH>
            <wp:positionV relativeFrom="paragraph">
              <wp:posOffset>-108585</wp:posOffset>
            </wp:positionV>
            <wp:extent cx="110490" cy="1104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10490" cy="110490"/>
                    </a:xfrm>
                    <a:prstGeom prst="rect">
                      <a:avLst/>
                    </a:prstGeom>
                    <a:noFill/>
                  </pic:spPr>
                </pic:pic>
              </a:graphicData>
            </a:graphic>
          </wp:anchor>
        </w:drawing>
        <w:drawing>
          <wp:anchor simplePos="0" relativeHeight="251657728" behindDoc="1" locked="0" layoutInCell="0" allowOverlap="1">
            <wp:simplePos x="0" y="0"/>
            <wp:positionH relativeFrom="column">
              <wp:posOffset>6381115</wp:posOffset>
            </wp:positionH>
            <wp:positionV relativeFrom="paragraph">
              <wp:posOffset>111760</wp:posOffset>
            </wp:positionV>
            <wp:extent cx="118745" cy="1104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18745" cy="110490"/>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20" w:type="dxa"/>
            <w:vAlign w:val="bottom"/>
          </w:tcPr>
          <w:p>
            <w:pPr>
              <w:jc w:val="right"/>
              <w:ind w:right="1"/>
              <w:spacing w:after="0"/>
              <w:rPr>
                <w:sz w:val="20"/>
                <w:szCs w:val="20"/>
                <w:color w:val="auto"/>
              </w:rPr>
            </w:pPr>
            <w:r>
              <w:rPr>
                <w:rFonts w:ascii="Arial" w:cs="Arial" w:eastAsia="Arial" w:hAnsi="Arial"/>
                <w:sz w:val="12"/>
                <w:szCs w:val="12"/>
                <w:color w:val="auto"/>
                <w:w w:val="95"/>
              </w:rPr>
              <w:t>(1)</w:t>
            </w:r>
          </w:p>
        </w:tc>
        <w:tc>
          <w:tcPr>
            <w:tcW w:w="8500" w:type="dxa"/>
            <w:vAlign w:val="bottom"/>
          </w:tcPr>
          <w:p>
            <w:pPr>
              <w:ind w:left="80"/>
              <w:spacing w:after="0"/>
              <w:rPr>
                <w:sz w:val="20"/>
                <w:szCs w:val="20"/>
                <w:color w:val="auto"/>
              </w:rPr>
            </w:pPr>
            <w:r>
              <w:rPr>
                <w:rFonts w:ascii="Arial" w:cs="Arial" w:eastAsia="Arial" w:hAnsi="Arial"/>
                <w:sz w:val="14"/>
                <w:szCs w:val="14"/>
                <w:color w:val="auto"/>
              </w:rPr>
              <w:t>Mr. Fernandez is not a formal member of any committee, but he attends most meetings for each committee.</w:t>
            </w:r>
          </w:p>
        </w:tc>
        <w:tc>
          <w:tcPr>
            <w:tcW w:w="2540" w:type="dxa"/>
            <w:vAlign w:val="bottom"/>
          </w:tcPr>
          <w:p>
            <w:pPr>
              <w:ind w:left="1640"/>
              <w:spacing w:after="0"/>
              <w:rPr>
                <w:sz w:val="20"/>
                <w:szCs w:val="20"/>
                <w:color w:val="auto"/>
              </w:rPr>
            </w:pPr>
            <w:r>
              <w:rPr>
                <w:rFonts w:ascii="Arial" w:cs="Arial" w:eastAsia="Arial" w:hAnsi="Arial"/>
                <w:sz w:val="14"/>
                <w:szCs w:val="14"/>
                <w:color w:val="auto"/>
              </w:rPr>
              <w:t>Chair</w:t>
            </w:r>
          </w:p>
        </w:tc>
      </w:tr>
      <w:tr>
        <w:trPr>
          <w:trHeight w:val="228"/>
        </w:trPr>
        <w:tc>
          <w:tcPr>
            <w:tcW w:w="220" w:type="dxa"/>
            <w:vAlign w:val="bottom"/>
          </w:tcPr>
          <w:p>
            <w:pPr>
              <w:jc w:val="right"/>
              <w:ind w:right="1"/>
              <w:spacing w:after="0"/>
              <w:rPr>
                <w:sz w:val="20"/>
                <w:szCs w:val="20"/>
                <w:color w:val="auto"/>
              </w:rPr>
            </w:pPr>
            <w:r>
              <w:rPr>
                <w:rFonts w:ascii="Arial" w:cs="Arial" w:eastAsia="Arial" w:hAnsi="Arial"/>
                <w:sz w:val="12"/>
                <w:szCs w:val="12"/>
                <w:color w:val="auto"/>
                <w:w w:val="95"/>
              </w:rPr>
              <w:t>(2)</w:t>
            </w:r>
          </w:p>
        </w:tc>
        <w:tc>
          <w:tcPr>
            <w:tcW w:w="8500" w:type="dxa"/>
            <w:vAlign w:val="bottom"/>
          </w:tcPr>
          <w:p>
            <w:pPr>
              <w:ind w:left="80"/>
              <w:spacing w:after="0"/>
              <w:rPr>
                <w:sz w:val="20"/>
                <w:szCs w:val="20"/>
                <w:color w:val="auto"/>
              </w:rPr>
            </w:pPr>
            <w:r>
              <w:rPr>
                <w:rFonts w:ascii="Arial" w:cs="Arial" w:eastAsia="Arial" w:hAnsi="Arial"/>
                <w:sz w:val="14"/>
                <w:szCs w:val="14"/>
                <w:color w:val="auto"/>
              </w:rPr>
              <w:t>Mr. Taneja was appointed to the Board and to the Audit Committee on June 1, 2021.</w:t>
            </w:r>
          </w:p>
        </w:tc>
        <w:tc>
          <w:tcPr>
            <w:tcW w:w="2540" w:type="dxa"/>
            <w:vAlign w:val="bottom"/>
          </w:tcPr>
          <w:p>
            <w:pPr>
              <w:ind w:left="1640"/>
              <w:spacing w:after="0"/>
              <w:rPr>
                <w:sz w:val="20"/>
                <w:szCs w:val="20"/>
                <w:color w:val="auto"/>
              </w:rPr>
            </w:pPr>
            <w:r>
              <w:rPr>
                <w:rFonts w:ascii="Arial" w:cs="Arial" w:eastAsia="Arial" w:hAnsi="Arial"/>
                <w:sz w:val="14"/>
                <w:szCs w:val="14"/>
                <w:color w:val="auto"/>
              </w:rPr>
              <w:t>Member</w:t>
            </w:r>
          </w:p>
        </w:tc>
      </w:tr>
      <w:tr>
        <w:trPr>
          <w:trHeight w:val="102"/>
        </w:trPr>
        <w:tc>
          <w:tcPr>
            <w:tcW w:w="220" w:type="dxa"/>
            <w:vAlign w:val="bottom"/>
            <w:tcBorders>
              <w:bottom w:val="single" w:sz="8" w:color="808080"/>
            </w:tcBorders>
          </w:tcPr>
          <w:p>
            <w:pPr>
              <w:spacing w:after="0"/>
              <w:rPr>
                <w:sz w:val="8"/>
                <w:szCs w:val="8"/>
                <w:color w:val="auto"/>
              </w:rPr>
            </w:pPr>
          </w:p>
        </w:tc>
        <w:tc>
          <w:tcPr>
            <w:tcW w:w="8500" w:type="dxa"/>
            <w:vAlign w:val="bottom"/>
            <w:tcBorders>
              <w:bottom w:val="single" w:sz="8" w:color="808080"/>
            </w:tcBorders>
          </w:tcPr>
          <w:p>
            <w:pPr>
              <w:spacing w:after="0"/>
              <w:rPr>
                <w:sz w:val="8"/>
                <w:szCs w:val="8"/>
                <w:color w:val="auto"/>
              </w:rPr>
            </w:pPr>
          </w:p>
        </w:tc>
        <w:tc>
          <w:tcPr>
            <w:tcW w:w="25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7144385</wp:posOffset>
            </wp:positionH>
            <wp:positionV relativeFrom="paragraph">
              <wp:posOffset>-13970</wp:posOffset>
            </wp:positionV>
            <wp:extent cx="127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6381115</wp:posOffset>
            </wp:positionH>
            <wp:positionV relativeFrom="paragraph">
              <wp:posOffset>-196850</wp:posOffset>
            </wp:positionV>
            <wp:extent cx="110490" cy="1104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34" w:name="page35"/>
    <w:bookmarkEnd w:id="34"/>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149860</wp:posOffset>
            </wp:positionV>
            <wp:extent cx="7133590" cy="21272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3590" cy="212725"/>
                    </a:xfrm>
                    <a:prstGeom prst="rect">
                      <a:avLst/>
                    </a:prstGeom>
                    <a:noFill/>
                  </pic:spPr>
                </pic:pic>
              </a:graphicData>
            </a:graphic>
          </wp:anchor>
        </w:drawing>
      </w:r>
    </w:p>
    <w:p>
      <w:pPr>
        <w:spacing w:after="0" w:line="283"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4"/>
          <w:szCs w:val="14"/>
          <w:b w:val="1"/>
          <w:bCs w:val="1"/>
          <w:color w:val="16479F"/>
        </w:rPr>
        <w:t>34</w:t>
      </w:r>
      <w:r>
        <w:rPr>
          <w:sz w:val="20"/>
          <w:szCs w:val="20"/>
          <w:color w:val="auto"/>
        </w:rPr>
        <w:tab/>
      </w:r>
      <w:r>
        <w:rPr>
          <w:rFonts w:ascii="Arial" w:cs="Arial" w:eastAsia="Arial" w:hAnsi="Arial"/>
          <w:sz w:val="14"/>
          <w:szCs w:val="14"/>
          <w:b w:val="1"/>
          <w:bCs w:val="1"/>
          <w:color w:val="16479F"/>
        </w:rPr>
        <w:t>MSCI  |  CORPORATE GOVERNANCE</w:t>
      </w:r>
    </w:p>
    <w:p>
      <w:pPr>
        <w:spacing w:after="0" w:line="27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AUDIT AND RISK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-163830</wp:posOffset>
            </wp:positionV>
            <wp:extent cx="7133590" cy="40303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3590" cy="40303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p>
      <w:pPr>
        <w:spacing w:after="0" w:line="205"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16479F"/>
        </w:rPr>
        <w:t>MEMBERS:</w:t>
      </w:r>
    </w:p>
    <w:p>
      <w:pPr>
        <w:spacing w:after="0" w:line="99" w:lineRule="exact"/>
        <w:rPr>
          <w:sz w:val="20"/>
          <w:szCs w:val="20"/>
          <w:color w:val="auto"/>
        </w:rPr>
      </w:pPr>
    </w:p>
    <w:p>
      <w:pPr>
        <w:ind w:left="100" w:right="160"/>
        <w:spacing w:after="0"/>
        <w:rPr>
          <w:sz w:val="20"/>
          <w:szCs w:val="20"/>
          <w:color w:val="auto"/>
        </w:rPr>
      </w:pPr>
      <w:r>
        <w:rPr>
          <w:rFonts w:ascii="Arial" w:cs="Arial" w:eastAsia="Arial" w:hAnsi="Arial"/>
          <w:sz w:val="15"/>
          <w:szCs w:val="15"/>
          <w:color w:val="16479F"/>
        </w:rPr>
        <w:t>Wayne Edmunds (Chair) Robert G. Ashe Sandy C. Rattray Linda H. Riefler Rajat Taneja</w:t>
      </w:r>
    </w:p>
    <w:p>
      <w:pPr>
        <w:spacing w:after="0" w:line="259" w:lineRule="exact"/>
        <w:rPr>
          <w:sz w:val="20"/>
          <w:szCs w:val="20"/>
          <w:color w:val="auto"/>
        </w:rPr>
      </w:pPr>
    </w:p>
    <w:p>
      <w:pPr>
        <w:ind w:left="100" w:right="300"/>
        <w:spacing w:after="0" w:line="282" w:lineRule="auto"/>
        <w:rPr>
          <w:sz w:val="20"/>
          <w:szCs w:val="20"/>
          <w:color w:val="auto"/>
        </w:rPr>
      </w:pPr>
      <w:r>
        <w:rPr>
          <w:rFonts w:ascii="Arial" w:cs="Arial" w:eastAsia="Arial" w:hAnsi="Arial"/>
          <w:sz w:val="16"/>
          <w:szCs w:val="16"/>
          <w:b w:val="1"/>
          <w:bCs w:val="1"/>
          <w:color w:val="16479F"/>
        </w:rPr>
        <w:t>MEETINGS HELD IN 2021: 9</w:t>
      </w:r>
    </w:p>
    <w:p>
      <w:pPr>
        <w:spacing w:after="0" w:line="105" w:lineRule="exact"/>
        <w:rPr>
          <w:sz w:val="20"/>
          <w:szCs w:val="20"/>
          <w:color w:val="auto"/>
        </w:rPr>
      </w:pPr>
    </w:p>
    <w:p>
      <w:pPr>
        <w:ind w:left="280" w:right="120" w:hanging="184"/>
        <w:spacing w:after="0" w:line="227" w:lineRule="auto"/>
        <w:tabs>
          <w:tab w:leader="none" w:pos="260" w:val="left"/>
        </w:tabs>
        <w:numPr>
          <w:ilvl w:val="0"/>
          <w:numId w:val="47"/>
        </w:numPr>
        <w:rPr>
          <w:rFonts w:ascii="Arial" w:cs="Arial" w:eastAsia="Arial" w:hAnsi="Arial"/>
          <w:sz w:val="15"/>
          <w:szCs w:val="15"/>
          <w:b w:val="1"/>
          <w:bCs w:val="1"/>
          <w:color w:val="16479F"/>
        </w:rPr>
      </w:pPr>
      <w:r>
        <w:rPr>
          <w:rFonts w:ascii="Arial" w:cs="Arial" w:eastAsia="Arial" w:hAnsi="Arial"/>
          <w:sz w:val="15"/>
          <w:szCs w:val="15"/>
          <w:color w:val="auto"/>
        </w:rPr>
        <w:t>All members are independent within the meaning of the NYSE standards of independence for directors and audit committee members.</w:t>
      </w:r>
    </w:p>
    <w:p>
      <w:pPr>
        <w:spacing w:after="0" w:line="36" w:lineRule="exact"/>
        <w:rPr>
          <w:rFonts w:ascii="Arial" w:cs="Arial" w:eastAsia="Arial" w:hAnsi="Arial"/>
          <w:sz w:val="15"/>
          <w:szCs w:val="15"/>
          <w:b w:val="1"/>
          <w:bCs w:val="1"/>
          <w:color w:val="16479F"/>
        </w:rPr>
      </w:pPr>
    </w:p>
    <w:p>
      <w:pPr>
        <w:ind w:left="280" w:hanging="184"/>
        <w:spacing w:after="0" w:line="225" w:lineRule="auto"/>
        <w:tabs>
          <w:tab w:leader="none" w:pos="260" w:val="left"/>
        </w:tabs>
        <w:numPr>
          <w:ilvl w:val="0"/>
          <w:numId w:val="47"/>
        </w:numPr>
        <w:rPr>
          <w:rFonts w:ascii="Arial" w:cs="Arial" w:eastAsia="Arial" w:hAnsi="Arial"/>
          <w:sz w:val="15"/>
          <w:szCs w:val="15"/>
          <w:b w:val="1"/>
          <w:bCs w:val="1"/>
          <w:color w:val="16479F"/>
        </w:rPr>
      </w:pPr>
      <w:r>
        <w:rPr>
          <w:rFonts w:ascii="Arial" w:cs="Arial" w:eastAsia="Arial" w:hAnsi="Arial"/>
          <w:sz w:val="15"/>
          <w:szCs w:val="15"/>
          <w:color w:val="auto"/>
        </w:rPr>
        <w:t>All members satisfy NYSE financial literacy requirements, each of Messrs. Ashe, Edmunds and Rattray and Ms. Riefler have accounting or other related financial management expertise, and Messrs. Ashe and Edmunds have been designated as “audit committee financial experts,” as defined by SEC rules.</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left="42"/>
        <w:spacing w:after="0"/>
        <w:rPr>
          <w:sz w:val="20"/>
          <w:szCs w:val="20"/>
          <w:color w:val="auto"/>
        </w:rPr>
      </w:pPr>
      <w:r>
        <w:rPr>
          <w:rFonts w:ascii="Arial" w:cs="Arial" w:eastAsia="Arial" w:hAnsi="Arial"/>
          <w:sz w:val="16"/>
          <w:szCs w:val="16"/>
          <w:b w:val="1"/>
          <w:bCs w:val="1"/>
          <w:color w:val="16479F"/>
        </w:rPr>
        <w:t>PRIMARY RESPONSIBILITIES:</w:t>
      </w:r>
    </w:p>
    <w:p>
      <w:pPr>
        <w:spacing w:after="0" w:line="99" w:lineRule="exact"/>
        <w:rPr>
          <w:sz w:val="20"/>
          <w:szCs w:val="20"/>
          <w:color w:val="auto"/>
        </w:rPr>
      </w:pPr>
    </w:p>
    <w:p>
      <w:pPr>
        <w:ind w:left="182" w:right="280" w:hanging="182"/>
        <w:spacing w:after="0" w:line="237" w:lineRule="auto"/>
        <w:tabs>
          <w:tab w:leader="none" w:pos="170" w:val="left"/>
        </w:tabs>
        <w:numPr>
          <w:ilvl w:val="0"/>
          <w:numId w:val="48"/>
        </w:numPr>
        <w:rPr>
          <w:rFonts w:ascii="Arial" w:cs="Arial" w:eastAsia="Arial" w:hAnsi="Arial"/>
          <w:sz w:val="15"/>
          <w:szCs w:val="15"/>
          <w:b w:val="1"/>
          <w:bCs w:val="1"/>
          <w:color w:val="16479F"/>
        </w:rPr>
      </w:pPr>
      <w:r>
        <w:rPr>
          <w:rFonts w:ascii="Arial" w:cs="Arial" w:eastAsia="Arial" w:hAnsi="Arial"/>
          <w:sz w:val="15"/>
          <w:szCs w:val="15"/>
          <w:color w:val="auto"/>
        </w:rPr>
        <w:t>Oversees the integrity of the Company’s financial statements, internal controls over financial reporting and risk assessment and risk management (including major financial risk exposures and cybersecurity risks).</w:t>
      </w:r>
    </w:p>
    <w:p>
      <w:pPr>
        <w:spacing w:after="0" w:line="34" w:lineRule="exact"/>
        <w:rPr>
          <w:rFonts w:ascii="Arial" w:cs="Arial" w:eastAsia="Arial" w:hAnsi="Arial"/>
          <w:sz w:val="15"/>
          <w:szCs w:val="15"/>
          <w:b w:val="1"/>
          <w:bCs w:val="1"/>
          <w:color w:val="16479F"/>
        </w:rPr>
      </w:pPr>
    </w:p>
    <w:p>
      <w:pPr>
        <w:ind w:left="162" w:hanging="162"/>
        <w:spacing w:after="0"/>
        <w:tabs>
          <w:tab w:leader="none" w:pos="162" w:val="left"/>
        </w:tabs>
        <w:numPr>
          <w:ilvl w:val="0"/>
          <w:numId w:val="48"/>
        </w:numPr>
        <w:rPr>
          <w:rFonts w:ascii="Arial" w:cs="Arial" w:eastAsia="Arial" w:hAnsi="Arial"/>
          <w:sz w:val="15"/>
          <w:szCs w:val="15"/>
          <w:b w:val="1"/>
          <w:bCs w:val="1"/>
          <w:color w:val="16479F"/>
        </w:rPr>
      </w:pPr>
      <w:r>
        <w:rPr>
          <w:rFonts w:ascii="Arial" w:cs="Arial" w:eastAsia="Arial" w:hAnsi="Arial"/>
          <w:sz w:val="15"/>
          <w:szCs w:val="15"/>
          <w:color w:val="auto"/>
        </w:rPr>
        <w:t>Appoints and determines the compensation of the independent auditor.</w:t>
      </w:r>
    </w:p>
    <w:p>
      <w:pPr>
        <w:spacing w:after="0" w:line="41" w:lineRule="exact"/>
        <w:rPr>
          <w:rFonts w:ascii="Arial" w:cs="Arial" w:eastAsia="Arial" w:hAnsi="Arial"/>
          <w:sz w:val="15"/>
          <w:szCs w:val="15"/>
          <w:b w:val="1"/>
          <w:bCs w:val="1"/>
          <w:color w:val="16479F"/>
        </w:rPr>
      </w:pPr>
    </w:p>
    <w:p>
      <w:pPr>
        <w:ind w:left="182" w:right="40" w:hanging="182"/>
        <w:spacing w:after="0" w:line="233" w:lineRule="auto"/>
        <w:tabs>
          <w:tab w:leader="none" w:pos="170" w:val="left"/>
        </w:tabs>
        <w:numPr>
          <w:ilvl w:val="0"/>
          <w:numId w:val="48"/>
        </w:numPr>
        <w:rPr>
          <w:rFonts w:ascii="Arial" w:cs="Arial" w:eastAsia="Arial" w:hAnsi="Arial"/>
          <w:sz w:val="15"/>
          <w:szCs w:val="15"/>
          <w:b w:val="1"/>
          <w:bCs w:val="1"/>
          <w:color w:val="16479F"/>
        </w:rPr>
      </w:pPr>
      <w:r>
        <w:rPr>
          <w:rFonts w:ascii="Arial" w:cs="Arial" w:eastAsia="Arial" w:hAnsi="Arial"/>
          <w:sz w:val="15"/>
          <w:szCs w:val="15"/>
          <w:color w:val="auto"/>
        </w:rPr>
        <w:t>Evaluates the qualifications, independence and performance of the independent auditor, including obtaining a report of the independent auditor describing the items set forth in the Audit and Risk Committee’s charter, including those required by the Public Company Accounting Oversight Board.</w:t>
      </w:r>
    </w:p>
    <w:p>
      <w:pPr>
        <w:spacing w:after="0" w:line="33" w:lineRule="exact"/>
        <w:rPr>
          <w:rFonts w:ascii="Arial" w:cs="Arial" w:eastAsia="Arial" w:hAnsi="Arial"/>
          <w:sz w:val="15"/>
          <w:szCs w:val="15"/>
          <w:b w:val="1"/>
          <w:bCs w:val="1"/>
          <w:color w:val="16479F"/>
        </w:rPr>
      </w:pPr>
    </w:p>
    <w:p>
      <w:pPr>
        <w:ind w:left="182" w:hanging="182"/>
        <w:spacing w:after="0"/>
        <w:tabs>
          <w:tab w:leader="none" w:pos="182" w:val="left"/>
        </w:tabs>
        <w:numPr>
          <w:ilvl w:val="0"/>
          <w:numId w:val="48"/>
        </w:numPr>
        <w:rPr>
          <w:rFonts w:ascii="Arial" w:cs="Arial" w:eastAsia="Arial" w:hAnsi="Arial"/>
          <w:sz w:val="15"/>
          <w:szCs w:val="15"/>
          <w:b w:val="1"/>
          <w:bCs w:val="1"/>
          <w:color w:val="16479F"/>
        </w:rPr>
      </w:pPr>
      <w:r>
        <w:rPr>
          <w:rFonts w:ascii="Arial" w:cs="Arial" w:eastAsia="Arial" w:hAnsi="Arial"/>
          <w:sz w:val="15"/>
          <w:szCs w:val="15"/>
          <w:color w:val="auto"/>
        </w:rPr>
        <w:t>Pre-approves audit and permitted non-audit services.</w:t>
      </w:r>
    </w:p>
    <w:p>
      <w:pPr>
        <w:spacing w:after="0" w:line="41" w:lineRule="exact"/>
        <w:rPr>
          <w:rFonts w:ascii="Arial" w:cs="Arial" w:eastAsia="Arial" w:hAnsi="Arial"/>
          <w:sz w:val="15"/>
          <w:szCs w:val="15"/>
          <w:b w:val="1"/>
          <w:bCs w:val="1"/>
          <w:color w:val="16479F"/>
        </w:rPr>
      </w:pPr>
    </w:p>
    <w:p>
      <w:pPr>
        <w:ind w:left="182" w:hanging="182"/>
        <w:spacing w:after="0"/>
        <w:tabs>
          <w:tab w:leader="none" w:pos="182" w:val="left"/>
        </w:tabs>
        <w:numPr>
          <w:ilvl w:val="0"/>
          <w:numId w:val="48"/>
        </w:numPr>
        <w:rPr>
          <w:rFonts w:ascii="Arial" w:cs="Arial" w:eastAsia="Arial" w:hAnsi="Arial"/>
          <w:sz w:val="15"/>
          <w:szCs w:val="15"/>
          <w:b w:val="1"/>
          <w:bCs w:val="1"/>
          <w:color w:val="16479F"/>
        </w:rPr>
      </w:pPr>
      <w:r>
        <w:rPr>
          <w:rFonts w:ascii="Arial" w:cs="Arial" w:eastAsia="Arial" w:hAnsi="Arial"/>
          <w:sz w:val="15"/>
          <w:szCs w:val="15"/>
          <w:color w:val="auto"/>
        </w:rPr>
        <w:t>Reviews and evaluates the audit plan, performance, responsibilities, budget and staffing of the Company’s internal audit function.</w:t>
      </w:r>
    </w:p>
    <w:p>
      <w:pPr>
        <w:spacing w:after="0" w:line="41" w:lineRule="exact"/>
        <w:rPr>
          <w:rFonts w:ascii="Arial" w:cs="Arial" w:eastAsia="Arial" w:hAnsi="Arial"/>
          <w:sz w:val="15"/>
          <w:szCs w:val="15"/>
          <w:b w:val="1"/>
          <w:bCs w:val="1"/>
          <w:color w:val="16479F"/>
        </w:rPr>
      </w:pPr>
    </w:p>
    <w:p>
      <w:pPr>
        <w:ind w:left="182" w:right="540" w:hanging="182"/>
        <w:spacing w:after="0" w:line="237" w:lineRule="auto"/>
        <w:tabs>
          <w:tab w:leader="none" w:pos="170" w:val="left"/>
        </w:tabs>
        <w:numPr>
          <w:ilvl w:val="0"/>
          <w:numId w:val="48"/>
        </w:numPr>
        <w:rPr>
          <w:rFonts w:ascii="Arial" w:cs="Arial" w:eastAsia="Arial" w:hAnsi="Arial"/>
          <w:sz w:val="15"/>
          <w:szCs w:val="15"/>
          <w:b w:val="1"/>
          <w:bCs w:val="1"/>
          <w:color w:val="16479F"/>
        </w:rPr>
      </w:pPr>
      <w:r>
        <w:rPr>
          <w:rFonts w:ascii="Arial" w:cs="Arial" w:eastAsia="Arial" w:hAnsi="Arial"/>
          <w:sz w:val="15"/>
          <w:szCs w:val="15"/>
          <w:color w:val="auto"/>
        </w:rPr>
        <w:t>Reviews and discusses with management and the independent auditor the annual audited and quarterly unaudited financial statements included in the Company’s Annual Report on Form 10-K and Quarterly Reports on Form 10-Q, respectively.</w:t>
      </w:r>
    </w:p>
    <w:p>
      <w:pPr>
        <w:spacing w:after="0" w:line="34" w:lineRule="exact"/>
        <w:rPr>
          <w:rFonts w:ascii="Arial" w:cs="Arial" w:eastAsia="Arial" w:hAnsi="Arial"/>
          <w:sz w:val="15"/>
          <w:szCs w:val="15"/>
          <w:b w:val="1"/>
          <w:bCs w:val="1"/>
          <w:color w:val="16479F"/>
        </w:rPr>
      </w:pPr>
    </w:p>
    <w:p>
      <w:pPr>
        <w:ind w:left="182" w:right="100" w:hanging="182"/>
        <w:spacing w:after="0" w:line="233" w:lineRule="auto"/>
        <w:tabs>
          <w:tab w:leader="none" w:pos="170" w:val="left"/>
        </w:tabs>
        <w:numPr>
          <w:ilvl w:val="0"/>
          <w:numId w:val="48"/>
        </w:numPr>
        <w:rPr>
          <w:rFonts w:ascii="Arial" w:cs="Arial" w:eastAsia="Arial" w:hAnsi="Arial"/>
          <w:sz w:val="15"/>
          <w:szCs w:val="15"/>
          <w:b w:val="1"/>
          <w:bCs w:val="1"/>
          <w:color w:val="16479F"/>
        </w:rPr>
      </w:pPr>
      <w:r>
        <w:rPr>
          <w:rFonts w:ascii="Arial" w:cs="Arial" w:eastAsia="Arial" w:hAnsi="Arial"/>
          <w:sz w:val="15"/>
          <w:szCs w:val="15"/>
          <w:color w:val="auto"/>
        </w:rPr>
        <w:t>Establishes procedures for (i) the receipt, retention and treatment of complaints regarding accounting, internal accounting controls or auditing matters and (ii) the confidential, anonymous submission by the Company’s employees of concerns regarding questionable accounting or auditing matters, and the review of any submissions received pursuant to such procedures.</w:t>
      </w:r>
    </w:p>
    <w:p>
      <w:pPr>
        <w:spacing w:after="0" w:line="33" w:lineRule="exact"/>
        <w:rPr>
          <w:rFonts w:ascii="Arial" w:cs="Arial" w:eastAsia="Arial" w:hAnsi="Arial"/>
          <w:sz w:val="15"/>
          <w:szCs w:val="15"/>
          <w:b w:val="1"/>
          <w:bCs w:val="1"/>
          <w:color w:val="16479F"/>
        </w:rPr>
      </w:pPr>
    </w:p>
    <w:p>
      <w:pPr>
        <w:ind w:left="182" w:hanging="182"/>
        <w:spacing w:after="0"/>
        <w:tabs>
          <w:tab w:leader="none" w:pos="182" w:val="left"/>
        </w:tabs>
        <w:numPr>
          <w:ilvl w:val="0"/>
          <w:numId w:val="48"/>
        </w:numPr>
        <w:rPr>
          <w:rFonts w:ascii="Arial" w:cs="Arial" w:eastAsia="Arial" w:hAnsi="Arial"/>
          <w:sz w:val="15"/>
          <w:szCs w:val="15"/>
          <w:b w:val="1"/>
          <w:bCs w:val="1"/>
          <w:color w:val="16479F"/>
        </w:rPr>
      </w:pPr>
      <w:r>
        <w:rPr>
          <w:rFonts w:ascii="Arial" w:cs="Arial" w:eastAsia="Arial" w:hAnsi="Arial"/>
          <w:sz w:val="15"/>
          <w:szCs w:val="15"/>
          <w:color w:val="auto"/>
        </w:rPr>
        <w:t>Reviews reports from management relating to the status of compliance with legal and regulatory requirements.</w:t>
      </w:r>
    </w:p>
    <w:p>
      <w:pPr>
        <w:spacing w:after="0" w:line="41" w:lineRule="exact"/>
        <w:rPr>
          <w:rFonts w:ascii="Arial" w:cs="Arial" w:eastAsia="Arial" w:hAnsi="Arial"/>
          <w:sz w:val="15"/>
          <w:szCs w:val="15"/>
          <w:b w:val="1"/>
          <w:bCs w:val="1"/>
          <w:color w:val="16479F"/>
        </w:rPr>
      </w:pPr>
    </w:p>
    <w:p>
      <w:pPr>
        <w:jc w:val="both"/>
        <w:ind w:left="182" w:right="100" w:hanging="182"/>
        <w:spacing w:after="0" w:line="233" w:lineRule="auto"/>
        <w:tabs>
          <w:tab w:leader="none" w:pos="170" w:val="left"/>
        </w:tabs>
        <w:numPr>
          <w:ilvl w:val="0"/>
          <w:numId w:val="48"/>
        </w:numPr>
        <w:rPr>
          <w:rFonts w:ascii="Arial" w:cs="Arial" w:eastAsia="Arial" w:hAnsi="Arial"/>
          <w:sz w:val="15"/>
          <w:szCs w:val="15"/>
          <w:b w:val="1"/>
          <w:bCs w:val="1"/>
          <w:color w:val="16479F"/>
        </w:rPr>
      </w:pPr>
      <w:r>
        <w:rPr>
          <w:rFonts w:ascii="Arial" w:cs="Arial" w:eastAsia="Arial" w:hAnsi="Arial"/>
          <w:sz w:val="15"/>
          <w:szCs w:val="15"/>
          <w:color w:val="auto"/>
        </w:rPr>
        <w:t>Reviews with management (i) the Company’s key business risks, including the Company’s major regulatory, litigation and financial risk exposures and technology and cybersecurity risks, (ii) policies and practices with respect to risk governance, risk assessment and risk management, and (iii) the steps that have been taken to assess, monitor and control such risks.</w:t>
      </w:r>
    </w:p>
    <w:p>
      <w:pPr>
        <w:spacing w:after="0" w:line="33" w:lineRule="exact"/>
        <w:rPr>
          <w:rFonts w:ascii="Arial" w:cs="Arial" w:eastAsia="Arial" w:hAnsi="Arial"/>
          <w:sz w:val="15"/>
          <w:szCs w:val="15"/>
          <w:b w:val="1"/>
          <w:bCs w:val="1"/>
          <w:color w:val="16479F"/>
        </w:rPr>
      </w:pPr>
    </w:p>
    <w:p>
      <w:pPr>
        <w:ind w:left="182" w:right="420" w:hanging="182"/>
        <w:spacing w:after="0" w:line="237" w:lineRule="auto"/>
        <w:tabs>
          <w:tab w:leader="none" w:pos="170" w:val="left"/>
        </w:tabs>
        <w:numPr>
          <w:ilvl w:val="0"/>
          <w:numId w:val="48"/>
        </w:numPr>
        <w:rPr>
          <w:rFonts w:ascii="Arial" w:cs="Arial" w:eastAsia="Arial" w:hAnsi="Arial"/>
          <w:sz w:val="15"/>
          <w:szCs w:val="15"/>
          <w:b w:val="1"/>
          <w:bCs w:val="1"/>
          <w:color w:val="16479F"/>
        </w:rPr>
      </w:pPr>
      <w:r>
        <w:rPr>
          <w:rFonts w:ascii="Arial" w:cs="Arial" w:eastAsia="Arial" w:hAnsi="Arial"/>
          <w:sz w:val="15"/>
          <w:szCs w:val="15"/>
          <w:color w:val="auto"/>
        </w:rPr>
        <w:t>Reviews the Company’s enterprise risk management program, including its risk governance framework and risk management practices that facilitate the identification, assessment, mitigation and public reporting of risks that may affect the Company.</w:t>
      </w:r>
    </w:p>
    <w:p>
      <w:pPr>
        <w:spacing w:after="0" w:line="127" w:lineRule="exact"/>
        <w:rPr>
          <w:sz w:val="20"/>
          <w:szCs w:val="20"/>
          <w:color w:val="auto"/>
        </w:rPr>
      </w:pPr>
    </w:p>
    <w:p>
      <w:pPr>
        <w:ind w:left="42"/>
        <w:spacing w:after="0"/>
        <w:rPr>
          <w:sz w:val="20"/>
          <w:szCs w:val="20"/>
          <w:color w:val="auto"/>
        </w:rPr>
      </w:pPr>
      <w:r>
        <w:rPr>
          <w:rFonts w:ascii="Arial" w:cs="Arial" w:eastAsia="Arial" w:hAnsi="Arial"/>
          <w:sz w:val="16"/>
          <w:szCs w:val="16"/>
          <w:b w:val="1"/>
          <w:bCs w:val="1"/>
          <w:color w:val="16479F"/>
        </w:rPr>
        <w:t>KEY AREAS OF FOCUS IN 2021:</w:t>
      </w:r>
    </w:p>
    <w:p>
      <w:pPr>
        <w:spacing w:after="0" w:line="99" w:lineRule="exact"/>
        <w:rPr>
          <w:sz w:val="20"/>
          <w:szCs w:val="20"/>
          <w:color w:val="auto"/>
        </w:rPr>
      </w:pPr>
    </w:p>
    <w:p>
      <w:pPr>
        <w:ind w:left="182" w:hanging="182"/>
        <w:spacing w:after="0"/>
        <w:tabs>
          <w:tab w:leader="none" w:pos="182" w:val="left"/>
        </w:tabs>
        <w:numPr>
          <w:ilvl w:val="0"/>
          <w:numId w:val="49"/>
        </w:numPr>
        <w:rPr>
          <w:rFonts w:ascii="Arial" w:cs="Arial" w:eastAsia="Arial" w:hAnsi="Arial"/>
          <w:sz w:val="15"/>
          <w:szCs w:val="15"/>
          <w:b w:val="1"/>
          <w:bCs w:val="1"/>
          <w:color w:val="16479F"/>
        </w:rPr>
      </w:pPr>
      <w:r>
        <w:rPr>
          <w:rFonts w:ascii="Arial" w:cs="Arial" w:eastAsia="Arial" w:hAnsi="Arial"/>
          <w:sz w:val="15"/>
          <w:szCs w:val="15"/>
          <w:color w:val="auto"/>
        </w:rPr>
        <w:t>Climate risk considerations in light of increasing interest by stakeholders.</w:t>
      </w:r>
    </w:p>
    <w:p>
      <w:pPr>
        <w:spacing w:after="0" w:line="41" w:lineRule="exact"/>
        <w:rPr>
          <w:rFonts w:ascii="Arial" w:cs="Arial" w:eastAsia="Arial" w:hAnsi="Arial"/>
          <w:sz w:val="15"/>
          <w:szCs w:val="15"/>
          <w:b w:val="1"/>
          <w:bCs w:val="1"/>
          <w:color w:val="16479F"/>
        </w:rPr>
      </w:pPr>
    </w:p>
    <w:p>
      <w:pPr>
        <w:ind w:left="182" w:hanging="182"/>
        <w:spacing w:after="0"/>
        <w:tabs>
          <w:tab w:leader="none" w:pos="182" w:val="left"/>
        </w:tabs>
        <w:numPr>
          <w:ilvl w:val="0"/>
          <w:numId w:val="49"/>
        </w:numPr>
        <w:rPr>
          <w:rFonts w:ascii="Arial" w:cs="Arial" w:eastAsia="Arial" w:hAnsi="Arial"/>
          <w:sz w:val="15"/>
          <w:szCs w:val="15"/>
          <w:b w:val="1"/>
          <w:bCs w:val="1"/>
          <w:color w:val="16479F"/>
        </w:rPr>
      </w:pPr>
      <w:r>
        <w:rPr>
          <w:rFonts w:ascii="Arial" w:cs="Arial" w:eastAsia="Arial" w:hAnsi="Arial"/>
          <w:sz w:val="15"/>
          <w:szCs w:val="15"/>
          <w:color w:val="auto"/>
        </w:rPr>
        <w:t>Risks associated with IT and cybersecurity.</w:t>
      </w:r>
    </w:p>
    <w:p>
      <w:pPr>
        <w:spacing w:after="0" w:line="41" w:lineRule="exact"/>
        <w:rPr>
          <w:rFonts w:ascii="Arial" w:cs="Arial" w:eastAsia="Arial" w:hAnsi="Arial"/>
          <w:sz w:val="15"/>
          <w:szCs w:val="15"/>
          <w:b w:val="1"/>
          <w:bCs w:val="1"/>
          <w:color w:val="16479F"/>
        </w:rPr>
      </w:pPr>
    </w:p>
    <w:p>
      <w:pPr>
        <w:ind w:left="182" w:hanging="182"/>
        <w:spacing w:after="0"/>
        <w:tabs>
          <w:tab w:leader="none" w:pos="182" w:val="left"/>
        </w:tabs>
        <w:numPr>
          <w:ilvl w:val="0"/>
          <w:numId w:val="49"/>
        </w:numPr>
        <w:rPr>
          <w:rFonts w:ascii="Arial" w:cs="Arial" w:eastAsia="Arial" w:hAnsi="Arial"/>
          <w:sz w:val="15"/>
          <w:szCs w:val="15"/>
          <w:b w:val="1"/>
          <w:bCs w:val="1"/>
          <w:color w:val="16479F"/>
        </w:rPr>
      </w:pPr>
      <w:r>
        <w:rPr>
          <w:rFonts w:ascii="Arial" w:cs="Arial" w:eastAsia="Arial" w:hAnsi="Arial"/>
          <w:sz w:val="15"/>
          <w:szCs w:val="15"/>
          <w:color w:val="auto"/>
        </w:rPr>
        <w:t>Risk management and governance of data and research used in our ESG and Climate business.</w:t>
      </w:r>
    </w:p>
    <w:p>
      <w:pPr>
        <w:spacing w:after="0" w:line="149" w:lineRule="exact"/>
        <w:rPr>
          <w:sz w:val="20"/>
          <w:szCs w:val="20"/>
          <w:color w:val="auto"/>
        </w:rPr>
      </w:pPr>
    </w:p>
    <w:p>
      <w:pPr>
        <w:ind w:left="42" w:right="60"/>
        <w:spacing w:after="0" w:line="237" w:lineRule="auto"/>
        <w:rPr>
          <w:sz w:val="20"/>
          <w:szCs w:val="20"/>
          <w:color w:val="auto"/>
        </w:rPr>
      </w:pPr>
      <w:r>
        <w:rPr>
          <w:rFonts w:ascii="Arial" w:cs="Arial" w:eastAsia="Arial" w:hAnsi="Arial"/>
          <w:sz w:val="15"/>
          <w:szCs w:val="15"/>
          <w:color w:val="auto"/>
        </w:rPr>
        <w:t>The Audit Committee changed its name in 2021 to the Audit and Risk Committee to provide greater alignment with the full duties and responsibilities outlined in the Audit and Risk Committee’s Charter and reflect the broad scope of its oversight responsibilities.</w:t>
      </w:r>
    </w:p>
    <w:p>
      <w:pPr>
        <w:spacing w:after="0" w:line="128" w:lineRule="exact"/>
        <w:rPr>
          <w:sz w:val="20"/>
          <w:szCs w:val="20"/>
          <w:color w:val="auto"/>
        </w:rPr>
      </w:pPr>
    </w:p>
    <w:p>
      <w:pPr>
        <w:ind w:left="42" w:right="100"/>
        <w:spacing w:after="0" w:line="237" w:lineRule="auto"/>
        <w:rPr>
          <w:sz w:val="20"/>
          <w:szCs w:val="20"/>
          <w:color w:val="auto"/>
        </w:rPr>
      </w:pPr>
      <w:r>
        <w:rPr>
          <w:rFonts w:ascii="Arial" w:cs="Arial" w:eastAsia="Arial" w:hAnsi="Arial"/>
          <w:sz w:val="15"/>
          <w:szCs w:val="15"/>
          <w:color w:val="auto"/>
        </w:rPr>
        <w:t>Further details on the role of the Audit and Risk Committee, as well as the Audit and Risk Committee Report, may be found in “Audit Matters—Audit and Risk Committee Report” on page 97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-1390650</wp:posOffset>
            </wp:positionH>
            <wp:positionV relativeFrom="paragraph">
              <wp:posOffset>49530</wp:posOffset>
            </wp:positionV>
            <wp:extent cx="71335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20" w:space="278"/>
            <w:col w:w="8982"/>
          </w:cols>
          <w:pgMar w:left="320" w:top="121" w:right="399" w:bottom="1440" w:gutter="0" w:footer="0" w:header="0"/>
          <w:type w:val="continuous"/>
        </w:sectPr>
      </w:pPr>
    </w:p>
    <w:p>
      <w:pPr>
        <w:spacing w:after="0" w:line="107"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Effective June 1, 2021, Rajat Taneja began serving on the Audit and Risk Committee. Mr. Taneja is independent within the meaning of the NYSE standards of independence for audit committee members and satisfies the NYSE financial literacy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7154545"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35" w:name="page36"/>
    <w:bookmarkEnd w:id="35"/>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00" w:type="dxa"/>
            <w:vAlign w:val="bottom"/>
            <w:tcBorders>
              <w:right w:val="single" w:sz="8" w:color="16479F"/>
            </w:tcBorders>
          </w:tcPr>
          <w:p>
            <w:pPr>
              <w:ind w:left="8740"/>
              <w:spacing w:after="0"/>
              <w:rPr>
                <w:sz w:val="20"/>
                <w:szCs w:val="20"/>
                <w:color w:val="auto"/>
              </w:rPr>
            </w:pPr>
            <w:r>
              <w:rPr>
                <w:rFonts w:ascii="Arial" w:cs="Arial" w:eastAsia="Arial" w:hAnsi="Arial"/>
                <w:sz w:val="14"/>
                <w:szCs w:val="14"/>
                <w:b w:val="1"/>
                <w:bCs w:val="1"/>
                <w:color w:val="16479F"/>
              </w:rPr>
              <w:t>2022 PROXY STATEMENT</w:t>
            </w:r>
          </w:p>
        </w:tc>
        <w:tc>
          <w:tcPr>
            <w:tcW w:w="640" w:type="dxa"/>
            <w:vAlign w:val="bottom"/>
          </w:tcPr>
          <w:p>
            <w:pPr>
              <w:jc w:val="right"/>
              <w:ind w:right="9"/>
              <w:spacing w:after="0"/>
              <w:rPr>
                <w:sz w:val="20"/>
                <w:szCs w:val="20"/>
                <w:color w:val="auto"/>
              </w:rPr>
            </w:pPr>
            <w:r>
              <w:rPr>
                <w:rFonts w:ascii="Arial" w:cs="Arial" w:eastAsia="Arial" w:hAnsi="Arial"/>
                <w:sz w:val="14"/>
                <w:szCs w:val="14"/>
                <w:b w:val="1"/>
                <w:bCs w:val="1"/>
                <w:color w:val="16479F"/>
              </w:rPr>
              <w:t>35</w:t>
            </w:r>
          </w:p>
        </w:tc>
      </w:tr>
      <w:tr>
        <w:trPr>
          <w:trHeight w:val="65"/>
        </w:trPr>
        <w:tc>
          <w:tcPr>
            <w:tcW w:w="10600" w:type="dxa"/>
            <w:vAlign w:val="bottom"/>
            <w:tcBorders>
              <w:bottom w:val="single" w:sz="8" w:color="16479F"/>
              <w:right w:val="single" w:sz="8" w:color="16479F"/>
            </w:tcBorders>
          </w:tcPr>
          <w:p>
            <w:pPr>
              <w:spacing w:after="0"/>
              <w:rPr>
                <w:sz w:val="5"/>
                <w:szCs w:val="5"/>
                <w:color w:val="auto"/>
              </w:rPr>
            </w:pPr>
          </w:p>
        </w:tc>
        <w:tc>
          <w:tcPr>
            <w:tcW w:w="640" w:type="dxa"/>
            <w:vAlign w:val="bottom"/>
            <w:tcBorders>
              <w:bottom w:val="single" w:sz="8" w:color="16479F"/>
            </w:tcBorders>
          </w:tcPr>
          <w:p>
            <w:pPr>
              <w:spacing w:after="0"/>
              <w:rPr>
                <w:sz w:val="5"/>
                <w:szCs w:val="5"/>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COMPENSATION, TALENT AND CULTURE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33590" cy="49993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3590" cy="49993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5"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16479F"/>
        </w:rPr>
        <w:t>MEMBERS:</w:t>
      </w:r>
    </w:p>
    <w:p>
      <w:pPr>
        <w:spacing w:after="0" w:line="99" w:lineRule="exact"/>
        <w:rPr>
          <w:sz w:val="20"/>
          <w:szCs w:val="20"/>
          <w:color w:val="auto"/>
        </w:rPr>
      </w:pPr>
    </w:p>
    <w:p>
      <w:pPr>
        <w:ind w:left="100" w:right="140"/>
        <w:spacing w:after="0" w:line="233" w:lineRule="auto"/>
        <w:rPr>
          <w:sz w:val="20"/>
          <w:szCs w:val="20"/>
          <w:color w:val="auto"/>
        </w:rPr>
      </w:pPr>
      <w:r>
        <w:rPr>
          <w:rFonts w:ascii="Arial" w:cs="Arial" w:eastAsia="Arial" w:hAnsi="Arial"/>
          <w:sz w:val="15"/>
          <w:szCs w:val="15"/>
          <w:color w:val="16479F"/>
        </w:rPr>
        <w:t>Linda H. Riefler (Chair) Wayne Edmunds Marcus L. Smith</w:t>
      </w:r>
    </w:p>
    <w:p>
      <w:pPr>
        <w:spacing w:after="0" w:line="126" w:lineRule="exact"/>
        <w:rPr>
          <w:sz w:val="20"/>
          <w:szCs w:val="20"/>
          <w:color w:val="auto"/>
        </w:rPr>
      </w:pPr>
    </w:p>
    <w:p>
      <w:pPr>
        <w:ind w:left="100" w:right="160"/>
        <w:spacing w:after="0" w:line="282" w:lineRule="auto"/>
        <w:rPr>
          <w:sz w:val="20"/>
          <w:szCs w:val="20"/>
          <w:color w:val="auto"/>
        </w:rPr>
      </w:pPr>
      <w:r>
        <w:rPr>
          <w:rFonts w:ascii="Arial" w:cs="Arial" w:eastAsia="Arial" w:hAnsi="Arial"/>
          <w:sz w:val="16"/>
          <w:szCs w:val="16"/>
          <w:b w:val="1"/>
          <w:bCs w:val="1"/>
          <w:color w:val="16479F"/>
        </w:rPr>
        <w:t>MEETINGS HELD IN 2021: 8</w:t>
      </w:r>
    </w:p>
    <w:p>
      <w:pPr>
        <w:spacing w:after="0" w:line="38" w:lineRule="exact"/>
        <w:rPr>
          <w:sz w:val="20"/>
          <w:szCs w:val="20"/>
          <w:color w:val="auto"/>
        </w:rPr>
      </w:pPr>
    </w:p>
    <w:p>
      <w:pPr>
        <w:ind w:left="280" w:right="80" w:hanging="184"/>
        <w:spacing w:after="0" w:line="227" w:lineRule="auto"/>
        <w:tabs>
          <w:tab w:leader="none" w:pos="260" w:val="left"/>
        </w:tabs>
        <w:numPr>
          <w:ilvl w:val="0"/>
          <w:numId w:val="50"/>
        </w:numPr>
        <w:rPr>
          <w:rFonts w:ascii="Arial" w:cs="Arial" w:eastAsia="Arial" w:hAnsi="Arial"/>
          <w:sz w:val="15"/>
          <w:szCs w:val="15"/>
          <w:b w:val="1"/>
          <w:bCs w:val="1"/>
          <w:color w:val="16479F"/>
        </w:rPr>
      </w:pPr>
      <w:r>
        <w:rPr>
          <w:rFonts w:ascii="Arial" w:cs="Arial" w:eastAsia="Arial" w:hAnsi="Arial"/>
          <w:sz w:val="15"/>
          <w:szCs w:val="15"/>
          <w:color w:val="auto"/>
        </w:rPr>
        <w:t>All members are independent within the meaning of the NYSE standards of independence for directors and compensation committee members.</w:t>
      </w:r>
    </w:p>
    <w:p>
      <w:pPr>
        <w:spacing w:after="0" w:line="33" w:lineRule="exact"/>
        <w:rPr>
          <w:rFonts w:ascii="Arial" w:cs="Arial" w:eastAsia="Arial" w:hAnsi="Arial"/>
          <w:sz w:val="15"/>
          <w:szCs w:val="15"/>
          <w:b w:val="1"/>
          <w:bCs w:val="1"/>
          <w:color w:val="16479F"/>
        </w:rPr>
      </w:pPr>
    </w:p>
    <w:p>
      <w:pPr>
        <w:ind w:left="280" w:hanging="184"/>
        <w:spacing w:after="0" w:line="228" w:lineRule="auto"/>
        <w:tabs>
          <w:tab w:leader="none" w:pos="260" w:val="left"/>
        </w:tabs>
        <w:numPr>
          <w:ilvl w:val="0"/>
          <w:numId w:val="50"/>
        </w:numPr>
        <w:rPr>
          <w:rFonts w:ascii="Arial" w:cs="Arial" w:eastAsia="Arial" w:hAnsi="Arial"/>
          <w:sz w:val="15"/>
          <w:szCs w:val="15"/>
          <w:b w:val="1"/>
          <w:bCs w:val="1"/>
          <w:color w:val="16479F"/>
        </w:rPr>
      </w:pPr>
      <w:r>
        <w:rPr>
          <w:rFonts w:ascii="Arial" w:cs="Arial" w:eastAsia="Arial" w:hAnsi="Arial"/>
          <w:sz w:val="15"/>
          <w:szCs w:val="15"/>
          <w:color w:val="auto"/>
        </w:rPr>
        <w:t>All members qualify as “non-employee directors” for purposes of Rule 16b-3 under the Exchange Act.</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left="36"/>
        <w:spacing w:after="0"/>
        <w:rPr>
          <w:sz w:val="20"/>
          <w:szCs w:val="20"/>
          <w:color w:val="auto"/>
        </w:rPr>
      </w:pPr>
      <w:r>
        <w:rPr>
          <w:rFonts w:ascii="Arial" w:cs="Arial" w:eastAsia="Arial" w:hAnsi="Arial"/>
          <w:sz w:val="16"/>
          <w:szCs w:val="16"/>
          <w:b w:val="1"/>
          <w:bCs w:val="1"/>
          <w:color w:val="16479F"/>
        </w:rPr>
        <w:t>PRIMARY RESPONSIBILITIES:</w:t>
      </w:r>
    </w:p>
    <w:p>
      <w:pPr>
        <w:spacing w:after="0" w:line="99" w:lineRule="exact"/>
        <w:rPr>
          <w:sz w:val="20"/>
          <w:szCs w:val="20"/>
          <w:color w:val="auto"/>
        </w:rPr>
      </w:pPr>
    </w:p>
    <w:p>
      <w:pPr>
        <w:ind w:left="196" w:right="160" w:hanging="196"/>
        <w:spacing w:after="0" w:line="233" w:lineRule="auto"/>
        <w:tabs>
          <w:tab w:leader="none" w:pos="184" w:val="left"/>
        </w:tabs>
        <w:numPr>
          <w:ilvl w:val="0"/>
          <w:numId w:val="51"/>
        </w:numPr>
        <w:rPr>
          <w:rFonts w:ascii="Arial" w:cs="Arial" w:eastAsia="Arial" w:hAnsi="Arial"/>
          <w:sz w:val="15"/>
          <w:szCs w:val="15"/>
          <w:b w:val="1"/>
          <w:bCs w:val="1"/>
          <w:color w:val="16479F"/>
        </w:rPr>
      </w:pPr>
      <w:r>
        <w:rPr>
          <w:rFonts w:ascii="Arial" w:cs="Arial" w:eastAsia="Arial" w:hAnsi="Arial"/>
          <w:sz w:val="15"/>
          <w:szCs w:val="15"/>
          <w:color w:val="auto"/>
        </w:rPr>
        <w:t>Reviews the Company’s compensation strategy and reviews and approves the Company’s compensation and benefits policies generally, including reviewing and approving any incentive compensation and equity-based plans of the Company that are subject to Board approval and the Company’s stock ownership guidelines for Executive Committee members.</w:t>
      </w:r>
    </w:p>
    <w:p>
      <w:pPr>
        <w:spacing w:after="0" w:line="33" w:lineRule="exact"/>
        <w:rPr>
          <w:rFonts w:ascii="Arial" w:cs="Arial" w:eastAsia="Arial" w:hAnsi="Arial"/>
          <w:sz w:val="15"/>
          <w:szCs w:val="15"/>
          <w:b w:val="1"/>
          <w:bCs w:val="1"/>
          <w:color w:val="16479F"/>
        </w:rPr>
      </w:pPr>
    </w:p>
    <w:p>
      <w:pPr>
        <w:ind w:left="196" w:right="300" w:hanging="196"/>
        <w:spacing w:after="0" w:line="233" w:lineRule="auto"/>
        <w:tabs>
          <w:tab w:leader="none" w:pos="184" w:val="left"/>
        </w:tabs>
        <w:numPr>
          <w:ilvl w:val="0"/>
          <w:numId w:val="51"/>
        </w:numPr>
        <w:rPr>
          <w:rFonts w:ascii="Arial" w:cs="Arial" w:eastAsia="Arial" w:hAnsi="Arial"/>
          <w:sz w:val="15"/>
          <w:szCs w:val="15"/>
          <w:b w:val="1"/>
          <w:bCs w:val="1"/>
          <w:color w:val="16479F"/>
        </w:rPr>
      </w:pPr>
      <w:r>
        <w:rPr>
          <w:rFonts w:ascii="Arial" w:cs="Arial" w:eastAsia="Arial" w:hAnsi="Arial"/>
          <w:sz w:val="15"/>
          <w:szCs w:val="15"/>
          <w:color w:val="auto"/>
        </w:rPr>
        <w:t>Identifies, reviews and approves corporate goals and objectives to be used in the Company’s compensation programs, sets compensation for the Company’s executive officers and such other members of senior management as the Committee determines (the “Executives”), and evaluates each Executive’s performance, each in light of such goals and objectives.</w:t>
      </w:r>
    </w:p>
    <w:p>
      <w:pPr>
        <w:spacing w:after="0" w:line="33" w:lineRule="exact"/>
        <w:rPr>
          <w:rFonts w:ascii="Arial" w:cs="Arial" w:eastAsia="Arial" w:hAnsi="Arial"/>
          <w:sz w:val="15"/>
          <w:szCs w:val="15"/>
          <w:b w:val="1"/>
          <w:bCs w:val="1"/>
          <w:color w:val="16479F"/>
        </w:rPr>
      </w:pPr>
    </w:p>
    <w:p>
      <w:pPr>
        <w:ind w:left="196" w:right="440" w:hanging="196"/>
        <w:spacing w:after="0" w:line="233" w:lineRule="auto"/>
        <w:tabs>
          <w:tab w:leader="none" w:pos="184" w:val="left"/>
        </w:tabs>
        <w:numPr>
          <w:ilvl w:val="0"/>
          <w:numId w:val="51"/>
        </w:numPr>
        <w:rPr>
          <w:rFonts w:ascii="Arial" w:cs="Arial" w:eastAsia="Arial" w:hAnsi="Arial"/>
          <w:sz w:val="15"/>
          <w:szCs w:val="15"/>
          <w:b w:val="1"/>
          <w:bCs w:val="1"/>
          <w:color w:val="16479F"/>
        </w:rPr>
      </w:pPr>
      <w:r>
        <w:rPr>
          <w:rFonts w:ascii="Arial" w:cs="Arial" w:eastAsia="Arial" w:hAnsi="Arial"/>
          <w:sz w:val="15"/>
          <w:szCs w:val="15"/>
          <w:color w:val="auto"/>
        </w:rPr>
        <w:t>Reviews and approves the compensation of the Company’s CEO and each of the Company’s other Executives, including: base salary; annual and long-term incentive compensation; employment, severance and change in control agreements; and any other compensation, ongoing perquisites or special benefit items.</w:t>
      </w:r>
    </w:p>
    <w:p>
      <w:pPr>
        <w:spacing w:after="0" w:line="33" w:lineRule="exact"/>
        <w:rPr>
          <w:rFonts w:ascii="Arial" w:cs="Arial" w:eastAsia="Arial" w:hAnsi="Arial"/>
          <w:sz w:val="15"/>
          <w:szCs w:val="15"/>
          <w:b w:val="1"/>
          <w:bCs w:val="1"/>
          <w:color w:val="16479F"/>
        </w:rPr>
      </w:pPr>
    </w:p>
    <w:p>
      <w:pPr>
        <w:ind w:left="176" w:hanging="176"/>
        <w:spacing w:after="0"/>
        <w:tabs>
          <w:tab w:leader="none" w:pos="176" w:val="left"/>
        </w:tabs>
        <w:numPr>
          <w:ilvl w:val="0"/>
          <w:numId w:val="51"/>
        </w:numPr>
        <w:rPr>
          <w:rFonts w:ascii="Arial" w:cs="Arial" w:eastAsia="Arial" w:hAnsi="Arial"/>
          <w:sz w:val="15"/>
          <w:szCs w:val="15"/>
          <w:b w:val="1"/>
          <w:bCs w:val="1"/>
          <w:color w:val="16479F"/>
        </w:rPr>
      </w:pPr>
      <w:r>
        <w:rPr>
          <w:rFonts w:ascii="Arial" w:cs="Arial" w:eastAsia="Arial" w:hAnsi="Arial"/>
          <w:sz w:val="15"/>
          <w:szCs w:val="15"/>
          <w:color w:val="auto"/>
        </w:rPr>
        <w:t>Reviews non-employee director compensation every two years and recommends changes to the Board, when appropriate.</w:t>
      </w:r>
    </w:p>
    <w:p>
      <w:pPr>
        <w:spacing w:after="0" w:line="41" w:lineRule="exact"/>
        <w:rPr>
          <w:rFonts w:ascii="Arial" w:cs="Arial" w:eastAsia="Arial" w:hAnsi="Arial"/>
          <w:sz w:val="15"/>
          <w:szCs w:val="15"/>
          <w:b w:val="1"/>
          <w:bCs w:val="1"/>
          <w:color w:val="16479F"/>
        </w:rPr>
      </w:pPr>
    </w:p>
    <w:p>
      <w:pPr>
        <w:ind w:left="196" w:right="280" w:hanging="196"/>
        <w:spacing w:after="0" w:line="233" w:lineRule="auto"/>
        <w:tabs>
          <w:tab w:leader="none" w:pos="184" w:val="left"/>
        </w:tabs>
        <w:numPr>
          <w:ilvl w:val="0"/>
          <w:numId w:val="51"/>
        </w:numPr>
        <w:rPr>
          <w:rFonts w:ascii="Arial" w:cs="Arial" w:eastAsia="Arial" w:hAnsi="Arial"/>
          <w:sz w:val="15"/>
          <w:szCs w:val="15"/>
          <w:b w:val="1"/>
          <w:bCs w:val="1"/>
          <w:color w:val="16479F"/>
        </w:rPr>
      </w:pPr>
      <w:r>
        <w:rPr>
          <w:rFonts w:ascii="Arial" w:cs="Arial" w:eastAsia="Arial" w:hAnsi="Arial"/>
          <w:sz w:val="15"/>
          <w:szCs w:val="15"/>
          <w:color w:val="auto"/>
        </w:rPr>
        <w:t>Periodically reviews, in consultation with the CEO, the Company’s management succession planning and oversees the Company’s talent management, progression planning, career progression and retention strategies and programs, including the Company’s learning and development and DE&amp;I programs.</w:t>
      </w:r>
    </w:p>
    <w:p>
      <w:pPr>
        <w:spacing w:after="0" w:line="33" w:lineRule="exact"/>
        <w:rPr>
          <w:rFonts w:ascii="Arial" w:cs="Arial" w:eastAsia="Arial" w:hAnsi="Arial"/>
          <w:sz w:val="15"/>
          <w:szCs w:val="15"/>
          <w:b w:val="1"/>
          <w:bCs w:val="1"/>
          <w:color w:val="16479F"/>
        </w:rPr>
      </w:pPr>
    </w:p>
    <w:p>
      <w:pPr>
        <w:ind w:left="176" w:hanging="176"/>
        <w:spacing w:after="0"/>
        <w:tabs>
          <w:tab w:leader="none" w:pos="176" w:val="left"/>
        </w:tabs>
        <w:numPr>
          <w:ilvl w:val="0"/>
          <w:numId w:val="51"/>
        </w:numPr>
        <w:rPr>
          <w:rFonts w:ascii="Arial" w:cs="Arial" w:eastAsia="Arial" w:hAnsi="Arial"/>
          <w:sz w:val="15"/>
          <w:szCs w:val="15"/>
          <w:b w:val="1"/>
          <w:bCs w:val="1"/>
          <w:color w:val="16479F"/>
        </w:rPr>
      </w:pPr>
      <w:r>
        <w:rPr>
          <w:rFonts w:ascii="Arial" w:cs="Arial" w:eastAsia="Arial" w:hAnsi="Arial"/>
          <w:sz w:val="15"/>
          <w:szCs w:val="15"/>
          <w:color w:val="auto"/>
        </w:rPr>
        <w:t>At least annually, reviews the Company’s DE&amp;I programs including their key performance metrics.</w:t>
      </w:r>
    </w:p>
    <w:p>
      <w:pPr>
        <w:spacing w:after="0" w:line="41" w:lineRule="exact"/>
        <w:rPr>
          <w:rFonts w:ascii="Arial" w:cs="Arial" w:eastAsia="Arial" w:hAnsi="Arial"/>
          <w:sz w:val="15"/>
          <w:szCs w:val="15"/>
          <w:b w:val="1"/>
          <w:bCs w:val="1"/>
          <w:color w:val="16479F"/>
        </w:rPr>
      </w:pPr>
    </w:p>
    <w:p>
      <w:pPr>
        <w:ind w:left="196" w:right="180" w:hanging="196"/>
        <w:spacing w:after="0" w:line="233" w:lineRule="auto"/>
        <w:tabs>
          <w:tab w:leader="none" w:pos="184" w:val="left"/>
        </w:tabs>
        <w:numPr>
          <w:ilvl w:val="0"/>
          <w:numId w:val="51"/>
        </w:numPr>
        <w:rPr>
          <w:rFonts w:ascii="Arial" w:cs="Arial" w:eastAsia="Arial" w:hAnsi="Arial"/>
          <w:sz w:val="15"/>
          <w:szCs w:val="15"/>
          <w:b w:val="1"/>
          <w:bCs w:val="1"/>
          <w:color w:val="16479F"/>
        </w:rPr>
      </w:pPr>
      <w:r>
        <w:rPr>
          <w:rFonts w:ascii="Arial" w:cs="Arial" w:eastAsia="Arial" w:hAnsi="Arial"/>
          <w:sz w:val="15"/>
          <w:szCs w:val="15"/>
          <w:color w:val="auto"/>
        </w:rPr>
        <w:t>Periodically reviews the Company’s initiatives and strategies relating to corporate culture, including considering the Company’s performance and pay-for-performance alignment when reviewing the workplace environment and culture and periodic reviews of the results of the Company’s employee engagement and external surveys.</w:t>
      </w:r>
    </w:p>
    <w:p>
      <w:pPr>
        <w:spacing w:after="0" w:line="33" w:lineRule="exact"/>
        <w:rPr>
          <w:rFonts w:ascii="Arial" w:cs="Arial" w:eastAsia="Arial" w:hAnsi="Arial"/>
          <w:sz w:val="15"/>
          <w:szCs w:val="15"/>
          <w:b w:val="1"/>
          <w:bCs w:val="1"/>
          <w:color w:val="16479F"/>
        </w:rPr>
      </w:pPr>
    </w:p>
    <w:p>
      <w:pPr>
        <w:ind w:left="196" w:right="180" w:hanging="196"/>
        <w:spacing w:after="0" w:line="233" w:lineRule="auto"/>
        <w:tabs>
          <w:tab w:leader="none" w:pos="184" w:val="left"/>
        </w:tabs>
        <w:numPr>
          <w:ilvl w:val="0"/>
          <w:numId w:val="51"/>
        </w:numPr>
        <w:rPr>
          <w:rFonts w:ascii="Arial" w:cs="Arial" w:eastAsia="Arial" w:hAnsi="Arial"/>
          <w:sz w:val="15"/>
          <w:szCs w:val="15"/>
          <w:b w:val="1"/>
          <w:bCs w:val="1"/>
          <w:color w:val="16479F"/>
        </w:rPr>
      </w:pPr>
      <w:r>
        <w:rPr>
          <w:rFonts w:ascii="Arial" w:cs="Arial" w:eastAsia="Arial" w:hAnsi="Arial"/>
          <w:sz w:val="15"/>
          <w:szCs w:val="15"/>
          <w:color w:val="auto"/>
        </w:rPr>
        <w:t>Reviews and discusses with management the “Compensation Discussion and Analysis” section of the Company’s annual proxy statement, prepares the Compensation, Talent and Culture Committee Report required by SEC rules and recommends to the Board the inclusion of each in the Company’s annual proxy statement (included on pages 57 and 86 of this Proxy Statement, respectively).</w:t>
      </w:r>
    </w:p>
    <w:p>
      <w:pPr>
        <w:spacing w:after="0" w:line="33" w:lineRule="exact"/>
        <w:rPr>
          <w:rFonts w:ascii="Arial" w:cs="Arial" w:eastAsia="Arial" w:hAnsi="Arial"/>
          <w:sz w:val="15"/>
          <w:szCs w:val="15"/>
          <w:b w:val="1"/>
          <w:bCs w:val="1"/>
          <w:color w:val="16479F"/>
        </w:rPr>
      </w:pPr>
    </w:p>
    <w:p>
      <w:pPr>
        <w:ind w:left="196" w:right="100" w:hanging="196"/>
        <w:spacing w:after="0" w:line="230" w:lineRule="auto"/>
        <w:tabs>
          <w:tab w:leader="none" w:pos="184" w:val="left"/>
        </w:tabs>
        <w:numPr>
          <w:ilvl w:val="0"/>
          <w:numId w:val="51"/>
        </w:numPr>
        <w:rPr>
          <w:rFonts w:ascii="Arial" w:cs="Arial" w:eastAsia="Arial" w:hAnsi="Arial"/>
          <w:sz w:val="15"/>
          <w:szCs w:val="15"/>
          <w:b w:val="1"/>
          <w:bCs w:val="1"/>
          <w:color w:val="16479F"/>
        </w:rPr>
      </w:pPr>
      <w:r>
        <w:rPr>
          <w:rFonts w:ascii="Arial" w:cs="Arial" w:eastAsia="Arial" w:hAnsi="Arial"/>
          <w:sz w:val="15"/>
          <w:szCs w:val="15"/>
          <w:color w:val="auto"/>
        </w:rPr>
        <w:t>Reviews and makes recommendations to the Board with respect to the frequency with which the Company will conduct “Say on Pay” votes, taking into account the results of the most recent shareholder advisory vote on frequency of “Say on Pay” votes, if any, and reviews and approves the proposals regarding the “Say on Pay” vote and the frequency of the “Say on Pay” vote to be included in the Company’s proxy statement.</w:t>
      </w:r>
    </w:p>
    <w:p>
      <w:pPr>
        <w:spacing w:after="0" w:line="35" w:lineRule="exact"/>
        <w:rPr>
          <w:rFonts w:ascii="Arial" w:cs="Arial" w:eastAsia="Arial" w:hAnsi="Arial"/>
          <w:sz w:val="15"/>
          <w:szCs w:val="15"/>
          <w:b w:val="1"/>
          <w:bCs w:val="1"/>
          <w:color w:val="16479F"/>
        </w:rPr>
      </w:pPr>
    </w:p>
    <w:p>
      <w:pPr>
        <w:ind w:left="196" w:right="240" w:hanging="196"/>
        <w:spacing w:after="0" w:line="237" w:lineRule="auto"/>
        <w:tabs>
          <w:tab w:leader="none" w:pos="184" w:val="left"/>
        </w:tabs>
        <w:numPr>
          <w:ilvl w:val="0"/>
          <w:numId w:val="51"/>
        </w:numPr>
        <w:rPr>
          <w:rFonts w:ascii="Arial" w:cs="Arial" w:eastAsia="Arial" w:hAnsi="Arial"/>
          <w:sz w:val="15"/>
          <w:szCs w:val="15"/>
          <w:b w:val="1"/>
          <w:bCs w:val="1"/>
          <w:color w:val="16479F"/>
        </w:rPr>
      </w:pPr>
      <w:r>
        <w:rPr>
          <w:rFonts w:ascii="Arial" w:cs="Arial" w:eastAsia="Arial" w:hAnsi="Arial"/>
          <w:sz w:val="15"/>
          <w:szCs w:val="15"/>
          <w:color w:val="auto"/>
        </w:rPr>
        <w:t>Considers the independence requirements of the NYSE prior to selecting a compensation consultant, legal counsel or other advisor and evaluates the performance of such advisors and approves all related fees.</w:t>
      </w:r>
    </w:p>
    <w:p>
      <w:pPr>
        <w:spacing w:after="0" w:line="34" w:lineRule="exact"/>
        <w:rPr>
          <w:rFonts w:ascii="Arial" w:cs="Arial" w:eastAsia="Arial" w:hAnsi="Arial"/>
          <w:sz w:val="15"/>
          <w:szCs w:val="15"/>
          <w:b w:val="1"/>
          <w:bCs w:val="1"/>
          <w:color w:val="16479F"/>
        </w:rPr>
      </w:pPr>
    </w:p>
    <w:p>
      <w:pPr>
        <w:ind w:left="196" w:right="800" w:hanging="187"/>
        <w:spacing w:after="0" w:line="237" w:lineRule="auto"/>
        <w:tabs>
          <w:tab w:leader="none" w:pos="184" w:val="left"/>
        </w:tabs>
        <w:numPr>
          <w:ilvl w:val="0"/>
          <w:numId w:val="51"/>
        </w:numPr>
        <w:rPr>
          <w:rFonts w:ascii="Arial" w:cs="Arial" w:eastAsia="Arial" w:hAnsi="Arial"/>
          <w:sz w:val="15"/>
          <w:szCs w:val="15"/>
          <w:b w:val="1"/>
          <w:bCs w:val="1"/>
          <w:color w:val="16479F"/>
        </w:rPr>
      </w:pPr>
      <w:r>
        <w:rPr>
          <w:rFonts w:ascii="Arial" w:cs="Arial" w:eastAsia="Arial" w:hAnsi="Arial"/>
          <w:sz w:val="15"/>
          <w:szCs w:val="15"/>
          <w:color w:val="auto"/>
        </w:rPr>
        <w:t>At least annually, reviews and assesses the adequacy of the Company’s Global Human Rights Policy, including any related disclosures, and recommends any proposed changes to the Board, if required.</w:t>
      </w:r>
    </w:p>
    <w:p>
      <w:pPr>
        <w:spacing w:after="0" w:line="127" w:lineRule="exact"/>
        <w:rPr>
          <w:sz w:val="20"/>
          <w:szCs w:val="20"/>
          <w:color w:val="auto"/>
        </w:rPr>
      </w:pPr>
    </w:p>
    <w:p>
      <w:pPr>
        <w:ind w:left="36"/>
        <w:spacing w:after="0"/>
        <w:rPr>
          <w:sz w:val="20"/>
          <w:szCs w:val="20"/>
          <w:color w:val="auto"/>
        </w:rPr>
      </w:pPr>
      <w:r>
        <w:rPr>
          <w:rFonts w:ascii="Arial" w:cs="Arial" w:eastAsia="Arial" w:hAnsi="Arial"/>
          <w:sz w:val="16"/>
          <w:szCs w:val="16"/>
          <w:b w:val="1"/>
          <w:bCs w:val="1"/>
          <w:color w:val="16479F"/>
        </w:rPr>
        <w:t>KEY AREAS OF FOCUS IN 2021:</w:t>
      </w:r>
    </w:p>
    <w:p>
      <w:pPr>
        <w:spacing w:after="0" w:line="99" w:lineRule="exact"/>
        <w:rPr>
          <w:sz w:val="20"/>
          <w:szCs w:val="20"/>
          <w:color w:val="auto"/>
        </w:rPr>
      </w:pPr>
    </w:p>
    <w:p>
      <w:pPr>
        <w:ind w:left="196" w:right="140" w:hanging="196"/>
        <w:spacing w:after="0" w:line="237" w:lineRule="auto"/>
        <w:tabs>
          <w:tab w:leader="none" w:pos="184" w:val="left"/>
        </w:tabs>
        <w:numPr>
          <w:ilvl w:val="0"/>
          <w:numId w:val="52"/>
        </w:numPr>
        <w:rPr>
          <w:rFonts w:ascii="Arial" w:cs="Arial" w:eastAsia="Arial" w:hAnsi="Arial"/>
          <w:sz w:val="15"/>
          <w:szCs w:val="15"/>
          <w:b w:val="1"/>
          <w:bCs w:val="1"/>
          <w:color w:val="16479F"/>
        </w:rPr>
      </w:pPr>
      <w:r>
        <w:rPr>
          <w:rFonts w:ascii="Arial" w:cs="Arial" w:eastAsia="Arial" w:hAnsi="Arial"/>
          <w:sz w:val="15"/>
          <w:szCs w:val="15"/>
          <w:color w:val="auto"/>
        </w:rPr>
        <w:t>In light of the COVID-19 pandemic, received ongoing reports from management around employee well-being, remote work resources and the transition to the Future of Work, our new way of working that provides greater flexibility for a vast majority of our employees.</w:t>
      </w:r>
    </w:p>
    <w:p>
      <w:pPr>
        <w:spacing w:after="0" w:line="34" w:lineRule="exact"/>
        <w:rPr>
          <w:rFonts w:ascii="Arial" w:cs="Arial" w:eastAsia="Arial" w:hAnsi="Arial"/>
          <w:sz w:val="15"/>
          <w:szCs w:val="15"/>
          <w:b w:val="1"/>
          <w:bCs w:val="1"/>
          <w:color w:val="16479F"/>
        </w:rPr>
      </w:pPr>
    </w:p>
    <w:p>
      <w:pPr>
        <w:ind w:left="176" w:hanging="176"/>
        <w:spacing w:after="0"/>
        <w:tabs>
          <w:tab w:leader="none" w:pos="176" w:val="left"/>
        </w:tabs>
        <w:numPr>
          <w:ilvl w:val="0"/>
          <w:numId w:val="52"/>
        </w:numPr>
        <w:rPr>
          <w:rFonts w:ascii="Arial" w:cs="Arial" w:eastAsia="Arial" w:hAnsi="Arial"/>
          <w:sz w:val="15"/>
          <w:szCs w:val="15"/>
          <w:b w:val="1"/>
          <w:bCs w:val="1"/>
          <w:color w:val="16479F"/>
        </w:rPr>
      </w:pPr>
      <w:r>
        <w:rPr>
          <w:rFonts w:ascii="Arial" w:cs="Arial" w:eastAsia="Arial" w:hAnsi="Arial"/>
          <w:sz w:val="15"/>
          <w:szCs w:val="15"/>
          <w:color w:val="auto"/>
        </w:rPr>
        <w:t>Focused on enhancing DE&amp;I initiatives.</w:t>
      </w:r>
    </w:p>
    <w:p>
      <w:pPr>
        <w:spacing w:after="0" w:line="41" w:lineRule="exact"/>
        <w:rPr>
          <w:rFonts w:ascii="Arial" w:cs="Arial" w:eastAsia="Arial" w:hAnsi="Arial"/>
          <w:sz w:val="15"/>
          <w:szCs w:val="15"/>
          <w:b w:val="1"/>
          <w:bCs w:val="1"/>
          <w:color w:val="16479F"/>
        </w:rPr>
      </w:pPr>
    </w:p>
    <w:p>
      <w:pPr>
        <w:ind w:left="176" w:hanging="176"/>
        <w:spacing w:after="0"/>
        <w:tabs>
          <w:tab w:leader="none" w:pos="176" w:val="left"/>
        </w:tabs>
        <w:numPr>
          <w:ilvl w:val="0"/>
          <w:numId w:val="52"/>
        </w:numPr>
        <w:rPr>
          <w:rFonts w:ascii="Arial" w:cs="Arial" w:eastAsia="Arial" w:hAnsi="Arial"/>
          <w:sz w:val="15"/>
          <w:szCs w:val="15"/>
          <w:b w:val="1"/>
          <w:bCs w:val="1"/>
          <w:color w:val="16479F"/>
        </w:rPr>
      </w:pPr>
      <w:r>
        <w:rPr>
          <w:rFonts w:ascii="Arial" w:cs="Arial" w:eastAsia="Arial" w:hAnsi="Arial"/>
          <w:sz w:val="15"/>
          <w:szCs w:val="15"/>
          <w:color w:val="auto"/>
        </w:rPr>
        <w:t>Advised management on linking target annual cash incentives to achievement of individual DE&amp;I goals.</w:t>
      </w:r>
    </w:p>
    <w:p>
      <w:pPr>
        <w:spacing w:after="0" w:line="41" w:lineRule="exact"/>
        <w:rPr>
          <w:rFonts w:ascii="Arial" w:cs="Arial" w:eastAsia="Arial" w:hAnsi="Arial"/>
          <w:sz w:val="15"/>
          <w:szCs w:val="15"/>
          <w:b w:val="1"/>
          <w:bCs w:val="1"/>
          <w:color w:val="16479F"/>
        </w:rPr>
      </w:pPr>
    </w:p>
    <w:p>
      <w:pPr>
        <w:ind w:left="176" w:hanging="176"/>
        <w:spacing w:after="0"/>
        <w:tabs>
          <w:tab w:leader="none" w:pos="176" w:val="left"/>
        </w:tabs>
        <w:numPr>
          <w:ilvl w:val="0"/>
          <w:numId w:val="52"/>
        </w:numPr>
        <w:rPr>
          <w:rFonts w:ascii="Arial" w:cs="Arial" w:eastAsia="Arial" w:hAnsi="Arial"/>
          <w:sz w:val="15"/>
          <w:szCs w:val="15"/>
          <w:b w:val="1"/>
          <w:bCs w:val="1"/>
          <w:color w:val="16479F"/>
        </w:rPr>
      </w:pPr>
      <w:r>
        <w:rPr>
          <w:rFonts w:ascii="Arial" w:cs="Arial" w:eastAsia="Arial" w:hAnsi="Arial"/>
          <w:sz w:val="15"/>
          <w:szCs w:val="15"/>
          <w:color w:val="auto"/>
        </w:rPr>
        <w:t>Focused on MSCI’s organizational design and development to align with an enhanced focus on complete client-centricity.</w:t>
      </w:r>
    </w:p>
    <w:p>
      <w:pPr>
        <w:spacing w:after="0" w:line="131" w:lineRule="exact"/>
        <w:rPr>
          <w:sz w:val="20"/>
          <w:szCs w:val="20"/>
          <w:color w:val="auto"/>
        </w:rPr>
      </w:pPr>
    </w:p>
    <w:p>
      <w:pPr>
        <w:ind w:left="36"/>
        <w:spacing w:after="0"/>
        <w:rPr>
          <w:sz w:val="20"/>
          <w:szCs w:val="20"/>
          <w:color w:val="auto"/>
        </w:rPr>
      </w:pPr>
      <w:r>
        <w:rPr>
          <w:rFonts w:ascii="Arial" w:cs="Arial" w:eastAsia="Arial" w:hAnsi="Arial"/>
          <w:sz w:val="15"/>
          <w:szCs w:val="15"/>
          <w:b w:val="1"/>
          <w:bCs w:val="1"/>
          <w:color w:val="auto"/>
        </w:rPr>
        <w:t>Compensation Committee Interlocks and Insider Participation: None.</w:t>
      </w:r>
    </w:p>
    <w:p>
      <w:pPr>
        <w:spacing w:after="0" w:line="153" w:lineRule="exact"/>
        <w:rPr>
          <w:sz w:val="20"/>
          <w:szCs w:val="20"/>
          <w:color w:val="auto"/>
        </w:rPr>
      </w:pPr>
    </w:p>
    <w:p>
      <w:pPr>
        <w:ind w:left="36" w:right="140"/>
        <w:spacing w:after="0" w:line="233" w:lineRule="auto"/>
        <w:rPr>
          <w:sz w:val="20"/>
          <w:szCs w:val="20"/>
          <w:color w:val="auto"/>
        </w:rPr>
      </w:pPr>
      <w:r>
        <w:rPr>
          <w:rFonts w:ascii="Arial" w:cs="Arial" w:eastAsia="Arial" w:hAnsi="Arial"/>
          <w:sz w:val="15"/>
          <w:szCs w:val="15"/>
          <w:color w:val="auto"/>
        </w:rPr>
        <w:t>The Compensation and Talent Management Committee changed its name in 2021 to the Compensation, Talent and Culture Committee to provide more clarity and transparency on the committee’s oversight of talent management and corporate culture and reflect the broad scope of its oversight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-1280160</wp:posOffset>
            </wp:positionH>
            <wp:positionV relativeFrom="paragraph">
              <wp:posOffset>48895</wp:posOffset>
            </wp:positionV>
            <wp:extent cx="71335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80" w:space="244"/>
            <w:col w:w="9216"/>
          </w:cols>
          <w:pgMar w:left="320" w:top="121" w:right="339" w:bottom="1440" w:gutter="0" w:footer="0" w:header="0"/>
          <w:type w:val="continuous"/>
        </w:sectPr>
      </w:pP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Benjamin F. duPont ceased serving on the Compensation Committee in connection with his retirement from the Board, effective April 27,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7154545" cy="209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149860</wp:posOffset>
            </wp:positionV>
            <wp:extent cx="7133590" cy="2127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3590" cy="212725"/>
                    </a:xfrm>
                    <a:prstGeom prst="rect">
                      <a:avLst/>
                    </a:prstGeom>
                    <a:noFill/>
                  </pic:spPr>
                </pic:pic>
              </a:graphicData>
            </a:graphic>
          </wp:anchor>
        </w:drawing>
      </w:r>
    </w:p>
    <w:p>
      <w:pPr>
        <w:spacing w:after="0" w:line="283"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4"/>
          <w:szCs w:val="14"/>
          <w:b w:val="1"/>
          <w:bCs w:val="1"/>
          <w:color w:val="16479F"/>
        </w:rPr>
        <w:t>36</w:t>
      </w:r>
      <w:r>
        <w:rPr>
          <w:sz w:val="20"/>
          <w:szCs w:val="20"/>
          <w:color w:val="auto"/>
        </w:rPr>
        <w:tab/>
      </w:r>
      <w:r>
        <w:rPr>
          <w:rFonts w:ascii="Arial" w:cs="Arial" w:eastAsia="Arial" w:hAnsi="Arial"/>
          <w:sz w:val="14"/>
          <w:szCs w:val="14"/>
          <w:b w:val="1"/>
          <w:bCs w:val="1"/>
          <w:color w:val="16479F"/>
        </w:rPr>
        <w:t>MSCI  |  CORPORATE GOVERNANCE</w:t>
      </w:r>
    </w:p>
    <w:p>
      <w:pPr>
        <w:spacing w:after="0" w:line="29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GOVERNANCE AND CORPORATE RESPONSIBILITY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64135</wp:posOffset>
            </wp:positionV>
            <wp:extent cx="7133590" cy="4081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3590" cy="4081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p>
      <w:pPr>
        <w:spacing w:after="0" w:line="216"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16479F"/>
        </w:rPr>
        <w:t>MEMBERS:</w:t>
      </w:r>
    </w:p>
    <w:p>
      <w:pPr>
        <w:spacing w:after="0" w:line="99" w:lineRule="exact"/>
        <w:rPr>
          <w:sz w:val="20"/>
          <w:szCs w:val="20"/>
          <w:color w:val="auto"/>
        </w:rPr>
      </w:pPr>
    </w:p>
    <w:p>
      <w:pPr>
        <w:ind w:left="100"/>
        <w:spacing w:after="0" w:line="233" w:lineRule="auto"/>
        <w:rPr>
          <w:sz w:val="20"/>
          <w:szCs w:val="20"/>
          <w:color w:val="auto"/>
        </w:rPr>
      </w:pPr>
      <w:r>
        <w:rPr>
          <w:rFonts w:ascii="Arial" w:cs="Arial" w:eastAsia="Arial" w:hAnsi="Arial"/>
          <w:sz w:val="15"/>
          <w:szCs w:val="15"/>
          <w:color w:val="16479F"/>
        </w:rPr>
        <w:t>Jacques P. Perold (Chair) Catherine R. Kinney Paula Volent</w:t>
      </w:r>
    </w:p>
    <w:p>
      <w:pPr>
        <w:spacing w:after="0" w:line="126" w:lineRule="exact"/>
        <w:rPr>
          <w:sz w:val="20"/>
          <w:szCs w:val="20"/>
          <w:color w:val="auto"/>
        </w:rPr>
      </w:pPr>
    </w:p>
    <w:p>
      <w:pPr>
        <w:ind w:left="100" w:right="200"/>
        <w:spacing w:after="0" w:line="282" w:lineRule="auto"/>
        <w:rPr>
          <w:sz w:val="20"/>
          <w:szCs w:val="20"/>
          <w:color w:val="auto"/>
        </w:rPr>
      </w:pPr>
      <w:r>
        <w:rPr>
          <w:rFonts w:ascii="Arial" w:cs="Arial" w:eastAsia="Arial" w:hAnsi="Arial"/>
          <w:sz w:val="16"/>
          <w:szCs w:val="16"/>
          <w:b w:val="1"/>
          <w:bCs w:val="1"/>
          <w:color w:val="16479F"/>
        </w:rPr>
        <w:t>MEETINGS HELD IN 2021: 5</w:t>
      </w:r>
    </w:p>
    <w:p>
      <w:pPr>
        <w:spacing w:after="0" w:line="38" w:lineRule="exact"/>
        <w:rPr>
          <w:sz w:val="20"/>
          <w:szCs w:val="20"/>
          <w:color w:val="auto"/>
        </w:rPr>
      </w:pPr>
    </w:p>
    <w:p>
      <w:pPr>
        <w:ind w:left="280" w:right="20" w:hanging="184"/>
        <w:spacing w:after="0" w:line="228" w:lineRule="auto"/>
        <w:tabs>
          <w:tab w:leader="none" w:pos="260" w:val="left"/>
        </w:tabs>
        <w:numPr>
          <w:ilvl w:val="0"/>
          <w:numId w:val="53"/>
        </w:numPr>
        <w:rPr>
          <w:rFonts w:ascii="Arial" w:cs="Arial" w:eastAsia="Arial" w:hAnsi="Arial"/>
          <w:sz w:val="15"/>
          <w:szCs w:val="15"/>
          <w:b w:val="1"/>
          <w:bCs w:val="1"/>
          <w:color w:val="16479F"/>
        </w:rPr>
      </w:pPr>
      <w:r>
        <w:rPr>
          <w:rFonts w:ascii="Arial" w:cs="Arial" w:eastAsia="Arial" w:hAnsi="Arial"/>
          <w:sz w:val="15"/>
          <w:szCs w:val="15"/>
          <w:color w:val="auto"/>
        </w:rPr>
        <w:t>All members are independent within the meaning of the NYSE standards of independence for directors.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29"/>
        <w:spacing w:after="0"/>
        <w:rPr>
          <w:sz w:val="20"/>
          <w:szCs w:val="20"/>
          <w:color w:val="auto"/>
        </w:rPr>
      </w:pPr>
      <w:r>
        <w:rPr>
          <w:rFonts w:ascii="Arial" w:cs="Arial" w:eastAsia="Arial" w:hAnsi="Arial"/>
          <w:sz w:val="16"/>
          <w:szCs w:val="16"/>
          <w:b w:val="1"/>
          <w:bCs w:val="1"/>
          <w:color w:val="16479F"/>
        </w:rPr>
        <w:t>PRIMARY RESPONSIBILITIES:</w:t>
      </w:r>
    </w:p>
    <w:p>
      <w:pPr>
        <w:spacing w:after="0" w:line="99" w:lineRule="exact"/>
        <w:rPr>
          <w:sz w:val="20"/>
          <w:szCs w:val="20"/>
          <w:color w:val="auto"/>
        </w:rPr>
      </w:pPr>
    </w:p>
    <w:p>
      <w:pPr>
        <w:ind w:left="189" w:right="80" w:hanging="189"/>
        <w:spacing w:after="0" w:line="237" w:lineRule="auto"/>
        <w:tabs>
          <w:tab w:leader="none" w:pos="169" w:val="left"/>
        </w:tabs>
        <w:numPr>
          <w:ilvl w:val="0"/>
          <w:numId w:val="54"/>
        </w:numPr>
        <w:rPr>
          <w:rFonts w:ascii="Arial" w:cs="Arial" w:eastAsia="Arial" w:hAnsi="Arial"/>
          <w:sz w:val="15"/>
          <w:szCs w:val="15"/>
          <w:b w:val="1"/>
          <w:bCs w:val="1"/>
          <w:color w:val="16479F"/>
        </w:rPr>
      </w:pPr>
      <w:r>
        <w:rPr>
          <w:rFonts w:ascii="Arial" w:cs="Arial" w:eastAsia="Arial" w:hAnsi="Arial"/>
          <w:sz w:val="15"/>
          <w:szCs w:val="15"/>
          <w:color w:val="auto"/>
        </w:rPr>
        <w:t>Annually reviews the size and composition of the Board and its committees in light of the current challenges and needs of the Board, the Company and each committee and considers the skills, background and experience of each director in doing so.</w:t>
      </w:r>
    </w:p>
    <w:p>
      <w:pPr>
        <w:spacing w:after="0" w:line="34" w:lineRule="exact"/>
        <w:rPr>
          <w:rFonts w:ascii="Arial" w:cs="Arial" w:eastAsia="Arial" w:hAnsi="Arial"/>
          <w:sz w:val="15"/>
          <w:szCs w:val="15"/>
          <w:b w:val="1"/>
          <w:bCs w:val="1"/>
          <w:color w:val="16479F"/>
        </w:rPr>
      </w:pPr>
    </w:p>
    <w:p>
      <w:pPr>
        <w:ind w:left="189" w:right="40" w:hanging="189"/>
        <w:spacing w:after="0" w:line="233" w:lineRule="auto"/>
        <w:tabs>
          <w:tab w:leader="none" w:pos="177" w:val="left"/>
        </w:tabs>
        <w:numPr>
          <w:ilvl w:val="0"/>
          <w:numId w:val="54"/>
        </w:numPr>
        <w:rPr>
          <w:rFonts w:ascii="Arial" w:cs="Arial" w:eastAsia="Arial" w:hAnsi="Arial"/>
          <w:sz w:val="15"/>
          <w:szCs w:val="15"/>
          <w:b w:val="1"/>
          <w:bCs w:val="1"/>
          <w:color w:val="16479F"/>
        </w:rPr>
      </w:pPr>
      <w:r>
        <w:rPr>
          <w:rFonts w:ascii="Arial" w:cs="Arial" w:eastAsia="Arial" w:hAnsi="Arial"/>
          <w:sz w:val="15"/>
          <w:szCs w:val="15"/>
          <w:color w:val="auto"/>
        </w:rPr>
        <w:t>Oversees searches for candidates for election to the Board and recommends criteria and individuals for appointment to the Board and its committees. As part of the search process for each new director, focuses on identifying women and other diverse talent in the pool of candidates.</w:t>
      </w:r>
    </w:p>
    <w:p>
      <w:pPr>
        <w:spacing w:after="0" w:line="33" w:lineRule="exact"/>
        <w:rPr>
          <w:rFonts w:ascii="Arial" w:cs="Arial" w:eastAsia="Arial" w:hAnsi="Arial"/>
          <w:sz w:val="15"/>
          <w:szCs w:val="15"/>
          <w:b w:val="1"/>
          <w:bCs w:val="1"/>
          <w:color w:val="16479F"/>
        </w:rPr>
      </w:pPr>
    </w:p>
    <w:p>
      <w:pPr>
        <w:ind w:left="189" w:right="100" w:hanging="189"/>
        <w:spacing w:after="0" w:line="237" w:lineRule="auto"/>
        <w:tabs>
          <w:tab w:leader="none" w:pos="177" w:val="left"/>
        </w:tabs>
        <w:numPr>
          <w:ilvl w:val="0"/>
          <w:numId w:val="54"/>
        </w:numPr>
        <w:rPr>
          <w:rFonts w:ascii="Arial" w:cs="Arial" w:eastAsia="Arial" w:hAnsi="Arial"/>
          <w:sz w:val="15"/>
          <w:szCs w:val="15"/>
          <w:b w:val="1"/>
          <w:bCs w:val="1"/>
          <w:color w:val="16479F"/>
        </w:rPr>
      </w:pPr>
      <w:r>
        <w:rPr>
          <w:rFonts w:ascii="Arial" w:cs="Arial" w:eastAsia="Arial" w:hAnsi="Arial"/>
          <w:sz w:val="15"/>
          <w:szCs w:val="15"/>
          <w:color w:val="auto"/>
        </w:rPr>
        <w:t>Retains any search firm that assists the Governance Committee in identifying candidates and maintains sole authority to approve all such search firms’ fees and other retention terms.</w:t>
      </w:r>
    </w:p>
    <w:p>
      <w:pPr>
        <w:spacing w:after="0" w:line="34" w:lineRule="exact"/>
        <w:rPr>
          <w:rFonts w:ascii="Arial" w:cs="Arial" w:eastAsia="Arial" w:hAnsi="Arial"/>
          <w:sz w:val="15"/>
          <w:szCs w:val="15"/>
          <w:b w:val="1"/>
          <w:bCs w:val="1"/>
          <w:color w:val="16479F"/>
        </w:rPr>
      </w:pPr>
    </w:p>
    <w:p>
      <w:pPr>
        <w:ind w:left="169" w:hanging="169"/>
        <w:spacing w:after="0"/>
        <w:tabs>
          <w:tab w:leader="none" w:pos="169" w:val="left"/>
        </w:tabs>
        <w:numPr>
          <w:ilvl w:val="0"/>
          <w:numId w:val="54"/>
        </w:numPr>
        <w:rPr>
          <w:rFonts w:ascii="Arial" w:cs="Arial" w:eastAsia="Arial" w:hAnsi="Arial"/>
          <w:sz w:val="15"/>
          <w:szCs w:val="15"/>
          <w:b w:val="1"/>
          <w:bCs w:val="1"/>
          <w:color w:val="16479F"/>
        </w:rPr>
      </w:pPr>
      <w:r>
        <w:rPr>
          <w:rFonts w:ascii="Arial" w:cs="Arial" w:eastAsia="Arial" w:hAnsi="Arial"/>
          <w:sz w:val="15"/>
          <w:szCs w:val="15"/>
          <w:color w:val="auto"/>
        </w:rPr>
        <w:t>Makes recommendations to the Board as to determinations of director independence.</w:t>
      </w:r>
    </w:p>
    <w:p>
      <w:pPr>
        <w:spacing w:after="0" w:line="41" w:lineRule="exact"/>
        <w:rPr>
          <w:rFonts w:ascii="Arial" w:cs="Arial" w:eastAsia="Arial" w:hAnsi="Arial"/>
          <w:sz w:val="15"/>
          <w:szCs w:val="15"/>
          <w:b w:val="1"/>
          <w:bCs w:val="1"/>
          <w:color w:val="16479F"/>
        </w:rPr>
      </w:pPr>
    </w:p>
    <w:p>
      <w:pPr>
        <w:ind w:left="189" w:right="80" w:hanging="189"/>
        <w:spacing w:after="0" w:line="237" w:lineRule="auto"/>
        <w:tabs>
          <w:tab w:leader="none" w:pos="177" w:val="left"/>
        </w:tabs>
        <w:numPr>
          <w:ilvl w:val="0"/>
          <w:numId w:val="54"/>
        </w:numPr>
        <w:rPr>
          <w:rFonts w:ascii="Arial" w:cs="Arial" w:eastAsia="Arial" w:hAnsi="Arial"/>
          <w:sz w:val="15"/>
          <w:szCs w:val="15"/>
          <w:b w:val="1"/>
          <w:bCs w:val="1"/>
          <w:color w:val="16479F"/>
        </w:rPr>
      </w:pPr>
      <w:r>
        <w:rPr>
          <w:rFonts w:ascii="Arial" w:cs="Arial" w:eastAsia="Arial" w:hAnsi="Arial"/>
          <w:sz w:val="15"/>
          <w:szCs w:val="15"/>
          <w:color w:val="auto"/>
        </w:rPr>
        <w:t>Oversees and approves the process and guidelines for the annual evaluation of performance and effectiveness of the Lead Director, the Board and its committees, and individual directors.</w:t>
      </w:r>
    </w:p>
    <w:p>
      <w:pPr>
        <w:spacing w:after="0" w:line="34" w:lineRule="exact"/>
        <w:rPr>
          <w:rFonts w:ascii="Arial" w:cs="Arial" w:eastAsia="Arial" w:hAnsi="Arial"/>
          <w:sz w:val="15"/>
          <w:szCs w:val="15"/>
          <w:b w:val="1"/>
          <w:bCs w:val="1"/>
          <w:color w:val="16479F"/>
        </w:rPr>
      </w:pPr>
    </w:p>
    <w:p>
      <w:pPr>
        <w:jc w:val="both"/>
        <w:ind w:left="189" w:right="380" w:hanging="189"/>
        <w:spacing w:after="0" w:line="233" w:lineRule="auto"/>
        <w:tabs>
          <w:tab w:leader="none" w:pos="177" w:val="left"/>
        </w:tabs>
        <w:numPr>
          <w:ilvl w:val="0"/>
          <w:numId w:val="54"/>
        </w:numPr>
        <w:rPr>
          <w:rFonts w:ascii="Arial" w:cs="Arial" w:eastAsia="Arial" w:hAnsi="Arial"/>
          <w:sz w:val="15"/>
          <w:szCs w:val="15"/>
          <w:b w:val="1"/>
          <w:bCs w:val="1"/>
          <w:color w:val="16479F"/>
        </w:rPr>
      </w:pPr>
      <w:r>
        <w:rPr>
          <w:rFonts w:ascii="Arial" w:cs="Arial" w:eastAsia="Arial" w:hAnsi="Arial"/>
          <w:sz w:val="15"/>
          <w:szCs w:val="15"/>
          <w:color w:val="auto"/>
        </w:rPr>
        <w:t>Oversees the Company’s policies and initiatives related to corporate responsibility matters, including environmental stewardship (such as related to climate change) and other sustainability matters. Reviews with Company’s management, including the Chief Responsibility Officer, the Company’s related practices, disclosures, ratings from various providers and risks.</w:t>
      </w:r>
    </w:p>
    <w:p>
      <w:pPr>
        <w:spacing w:after="0" w:line="33" w:lineRule="exact"/>
        <w:rPr>
          <w:rFonts w:ascii="Arial" w:cs="Arial" w:eastAsia="Arial" w:hAnsi="Arial"/>
          <w:sz w:val="15"/>
          <w:szCs w:val="15"/>
          <w:b w:val="1"/>
          <w:bCs w:val="1"/>
          <w:color w:val="16479F"/>
        </w:rPr>
      </w:pPr>
    </w:p>
    <w:p>
      <w:pPr>
        <w:ind w:left="169" w:hanging="169"/>
        <w:spacing w:after="0"/>
        <w:tabs>
          <w:tab w:leader="none" w:pos="169" w:val="left"/>
        </w:tabs>
        <w:numPr>
          <w:ilvl w:val="0"/>
          <w:numId w:val="54"/>
        </w:numPr>
        <w:rPr>
          <w:rFonts w:ascii="Arial" w:cs="Arial" w:eastAsia="Arial" w:hAnsi="Arial"/>
          <w:sz w:val="15"/>
          <w:szCs w:val="15"/>
          <w:b w:val="1"/>
          <w:bCs w:val="1"/>
          <w:color w:val="16479F"/>
        </w:rPr>
      </w:pPr>
      <w:r>
        <w:rPr>
          <w:rFonts w:ascii="Arial" w:cs="Arial" w:eastAsia="Arial" w:hAnsi="Arial"/>
          <w:sz w:val="15"/>
          <w:szCs w:val="15"/>
          <w:color w:val="auto"/>
        </w:rPr>
        <w:t>Evaluates the Company’s shareholder engagement practices and considers feedback received from shareholders.</w:t>
      </w:r>
    </w:p>
    <w:p>
      <w:pPr>
        <w:spacing w:after="0" w:line="41" w:lineRule="exact"/>
        <w:rPr>
          <w:rFonts w:ascii="Arial" w:cs="Arial" w:eastAsia="Arial" w:hAnsi="Arial"/>
          <w:sz w:val="15"/>
          <w:szCs w:val="15"/>
          <w:b w:val="1"/>
          <w:bCs w:val="1"/>
          <w:color w:val="16479F"/>
        </w:rPr>
      </w:pPr>
    </w:p>
    <w:p>
      <w:pPr>
        <w:ind w:left="189" w:right="180" w:hanging="189"/>
        <w:spacing w:after="0" w:line="233" w:lineRule="auto"/>
        <w:tabs>
          <w:tab w:leader="none" w:pos="169" w:val="left"/>
        </w:tabs>
        <w:numPr>
          <w:ilvl w:val="0"/>
          <w:numId w:val="54"/>
        </w:numPr>
        <w:rPr>
          <w:rFonts w:ascii="Arial" w:cs="Arial" w:eastAsia="Arial" w:hAnsi="Arial"/>
          <w:sz w:val="15"/>
          <w:szCs w:val="15"/>
          <w:b w:val="1"/>
          <w:bCs w:val="1"/>
          <w:color w:val="16479F"/>
        </w:rPr>
      </w:pPr>
      <w:r>
        <w:rPr>
          <w:rFonts w:ascii="Arial" w:cs="Arial" w:eastAsia="Arial" w:hAnsi="Arial"/>
          <w:sz w:val="15"/>
          <w:szCs w:val="15"/>
          <w:color w:val="auto"/>
        </w:rPr>
        <w:t>At least annually, reviews and assesses the adequacy of the Company’s Corporate Governance Policies and Code of Ethics and Business Conduct and oversees compliance therewith. Reviews with Company’s management, including the Head of Compliance, the Company’s Compliance program, priorities, initiatives, risks and mitigations.</w:t>
      </w:r>
    </w:p>
    <w:p>
      <w:pPr>
        <w:spacing w:after="0" w:line="33" w:lineRule="exact"/>
        <w:rPr>
          <w:rFonts w:ascii="Arial" w:cs="Arial" w:eastAsia="Arial" w:hAnsi="Arial"/>
          <w:sz w:val="15"/>
          <w:szCs w:val="15"/>
          <w:b w:val="1"/>
          <w:bCs w:val="1"/>
          <w:color w:val="16479F"/>
        </w:rPr>
      </w:pPr>
    </w:p>
    <w:p>
      <w:pPr>
        <w:ind w:left="189" w:right="300" w:hanging="189"/>
        <w:spacing w:after="0" w:line="237" w:lineRule="auto"/>
        <w:tabs>
          <w:tab w:leader="none" w:pos="169" w:val="left"/>
        </w:tabs>
        <w:numPr>
          <w:ilvl w:val="0"/>
          <w:numId w:val="54"/>
        </w:numPr>
        <w:rPr>
          <w:rFonts w:ascii="Arial" w:cs="Arial" w:eastAsia="Arial" w:hAnsi="Arial"/>
          <w:sz w:val="15"/>
          <w:szCs w:val="15"/>
          <w:b w:val="1"/>
          <w:bCs w:val="1"/>
          <w:color w:val="16479F"/>
        </w:rPr>
      </w:pPr>
      <w:r>
        <w:rPr>
          <w:rFonts w:ascii="Arial" w:cs="Arial" w:eastAsia="Arial" w:hAnsi="Arial"/>
          <w:sz w:val="15"/>
          <w:szCs w:val="15"/>
          <w:color w:val="auto"/>
        </w:rPr>
        <w:t>At least annually, reviews and assesses the adequacy of the Company’s Related Person Transactions Policy and reviews related person transactions pursuant to the Related Person Transactions Policy.</w:t>
      </w:r>
    </w:p>
    <w:p>
      <w:pPr>
        <w:spacing w:after="0" w:line="34" w:lineRule="exact"/>
        <w:rPr>
          <w:rFonts w:ascii="Arial" w:cs="Arial" w:eastAsia="Arial" w:hAnsi="Arial"/>
          <w:sz w:val="15"/>
          <w:szCs w:val="15"/>
          <w:b w:val="1"/>
          <w:bCs w:val="1"/>
          <w:color w:val="16479F"/>
        </w:rPr>
      </w:pPr>
    </w:p>
    <w:p>
      <w:pPr>
        <w:ind w:left="189" w:right="260" w:hanging="189"/>
        <w:spacing w:after="0" w:line="237" w:lineRule="auto"/>
        <w:tabs>
          <w:tab w:leader="none" w:pos="169" w:val="left"/>
        </w:tabs>
        <w:numPr>
          <w:ilvl w:val="0"/>
          <w:numId w:val="54"/>
        </w:numPr>
        <w:rPr>
          <w:rFonts w:ascii="Arial" w:cs="Arial" w:eastAsia="Arial" w:hAnsi="Arial"/>
          <w:sz w:val="15"/>
          <w:szCs w:val="15"/>
          <w:b w:val="1"/>
          <w:bCs w:val="1"/>
          <w:color w:val="16479F"/>
        </w:rPr>
      </w:pPr>
      <w:r>
        <w:rPr>
          <w:rFonts w:ascii="Arial" w:cs="Arial" w:eastAsia="Arial" w:hAnsi="Arial"/>
          <w:sz w:val="15"/>
          <w:szCs w:val="15"/>
          <w:color w:val="auto"/>
        </w:rPr>
        <w:t>At least annually, reviews and assesses the adequacy of the Company’s Corporate Political Activities Policy, including any related disclosures, and recommends any proposed changes to the Board, if required.</w:t>
      </w:r>
    </w:p>
    <w:p>
      <w:pPr>
        <w:spacing w:after="0" w:line="127" w:lineRule="exact"/>
        <w:rPr>
          <w:sz w:val="20"/>
          <w:szCs w:val="20"/>
          <w:color w:val="auto"/>
        </w:rPr>
      </w:pPr>
    </w:p>
    <w:p>
      <w:pPr>
        <w:ind w:left="29"/>
        <w:spacing w:after="0"/>
        <w:rPr>
          <w:sz w:val="20"/>
          <w:szCs w:val="20"/>
          <w:color w:val="auto"/>
        </w:rPr>
      </w:pPr>
      <w:r>
        <w:rPr>
          <w:rFonts w:ascii="Arial" w:cs="Arial" w:eastAsia="Arial" w:hAnsi="Arial"/>
          <w:sz w:val="16"/>
          <w:szCs w:val="16"/>
          <w:b w:val="1"/>
          <w:bCs w:val="1"/>
          <w:color w:val="16479F"/>
        </w:rPr>
        <w:t>KEY AREAS OF FOCUS IN 2021:</w:t>
      </w:r>
    </w:p>
    <w:p>
      <w:pPr>
        <w:spacing w:after="0" w:line="99" w:lineRule="exact"/>
        <w:rPr>
          <w:sz w:val="20"/>
          <w:szCs w:val="20"/>
          <w:color w:val="auto"/>
        </w:rPr>
      </w:pPr>
    </w:p>
    <w:p>
      <w:pPr>
        <w:ind w:left="189" w:right="160" w:hanging="189"/>
        <w:spacing w:after="0" w:line="237" w:lineRule="auto"/>
        <w:tabs>
          <w:tab w:leader="none" w:pos="177" w:val="left"/>
        </w:tabs>
        <w:numPr>
          <w:ilvl w:val="0"/>
          <w:numId w:val="55"/>
        </w:numPr>
        <w:rPr>
          <w:rFonts w:ascii="Arial" w:cs="Arial" w:eastAsia="Arial" w:hAnsi="Arial"/>
          <w:sz w:val="15"/>
          <w:szCs w:val="15"/>
          <w:b w:val="1"/>
          <w:bCs w:val="1"/>
          <w:color w:val="16479F"/>
        </w:rPr>
      </w:pPr>
      <w:r>
        <w:rPr>
          <w:rFonts w:ascii="Arial" w:cs="Arial" w:eastAsia="Arial" w:hAnsi="Arial"/>
          <w:sz w:val="15"/>
          <w:szCs w:val="15"/>
          <w:color w:val="auto"/>
        </w:rPr>
        <w:t>On an ongoing basis, reviewed Board composition and Board skills needed, with a focus on enhancing diversity in ongoing director searches and led the director search process resulting in the appointment of one new director in 2021.</w:t>
      </w:r>
    </w:p>
    <w:p>
      <w:pPr>
        <w:spacing w:after="0" w:line="34" w:lineRule="exact"/>
        <w:rPr>
          <w:rFonts w:ascii="Arial" w:cs="Arial" w:eastAsia="Arial" w:hAnsi="Arial"/>
          <w:sz w:val="15"/>
          <w:szCs w:val="15"/>
          <w:b w:val="1"/>
          <w:bCs w:val="1"/>
          <w:color w:val="16479F"/>
        </w:rPr>
      </w:pPr>
    </w:p>
    <w:p>
      <w:pPr>
        <w:ind w:left="189" w:right="240" w:hanging="189"/>
        <w:spacing w:after="0" w:line="237" w:lineRule="auto"/>
        <w:tabs>
          <w:tab w:leader="none" w:pos="177" w:val="left"/>
        </w:tabs>
        <w:numPr>
          <w:ilvl w:val="0"/>
          <w:numId w:val="55"/>
        </w:numPr>
        <w:rPr>
          <w:rFonts w:ascii="Arial" w:cs="Arial" w:eastAsia="Arial" w:hAnsi="Arial"/>
          <w:sz w:val="15"/>
          <w:szCs w:val="15"/>
          <w:b w:val="1"/>
          <w:bCs w:val="1"/>
          <w:color w:val="16479F"/>
        </w:rPr>
      </w:pPr>
      <w:r>
        <w:rPr>
          <w:rFonts w:ascii="Arial" w:cs="Arial" w:eastAsia="Arial" w:hAnsi="Arial"/>
          <w:sz w:val="15"/>
          <w:szCs w:val="15"/>
          <w:color w:val="auto"/>
        </w:rPr>
        <w:t>Focused on policies and initiatives related to the Company’s carbon commitments, including the goal of net-zero emissions before 2040.</w:t>
      </w:r>
    </w:p>
    <w:p>
      <w:pPr>
        <w:spacing w:after="0" w:line="34" w:lineRule="exact"/>
        <w:rPr>
          <w:rFonts w:ascii="Arial" w:cs="Arial" w:eastAsia="Arial" w:hAnsi="Arial"/>
          <w:sz w:val="15"/>
          <w:szCs w:val="15"/>
          <w:b w:val="1"/>
          <w:bCs w:val="1"/>
          <w:color w:val="16479F"/>
        </w:rPr>
      </w:pPr>
    </w:p>
    <w:p>
      <w:pPr>
        <w:ind w:left="189" w:right="300" w:hanging="189"/>
        <w:spacing w:after="0" w:line="237" w:lineRule="auto"/>
        <w:tabs>
          <w:tab w:leader="none" w:pos="177" w:val="left"/>
        </w:tabs>
        <w:numPr>
          <w:ilvl w:val="0"/>
          <w:numId w:val="55"/>
        </w:numPr>
        <w:rPr>
          <w:rFonts w:ascii="Arial" w:cs="Arial" w:eastAsia="Arial" w:hAnsi="Arial"/>
          <w:sz w:val="15"/>
          <w:szCs w:val="15"/>
          <w:b w:val="1"/>
          <w:bCs w:val="1"/>
          <w:color w:val="16479F"/>
        </w:rPr>
      </w:pPr>
      <w:r>
        <w:rPr>
          <w:rFonts w:ascii="Arial" w:cs="Arial" w:eastAsia="Arial" w:hAnsi="Arial"/>
          <w:sz w:val="15"/>
          <w:szCs w:val="15"/>
          <w:color w:val="auto"/>
        </w:rPr>
        <w:t>Drove enhancements to the Board education program by increasing informal remote- learning sessions for deep-dives on certain areas of the Company’s business, including on ESG and climate.</w:t>
      </w:r>
    </w:p>
    <w:p>
      <w:pPr>
        <w:spacing w:after="0" w:line="74" w:lineRule="exact"/>
        <w:rPr>
          <w:sz w:val="20"/>
          <w:szCs w:val="20"/>
          <w:color w:val="auto"/>
        </w:rPr>
      </w:pPr>
    </w:p>
    <w:p>
      <w:pPr>
        <w:ind w:left="9"/>
        <w:spacing w:after="0" w:line="233" w:lineRule="auto"/>
        <w:rPr>
          <w:sz w:val="20"/>
          <w:szCs w:val="20"/>
          <w:color w:val="auto"/>
        </w:rPr>
      </w:pPr>
      <w:r>
        <w:rPr>
          <w:rFonts w:ascii="Arial" w:cs="Arial" w:eastAsia="Arial" w:hAnsi="Arial"/>
          <w:sz w:val="15"/>
          <w:szCs w:val="15"/>
          <w:color w:val="auto"/>
        </w:rPr>
        <w:t>The Nominating and Corporate Governance Committee changed its name in 2021 to the Governance and Corporate Responsibility Committee to provide more clarity and transparency on the committee’s oversight of corporate responsibility, ESG and climate and other sustainability matters and to reflect the broad scope of its oversight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-1297305</wp:posOffset>
            </wp:positionH>
            <wp:positionV relativeFrom="paragraph">
              <wp:posOffset>48895</wp:posOffset>
            </wp:positionV>
            <wp:extent cx="71335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20" w:space="231"/>
            <w:col w:w="9109"/>
          </w:cols>
          <w:pgMar w:left="320" w:top="121" w:right="419" w:bottom="1440" w:gutter="0" w:footer="0" w:header="0"/>
          <w:type w:val="continuous"/>
        </w:sectPr>
      </w:pP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Mr. duPont ceased serving on the Governance Committee in connection with his retirement from the Board, effective April 27,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7154545"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type w:val="continuous"/>
        </w:sectPr>
      </w:pPr>
    </w:p>
    <w:bookmarkStart w:id="37" w:name="page38"/>
    <w:bookmarkEnd w:id="37"/>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00" w:type="dxa"/>
            <w:vAlign w:val="bottom"/>
            <w:tcBorders>
              <w:right w:val="single" w:sz="8" w:color="16479F"/>
            </w:tcBorders>
          </w:tcPr>
          <w:p>
            <w:pPr>
              <w:ind w:left="8740"/>
              <w:spacing w:after="0"/>
              <w:rPr>
                <w:sz w:val="20"/>
                <w:szCs w:val="20"/>
                <w:color w:val="auto"/>
              </w:rPr>
            </w:pPr>
            <w:r>
              <w:rPr>
                <w:rFonts w:ascii="Arial" w:cs="Arial" w:eastAsia="Arial" w:hAnsi="Arial"/>
                <w:sz w:val="14"/>
                <w:szCs w:val="14"/>
                <w:b w:val="1"/>
                <w:bCs w:val="1"/>
                <w:color w:val="16479F"/>
              </w:rPr>
              <w:t>2022 PROXY STATEMENT</w:t>
            </w:r>
          </w:p>
        </w:tc>
        <w:tc>
          <w:tcPr>
            <w:tcW w:w="640" w:type="dxa"/>
            <w:vAlign w:val="bottom"/>
          </w:tcPr>
          <w:p>
            <w:pPr>
              <w:jc w:val="right"/>
              <w:ind w:right="9"/>
              <w:spacing w:after="0"/>
              <w:rPr>
                <w:sz w:val="20"/>
                <w:szCs w:val="20"/>
                <w:color w:val="auto"/>
              </w:rPr>
            </w:pPr>
            <w:r>
              <w:rPr>
                <w:rFonts w:ascii="Arial" w:cs="Arial" w:eastAsia="Arial" w:hAnsi="Arial"/>
                <w:sz w:val="14"/>
                <w:szCs w:val="14"/>
                <w:b w:val="1"/>
                <w:bCs w:val="1"/>
                <w:color w:val="16479F"/>
              </w:rPr>
              <w:t>37</w:t>
            </w:r>
          </w:p>
        </w:tc>
      </w:tr>
      <w:tr>
        <w:trPr>
          <w:trHeight w:val="65"/>
        </w:trPr>
        <w:tc>
          <w:tcPr>
            <w:tcW w:w="10600" w:type="dxa"/>
            <w:vAlign w:val="bottom"/>
            <w:tcBorders>
              <w:bottom w:val="single" w:sz="8" w:color="16479F"/>
              <w:right w:val="single" w:sz="8" w:color="16479F"/>
            </w:tcBorders>
          </w:tcPr>
          <w:p>
            <w:pPr>
              <w:spacing w:after="0"/>
              <w:rPr>
                <w:sz w:val="5"/>
                <w:szCs w:val="5"/>
                <w:color w:val="auto"/>
              </w:rPr>
            </w:pPr>
          </w:p>
        </w:tc>
        <w:tc>
          <w:tcPr>
            <w:tcW w:w="640" w:type="dxa"/>
            <w:vAlign w:val="bottom"/>
            <w:tcBorders>
              <w:bottom w:val="single" w:sz="8" w:color="16479F"/>
            </w:tcBorders>
          </w:tcPr>
          <w:p>
            <w:pPr>
              <w:spacing w:after="0"/>
              <w:rPr>
                <w:sz w:val="5"/>
                <w:szCs w:val="5"/>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STRATEGY AND FINANCE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33590" cy="2559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3590" cy="25590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5"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16479F"/>
        </w:rPr>
        <w:t>MEMBERS:</w:t>
      </w:r>
    </w:p>
    <w:p>
      <w:pPr>
        <w:spacing w:after="0" w:line="165" w:lineRule="exact"/>
        <w:rPr>
          <w:sz w:val="20"/>
          <w:szCs w:val="20"/>
          <w:color w:val="auto"/>
        </w:rPr>
      </w:pPr>
    </w:p>
    <w:p>
      <w:pPr>
        <w:ind w:left="100"/>
        <w:spacing w:after="0" w:line="239" w:lineRule="auto"/>
        <w:rPr>
          <w:sz w:val="20"/>
          <w:szCs w:val="20"/>
          <w:color w:val="auto"/>
        </w:rPr>
      </w:pPr>
      <w:r>
        <w:rPr>
          <w:rFonts w:ascii="Arial" w:cs="Arial" w:eastAsia="Arial" w:hAnsi="Arial"/>
          <w:sz w:val="14"/>
          <w:szCs w:val="14"/>
          <w:color w:val="16479F"/>
        </w:rPr>
        <w:t>Robert G. Ashe (Chair) Jacques P. Perold Sandy</w:t>
      </w:r>
    </w:p>
    <w:p>
      <w:pPr>
        <w:spacing w:after="0" w:line="1" w:lineRule="exact"/>
        <w:rPr>
          <w:sz w:val="20"/>
          <w:szCs w:val="20"/>
          <w:color w:val="auto"/>
        </w:rPr>
      </w:pPr>
    </w:p>
    <w:p>
      <w:pPr>
        <w:ind w:left="100" w:right="580" w:hanging="4"/>
        <w:spacing w:after="0" w:line="233" w:lineRule="auto"/>
        <w:tabs>
          <w:tab w:leader="none" w:pos="294" w:val="left"/>
        </w:tabs>
        <w:numPr>
          <w:ilvl w:val="0"/>
          <w:numId w:val="56"/>
        </w:numPr>
        <w:rPr>
          <w:rFonts w:ascii="Arial" w:cs="Arial" w:eastAsia="Arial" w:hAnsi="Arial"/>
          <w:sz w:val="15"/>
          <w:szCs w:val="15"/>
          <w:color w:val="16479F"/>
        </w:rPr>
      </w:pPr>
      <w:r>
        <w:rPr>
          <w:rFonts w:ascii="Arial" w:cs="Arial" w:eastAsia="Arial" w:hAnsi="Arial"/>
          <w:sz w:val="15"/>
          <w:szCs w:val="15"/>
          <w:color w:val="16479F"/>
        </w:rPr>
        <w:t>Rattray Marcus L. Smith Paula Volent</w:t>
      </w:r>
    </w:p>
    <w:p>
      <w:pPr>
        <w:spacing w:after="0" w:line="112" w:lineRule="exact"/>
        <w:rPr>
          <w:sz w:val="20"/>
          <w:szCs w:val="20"/>
          <w:color w:val="auto"/>
        </w:rPr>
      </w:pPr>
    </w:p>
    <w:p>
      <w:pPr>
        <w:ind w:left="100" w:right="160"/>
        <w:spacing w:after="0" w:line="282" w:lineRule="auto"/>
        <w:rPr>
          <w:sz w:val="20"/>
          <w:szCs w:val="20"/>
          <w:color w:val="auto"/>
        </w:rPr>
      </w:pPr>
      <w:r>
        <w:rPr>
          <w:rFonts w:ascii="Arial" w:cs="Arial" w:eastAsia="Arial" w:hAnsi="Arial"/>
          <w:sz w:val="16"/>
          <w:szCs w:val="16"/>
          <w:b w:val="1"/>
          <w:bCs w:val="1"/>
          <w:color w:val="16479F"/>
        </w:rPr>
        <w:t>MEETINGS HELD IN 2021: 10</w:t>
      </w:r>
    </w:p>
    <w:p>
      <w:pPr>
        <w:spacing w:after="0" w:line="51" w:lineRule="exact"/>
        <w:rPr>
          <w:sz w:val="20"/>
          <w:szCs w:val="20"/>
          <w:color w:val="auto"/>
        </w:rPr>
      </w:pPr>
    </w:p>
    <w:p>
      <w:pPr>
        <w:ind w:left="280" w:right="200" w:hanging="184"/>
        <w:spacing w:after="0" w:line="228" w:lineRule="auto"/>
        <w:tabs>
          <w:tab w:leader="none" w:pos="260" w:val="left"/>
        </w:tabs>
        <w:numPr>
          <w:ilvl w:val="0"/>
          <w:numId w:val="57"/>
        </w:numPr>
        <w:rPr>
          <w:rFonts w:ascii="Arial" w:cs="Arial" w:eastAsia="Arial" w:hAnsi="Arial"/>
          <w:sz w:val="15"/>
          <w:szCs w:val="15"/>
          <w:b w:val="1"/>
          <w:bCs w:val="1"/>
          <w:color w:val="16479F"/>
        </w:rPr>
      </w:pPr>
      <w:r>
        <w:rPr>
          <w:rFonts w:ascii="Arial" w:cs="Arial" w:eastAsia="Arial" w:hAnsi="Arial"/>
          <w:sz w:val="15"/>
          <w:szCs w:val="15"/>
          <w:color w:val="auto"/>
        </w:rPr>
        <w:t>All members are independent within the meaning of the NYSE standards of independence for directors.</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left="36"/>
        <w:spacing w:after="0"/>
        <w:rPr>
          <w:sz w:val="20"/>
          <w:szCs w:val="20"/>
          <w:color w:val="auto"/>
        </w:rPr>
      </w:pPr>
      <w:r>
        <w:rPr>
          <w:rFonts w:ascii="Arial" w:cs="Arial" w:eastAsia="Arial" w:hAnsi="Arial"/>
          <w:sz w:val="16"/>
          <w:szCs w:val="16"/>
          <w:b w:val="1"/>
          <w:bCs w:val="1"/>
          <w:color w:val="16479F"/>
        </w:rPr>
        <w:t>PRIMARY RESPONSIBILITIES:</w:t>
      </w:r>
    </w:p>
    <w:p>
      <w:pPr>
        <w:spacing w:after="0" w:line="99" w:lineRule="exact"/>
        <w:rPr>
          <w:sz w:val="20"/>
          <w:szCs w:val="20"/>
          <w:color w:val="auto"/>
        </w:rPr>
      </w:pPr>
    </w:p>
    <w:p>
      <w:pPr>
        <w:ind w:left="196" w:right="400" w:hanging="196"/>
        <w:spacing w:after="0" w:line="237" w:lineRule="auto"/>
        <w:tabs>
          <w:tab w:leader="none" w:pos="184" w:val="left"/>
        </w:tabs>
        <w:numPr>
          <w:ilvl w:val="0"/>
          <w:numId w:val="58"/>
        </w:numPr>
        <w:rPr>
          <w:rFonts w:ascii="Arial" w:cs="Arial" w:eastAsia="Arial" w:hAnsi="Arial"/>
          <w:sz w:val="15"/>
          <w:szCs w:val="15"/>
          <w:b w:val="1"/>
          <w:bCs w:val="1"/>
          <w:color w:val="16479F"/>
        </w:rPr>
      </w:pPr>
      <w:r>
        <w:rPr>
          <w:rFonts w:ascii="Arial" w:cs="Arial" w:eastAsia="Arial" w:hAnsi="Arial"/>
          <w:sz w:val="15"/>
          <w:szCs w:val="15"/>
          <w:color w:val="auto"/>
        </w:rPr>
        <w:t>Evaluates management’s recommendations with respect to the strategic direction of the Company and regularly consults with the Board on the objectives of the Company’s strategic plans and management’s implementation of such plans.</w:t>
      </w:r>
    </w:p>
    <w:p>
      <w:pPr>
        <w:spacing w:after="0" w:line="34" w:lineRule="exact"/>
        <w:rPr>
          <w:rFonts w:ascii="Arial" w:cs="Arial" w:eastAsia="Arial" w:hAnsi="Arial"/>
          <w:sz w:val="15"/>
          <w:szCs w:val="15"/>
          <w:b w:val="1"/>
          <w:bCs w:val="1"/>
          <w:color w:val="16479F"/>
        </w:rPr>
      </w:pPr>
    </w:p>
    <w:p>
      <w:pPr>
        <w:ind w:left="196" w:right="700" w:hanging="196"/>
        <w:spacing w:after="0" w:line="237" w:lineRule="auto"/>
        <w:tabs>
          <w:tab w:leader="none" w:pos="184" w:val="left"/>
        </w:tabs>
        <w:numPr>
          <w:ilvl w:val="0"/>
          <w:numId w:val="58"/>
        </w:numPr>
        <w:rPr>
          <w:rFonts w:ascii="Arial" w:cs="Arial" w:eastAsia="Arial" w:hAnsi="Arial"/>
          <w:sz w:val="15"/>
          <w:szCs w:val="15"/>
          <w:b w:val="1"/>
          <w:bCs w:val="1"/>
          <w:color w:val="16479F"/>
        </w:rPr>
      </w:pPr>
      <w:r>
        <w:rPr>
          <w:rFonts w:ascii="Arial" w:cs="Arial" w:eastAsia="Arial" w:hAnsi="Arial"/>
          <w:sz w:val="15"/>
          <w:szCs w:val="15"/>
          <w:color w:val="auto"/>
        </w:rPr>
        <w:t>Reviews and makes recommendations with respect to the agenda for Board strategy meetings with management, taking into account issues important to the full Board.</w:t>
      </w:r>
    </w:p>
    <w:p>
      <w:pPr>
        <w:spacing w:after="0" w:line="34" w:lineRule="exact"/>
        <w:rPr>
          <w:rFonts w:ascii="Arial" w:cs="Arial" w:eastAsia="Arial" w:hAnsi="Arial"/>
          <w:sz w:val="15"/>
          <w:szCs w:val="15"/>
          <w:b w:val="1"/>
          <w:bCs w:val="1"/>
          <w:color w:val="16479F"/>
        </w:rPr>
      </w:pPr>
    </w:p>
    <w:p>
      <w:pPr>
        <w:ind w:left="196" w:right="380" w:hanging="196"/>
        <w:spacing w:after="0" w:line="233" w:lineRule="auto"/>
        <w:tabs>
          <w:tab w:leader="none" w:pos="184" w:val="left"/>
        </w:tabs>
        <w:numPr>
          <w:ilvl w:val="0"/>
          <w:numId w:val="58"/>
        </w:numPr>
        <w:rPr>
          <w:rFonts w:ascii="Arial" w:cs="Arial" w:eastAsia="Arial" w:hAnsi="Arial"/>
          <w:sz w:val="15"/>
          <w:szCs w:val="15"/>
          <w:b w:val="1"/>
          <w:bCs w:val="1"/>
          <w:color w:val="16479F"/>
        </w:rPr>
      </w:pPr>
      <w:r>
        <w:rPr>
          <w:rFonts w:ascii="Arial" w:cs="Arial" w:eastAsia="Arial" w:hAnsi="Arial"/>
          <w:sz w:val="15"/>
          <w:szCs w:val="15"/>
          <w:color w:val="auto"/>
        </w:rPr>
        <w:t>Reviews and makes recommendations to the Board with respect to any mergers, combinations, acquisitions, divestitures, joint ventures, minority investments and other strategic investments, and any financings for mergers, acquisitions and other significant financial transactions, in each case requiring the Board’s approval.</w:t>
      </w:r>
    </w:p>
    <w:p>
      <w:pPr>
        <w:spacing w:after="0" w:line="33" w:lineRule="exact"/>
        <w:rPr>
          <w:rFonts w:ascii="Arial" w:cs="Arial" w:eastAsia="Arial" w:hAnsi="Arial"/>
          <w:sz w:val="15"/>
          <w:szCs w:val="15"/>
          <w:b w:val="1"/>
          <w:bCs w:val="1"/>
          <w:color w:val="16479F"/>
        </w:rPr>
      </w:pPr>
    </w:p>
    <w:p>
      <w:pPr>
        <w:ind w:left="196" w:right="400" w:hanging="196"/>
        <w:spacing w:after="0" w:line="237" w:lineRule="auto"/>
        <w:tabs>
          <w:tab w:leader="none" w:pos="184" w:val="left"/>
        </w:tabs>
        <w:numPr>
          <w:ilvl w:val="0"/>
          <w:numId w:val="58"/>
        </w:numPr>
        <w:rPr>
          <w:rFonts w:ascii="Arial" w:cs="Arial" w:eastAsia="Arial" w:hAnsi="Arial"/>
          <w:sz w:val="15"/>
          <w:szCs w:val="15"/>
          <w:b w:val="1"/>
          <w:bCs w:val="1"/>
          <w:color w:val="16479F"/>
        </w:rPr>
      </w:pPr>
      <w:r>
        <w:rPr>
          <w:rFonts w:ascii="Arial" w:cs="Arial" w:eastAsia="Arial" w:hAnsi="Arial"/>
          <w:sz w:val="15"/>
          <w:szCs w:val="15"/>
          <w:color w:val="auto"/>
        </w:rPr>
        <w:t>Reviews and oversees management’s plans and objectives for the capitalization of the Company, including target leverage levels and the structure and amount of debt and equity required to meet the Company’s financing needs.</w:t>
      </w:r>
    </w:p>
    <w:p>
      <w:pPr>
        <w:spacing w:after="0" w:line="34" w:lineRule="exact"/>
        <w:rPr>
          <w:rFonts w:ascii="Arial" w:cs="Arial" w:eastAsia="Arial" w:hAnsi="Arial"/>
          <w:sz w:val="15"/>
          <w:szCs w:val="15"/>
          <w:b w:val="1"/>
          <w:bCs w:val="1"/>
          <w:color w:val="16479F"/>
        </w:rPr>
      </w:pPr>
    </w:p>
    <w:p>
      <w:pPr>
        <w:ind w:left="176" w:hanging="176"/>
        <w:spacing w:after="0"/>
        <w:tabs>
          <w:tab w:leader="none" w:pos="176" w:val="left"/>
        </w:tabs>
        <w:numPr>
          <w:ilvl w:val="0"/>
          <w:numId w:val="58"/>
        </w:numPr>
        <w:rPr>
          <w:rFonts w:ascii="Arial" w:cs="Arial" w:eastAsia="Arial" w:hAnsi="Arial"/>
          <w:sz w:val="15"/>
          <w:szCs w:val="15"/>
          <w:b w:val="1"/>
          <w:bCs w:val="1"/>
          <w:color w:val="16479F"/>
        </w:rPr>
      </w:pPr>
      <w:r>
        <w:rPr>
          <w:rFonts w:ascii="Arial" w:cs="Arial" w:eastAsia="Arial" w:hAnsi="Arial"/>
          <w:sz w:val="15"/>
          <w:szCs w:val="15"/>
          <w:color w:val="auto"/>
        </w:rPr>
        <w:t>Oversees the Company’s share repurchase programs, subject to Board-approved policies.</w:t>
      </w:r>
    </w:p>
    <w:p>
      <w:pPr>
        <w:spacing w:after="0" w:line="41" w:lineRule="exact"/>
        <w:rPr>
          <w:rFonts w:ascii="Arial" w:cs="Arial" w:eastAsia="Arial" w:hAnsi="Arial"/>
          <w:sz w:val="15"/>
          <w:szCs w:val="15"/>
          <w:b w:val="1"/>
          <w:bCs w:val="1"/>
          <w:color w:val="16479F"/>
        </w:rPr>
      </w:pPr>
    </w:p>
    <w:p>
      <w:pPr>
        <w:ind w:left="176" w:hanging="176"/>
        <w:spacing w:after="0"/>
        <w:tabs>
          <w:tab w:leader="none" w:pos="176" w:val="left"/>
        </w:tabs>
        <w:numPr>
          <w:ilvl w:val="0"/>
          <w:numId w:val="58"/>
        </w:numPr>
        <w:rPr>
          <w:rFonts w:ascii="Arial" w:cs="Arial" w:eastAsia="Arial" w:hAnsi="Arial"/>
          <w:sz w:val="15"/>
          <w:szCs w:val="15"/>
          <w:b w:val="1"/>
          <w:bCs w:val="1"/>
          <w:color w:val="16479F"/>
        </w:rPr>
      </w:pPr>
      <w:r>
        <w:rPr>
          <w:rFonts w:ascii="Arial" w:cs="Arial" w:eastAsia="Arial" w:hAnsi="Arial"/>
          <w:sz w:val="15"/>
          <w:szCs w:val="15"/>
          <w:color w:val="auto"/>
        </w:rPr>
        <w:t>Reviews and recommends for approval by the Board changes to the Company’s dividend policy.</w:t>
      </w:r>
    </w:p>
    <w:p>
      <w:pPr>
        <w:spacing w:after="0" w:line="134" w:lineRule="exact"/>
        <w:rPr>
          <w:sz w:val="20"/>
          <w:szCs w:val="20"/>
          <w:color w:val="auto"/>
        </w:rPr>
      </w:pPr>
    </w:p>
    <w:p>
      <w:pPr>
        <w:ind w:left="36"/>
        <w:spacing w:after="0"/>
        <w:rPr>
          <w:sz w:val="20"/>
          <w:szCs w:val="20"/>
          <w:color w:val="auto"/>
        </w:rPr>
      </w:pPr>
      <w:r>
        <w:rPr>
          <w:rFonts w:ascii="Arial" w:cs="Arial" w:eastAsia="Arial" w:hAnsi="Arial"/>
          <w:sz w:val="16"/>
          <w:szCs w:val="16"/>
          <w:b w:val="1"/>
          <w:bCs w:val="1"/>
          <w:color w:val="16479F"/>
        </w:rPr>
        <w:t>KEY AREAS OF FOCUS IN 2021:</w:t>
      </w:r>
    </w:p>
    <w:p>
      <w:pPr>
        <w:spacing w:after="0" w:line="99" w:lineRule="exact"/>
        <w:rPr>
          <w:sz w:val="20"/>
          <w:szCs w:val="20"/>
          <w:color w:val="auto"/>
        </w:rPr>
      </w:pPr>
    </w:p>
    <w:p>
      <w:pPr>
        <w:ind w:left="196" w:right="280" w:hanging="196"/>
        <w:spacing w:after="0" w:line="237" w:lineRule="auto"/>
        <w:tabs>
          <w:tab w:leader="none" w:pos="175" w:val="left"/>
        </w:tabs>
        <w:numPr>
          <w:ilvl w:val="0"/>
          <w:numId w:val="59"/>
        </w:numPr>
        <w:rPr>
          <w:rFonts w:ascii="Arial" w:cs="Arial" w:eastAsia="Arial" w:hAnsi="Arial"/>
          <w:sz w:val="15"/>
          <w:szCs w:val="15"/>
          <w:b w:val="1"/>
          <w:bCs w:val="1"/>
          <w:color w:val="16479F"/>
        </w:rPr>
      </w:pPr>
      <w:r>
        <w:rPr>
          <w:rFonts w:ascii="Arial" w:cs="Arial" w:eastAsia="Arial" w:hAnsi="Arial"/>
          <w:sz w:val="15"/>
          <w:szCs w:val="15"/>
          <w:color w:val="auto"/>
        </w:rPr>
        <w:t>Advised management on its capital allocation program, including with respect to its approach to share repurchases, refinancing the Company’s debt and increasing the Company’s quarterly dividend.</w:t>
      </w:r>
    </w:p>
    <w:p>
      <w:pPr>
        <w:spacing w:after="0" w:line="34" w:lineRule="exact"/>
        <w:rPr>
          <w:rFonts w:ascii="Arial" w:cs="Arial" w:eastAsia="Arial" w:hAnsi="Arial"/>
          <w:sz w:val="15"/>
          <w:szCs w:val="15"/>
          <w:b w:val="1"/>
          <w:bCs w:val="1"/>
          <w:color w:val="16479F"/>
        </w:rPr>
      </w:pPr>
    </w:p>
    <w:p>
      <w:pPr>
        <w:ind w:left="196" w:right="240" w:hanging="196"/>
        <w:spacing w:after="0" w:line="237" w:lineRule="auto"/>
        <w:tabs>
          <w:tab w:leader="none" w:pos="184" w:val="left"/>
        </w:tabs>
        <w:numPr>
          <w:ilvl w:val="0"/>
          <w:numId w:val="59"/>
        </w:numPr>
        <w:rPr>
          <w:rFonts w:ascii="Arial" w:cs="Arial" w:eastAsia="Arial" w:hAnsi="Arial"/>
          <w:sz w:val="15"/>
          <w:szCs w:val="15"/>
          <w:b w:val="1"/>
          <w:bCs w:val="1"/>
          <w:color w:val="16479F"/>
        </w:rPr>
      </w:pPr>
      <w:r>
        <w:rPr>
          <w:rFonts w:ascii="Arial" w:cs="Arial" w:eastAsia="Arial" w:hAnsi="Arial"/>
          <w:sz w:val="15"/>
          <w:szCs w:val="15"/>
          <w:color w:val="auto"/>
        </w:rPr>
        <w:t>Focused on the competitive landscape and advised management on merger, partnership and acquisition opportunities, with a focus on the private asset segment, including the acquisition of Real Capital Analytics.</w:t>
      </w:r>
    </w:p>
    <w:p>
      <w:pPr>
        <w:spacing w:after="0" w:line="34" w:lineRule="exact"/>
        <w:rPr>
          <w:rFonts w:ascii="Arial" w:cs="Arial" w:eastAsia="Arial" w:hAnsi="Arial"/>
          <w:sz w:val="15"/>
          <w:szCs w:val="15"/>
          <w:b w:val="1"/>
          <w:bCs w:val="1"/>
          <w:color w:val="16479F"/>
        </w:rPr>
      </w:pPr>
    </w:p>
    <w:p>
      <w:pPr>
        <w:ind w:left="196" w:right="120" w:hanging="196"/>
        <w:spacing w:after="0" w:line="237" w:lineRule="auto"/>
        <w:tabs>
          <w:tab w:leader="none" w:pos="184" w:val="left"/>
        </w:tabs>
        <w:numPr>
          <w:ilvl w:val="0"/>
          <w:numId w:val="59"/>
        </w:numPr>
        <w:rPr>
          <w:rFonts w:ascii="Arial" w:cs="Arial" w:eastAsia="Arial" w:hAnsi="Arial"/>
          <w:sz w:val="15"/>
          <w:szCs w:val="15"/>
          <w:b w:val="1"/>
          <w:bCs w:val="1"/>
          <w:color w:val="16479F"/>
        </w:rPr>
      </w:pPr>
      <w:r>
        <w:rPr>
          <w:rFonts w:ascii="Arial" w:cs="Arial" w:eastAsia="Arial" w:hAnsi="Arial"/>
          <w:sz w:val="15"/>
          <w:szCs w:val="15"/>
          <w:color w:val="auto"/>
        </w:rPr>
        <w:t>Collaborated with management on the agenda for the Board’s two-day strategy session to ensure alignment with internal investments and growth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-1280160</wp:posOffset>
            </wp:positionH>
            <wp:positionV relativeFrom="paragraph">
              <wp:posOffset>49530</wp:posOffset>
            </wp:positionV>
            <wp:extent cx="71335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123825</wp:posOffset>
            </wp:positionV>
            <wp:extent cx="7154545"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2">
            <w:col w:w="1780" w:space="244"/>
            <w:col w:w="9216"/>
          </w:cols>
          <w:pgMar w:left="320" w:top="121" w:right="339" w:bottom="1440" w:gutter="0" w:footer="0" w:header="0"/>
          <w:type w:val="continuous"/>
        </w:sectPr>
      </w:pPr>
    </w:p>
    <w:bookmarkStart w:id="38" w:name="page39"/>
    <w:bookmarkEnd w:id="38"/>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149860</wp:posOffset>
            </wp:positionV>
            <wp:extent cx="7133590" cy="2127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3590" cy="212725"/>
                    </a:xfrm>
                    <a:prstGeom prst="rect">
                      <a:avLst/>
                    </a:prstGeom>
                    <a:noFill/>
                  </pic:spPr>
                </pic:pic>
              </a:graphicData>
            </a:graphic>
          </wp:anchor>
        </w:drawing>
      </w:r>
    </w:p>
    <w:p>
      <w:pPr>
        <w:spacing w:after="0" w:line="283"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4"/>
          <w:szCs w:val="14"/>
          <w:b w:val="1"/>
          <w:bCs w:val="1"/>
          <w:color w:val="16479F"/>
        </w:rPr>
        <w:t>38</w:t>
      </w:r>
      <w:r>
        <w:rPr>
          <w:sz w:val="20"/>
          <w:szCs w:val="20"/>
          <w:color w:val="auto"/>
        </w:rPr>
        <w:tab/>
      </w:r>
      <w:r>
        <w:rPr>
          <w:rFonts w:ascii="Arial" w:cs="Arial" w:eastAsia="Arial" w:hAnsi="Arial"/>
          <w:sz w:val="14"/>
          <w:szCs w:val="14"/>
          <w:b w:val="1"/>
          <w:bCs w:val="1"/>
          <w:color w:val="16479F"/>
        </w:rPr>
        <w:t>MSCI  |  CORPORATE GOVERNANCE</w:t>
      </w:r>
    </w:p>
    <w:p>
      <w:pPr>
        <w:spacing w:after="0" w:line="285" w:lineRule="exact"/>
        <w:rPr>
          <w:sz w:val="20"/>
          <w:szCs w:val="20"/>
          <w:color w:val="auto"/>
        </w:rPr>
      </w:pPr>
    </w:p>
    <w:p>
      <w:pPr>
        <w:spacing w:after="0"/>
        <w:rPr>
          <w:sz w:val="20"/>
          <w:szCs w:val="20"/>
          <w:color w:val="auto"/>
        </w:rPr>
      </w:pPr>
      <w:r>
        <w:rPr>
          <w:rFonts w:ascii="Arial" w:cs="Arial" w:eastAsia="Arial" w:hAnsi="Arial"/>
          <w:sz w:val="32"/>
          <w:szCs w:val="32"/>
          <w:b w:val="1"/>
          <w:bCs w:val="1"/>
          <w:color w:val="16479F"/>
        </w:rPr>
        <w:t>Engagement and Evaluation of our Board</w:t>
      </w:r>
    </w:p>
    <w:p>
      <w:pPr>
        <w:spacing w:after="0" w:line="222"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Attendance at Board Meetings and Annual Meeting of Shareholders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 w:type="dxa"/>
            <w:vAlign w:val="bottom"/>
            <w:shd w:val="clear" w:color="auto" w:fill="F0F1F8"/>
          </w:tcPr>
          <w:p>
            <w:pPr>
              <w:spacing w:after="0"/>
              <w:rPr>
                <w:sz w:val="19"/>
                <w:szCs w:val="19"/>
                <w:color w:val="auto"/>
              </w:rPr>
            </w:pPr>
          </w:p>
        </w:tc>
        <w:tc>
          <w:tcPr>
            <w:tcW w:w="240" w:type="dxa"/>
            <w:vAlign w:val="bottom"/>
            <w:shd w:val="clear" w:color="auto" w:fill="F0F1F8"/>
          </w:tcPr>
          <w:p>
            <w:pPr>
              <w:spacing w:after="0"/>
              <w:rPr>
                <w:sz w:val="19"/>
                <w:szCs w:val="19"/>
                <w:color w:val="auto"/>
              </w:rPr>
            </w:pPr>
          </w:p>
        </w:tc>
        <w:tc>
          <w:tcPr>
            <w:tcW w:w="1800" w:type="dxa"/>
            <w:vAlign w:val="bottom"/>
            <w:shd w:val="clear" w:color="auto" w:fill="F0F1F8"/>
          </w:tcPr>
          <w:p>
            <w:pPr>
              <w:spacing w:after="0"/>
              <w:rPr>
                <w:sz w:val="19"/>
                <w:szCs w:val="19"/>
                <w:color w:val="auto"/>
              </w:rPr>
            </w:pPr>
          </w:p>
        </w:tc>
        <w:tc>
          <w:tcPr>
            <w:tcW w:w="380" w:type="dxa"/>
            <w:vAlign w:val="bottom"/>
            <w:shd w:val="clear" w:color="auto" w:fill="F0F1F8"/>
          </w:tcPr>
          <w:p>
            <w:pPr>
              <w:spacing w:after="0"/>
              <w:rPr>
                <w:sz w:val="19"/>
                <w:szCs w:val="19"/>
                <w:color w:val="auto"/>
              </w:rPr>
            </w:pPr>
          </w:p>
        </w:tc>
        <w:tc>
          <w:tcPr>
            <w:tcW w:w="2560" w:type="dxa"/>
            <w:vAlign w:val="bottom"/>
            <w:shd w:val="clear" w:color="auto" w:fill="F0F1F8"/>
          </w:tcPr>
          <w:p>
            <w:pPr>
              <w:spacing w:after="0"/>
              <w:rPr>
                <w:sz w:val="19"/>
                <w:szCs w:val="19"/>
                <w:color w:val="auto"/>
              </w:rPr>
            </w:pPr>
          </w:p>
        </w:tc>
        <w:tc>
          <w:tcPr>
            <w:tcW w:w="380" w:type="dxa"/>
            <w:vAlign w:val="bottom"/>
            <w:shd w:val="clear" w:color="auto" w:fill="F0F1F8"/>
          </w:tcPr>
          <w:p>
            <w:pPr>
              <w:spacing w:after="0"/>
              <w:rPr>
                <w:sz w:val="19"/>
                <w:szCs w:val="19"/>
                <w:color w:val="auto"/>
              </w:rPr>
            </w:pPr>
          </w:p>
        </w:tc>
        <w:tc>
          <w:tcPr>
            <w:tcW w:w="2080" w:type="dxa"/>
            <w:vAlign w:val="bottom"/>
            <w:shd w:val="clear" w:color="auto" w:fill="F0F1F8"/>
          </w:tcPr>
          <w:p>
            <w:pPr>
              <w:spacing w:after="0"/>
              <w:rPr>
                <w:sz w:val="19"/>
                <w:szCs w:val="19"/>
                <w:color w:val="auto"/>
              </w:rPr>
            </w:pPr>
          </w:p>
        </w:tc>
        <w:tc>
          <w:tcPr>
            <w:tcW w:w="3700" w:type="dxa"/>
            <w:vAlign w:val="bottom"/>
            <w:gridSpan w:val="3"/>
            <w:shd w:val="clear" w:color="auto" w:fill="F0F1F8"/>
          </w:tcPr>
          <w:p>
            <w:pPr>
              <w:ind w:left="440"/>
              <w:spacing w:after="0"/>
              <w:rPr>
                <w:sz w:val="20"/>
                <w:szCs w:val="20"/>
                <w:color w:val="auto"/>
              </w:rPr>
            </w:pPr>
            <w:r>
              <w:rPr>
                <w:rFonts w:ascii="Arial" w:cs="Arial" w:eastAsia="Arial" w:hAnsi="Arial"/>
                <w:sz w:val="16"/>
                <w:szCs w:val="16"/>
                <w:b w:val="1"/>
                <w:bCs w:val="1"/>
                <w:color w:val="16479F"/>
              </w:rPr>
              <w:t>EACH DIRECTOR ATTENDED AT LEAST</w:t>
            </w:r>
          </w:p>
        </w:tc>
        <w:tc>
          <w:tcPr>
            <w:tcW w:w="0" w:type="dxa"/>
            <w:vAlign w:val="bottom"/>
          </w:tcPr>
          <w:p>
            <w:pPr>
              <w:spacing w:after="0"/>
              <w:rPr>
                <w:sz w:val="1"/>
                <w:szCs w:val="1"/>
                <w:color w:val="auto"/>
              </w:rPr>
            </w:pPr>
          </w:p>
        </w:tc>
      </w:tr>
      <w:tr>
        <w:trPr>
          <w:trHeight w:val="643"/>
        </w:trPr>
        <w:tc>
          <w:tcPr>
            <w:tcW w:w="2140" w:type="dxa"/>
            <w:vAlign w:val="bottom"/>
            <w:gridSpan w:val="3"/>
            <w:shd w:val="clear" w:color="auto" w:fill="F0F1F8"/>
          </w:tcPr>
          <w:p>
            <w:pPr>
              <w:ind w:left="100"/>
              <w:spacing w:after="0"/>
              <w:rPr>
                <w:sz w:val="20"/>
                <w:szCs w:val="20"/>
                <w:color w:val="auto"/>
              </w:rPr>
            </w:pPr>
            <w:r>
              <w:rPr>
                <w:rFonts w:ascii="Arial" w:cs="Arial" w:eastAsia="Arial" w:hAnsi="Arial"/>
                <w:sz w:val="54"/>
                <w:szCs w:val="54"/>
                <w:b w:val="1"/>
                <w:bCs w:val="1"/>
                <w:color w:val="002739"/>
              </w:rPr>
              <w:t>10</w:t>
            </w:r>
          </w:p>
        </w:tc>
        <w:tc>
          <w:tcPr>
            <w:tcW w:w="2940" w:type="dxa"/>
            <w:vAlign w:val="bottom"/>
            <w:gridSpan w:val="2"/>
            <w:shd w:val="clear" w:color="auto" w:fill="F0F1F8"/>
          </w:tcPr>
          <w:p>
            <w:pPr>
              <w:spacing w:after="0"/>
              <w:rPr>
                <w:sz w:val="20"/>
                <w:szCs w:val="20"/>
                <w:color w:val="auto"/>
              </w:rPr>
            </w:pPr>
            <w:r>
              <w:rPr>
                <w:rFonts w:ascii="Arial" w:cs="Arial" w:eastAsia="Arial" w:hAnsi="Arial"/>
                <w:sz w:val="54"/>
                <w:szCs w:val="54"/>
                <w:b w:val="1"/>
                <w:bCs w:val="1"/>
                <w:color w:val="002739"/>
              </w:rPr>
              <w:t>10</w:t>
            </w:r>
          </w:p>
        </w:tc>
        <w:tc>
          <w:tcPr>
            <w:tcW w:w="380" w:type="dxa"/>
            <w:vAlign w:val="bottom"/>
            <w:shd w:val="clear" w:color="auto" w:fill="F0F1F8"/>
          </w:tcPr>
          <w:p>
            <w:pPr>
              <w:spacing w:after="0"/>
              <w:rPr>
                <w:sz w:val="20"/>
                <w:szCs w:val="20"/>
                <w:color w:val="auto"/>
              </w:rPr>
            </w:pPr>
            <w:r>
              <w:rPr>
                <w:rFonts w:ascii="Arial" w:cs="Arial" w:eastAsia="Arial" w:hAnsi="Arial"/>
                <w:sz w:val="54"/>
                <w:szCs w:val="54"/>
                <w:b w:val="1"/>
                <w:bCs w:val="1"/>
                <w:color w:val="002739"/>
              </w:rPr>
              <w:t>4</w:t>
            </w:r>
          </w:p>
        </w:tc>
        <w:tc>
          <w:tcPr>
            <w:tcW w:w="2080" w:type="dxa"/>
            <w:vAlign w:val="bottom"/>
            <w:shd w:val="clear" w:color="auto" w:fill="F0F1F8"/>
          </w:tcPr>
          <w:p>
            <w:pPr>
              <w:spacing w:after="0"/>
              <w:rPr>
                <w:sz w:val="24"/>
                <w:szCs w:val="24"/>
                <w:color w:val="auto"/>
              </w:rPr>
            </w:pPr>
          </w:p>
        </w:tc>
        <w:tc>
          <w:tcPr>
            <w:tcW w:w="3700" w:type="dxa"/>
            <w:vAlign w:val="bottom"/>
            <w:gridSpan w:val="3"/>
            <w:shd w:val="clear" w:color="auto" w:fill="F0F1F8"/>
          </w:tcPr>
          <w:p>
            <w:pPr>
              <w:ind w:left="440"/>
              <w:spacing w:after="0"/>
              <w:rPr>
                <w:sz w:val="20"/>
                <w:szCs w:val="20"/>
                <w:color w:val="auto"/>
              </w:rPr>
            </w:pPr>
            <w:r>
              <w:rPr>
                <w:rFonts w:ascii="Arial" w:cs="Arial" w:eastAsia="Arial" w:hAnsi="Arial"/>
                <w:sz w:val="54"/>
                <w:szCs w:val="54"/>
                <w:b w:val="1"/>
                <w:bCs w:val="1"/>
                <w:color w:val="16479F"/>
              </w:rPr>
              <w:t>75%</w:t>
            </w:r>
          </w:p>
        </w:tc>
        <w:tc>
          <w:tcPr>
            <w:tcW w:w="0" w:type="dxa"/>
            <w:vAlign w:val="bottom"/>
          </w:tcPr>
          <w:p>
            <w:pPr>
              <w:spacing w:after="0"/>
              <w:rPr>
                <w:sz w:val="1"/>
                <w:szCs w:val="1"/>
                <w:color w:val="auto"/>
              </w:rPr>
            </w:pPr>
          </w:p>
        </w:tc>
      </w:tr>
      <w:tr>
        <w:trPr>
          <w:trHeight w:val="169"/>
        </w:trPr>
        <w:tc>
          <w:tcPr>
            <w:tcW w:w="2140" w:type="dxa"/>
            <w:vAlign w:val="bottom"/>
            <w:gridSpan w:val="3"/>
            <w:shd w:val="clear" w:color="auto" w:fill="F0F1F8"/>
          </w:tcPr>
          <w:p>
            <w:pPr>
              <w:ind w:left="100"/>
              <w:spacing w:after="0" w:line="169" w:lineRule="exact"/>
              <w:rPr>
                <w:sz w:val="20"/>
                <w:szCs w:val="20"/>
                <w:color w:val="auto"/>
              </w:rPr>
            </w:pPr>
            <w:r>
              <w:rPr>
                <w:rFonts w:ascii="Arial" w:cs="Arial" w:eastAsia="Arial" w:hAnsi="Arial"/>
                <w:sz w:val="16"/>
                <w:szCs w:val="16"/>
                <w:b w:val="1"/>
                <w:bCs w:val="1"/>
                <w:color w:val="002739"/>
              </w:rPr>
              <w:t>BOARD MEETINGS</w:t>
            </w:r>
          </w:p>
        </w:tc>
        <w:tc>
          <w:tcPr>
            <w:tcW w:w="2940" w:type="dxa"/>
            <w:vAlign w:val="bottom"/>
            <w:gridSpan w:val="2"/>
            <w:shd w:val="clear" w:color="auto" w:fill="F0F1F8"/>
          </w:tcPr>
          <w:p>
            <w:pPr>
              <w:spacing w:after="0" w:line="169" w:lineRule="exact"/>
              <w:rPr>
                <w:sz w:val="20"/>
                <w:szCs w:val="20"/>
                <w:color w:val="auto"/>
              </w:rPr>
            </w:pPr>
            <w:r>
              <w:rPr>
                <w:rFonts w:ascii="Arial" w:cs="Arial" w:eastAsia="Arial" w:hAnsi="Arial"/>
                <w:sz w:val="16"/>
                <w:szCs w:val="16"/>
                <w:b w:val="1"/>
                <w:bCs w:val="1"/>
                <w:color w:val="002739"/>
              </w:rPr>
              <w:t>EXECUTIVE SESSIONS, WHICH</w:t>
            </w:r>
          </w:p>
        </w:tc>
        <w:tc>
          <w:tcPr>
            <w:tcW w:w="2460" w:type="dxa"/>
            <w:vAlign w:val="bottom"/>
            <w:gridSpan w:val="2"/>
            <w:shd w:val="clear" w:color="auto" w:fill="F0F1F8"/>
          </w:tcPr>
          <w:p>
            <w:pPr>
              <w:spacing w:after="0" w:line="169" w:lineRule="exact"/>
              <w:rPr>
                <w:sz w:val="20"/>
                <w:szCs w:val="20"/>
                <w:color w:val="auto"/>
              </w:rPr>
            </w:pPr>
            <w:r>
              <w:rPr>
                <w:rFonts w:ascii="Arial" w:cs="Arial" w:eastAsia="Arial" w:hAnsi="Arial"/>
                <w:sz w:val="16"/>
                <w:szCs w:val="16"/>
                <w:b w:val="1"/>
                <w:bCs w:val="1"/>
                <w:color w:val="002739"/>
              </w:rPr>
              <w:t>OCCASIONS WHERE THE</w:t>
            </w:r>
          </w:p>
        </w:tc>
        <w:tc>
          <w:tcPr>
            <w:tcW w:w="3700" w:type="dxa"/>
            <w:vAlign w:val="bottom"/>
            <w:gridSpan w:val="3"/>
            <w:shd w:val="clear" w:color="auto" w:fill="F0F1F8"/>
          </w:tcPr>
          <w:p>
            <w:pPr>
              <w:ind w:left="440"/>
              <w:spacing w:after="0" w:line="169" w:lineRule="exact"/>
              <w:rPr>
                <w:sz w:val="20"/>
                <w:szCs w:val="20"/>
                <w:color w:val="auto"/>
              </w:rPr>
            </w:pPr>
            <w:r>
              <w:rPr>
                <w:rFonts w:ascii="Arial" w:cs="Arial" w:eastAsia="Arial" w:hAnsi="Arial"/>
                <w:sz w:val="16"/>
                <w:szCs w:val="16"/>
                <w:b w:val="1"/>
                <w:bCs w:val="1"/>
                <w:color w:val="16479F"/>
              </w:rPr>
              <w:t>OF THE TOTAL BOARD MEETINGS AND</w:t>
            </w:r>
          </w:p>
        </w:tc>
        <w:tc>
          <w:tcPr>
            <w:tcW w:w="0" w:type="dxa"/>
            <w:vAlign w:val="bottom"/>
          </w:tcPr>
          <w:p>
            <w:pPr>
              <w:spacing w:after="0"/>
              <w:rPr>
                <w:sz w:val="1"/>
                <w:szCs w:val="1"/>
                <w:color w:val="auto"/>
              </w:rPr>
            </w:pPr>
          </w:p>
        </w:tc>
      </w:tr>
      <w:tr>
        <w:trPr>
          <w:trHeight w:val="92"/>
        </w:trPr>
        <w:tc>
          <w:tcPr>
            <w:tcW w:w="100" w:type="dxa"/>
            <w:vAlign w:val="bottom"/>
            <w:tcBorders>
              <w:bottom w:val="single" w:sz="8" w:color="F0F1F8"/>
            </w:tcBorders>
            <w:shd w:val="clear" w:color="auto" w:fill="F0F1F8"/>
          </w:tcPr>
          <w:p>
            <w:pPr>
              <w:spacing w:after="0"/>
              <w:rPr>
                <w:sz w:val="7"/>
                <w:szCs w:val="7"/>
                <w:color w:val="auto"/>
              </w:rPr>
            </w:pPr>
          </w:p>
        </w:tc>
        <w:tc>
          <w:tcPr>
            <w:tcW w:w="240" w:type="dxa"/>
            <w:vAlign w:val="bottom"/>
            <w:tcBorders>
              <w:bottom w:val="single" w:sz="8" w:color="00B5AA"/>
            </w:tcBorders>
            <w:shd w:val="clear" w:color="auto" w:fill="F0F1F8"/>
          </w:tcPr>
          <w:p>
            <w:pPr>
              <w:spacing w:after="0"/>
              <w:rPr>
                <w:sz w:val="7"/>
                <w:szCs w:val="7"/>
                <w:color w:val="auto"/>
              </w:rPr>
            </w:pPr>
          </w:p>
        </w:tc>
        <w:tc>
          <w:tcPr>
            <w:tcW w:w="1800" w:type="dxa"/>
            <w:vAlign w:val="bottom"/>
            <w:tcBorders>
              <w:bottom w:val="single" w:sz="8" w:color="F0F1F8"/>
            </w:tcBorders>
            <w:shd w:val="clear" w:color="auto" w:fill="F0F1F8"/>
          </w:tcPr>
          <w:p>
            <w:pPr>
              <w:spacing w:after="0"/>
              <w:rPr>
                <w:sz w:val="7"/>
                <w:szCs w:val="7"/>
                <w:color w:val="auto"/>
              </w:rPr>
            </w:pPr>
          </w:p>
        </w:tc>
        <w:tc>
          <w:tcPr>
            <w:tcW w:w="2940" w:type="dxa"/>
            <w:vAlign w:val="bottom"/>
            <w:tcBorders>
              <w:bottom w:val="single" w:sz="8" w:color="F0F1F8"/>
            </w:tcBorders>
            <w:gridSpan w:val="2"/>
            <w:vMerge w:val="restart"/>
            <w:shd w:val="clear" w:color="auto" w:fill="F0F1F8"/>
          </w:tcPr>
          <w:p>
            <w:pPr>
              <w:spacing w:after="0"/>
              <w:rPr>
                <w:sz w:val="20"/>
                <w:szCs w:val="20"/>
                <w:color w:val="auto"/>
              </w:rPr>
            </w:pPr>
            <w:r>
              <w:rPr>
                <w:rFonts w:ascii="Arial" w:cs="Arial" w:eastAsia="Arial" w:hAnsi="Arial"/>
                <w:sz w:val="16"/>
                <w:szCs w:val="16"/>
                <w:b w:val="1"/>
                <w:bCs w:val="1"/>
                <w:color w:val="002739"/>
              </w:rPr>
              <w:t>FOLLOWED THE BOARD</w:t>
            </w:r>
          </w:p>
        </w:tc>
        <w:tc>
          <w:tcPr>
            <w:tcW w:w="2460" w:type="dxa"/>
            <w:vAlign w:val="bottom"/>
            <w:tcBorders>
              <w:bottom w:val="single" w:sz="8" w:color="F0F1F8"/>
            </w:tcBorders>
            <w:gridSpan w:val="2"/>
            <w:vMerge w:val="restart"/>
            <w:shd w:val="clear" w:color="auto" w:fill="F0F1F8"/>
          </w:tcPr>
          <w:p>
            <w:pPr>
              <w:spacing w:after="0"/>
              <w:rPr>
                <w:sz w:val="20"/>
                <w:szCs w:val="20"/>
                <w:color w:val="auto"/>
              </w:rPr>
            </w:pPr>
            <w:r>
              <w:rPr>
                <w:rFonts w:ascii="Arial" w:cs="Arial" w:eastAsia="Arial" w:hAnsi="Arial"/>
                <w:sz w:val="16"/>
                <w:szCs w:val="16"/>
                <w:b w:val="1"/>
                <w:bCs w:val="1"/>
                <w:color w:val="002739"/>
              </w:rPr>
              <w:t>BOARD TOOK ACTION BY</w:t>
            </w:r>
          </w:p>
        </w:tc>
        <w:tc>
          <w:tcPr>
            <w:tcW w:w="3700" w:type="dxa"/>
            <w:vAlign w:val="bottom"/>
            <w:tcBorders>
              <w:bottom w:val="single" w:sz="8" w:color="F0F1F8"/>
            </w:tcBorders>
            <w:gridSpan w:val="3"/>
            <w:vMerge w:val="restart"/>
            <w:shd w:val="clear" w:color="auto" w:fill="F0F1F8"/>
          </w:tcPr>
          <w:p>
            <w:pPr>
              <w:ind w:left="440"/>
              <w:spacing w:after="0"/>
              <w:rPr>
                <w:sz w:val="20"/>
                <w:szCs w:val="20"/>
                <w:color w:val="auto"/>
              </w:rPr>
            </w:pPr>
            <w:r>
              <w:rPr>
                <w:rFonts w:ascii="Arial" w:cs="Arial" w:eastAsia="Arial" w:hAnsi="Arial"/>
                <w:sz w:val="16"/>
                <w:szCs w:val="16"/>
                <w:b w:val="1"/>
                <w:bCs w:val="1"/>
                <w:color w:val="16479F"/>
              </w:rPr>
              <w:t>COMMITTEE MEETINGS ON WHICH THE</w:t>
            </w:r>
          </w:p>
        </w:tc>
        <w:tc>
          <w:tcPr>
            <w:tcW w:w="0" w:type="dxa"/>
            <w:vAlign w:val="bottom"/>
          </w:tcPr>
          <w:p>
            <w:pPr>
              <w:spacing w:after="0"/>
              <w:rPr>
                <w:sz w:val="1"/>
                <w:szCs w:val="1"/>
                <w:color w:val="auto"/>
              </w:rPr>
            </w:pPr>
          </w:p>
        </w:tc>
      </w:tr>
      <w:tr>
        <w:trPr>
          <w:trHeight w:val="76"/>
        </w:trPr>
        <w:tc>
          <w:tcPr>
            <w:tcW w:w="100" w:type="dxa"/>
            <w:vAlign w:val="bottom"/>
            <w:shd w:val="clear" w:color="auto" w:fill="F0F1F8"/>
          </w:tcPr>
          <w:p>
            <w:pPr>
              <w:spacing w:after="0"/>
              <w:rPr>
                <w:sz w:val="6"/>
                <w:szCs w:val="6"/>
                <w:color w:val="auto"/>
              </w:rPr>
            </w:pPr>
          </w:p>
        </w:tc>
        <w:tc>
          <w:tcPr>
            <w:tcW w:w="240" w:type="dxa"/>
            <w:vAlign w:val="bottom"/>
            <w:shd w:val="clear" w:color="auto" w:fill="F0F1F8"/>
          </w:tcPr>
          <w:p>
            <w:pPr>
              <w:spacing w:after="0"/>
              <w:rPr>
                <w:sz w:val="6"/>
                <w:szCs w:val="6"/>
                <w:color w:val="auto"/>
              </w:rPr>
            </w:pPr>
          </w:p>
        </w:tc>
        <w:tc>
          <w:tcPr>
            <w:tcW w:w="1800" w:type="dxa"/>
            <w:vAlign w:val="bottom"/>
            <w:shd w:val="clear" w:color="auto" w:fill="F0F1F8"/>
          </w:tcPr>
          <w:p>
            <w:pPr>
              <w:spacing w:after="0"/>
              <w:rPr>
                <w:sz w:val="6"/>
                <w:szCs w:val="6"/>
                <w:color w:val="auto"/>
              </w:rPr>
            </w:pPr>
          </w:p>
        </w:tc>
        <w:tc>
          <w:tcPr>
            <w:tcW w:w="2940" w:type="dxa"/>
            <w:vAlign w:val="bottom"/>
            <w:gridSpan w:val="2"/>
            <w:vMerge w:val="continue"/>
            <w:shd w:val="clear" w:color="auto" w:fill="F0F1F8"/>
          </w:tcPr>
          <w:p>
            <w:pPr>
              <w:spacing w:after="0"/>
              <w:rPr>
                <w:sz w:val="6"/>
                <w:szCs w:val="6"/>
                <w:color w:val="auto"/>
              </w:rPr>
            </w:pPr>
          </w:p>
        </w:tc>
        <w:tc>
          <w:tcPr>
            <w:tcW w:w="2460" w:type="dxa"/>
            <w:vAlign w:val="bottom"/>
            <w:gridSpan w:val="2"/>
            <w:vMerge w:val="continue"/>
            <w:shd w:val="clear" w:color="auto" w:fill="F0F1F8"/>
          </w:tcPr>
          <w:p>
            <w:pPr>
              <w:spacing w:after="0"/>
              <w:rPr>
                <w:sz w:val="6"/>
                <w:szCs w:val="6"/>
                <w:color w:val="auto"/>
              </w:rPr>
            </w:pPr>
          </w:p>
        </w:tc>
        <w:tc>
          <w:tcPr>
            <w:tcW w:w="3700" w:type="dxa"/>
            <w:vAlign w:val="bottom"/>
            <w:gridSpan w:val="3"/>
            <w:vMerge w:val="continue"/>
            <w:shd w:val="clear" w:color="auto" w:fill="F0F1F8"/>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100" w:type="dxa"/>
            <w:vAlign w:val="bottom"/>
            <w:shd w:val="clear" w:color="auto" w:fill="F0F1F8"/>
          </w:tcPr>
          <w:p>
            <w:pPr>
              <w:spacing w:after="0"/>
              <w:rPr>
                <w:sz w:val="16"/>
                <w:szCs w:val="16"/>
                <w:color w:val="auto"/>
              </w:rPr>
            </w:pPr>
          </w:p>
        </w:tc>
        <w:tc>
          <w:tcPr>
            <w:tcW w:w="240" w:type="dxa"/>
            <w:vAlign w:val="bottom"/>
            <w:shd w:val="clear" w:color="auto" w:fill="F0F1F8"/>
          </w:tcPr>
          <w:p>
            <w:pPr>
              <w:spacing w:after="0"/>
              <w:rPr>
                <w:sz w:val="16"/>
                <w:szCs w:val="16"/>
                <w:color w:val="auto"/>
              </w:rPr>
            </w:pPr>
          </w:p>
        </w:tc>
        <w:tc>
          <w:tcPr>
            <w:tcW w:w="1800" w:type="dxa"/>
            <w:vAlign w:val="bottom"/>
            <w:shd w:val="clear" w:color="auto" w:fill="F0F1F8"/>
          </w:tcPr>
          <w:p>
            <w:pPr>
              <w:spacing w:after="0"/>
              <w:rPr>
                <w:sz w:val="16"/>
                <w:szCs w:val="16"/>
                <w:color w:val="auto"/>
              </w:rPr>
            </w:pPr>
          </w:p>
        </w:tc>
        <w:tc>
          <w:tcPr>
            <w:tcW w:w="2940" w:type="dxa"/>
            <w:vAlign w:val="bottom"/>
            <w:gridSpan w:val="2"/>
            <w:shd w:val="clear" w:color="auto" w:fill="F0F1F8"/>
          </w:tcPr>
          <w:p>
            <w:pPr>
              <w:spacing w:after="0"/>
              <w:rPr>
                <w:sz w:val="20"/>
                <w:szCs w:val="20"/>
                <w:color w:val="auto"/>
              </w:rPr>
            </w:pPr>
            <w:r>
              <w:rPr>
                <w:rFonts w:ascii="Arial" w:cs="Arial" w:eastAsia="Arial" w:hAnsi="Arial"/>
                <w:sz w:val="16"/>
                <w:szCs w:val="16"/>
                <w:b w:val="1"/>
                <w:bCs w:val="1"/>
                <w:color w:val="002739"/>
              </w:rPr>
              <w:t>MEETINGS</w:t>
            </w:r>
          </w:p>
        </w:tc>
        <w:tc>
          <w:tcPr>
            <w:tcW w:w="2460" w:type="dxa"/>
            <w:vAlign w:val="bottom"/>
            <w:gridSpan w:val="2"/>
            <w:shd w:val="clear" w:color="auto" w:fill="F0F1F8"/>
          </w:tcPr>
          <w:p>
            <w:pPr>
              <w:spacing w:after="0"/>
              <w:rPr>
                <w:sz w:val="20"/>
                <w:szCs w:val="20"/>
                <w:color w:val="auto"/>
              </w:rPr>
            </w:pPr>
            <w:r>
              <w:rPr>
                <w:rFonts w:ascii="Arial" w:cs="Arial" w:eastAsia="Arial" w:hAnsi="Arial"/>
                <w:sz w:val="16"/>
                <w:szCs w:val="16"/>
                <w:b w:val="1"/>
                <w:bCs w:val="1"/>
                <w:color w:val="002739"/>
              </w:rPr>
              <w:t>UNANIMOUS WRITTEN</w:t>
            </w:r>
          </w:p>
        </w:tc>
        <w:tc>
          <w:tcPr>
            <w:tcW w:w="3700" w:type="dxa"/>
            <w:vAlign w:val="bottom"/>
            <w:gridSpan w:val="3"/>
            <w:shd w:val="clear" w:color="auto" w:fill="F0F1F8"/>
          </w:tcPr>
          <w:p>
            <w:pPr>
              <w:ind w:left="440"/>
              <w:spacing w:after="0"/>
              <w:rPr>
                <w:sz w:val="20"/>
                <w:szCs w:val="20"/>
                <w:color w:val="auto"/>
              </w:rPr>
            </w:pPr>
            <w:r>
              <w:rPr>
                <w:rFonts w:ascii="Arial" w:cs="Arial" w:eastAsia="Arial" w:hAnsi="Arial"/>
                <w:sz w:val="16"/>
                <w:szCs w:val="16"/>
                <w:b w:val="1"/>
                <w:bCs w:val="1"/>
                <w:color w:val="16479F"/>
              </w:rPr>
              <w:t>DIRECTOR SERVED THAT WERE HELD</w:t>
            </w:r>
          </w:p>
        </w:tc>
        <w:tc>
          <w:tcPr>
            <w:tcW w:w="0" w:type="dxa"/>
            <w:vAlign w:val="bottom"/>
          </w:tcPr>
          <w:p>
            <w:pPr>
              <w:spacing w:after="0"/>
              <w:rPr>
                <w:sz w:val="1"/>
                <w:szCs w:val="1"/>
                <w:color w:val="auto"/>
              </w:rPr>
            </w:pPr>
          </w:p>
        </w:tc>
      </w:tr>
      <w:tr>
        <w:trPr>
          <w:trHeight w:val="92"/>
        </w:trPr>
        <w:tc>
          <w:tcPr>
            <w:tcW w:w="100" w:type="dxa"/>
            <w:vAlign w:val="bottom"/>
            <w:tcBorders>
              <w:bottom w:val="single" w:sz="8" w:color="F0F1F8"/>
            </w:tcBorders>
            <w:shd w:val="clear" w:color="auto" w:fill="F0F1F8"/>
          </w:tcPr>
          <w:p>
            <w:pPr>
              <w:spacing w:after="0"/>
              <w:rPr>
                <w:sz w:val="7"/>
                <w:szCs w:val="7"/>
                <w:color w:val="auto"/>
              </w:rPr>
            </w:pPr>
          </w:p>
        </w:tc>
        <w:tc>
          <w:tcPr>
            <w:tcW w:w="240" w:type="dxa"/>
            <w:vAlign w:val="bottom"/>
            <w:tcBorders>
              <w:bottom w:val="single" w:sz="8" w:color="F0F1F8"/>
            </w:tcBorders>
            <w:shd w:val="clear" w:color="auto" w:fill="F0F1F8"/>
          </w:tcPr>
          <w:p>
            <w:pPr>
              <w:spacing w:after="0"/>
              <w:rPr>
                <w:sz w:val="7"/>
                <w:szCs w:val="7"/>
                <w:color w:val="auto"/>
              </w:rPr>
            </w:pPr>
          </w:p>
        </w:tc>
        <w:tc>
          <w:tcPr>
            <w:tcW w:w="1800" w:type="dxa"/>
            <w:vAlign w:val="bottom"/>
            <w:tcBorders>
              <w:bottom w:val="single" w:sz="8" w:color="F0F1F8"/>
            </w:tcBorders>
            <w:shd w:val="clear" w:color="auto" w:fill="F0F1F8"/>
          </w:tcPr>
          <w:p>
            <w:pPr>
              <w:spacing w:after="0"/>
              <w:rPr>
                <w:sz w:val="7"/>
                <w:szCs w:val="7"/>
                <w:color w:val="auto"/>
              </w:rPr>
            </w:pPr>
          </w:p>
        </w:tc>
        <w:tc>
          <w:tcPr>
            <w:tcW w:w="380" w:type="dxa"/>
            <w:vAlign w:val="bottom"/>
            <w:tcBorders>
              <w:bottom w:val="single" w:sz="8" w:color="00B5AA"/>
            </w:tcBorders>
            <w:shd w:val="clear" w:color="auto" w:fill="F0F1F8"/>
          </w:tcPr>
          <w:p>
            <w:pPr>
              <w:spacing w:after="0"/>
              <w:rPr>
                <w:sz w:val="7"/>
                <w:szCs w:val="7"/>
                <w:color w:val="auto"/>
              </w:rPr>
            </w:pPr>
          </w:p>
        </w:tc>
        <w:tc>
          <w:tcPr>
            <w:tcW w:w="2560" w:type="dxa"/>
            <w:vAlign w:val="bottom"/>
            <w:tcBorders>
              <w:bottom w:val="single" w:sz="8" w:color="F0F1F8"/>
            </w:tcBorders>
            <w:shd w:val="clear" w:color="auto" w:fill="F0F1F8"/>
          </w:tcPr>
          <w:p>
            <w:pPr>
              <w:spacing w:after="0"/>
              <w:rPr>
                <w:sz w:val="7"/>
                <w:szCs w:val="7"/>
                <w:color w:val="auto"/>
              </w:rPr>
            </w:pPr>
          </w:p>
        </w:tc>
        <w:tc>
          <w:tcPr>
            <w:tcW w:w="2460" w:type="dxa"/>
            <w:vAlign w:val="bottom"/>
            <w:tcBorders>
              <w:bottom w:val="single" w:sz="8" w:color="F0F1F8"/>
            </w:tcBorders>
            <w:gridSpan w:val="2"/>
            <w:vMerge w:val="restart"/>
            <w:shd w:val="clear" w:color="auto" w:fill="F0F1F8"/>
          </w:tcPr>
          <w:p>
            <w:pPr>
              <w:spacing w:after="0"/>
              <w:rPr>
                <w:sz w:val="20"/>
                <w:szCs w:val="20"/>
                <w:color w:val="auto"/>
              </w:rPr>
            </w:pPr>
            <w:r>
              <w:rPr>
                <w:rFonts w:ascii="Arial" w:cs="Arial" w:eastAsia="Arial" w:hAnsi="Arial"/>
                <w:sz w:val="16"/>
                <w:szCs w:val="16"/>
                <w:b w:val="1"/>
                <w:bCs w:val="1"/>
                <w:color w:val="002739"/>
              </w:rPr>
              <w:t>CONSENT</w:t>
            </w:r>
          </w:p>
        </w:tc>
        <w:tc>
          <w:tcPr>
            <w:tcW w:w="3700" w:type="dxa"/>
            <w:vAlign w:val="bottom"/>
            <w:tcBorders>
              <w:bottom w:val="single" w:sz="8" w:color="F0F1F8"/>
            </w:tcBorders>
            <w:gridSpan w:val="3"/>
            <w:vMerge w:val="restart"/>
            <w:shd w:val="clear" w:color="auto" w:fill="F0F1F8"/>
          </w:tcPr>
          <w:p>
            <w:pPr>
              <w:ind w:left="440"/>
              <w:spacing w:after="0"/>
              <w:rPr>
                <w:sz w:val="20"/>
                <w:szCs w:val="20"/>
                <w:color w:val="auto"/>
              </w:rPr>
            </w:pPr>
            <w:r>
              <w:rPr>
                <w:rFonts w:ascii="Arial" w:cs="Arial" w:eastAsia="Arial" w:hAnsi="Arial"/>
                <w:sz w:val="16"/>
                <w:szCs w:val="16"/>
                <w:b w:val="1"/>
                <w:bCs w:val="1"/>
                <w:color w:val="16479F"/>
              </w:rPr>
              <w:t>WHILE THE DIRECTOR WAS A MEMBER</w:t>
            </w:r>
          </w:p>
        </w:tc>
        <w:tc>
          <w:tcPr>
            <w:tcW w:w="0" w:type="dxa"/>
            <w:vAlign w:val="bottom"/>
          </w:tcPr>
          <w:p>
            <w:pPr>
              <w:spacing w:after="0"/>
              <w:rPr>
                <w:sz w:val="1"/>
                <w:szCs w:val="1"/>
                <w:color w:val="auto"/>
              </w:rPr>
            </w:pPr>
          </w:p>
        </w:tc>
      </w:tr>
      <w:tr>
        <w:trPr>
          <w:trHeight w:val="172"/>
        </w:trPr>
        <w:tc>
          <w:tcPr>
            <w:tcW w:w="100" w:type="dxa"/>
            <w:vAlign w:val="bottom"/>
            <w:tcBorders>
              <w:bottom w:val="single" w:sz="8" w:color="F0F1F8"/>
            </w:tcBorders>
            <w:shd w:val="clear" w:color="auto" w:fill="F0F1F8"/>
          </w:tcPr>
          <w:p>
            <w:pPr>
              <w:spacing w:after="0"/>
              <w:rPr>
                <w:sz w:val="14"/>
                <w:szCs w:val="14"/>
                <w:color w:val="auto"/>
              </w:rPr>
            </w:pPr>
          </w:p>
        </w:tc>
        <w:tc>
          <w:tcPr>
            <w:tcW w:w="240" w:type="dxa"/>
            <w:vAlign w:val="bottom"/>
            <w:tcBorders>
              <w:bottom w:val="single" w:sz="8" w:color="F0F1F8"/>
            </w:tcBorders>
            <w:shd w:val="clear" w:color="auto" w:fill="F0F1F8"/>
          </w:tcPr>
          <w:p>
            <w:pPr>
              <w:spacing w:after="0"/>
              <w:rPr>
                <w:sz w:val="14"/>
                <w:szCs w:val="14"/>
                <w:color w:val="auto"/>
              </w:rPr>
            </w:pPr>
          </w:p>
        </w:tc>
        <w:tc>
          <w:tcPr>
            <w:tcW w:w="1800" w:type="dxa"/>
            <w:vAlign w:val="bottom"/>
            <w:tcBorders>
              <w:bottom w:val="single" w:sz="8" w:color="F0F1F8"/>
            </w:tcBorders>
            <w:shd w:val="clear" w:color="auto" w:fill="F0F1F8"/>
          </w:tcPr>
          <w:p>
            <w:pPr>
              <w:spacing w:after="0"/>
              <w:rPr>
                <w:sz w:val="14"/>
                <w:szCs w:val="14"/>
                <w:color w:val="auto"/>
              </w:rPr>
            </w:pPr>
          </w:p>
        </w:tc>
        <w:tc>
          <w:tcPr>
            <w:tcW w:w="380" w:type="dxa"/>
            <w:vAlign w:val="bottom"/>
            <w:tcBorders>
              <w:bottom w:val="single" w:sz="8" w:color="F0F1F8"/>
            </w:tcBorders>
            <w:shd w:val="clear" w:color="auto" w:fill="F0F1F8"/>
          </w:tcPr>
          <w:p>
            <w:pPr>
              <w:spacing w:after="0"/>
              <w:rPr>
                <w:sz w:val="14"/>
                <w:szCs w:val="14"/>
                <w:color w:val="auto"/>
              </w:rPr>
            </w:pPr>
          </w:p>
        </w:tc>
        <w:tc>
          <w:tcPr>
            <w:tcW w:w="2560" w:type="dxa"/>
            <w:vAlign w:val="bottom"/>
            <w:tcBorders>
              <w:bottom w:val="single" w:sz="8" w:color="F0F1F8"/>
            </w:tcBorders>
            <w:shd w:val="clear" w:color="auto" w:fill="F0F1F8"/>
          </w:tcPr>
          <w:p>
            <w:pPr>
              <w:spacing w:after="0"/>
              <w:rPr>
                <w:sz w:val="14"/>
                <w:szCs w:val="14"/>
                <w:color w:val="auto"/>
              </w:rPr>
            </w:pPr>
          </w:p>
        </w:tc>
        <w:tc>
          <w:tcPr>
            <w:tcW w:w="2460" w:type="dxa"/>
            <w:vAlign w:val="bottom"/>
            <w:tcBorders>
              <w:bottom w:val="single" w:sz="8" w:color="F0F1F8"/>
            </w:tcBorders>
            <w:gridSpan w:val="2"/>
            <w:vMerge w:val="continue"/>
            <w:shd w:val="clear" w:color="auto" w:fill="F0F1F8"/>
          </w:tcPr>
          <w:p>
            <w:pPr>
              <w:spacing w:after="0"/>
              <w:rPr>
                <w:sz w:val="14"/>
                <w:szCs w:val="14"/>
                <w:color w:val="auto"/>
              </w:rPr>
            </w:pPr>
          </w:p>
        </w:tc>
        <w:tc>
          <w:tcPr>
            <w:tcW w:w="3700" w:type="dxa"/>
            <w:vAlign w:val="bottom"/>
            <w:tcBorders>
              <w:bottom w:val="single" w:sz="8" w:color="F0F1F8"/>
            </w:tcBorders>
            <w:gridSpan w:val="3"/>
            <w:vMerge w:val="continue"/>
            <w:shd w:val="clear" w:color="auto" w:fill="F0F1F8"/>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00" w:type="dxa"/>
            <w:vAlign w:val="bottom"/>
            <w:tcBorders>
              <w:top w:val="single" w:sz="8" w:color="F0F1F8"/>
            </w:tcBorders>
            <w:shd w:val="clear" w:color="auto" w:fill="F0F1F8"/>
          </w:tcPr>
          <w:p>
            <w:pPr>
              <w:spacing w:after="0"/>
              <w:rPr>
                <w:sz w:val="17"/>
                <w:szCs w:val="17"/>
                <w:color w:val="auto"/>
              </w:rPr>
            </w:pPr>
          </w:p>
        </w:tc>
        <w:tc>
          <w:tcPr>
            <w:tcW w:w="240" w:type="dxa"/>
            <w:vAlign w:val="bottom"/>
            <w:tcBorders>
              <w:top w:val="single" w:sz="8" w:color="F0F1F8"/>
            </w:tcBorders>
            <w:shd w:val="clear" w:color="auto" w:fill="F0F1F8"/>
          </w:tcPr>
          <w:p>
            <w:pPr>
              <w:spacing w:after="0"/>
              <w:rPr>
                <w:sz w:val="17"/>
                <w:szCs w:val="17"/>
                <w:color w:val="auto"/>
              </w:rPr>
            </w:pPr>
          </w:p>
        </w:tc>
        <w:tc>
          <w:tcPr>
            <w:tcW w:w="1800" w:type="dxa"/>
            <w:vAlign w:val="bottom"/>
            <w:tcBorders>
              <w:top w:val="single" w:sz="8" w:color="F0F1F8"/>
            </w:tcBorders>
            <w:shd w:val="clear" w:color="auto" w:fill="F0F1F8"/>
          </w:tcPr>
          <w:p>
            <w:pPr>
              <w:spacing w:after="0"/>
              <w:rPr>
                <w:sz w:val="17"/>
                <w:szCs w:val="17"/>
                <w:color w:val="auto"/>
              </w:rPr>
            </w:pPr>
          </w:p>
        </w:tc>
        <w:tc>
          <w:tcPr>
            <w:tcW w:w="380" w:type="dxa"/>
            <w:vAlign w:val="bottom"/>
            <w:tcBorders>
              <w:top w:val="single" w:sz="8" w:color="F0F1F8"/>
            </w:tcBorders>
            <w:shd w:val="clear" w:color="auto" w:fill="F0F1F8"/>
          </w:tcPr>
          <w:p>
            <w:pPr>
              <w:spacing w:after="0"/>
              <w:rPr>
                <w:sz w:val="17"/>
                <w:szCs w:val="17"/>
                <w:color w:val="auto"/>
              </w:rPr>
            </w:pPr>
          </w:p>
        </w:tc>
        <w:tc>
          <w:tcPr>
            <w:tcW w:w="2560" w:type="dxa"/>
            <w:vAlign w:val="bottom"/>
            <w:tcBorders>
              <w:top w:val="single" w:sz="8" w:color="F0F1F8"/>
            </w:tcBorders>
            <w:shd w:val="clear" w:color="auto" w:fill="F0F1F8"/>
          </w:tcPr>
          <w:p>
            <w:pPr>
              <w:spacing w:after="0"/>
              <w:rPr>
                <w:sz w:val="17"/>
                <w:szCs w:val="17"/>
                <w:color w:val="auto"/>
              </w:rPr>
            </w:pPr>
          </w:p>
        </w:tc>
        <w:tc>
          <w:tcPr>
            <w:tcW w:w="380" w:type="dxa"/>
            <w:vAlign w:val="bottom"/>
            <w:tcBorders>
              <w:top w:val="single" w:sz="8" w:color="00B5AA"/>
            </w:tcBorders>
            <w:shd w:val="clear" w:color="auto" w:fill="F0F1F8"/>
          </w:tcPr>
          <w:p>
            <w:pPr>
              <w:spacing w:after="0"/>
              <w:rPr>
                <w:sz w:val="17"/>
                <w:szCs w:val="17"/>
                <w:color w:val="auto"/>
              </w:rPr>
            </w:pPr>
          </w:p>
        </w:tc>
        <w:tc>
          <w:tcPr>
            <w:tcW w:w="2080" w:type="dxa"/>
            <w:vAlign w:val="bottom"/>
            <w:tcBorders>
              <w:top w:val="single" w:sz="8" w:color="F0F1F8"/>
            </w:tcBorders>
            <w:shd w:val="clear" w:color="auto" w:fill="F0F1F8"/>
          </w:tcPr>
          <w:p>
            <w:pPr>
              <w:spacing w:after="0"/>
              <w:rPr>
                <w:sz w:val="17"/>
                <w:szCs w:val="17"/>
                <w:color w:val="auto"/>
              </w:rPr>
            </w:pPr>
          </w:p>
        </w:tc>
        <w:tc>
          <w:tcPr>
            <w:tcW w:w="440" w:type="dxa"/>
            <w:vAlign w:val="bottom"/>
            <w:tcBorders>
              <w:top w:val="single" w:sz="8" w:color="F0F1F8"/>
            </w:tcBorders>
            <w:shd w:val="clear" w:color="auto" w:fill="F0F1F8"/>
          </w:tcPr>
          <w:p>
            <w:pPr>
              <w:spacing w:after="0"/>
              <w:rPr>
                <w:sz w:val="17"/>
                <w:szCs w:val="17"/>
                <w:color w:val="auto"/>
              </w:rPr>
            </w:pPr>
          </w:p>
        </w:tc>
        <w:tc>
          <w:tcPr>
            <w:tcW w:w="480" w:type="dxa"/>
            <w:vAlign w:val="bottom"/>
            <w:tcBorders>
              <w:top w:val="single" w:sz="8" w:color="00B5AA"/>
            </w:tcBorders>
            <w:shd w:val="clear" w:color="auto" w:fill="F0F1F8"/>
          </w:tcPr>
          <w:p>
            <w:pPr>
              <w:spacing w:after="0"/>
              <w:rPr>
                <w:sz w:val="17"/>
                <w:szCs w:val="17"/>
                <w:color w:val="auto"/>
              </w:rPr>
            </w:pPr>
          </w:p>
        </w:tc>
        <w:tc>
          <w:tcPr>
            <w:tcW w:w="2780" w:type="dxa"/>
            <w:vAlign w:val="bottom"/>
            <w:tcBorders>
              <w:top w:val="single" w:sz="8" w:color="F0F1F8"/>
            </w:tcBorders>
            <w:shd w:val="clear" w:color="auto" w:fill="F0F1F8"/>
          </w:tcPr>
          <w:p>
            <w:pPr>
              <w:spacing w:after="0"/>
              <w:rPr>
                <w:sz w:val="17"/>
                <w:szCs w:val="17"/>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right="200"/>
        <w:spacing w:after="0" w:line="250" w:lineRule="auto"/>
        <w:rPr>
          <w:sz w:val="20"/>
          <w:szCs w:val="20"/>
          <w:color w:val="auto"/>
        </w:rPr>
      </w:pPr>
      <w:r>
        <w:rPr>
          <w:rFonts w:ascii="Arial" w:cs="Arial" w:eastAsia="Arial" w:hAnsi="Arial"/>
          <w:sz w:val="16"/>
          <w:szCs w:val="16"/>
          <w:color w:val="auto"/>
        </w:rPr>
        <w:t>Our Board met ten times, held independent director executive sessions following all ten of those meetings and took action by unanimous written consent on four occasions during 2021. Each director attended at least 75% of the total meetings of the Board and committees on which the director served that were held while the director was a member.</w:t>
      </w:r>
    </w:p>
    <w:p>
      <w:pPr>
        <w:spacing w:after="0" w:line="202"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Discussions between the Board and management on strategic direction, new business opportunities and the scope and mix of the Company’s products were held at each quarterly Board meeting. In addition to formal meetings, members of our Board informally interact with senior management on a periodic basis and participate in informal director education sessions.</w:t>
      </w:r>
    </w:p>
    <w:p>
      <w:pPr>
        <w:spacing w:after="0" w:line="202"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Our Corporate Governance Policies state that directors are expected to attend the annual meetings of shareholders. In 2021, all of our directors who were on the Board at the time attended our annual meeting of shareholders.</w:t>
      </w:r>
    </w:p>
    <w:p>
      <w:pPr>
        <w:spacing w:after="0" w:line="159"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Independent Director Meetings</w:t>
      </w:r>
    </w:p>
    <w:p>
      <w:pPr>
        <w:spacing w:after="0" w:line="249"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Our Corporate Governance Policies provide that our Lead Director will preside over non-employee director sessions. The Lead Director presided over ten independent director sessions during 2021. The Board’s standing committees also have a practice of holding executive sessions after their quarterly meetings. Our Corporate Governance Policies further provide that if any non-employee directors are not independent, then the independent directors will meet at least once a year in an independent director session and the Lead Director will preside over each such independent director session. During 2021, all non-employee directors were independent.</w:t>
      </w:r>
    </w:p>
    <w:p>
      <w:pPr>
        <w:spacing w:after="0" w:line="168"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Director Education and Orientation Program</w:t>
      </w:r>
    </w:p>
    <w:p>
      <w:pPr>
        <w:spacing w:after="0" w:line="249" w:lineRule="exact"/>
        <w:rPr>
          <w:sz w:val="20"/>
          <w:szCs w:val="20"/>
          <w:color w:val="auto"/>
        </w:rPr>
      </w:pPr>
    </w:p>
    <w:p>
      <w:pPr>
        <w:ind w:right="60"/>
        <w:spacing w:after="0" w:line="246" w:lineRule="auto"/>
        <w:rPr>
          <w:sz w:val="20"/>
          <w:szCs w:val="20"/>
          <w:color w:val="auto"/>
        </w:rPr>
      </w:pPr>
      <w:r>
        <w:rPr>
          <w:rFonts w:ascii="Arial" w:cs="Arial" w:eastAsia="Arial" w:hAnsi="Arial"/>
          <w:sz w:val="16"/>
          <w:szCs w:val="16"/>
          <w:color w:val="auto"/>
        </w:rPr>
        <w:t>Directors are encouraged and provided with opportunities to attend educational sessions on subjects that can assist them in performing their duties. Pursuant to the Director Education Policy, the Company will reimburse directors for reasonable costs incurred from attending these sessions. In addition to external educational opportunities, directors participate in educational sessions, including product line reviews presented by the heads of our product lines. Directors also participate in an annual review of leading corporate governance practices by corporate governance experts, briefing sessions on topics that present special risks and opportunities and updates on accounting topics. The Company is also part of a peer-engaged program designed to enhance director performance, and we leverage virtual platforms to provide deep dive sessions on certain aspects of MSCI’s business outside of quarterly meetings. In 2021, the Board held virtual learning sessions on, among other things, climate change science, climate investments, net-zero commitments, our go-to-market strategy and our data and technology strategy. In 2022 and following a return to in-person meetings, these virtual sessions are expected to continue and will be used to further educate the Board on, among other things, climate-related risks and opportunities and DE&amp;I initiatives.</w:t>
      </w:r>
    </w:p>
    <w:p>
      <w:pPr>
        <w:spacing w:after="0" w:line="204"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All new directors participate in a director orientation program that includes briefings by senior management representing the heads of product lines and key functional areas on topics that include, among others, the Company’s strategic plans, capital structure, product overviews, historical financial performance and key policies and practices, including compliance and trading policies. New directors are also encouraged to attend all committee meetings during their first year on the Board. In 2021, Mr. Taneja joined the Board while the Company was still in a remote working environment. His director orientation program was conducted virtually, which allowed for more streamlined sessions with increased global participation by senior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58420</wp:posOffset>
            </wp:positionV>
            <wp:extent cx="7154545"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00" w:type="dxa"/>
            <w:vAlign w:val="bottom"/>
            <w:tcBorders>
              <w:right w:val="single" w:sz="8" w:color="16479F"/>
            </w:tcBorders>
          </w:tcPr>
          <w:p>
            <w:pPr>
              <w:ind w:left="8740"/>
              <w:spacing w:after="0"/>
              <w:rPr>
                <w:sz w:val="20"/>
                <w:szCs w:val="20"/>
                <w:color w:val="auto"/>
              </w:rPr>
            </w:pPr>
            <w:r>
              <w:rPr>
                <w:rFonts w:ascii="Arial" w:cs="Arial" w:eastAsia="Arial" w:hAnsi="Arial"/>
                <w:sz w:val="14"/>
                <w:szCs w:val="14"/>
                <w:b w:val="1"/>
                <w:bCs w:val="1"/>
                <w:color w:val="16479F"/>
              </w:rPr>
              <w:t>2022 PROXY STATEMENT</w:t>
            </w:r>
          </w:p>
        </w:tc>
        <w:tc>
          <w:tcPr>
            <w:tcW w:w="640" w:type="dxa"/>
            <w:vAlign w:val="bottom"/>
          </w:tcPr>
          <w:p>
            <w:pPr>
              <w:jc w:val="right"/>
              <w:ind w:right="9"/>
              <w:spacing w:after="0"/>
              <w:rPr>
                <w:sz w:val="20"/>
                <w:szCs w:val="20"/>
                <w:color w:val="auto"/>
              </w:rPr>
            </w:pPr>
            <w:r>
              <w:rPr>
                <w:rFonts w:ascii="Arial" w:cs="Arial" w:eastAsia="Arial" w:hAnsi="Arial"/>
                <w:sz w:val="14"/>
                <w:szCs w:val="14"/>
                <w:b w:val="1"/>
                <w:bCs w:val="1"/>
                <w:color w:val="16479F"/>
              </w:rPr>
              <w:t>39</w:t>
            </w:r>
          </w:p>
        </w:tc>
      </w:tr>
      <w:tr>
        <w:trPr>
          <w:trHeight w:val="65"/>
        </w:trPr>
        <w:tc>
          <w:tcPr>
            <w:tcW w:w="10600" w:type="dxa"/>
            <w:vAlign w:val="bottom"/>
            <w:tcBorders>
              <w:bottom w:val="single" w:sz="8" w:color="16479F"/>
              <w:right w:val="single" w:sz="8" w:color="16479F"/>
            </w:tcBorders>
          </w:tcPr>
          <w:p>
            <w:pPr>
              <w:spacing w:after="0"/>
              <w:rPr>
                <w:sz w:val="5"/>
                <w:szCs w:val="5"/>
                <w:color w:val="auto"/>
              </w:rPr>
            </w:pPr>
          </w:p>
        </w:tc>
        <w:tc>
          <w:tcPr>
            <w:tcW w:w="640" w:type="dxa"/>
            <w:vAlign w:val="bottom"/>
            <w:tcBorders>
              <w:bottom w:val="single" w:sz="8" w:color="16479F"/>
            </w:tcBorders>
          </w:tcPr>
          <w:p>
            <w:pPr>
              <w:spacing w:after="0"/>
              <w:rPr>
                <w:sz w:val="5"/>
                <w:szCs w:val="5"/>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Board and Individual Director Evaluations</w:t>
      </w:r>
    </w:p>
    <w:p>
      <w:pPr>
        <w:spacing w:after="0" w:line="249"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In addition to the ongoing assessment of the functioning of the Board, each year, our directors formally evaluate the effectiveness of the Board and its committees through a self-assessment administered by our directors and management. Directors respond to questions designed to elicit information that will be useful in improving Board and committee effectiveness. Such feedback is discussed during executive session and, where appropriate, addressed with management. The process for this annual feedback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128270</wp:posOffset>
            </wp:positionV>
            <wp:extent cx="7133590" cy="52546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3590" cy="525462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11" w:lineRule="exact"/>
        <w:rPr>
          <w:sz w:val="20"/>
          <w:szCs w:val="20"/>
          <w:color w:val="auto"/>
        </w:rPr>
      </w:pPr>
    </w:p>
    <w:p>
      <w:pPr>
        <w:ind w:left="180"/>
        <w:spacing w:after="0"/>
        <w:rPr>
          <w:sz w:val="20"/>
          <w:szCs w:val="20"/>
          <w:color w:val="auto"/>
        </w:rPr>
      </w:pPr>
      <w:r>
        <w:rPr>
          <w:rFonts w:ascii="Arial" w:cs="Arial" w:eastAsia="Arial" w:hAnsi="Arial"/>
          <w:sz w:val="54"/>
          <w:szCs w:val="54"/>
          <w:b w:val="1"/>
          <w:bCs w:val="1"/>
          <w:color w:val="002739"/>
        </w:rPr>
        <w:t>1</w:t>
      </w:r>
    </w:p>
    <w:p>
      <w:pPr>
        <w:spacing w:after="0" w:line="54" w:lineRule="exact"/>
        <w:rPr>
          <w:sz w:val="20"/>
          <w:szCs w:val="20"/>
          <w:color w:val="auto"/>
        </w:rPr>
      </w:pPr>
    </w:p>
    <w:p>
      <w:pPr>
        <w:ind w:left="180"/>
        <w:spacing w:after="0" w:line="256" w:lineRule="auto"/>
        <w:rPr>
          <w:sz w:val="20"/>
          <w:szCs w:val="20"/>
          <w:color w:val="auto"/>
        </w:rPr>
      </w:pPr>
      <w:r>
        <w:rPr>
          <w:rFonts w:ascii="Arial" w:cs="Arial" w:eastAsia="Arial" w:hAnsi="Arial"/>
          <w:sz w:val="16"/>
          <w:szCs w:val="16"/>
          <w:b w:val="1"/>
          <w:bCs w:val="1"/>
          <w:color w:val="16479F"/>
        </w:rPr>
        <w:t>INITIATION OF PROCESS</w:t>
      </w:r>
    </w:p>
    <w:p>
      <w:pPr>
        <w:spacing w:after="0" w:line="97" w:lineRule="exact"/>
        <w:rPr>
          <w:sz w:val="20"/>
          <w:szCs w:val="20"/>
          <w:color w:val="auto"/>
        </w:rPr>
      </w:pPr>
    </w:p>
    <w:p>
      <w:pPr>
        <w:ind w:left="180"/>
        <w:spacing w:after="0"/>
        <w:rPr>
          <w:sz w:val="20"/>
          <w:szCs w:val="20"/>
          <w:color w:val="auto"/>
        </w:rPr>
      </w:pPr>
      <w:r>
        <w:rPr>
          <w:rFonts w:ascii="Arial" w:cs="Arial" w:eastAsia="Arial" w:hAnsi="Arial"/>
          <w:sz w:val="54"/>
          <w:szCs w:val="54"/>
          <w:b w:val="1"/>
          <w:bCs w:val="1"/>
          <w:color w:val="002739"/>
        </w:rPr>
        <w:t>2</w:t>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16479F"/>
        </w:rPr>
        <w:t>EVALUATION</w:t>
      </w:r>
    </w:p>
    <w:p>
      <w:pPr>
        <w:spacing w:after="0" w:line="118" w:lineRule="exact"/>
        <w:rPr>
          <w:sz w:val="20"/>
          <w:szCs w:val="20"/>
          <w:color w:val="auto"/>
        </w:rPr>
      </w:pPr>
    </w:p>
    <w:p>
      <w:pPr>
        <w:ind w:left="180"/>
        <w:spacing w:after="0"/>
        <w:rPr>
          <w:sz w:val="20"/>
          <w:szCs w:val="20"/>
          <w:color w:val="auto"/>
        </w:rPr>
      </w:pPr>
      <w:r>
        <w:rPr>
          <w:rFonts w:ascii="Arial" w:cs="Arial" w:eastAsia="Arial" w:hAnsi="Arial"/>
          <w:sz w:val="54"/>
          <w:szCs w:val="54"/>
          <w:b w:val="1"/>
          <w:bCs w:val="1"/>
          <w:color w:val="002739"/>
        </w:rPr>
        <w:t>3</w:t>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16479F"/>
        </w:rPr>
        <w:t>DISCUSSION</w:t>
      </w:r>
    </w:p>
    <w:p>
      <w:pPr>
        <w:spacing w:after="0" w:line="118" w:lineRule="exact"/>
        <w:rPr>
          <w:sz w:val="20"/>
          <w:szCs w:val="20"/>
          <w:color w:val="auto"/>
        </w:rPr>
      </w:pPr>
    </w:p>
    <w:p>
      <w:pPr>
        <w:ind w:left="180"/>
        <w:spacing w:after="0"/>
        <w:rPr>
          <w:sz w:val="20"/>
          <w:szCs w:val="20"/>
          <w:color w:val="auto"/>
        </w:rPr>
      </w:pPr>
      <w:r>
        <w:rPr>
          <w:rFonts w:ascii="Arial" w:cs="Arial" w:eastAsia="Arial" w:hAnsi="Arial"/>
          <w:sz w:val="54"/>
          <w:szCs w:val="54"/>
          <w:b w:val="1"/>
          <w:bCs w:val="1"/>
          <w:color w:val="002739"/>
        </w:rPr>
        <w:t>4</w:t>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16479F"/>
        </w:rPr>
        <w:t>FOLLOW-UP</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ind w:right="260"/>
        <w:spacing w:after="0" w:line="247" w:lineRule="auto"/>
        <w:rPr>
          <w:sz w:val="20"/>
          <w:szCs w:val="20"/>
          <w:color w:val="auto"/>
        </w:rPr>
      </w:pPr>
      <w:r>
        <w:rPr>
          <w:rFonts w:ascii="Arial" w:cs="Arial" w:eastAsia="Arial" w:hAnsi="Arial"/>
          <w:sz w:val="16"/>
          <w:szCs w:val="16"/>
          <w:color w:val="auto"/>
        </w:rPr>
        <w:t>The members of the Governance Committee provide their thoughts on the factors to be used in evaluating the Board, its committees and individual directors. The Corporate Secretary prepares a director self-assessment questionnaire based on these factors. In 2021, MSCI’s Chief Diversity Officer also reviewed and provided updates to the questionnaire to ensure that it properly reflected the importance of DE&amp;I considerations. The Governance Committee also oversees and approves the process and guidelines for the annual evaluation of the performance and effectiveness of the Lead Director.</w:t>
      </w:r>
    </w:p>
    <w:p>
      <w:pPr>
        <w:spacing w:after="0" w:line="232" w:lineRule="exact"/>
        <w:rPr>
          <w:sz w:val="20"/>
          <w:szCs w:val="20"/>
          <w:color w:val="auto"/>
        </w:rPr>
      </w:pPr>
    </w:p>
    <w:p>
      <w:pPr>
        <w:jc w:val="both"/>
        <w:ind w:right="700"/>
        <w:spacing w:after="0" w:line="250" w:lineRule="auto"/>
        <w:rPr>
          <w:sz w:val="20"/>
          <w:szCs w:val="20"/>
          <w:color w:val="auto"/>
        </w:rPr>
      </w:pPr>
      <w:r>
        <w:rPr>
          <w:rFonts w:ascii="Arial" w:cs="Arial" w:eastAsia="Arial" w:hAnsi="Arial"/>
          <w:sz w:val="16"/>
          <w:szCs w:val="16"/>
          <w:color w:val="auto"/>
        </w:rPr>
        <w:t>Each director then completes an anonymous self-assessment questionnaire covering a range of topics, including structure, culture, and roles of the Board and its committees. The Lead Director also conducts individual director evaluations through interviews with each director on an annual basis.</w:t>
      </w:r>
    </w:p>
    <w:p>
      <w:pPr>
        <w:spacing w:after="0" w:line="200" w:lineRule="exact"/>
        <w:rPr>
          <w:sz w:val="20"/>
          <w:szCs w:val="20"/>
          <w:color w:val="auto"/>
        </w:rPr>
      </w:pPr>
    </w:p>
    <w:p>
      <w:pPr>
        <w:spacing w:after="0" w:line="202" w:lineRule="exact"/>
        <w:rPr>
          <w:sz w:val="20"/>
          <w:szCs w:val="20"/>
          <w:color w:val="auto"/>
        </w:rPr>
      </w:pPr>
    </w:p>
    <w:p>
      <w:pPr>
        <w:ind w:right="360"/>
        <w:spacing w:after="0" w:line="250" w:lineRule="auto"/>
        <w:rPr>
          <w:sz w:val="20"/>
          <w:szCs w:val="20"/>
          <w:color w:val="auto"/>
        </w:rPr>
      </w:pPr>
      <w:r>
        <w:rPr>
          <w:rFonts w:ascii="Arial" w:cs="Arial" w:eastAsia="Arial" w:hAnsi="Arial"/>
          <w:sz w:val="16"/>
          <w:szCs w:val="16"/>
          <w:color w:val="auto"/>
        </w:rPr>
        <w:t>The Corporate Secretary compiles the quantitative and qualitative data from the questionnaires and consults with the Lead Director and the Chair of the Governance Committee on the results. The Lead Director and Chair of the Governance Committee review the results with the full Board in executive session.</w:t>
      </w:r>
    </w:p>
    <w:p>
      <w:pPr>
        <w:spacing w:after="0" w:line="200" w:lineRule="exact"/>
        <w:rPr>
          <w:sz w:val="20"/>
          <w:szCs w:val="20"/>
          <w:color w:val="auto"/>
        </w:rPr>
      </w:pPr>
    </w:p>
    <w:p>
      <w:pPr>
        <w:spacing w:after="0" w:line="202" w:lineRule="exact"/>
        <w:rPr>
          <w:sz w:val="20"/>
          <w:szCs w:val="20"/>
          <w:color w:val="auto"/>
        </w:rPr>
      </w:pPr>
    </w:p>
    <w:p>
      <w:pPr>
        <w:ind w:right="580"/>
        <w:spacing w:after="0" w:line="256" w:lineRule="auto"/>
        <w:rPr>
          <w:sz w:val="20"/>
          <w:szCs w:val="20"/>
          <w:color w:val="auto"/>
        </w:rPr>
      </w:pPr>
      <w:r>
        <w:rPr>
          <w:rFonts w:ascii="Arial" w:cs="Arial" w:eastAsia="Arial" w:hAnsi="Arial"/>
          <w:sz w:val="16"/>
          <w:szCs w:val="16"/>
          <w:color w:val="auto"/>
        </w:rPr>
        <w:t>The Lead Director and Chair of the Governance Committee then discuss with the management the feedback provided by the Board and any enhancements in practices that may be warranted.</w:t>
      </w:r>
    </w:p>
    <w:p>
      <w:pPr>
        <w:spacing w:after="0" w:line="580" w:lineRule="exact"/>
        <w:rPr>
          <w:sz w:val="20"/>
          <w:szCs w:val="20"/>
          <w:color w:val="auto"/>
        </w:rPr>
      </w:pPr>
    </w:p>
    <w:p>
      <w:pPr>
        <w:sectPr>
          <w:pgSz w:w="11900" w:h="16838" w:orient="portrait"/>
          <w:cols w:equalWidth="0" w:num="2">
            <w:col w:w="1280" w:space="540"/>
            <w:col w:w="9420"/>
          </w:cols>
          <w:pgMar w:left="320" w:top="121" w:right="339" w:bottom="1440" w:gutter="0" w:footer="0" w:header="0"/>
          <w:type w:val="continuous"/>
        </w:sectPr>
      </w:pPr>
    </w:p>
    <w:p>
      <w:pPr>
        <w:spacing w:after="0" w:line="119" w:lineRule="exact"/>
        <w:rPr>
          <w:sz w:val="20"/>
          <w:szCs w:val="20"/>
          <w:color w:val="auto"/>
        </w:rPr>
      </w:pPr>
    </w:p>
    <w:p>
      <w:pPr>
        <w:ind w:left="180"/>
        <w:spacing w:after="0"/>
        <w:rPr>
          <w:sz w:val="20"/>
          <w:szCs w:val="20"/>
          <w:color w:val="auto"/>
        </w:rPr>
      </w:pPr>
      <w:r>
        <w:rPr>
          <w:rFonts w:ascii="Arial" w:cs="Arial" w:eastAsia="Arial" w:hAnsi="Arial"/>
          <w:sz w:val="54"/>
          <w:szCs w:val="54"/>
          <w:b w:val="1"/>
          <w:bCs w:val="1"/>
          <w:color w:val="16479F"/>
        </w:rPr>
        <w:t>5</w:t>
      </w:r>
    </w:p>
    <w:p>
      <w:pPr>
        <w:spacing w:after="0" w:line="54" w:lineRule="exact"/>
        <w:rPr>
          <w:sz w:val="20"/>
          <w:szCs w:val="20"/>
          <w:color w:val="auto"/>
        </w:rPr>
      </w:pPr>
    </w:p>
    <w:p>
      <w:pPr>
        <w:ind w:left="180"/>
        <w:spacing w:after="0" w:line="250" w:lineRule="auto"/>
        <w:rPr>
          <w:sz w:val="20"/>
          <w:szCs w:val="20"/>
          <w:color w:val="auto"/>
        </w:rPr>
      </w:pPr>
      <w:r>
        <w:rPr>
          <w:rFonts w:ascii="Arial" w:cs="Arial" w:eastAsia="Arial" w:hAnsi="Arial"/>
          <w:sz w:val="16"/>
          <w:szCs w:val="16"/>
          <w:b w:val="1"/>
          <w:bCs w:val="1"/>
          <w:color w:val="16479F"/>
        </w:rPr>
        <w:t>FEEDBACK AND RECENT INITIATIVES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ENHANCED REVIEW OF STRATEGIC GOALS:</w:t>
      </w:r>
    </w:p>
    <w:p>
      <w:pPr>
        <w:spacing w:after="0" w:line="50" w:lineRule="exact"/>
        <w:rPr>
          <w:sz w:val="20"/>
          <w:szCs w:val="20"/>
          <w:color w:val="auto"/>
        </w:rPr>
      </w:pPr>
    </w:p>
    <w:p>
      <w:pPr>
        <w:ind w:left="200" w:hanging="196"/>
        <w:spacing w:after="0"/>
        <w:tabs>
          <w:tab w:leader="none" w:pos="200" w:val="left"/>
        </w:tabs>
        <w:numPr>
          <w:ilvl w:val="0"/>
          <w:numId w:val="60"/>
        </w:numPr>
        <w:rPr>
          <w:rFonts w:ascii="Arial" w:cs="Arial" w:eastAsia="Arial" w:hAnsi="Arial"/>
          <w:sz w:val="16"/>
          <w:szCs w:val="16"/>
          <w:color w:val="16479F"/>
        </w:rPr>
      </w:pPr>
      <w:r>
        <w:rPr>
          <w:rFonts w:ascii="Arial" w:cs="Arial" w:eastAsia="Arial" w:hAnsi="Arial"/>
          <w:sz w:val="16"/>
          <w:szCs w:val="16"/>
          <w:color w:val="auto"/>
        </w:rPr>
        <w:t>Periodic review with Board on strategic initiatives</w:t>
      </w:r>
    </w:p>
    <w:p>
      <w:pPr>
        <w:spacing w:after="0" w:line="57" w:lineRule="exact"/>
        <w:rPr>
          <w:rFonts w:ascii="Arial" w:cs="Arial" w:eastAsia="Arial" w:hAnsi="Arial"/>
          <w:sz w:val="16"/>
          <w:szCs w:val="16"/>
          <w:color w:val="16479F"/>
        </w:rPr>
      </w:pPr>
    </w:p>
    <w:p>
      <w:pPr>
        <w:ind w:left="200" w:right="540" w:hanging="196"/>
        <w:spacing w:after="0" w:line="256" w:lineRule="auto"/>
        <w:tabs>
          <w:tab w:leader="none" w:pos="199" w:val="left"/>
        </w:tabs>
        <w:numPr>
          <w:ilvl w:val="0"/>
          <w:numId w:val="60"/>
        </w:numPr>
        <w:rPr>
          <w:rFonts w:ascii="Arial" w:cs="Arial" w:eastAsia="Arial" w:hAnsi="Arial"/>
          <w:sz w:val="16"/>
          <w:szCs w:val="16"/>
          <w:color w:val="16479F"/>
        </w:rPr>
      </w:pPr>
      <w:r>
        <w:rPr>
          <w:rFonts w:ascii="Arial" w:cs="Arial" w:eastAsia="Arial" w:hAnsi="Arial"/>
          <w:sz w:val="16"/>
          <w:szCs w:val="16"/>
          <w:color w:val="auto"/>
        </w:rPr>
        <w:t>Board and committee agendas increasingly focus on “forward-looking” topics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ENHANCED DIRECTOR EDUCATION PROGRAM:</w:t>
      </w:r>
    </w:p>
    <w:p>
      <w:pPr>
        <w:spacing w:after="0" w:line="50" w:lineRule="exact"/>
        <w:rPr>
          <w:sz w:val="20"/>
          <w:szCs w:val="20"/>
          <w:color w:val="auto"/>
        </w:rPr>
      </w:pPr>
    </w:p>
    <w:p>
      <w:pPr>
        <w:ind w:left="200" w:hanging="196"/>
        <w:spacing w:after="0" w:line="256" w:lineRule="auto"/>
        <w:tabs>
          <w:tab w:leader="none" w:pos="199" w:val="left"/>
        </w:tabs>
        <w:numPr>
          <w:ilvl w:val="0"/>
          <w:numId w:val="61"/>
        </w:numPr>
        <w:rPr>
          <w:rFonts w:ascii="Arial" w:cs="Arial" w:eastAsia="Arial" w:hAnsi="Arial"/>
          <w:sz w:val="16"/>
          <w:szCs w:val="16"/>
          <w:color w:val="16479F"/>
        </w:rPr>
      </w:pPr>
      <w:r>
        <w:rPr>
          <w:rFonts w:ascii="Arial" w:cs="Arial" w:eastAsia="Arial" w:hAnsi="Arial"/>
          <w:sz w:val="16"/>
          <w:szCs w:val="16"/>
          <w:color w:val="auto"/>
        </w:rPr>
        <w:t>Joined peer-engaged program designed to enhance director performance</w:t>
      </w:r>
    </w:p>
    <w:p>
      <w:pPr>
        <w:spacing w:after="0" w:line="35" w:lineRule="exact"/>
        <w:rPr>
          <w:rFonts w:ascii="Arial" w:cs="Arial" w:eastAsia="Arial" w:hAnsi="Arial"/>
          <w:sz w:val="16"/>
          <w:szCs w:val="16"/>
          <w:color w:val="16479F"/>
        </w:rPr>
      </w:pPr>
    </w:p>
    <w:p>
      <w:pPr>
        <w:jc w:val="both"/>
        <w:ind w:left="200" w:right="120" w:hanging="196"/>
        <w:spacing w:after="0" w:line="250" w:lineRule="auto"/>
        <w:tabs>
          <w:tab w:leader="none" w:pos="199" w:val="left"/>
        </w:tabs>
        <w:numPr>
          <w:ilvl w:val="0"/>
          <w:numId w:val="61"/>
        </w:numPr>
        <w:rPr>
          <w:rFonts w:ascii="Arial" w:cs="Arial" w:eastAsia="Arial" w:hAnsi="Arial"/>
          <w:sz w:val="16"/>
          <w:szCs w:val="16"/>
          <w:color w:val="16479F"/>
        </w:rPr>
      </w:pPr>
      <w:r>
        <w:rPr>
          <w:rFonts w:ascii="Arial" w:cs="Arial" w:eastAsia="Arial" w:hAnsi="Arial"/>
          <w:sz w:val="16"/>
          <w:szCs w:val="16"/>
          <w:color w:val="auto"/>
        </w:rPr>
        <w:t>Leveraged virtual platforms to provide deep- dive sessions on certain aspects of MSCI’s business outside of quarterly meetings, including climate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-1203325</wp:posOffset>
            </wp:positionH>
            <wp:positionV relativeFrom="paragraph">
              <wp:posOffset>422275</wp:posOffset>
            </wp:positionV>
            <wp:extent cx="7154545"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INCREASED FOCUS ON ESG AND CLIMATE:</w:t>
      </w:r>
    </w:p>
    <w:p>
      <w:pPr>
        <w:spacing w:after="0" w:line="50" w:lineRule="exact"/>
        <w:rPr>
          <w:sz w:val="20"/>
          <w:szCs w:val="20"/>
          <w:color w:val="auto"/>
        </w:rPr>
      </w:pPr>
    </w:p>
    <w:p>
      <w:pPr>
        <w:ind w:left="200" w:right="260" w:hanging="190"/>
        <w:spacing w:after="0" w:line="256" w:lineRule="auto"/>
        <w:tabs>
          <w:tab w:leader="none" w:pos="199" w:val="left"/>
        </w:tabs>
        <w:numPr>
          <w:ilvl w:val="0"/>
          <w:numId w:val="62"/>
        </w:numPr>
        <w:rPr>
          <w:rFonts w:ascii="Arial" w:cs="Arial" w:eastAsia="Arial" w:hAnsi="Arial"/>
          <w:sz w:val="16"/>
          <w:szCs w:val="16"/>
          <w:color w:val="16479F"/>
        </w:rPr>
      </w:pPr>
      <w:r>
        <w:rPr>
          <w:rFonts w:ascii="Arial" w:cs="Arial" w:eastAsia="Arial" w:hAnsi="Arial"/>
          <w:sz w:val="16"/>
          <w:szCs w:val="16"/>
          <w:color w:val="auto"/>
        </w:rPr>
        <w:t>Governance Committee assigned responsibility for ESG and climate oversight</w:t>
      </w:r>
    </w:p>
    <w:p>
      <w:pPr>
        <w:spacing w:after="0" w:line="35" w:lineRule="exact"/>
        <w:rPr>
          <w:rFonts w:ascii="Arial" w:cs="Arial" w:eastAsia="Arial" w:hAnsi="Arial"/>
          <w:sz w:val="16"/>
          <w:szCs w:val="16"/>
          <w:color w:val="16479F"/>
        </w:rPr>
      </w:pPr>
    </w:p>
    <w:p>
      <w:pPr>
        <w:ind w:left="200" w:right="300" w:hanging="190"/>
        <w:spacing w:after="0" w:line="256" w:lineRule="auto"/>
        <w:tabs>
          <w:tab w:leader="none" w:pos="199" w:val="left"/>
        </w:tabs>
        <w:numPr>
          <w:ilvl w:val="0"/>
          <w:numId w:val="62"/>
        </w:numPr>
        <w:rPr>
          <w:rFonts w:ascii="Arial" w:cs="Arial" w:eastAsia="Arial" w:hAnsi="Arial"/>
          <w:sz w:val="16"/>
          <w:szCs w:val="16"/>
          <w:color w:val="16479F"/>
        </w:rPr>
      </w:pPr>
      <w:r>
        <w:rPr>
          <w:rFonts w:ascii="Arial" w:cs="Arial" w:eastAsia="Arial" w:hAnsi="Arial"/>
          <w:sz w:val="16"/>
          <w:szCs w:val="16"/>
          <w:color w:val="auto"/>
        </w:rPr>
        <w:t>Chief Responsibility Officer provides quarterly reports to the Governance Committee</w:t>
      </w:r>
    </w:p>
    <w:p>
      <w:pPr>
        <w:spacing w:after="0" w:line="35" w:lineRule="exact"/>
        <w:rPr>
          <w:rFonts w:ascii="Arial" w:cs="Arial" w:eastAsia="Arial" w:hAnsi="Arial"/>
          <w:sz w:val="16"/>
          <w:szCs w:val="16"/>
          <w:color w:val="16479F"/>
        </w:rPr>
      </w:pPr>
    </w:p>
    <w:p>
      <w:pPr>
        <w:ind w:left="200" w:right="400" w:hanging="190"/>
        <w:spacing w:after="0" w:line="256" w:lineRule="auto"/>
        <w:tabs>
          <w:tab w:leader="none" w:pos="199" w:val="left"/>
        </w:tabs>
        <w:numPr>
          <w:ilvl w:val="0"/>
          <w:numId w:val="62"/>
        </w:numPr>
        <w:rPr>
          <w:rFonts w:ascii="Arial" w:cs="Arial" w:eastAsia="Arial" w:hAnsi="Arial"/>
          <w:sz w:val="16"/>
          <w:szCs w:val="16"/>
          <w:color w:val="16479F"/>
        </w:rPr>
      </w:pPr>
      <w:r>
        <w:rPr>
          <w:rFonts w:ascii="Arial" w:cs="Arial" w:eastAsia="Arial" w:hAnsi="Arial"/>
          <w:sz w:val="16"/>
          <w:szCs w:val="16"/>
          <w:color w:val="auto"/>
        </w:rPr>
        <w:t>DE&amp;I goals required for all Managing Directors, and tied to individual compensation</w:t>
      </w:r>
    </w:p>
    <w:p>
      <w:pPr>
        <w:spacing w:after="0" w:line="35" w:lineRule="exact"/>
        <w:rPr>
          <w:rFonts w:ascii="Arial" w:cs="Arial" w:eastAsia="Arial" w:hAnsi="Arial"/>
          <w:sz w:val="16"/>
          <w:szCs w:val="16"/>
          <w:color w:val="16479F"/>
        </w:rPr>
      </w:pPr>
    </w:p>
    <w:p>
      <w:pPr>
        <w:ind w:left="200" w:right="500" w:hanging="190"/>
        <w:spacing w:after="0" w:line="256" w:lineRule="auto"/>
        <w:tabs>
          <w:tab w:leader="none" w:pos="199" w:val="left"/>
        </w:tabs>
        <w:numPr>
          <w:ilvl w:val="0"/>
          <w:numId w:val="62"/>
        </w:numPr>
        <w:rPr>
          <w:rFonts w:ascii="Arial" w:cs="Arial" w:eastAsia="Arial" w:hAnsi="Arial"/>
          <w:sz w:val="16"/>
          <w:szCs w:val="16"/>
          <w:color w:val="16479F"/>
        </w:rPr>
      </w:pPr>
      <w:r>
        <w:rPr>
          <w:rFonts w:ascii="Arial" w:cs="Arial" w:eastAsia="Arial" w:hAnsi="Arial"/>
          <w:sz w:val="16"/>
          <w:szCs w:val="16"/>
          <w:color w:val="auto"/>
        </w:rPr>
        <w:t>For Executive Committee members, climate commitment goals added to KPI goals</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SUCCESSION PLANNING AND TALENT MANAGEMENT:</w:t>
      </w:r>
    </w:p>
    <w:p>
      <w:pPr>
        <w:spacing w:after="0" w:line="50" w:lineRule="exact"/>
        <w:rPr>
          <w:sz w:val="20"/>
          <w:szCs w:val="20"/>
          <w:color w:val="auto"/>
        </w:rPr>
      </w:pPr>
    </w:p>
    <w:p>
      <w:pPr>
        <w:ind w:left="200" w:right="340" w:hanging="190"/>
        <w:spacing w:after="0" w:line="256" w:lineRule="auto"/>
        <w:tabs>
          <w:tab w:leader="none" w:pos="199" w:val="left"/>
        </w:tabs>
        <w:numPr>
          <w:ilvl w:val="0"/>
          <w:numId w:val="63"/>
        </w:numPr>
        <w:rPr>
          <w:rFonts w:ascii="Arial" w:cs="Arial" w:eastAsia="Arial" w:hAnsi="Arial"/>
          <w:sz w:val="16"/>
          <w:szCs w:val="16"/>
          <w:color w:val="16479F"/>
        </w:rPr>
      </w:pPr>
      <w:r>
        <w:rPr>
          <w:rFonts w:ascii="Arial" w:cs="Arial" w:eastAsia="Arial" w:hAnsi="Arial"/>
          <w:sz w:val="16"/>
          <w:szCs w:val="16"/>
          <w:color w:val="auto"/>
        </w:rPr>
        <w:t>President &amp; COO meets quarterly in executive session with independent directors</w:t>
      </w:r>
    </w:p>
    <w:p>
      <w:pPr>
        <w:spacing w:after="0" w:line="35" w:lineRule="exact"/>
        <w:rPr>
          <w:rFonts w:ascii="Arial" w:cs="Arial" w:eastAsia="Arial" w:hAnsi="Arial"/>
          <w:sz w:val="16"/>
          <w:szCs w:val="16"/>
          <w:color w:val="16479F"/>
        </w:rPr>
      </w:pPr>
    </w:p>
    <w:p>
      <w:pPr>
        <w:ind w:left="200" w:right="260" w:hanging="190"/>
        <w:spacing w:after="0" w:line="256" w:lineRule="auto"/>
        <w:tabs>
          <w:tab w:leader="none" w:pos="199" w:val="left"/>
        </w:tabs>
        <w:numPr>
          <w:ilvl w:val="0"/>
          <w:numId w:val="63"/>
        </w:numPr>
        <w:rPr>
          <w:rFonts w:ascii="Arial" w:cs="Arial" w:eastAsia="Arial" w:hAnsi="Arial"/>
          <w:sz w:val="16"/>
          <w:szCs w:val="16"/>
          <w:color w:val="16479F"/>
        </w:rPr>
      </w:pPr>
      <w:r>
        <w:rPr>
          <w:rFonts w:ascii="Arial" w:cs="Arial" w:eastAsia="Arial" w:hAnsi="Arial"/>
          <w:sz w:val="16"/>
          <w:szCs w:val="16"/>
          <w:color w:val="auto"/>
        </w:rPr>
        <w:t>Potential successors to senior management invited to speak at Board meetings for additional exposure</w:t>
      </w:r>
    </w:p>
    <w:p>
      <w:pPr>
        <w:spacing w:after="0" w:line="35" w:lineRule="exact"/>
        <w:rPr>
          <w:rFonts w:ascii="Arial" w:cs="Arial" w:eastAsia="Arial" w:hAnsi="Arial"/>
          <w:sz w:val="16"/>
          <w:szCs w:val="16"/>
          <w:color w:val="16479F"/>
        </w:rPr>
      </w:pPr>
    </w:p>
    <w:p>
      <w:pPr>
        <w:ind w:left="200" w:right="580" w:hanging="190"/>
        <w:spacing w:after="0" w:line="250" w:lineRule="auto"/>
        <w:tabs>
          <w:tab w:leader="none" w:pos="199" w:val="left"/>
        </w:tabs>
        <w:numPr>
          <w:ilvl w:val="0"/>
          <w:numId w:val="63"/>
        </w:numPr>
        <w:rPr>
          <w:rFonts w:ascii="Arial" w:cs="Arial" w:eastAsia="Arial" w:hAnsi="Arial"/>
          <w:sz w:val="16"/>
          <w:szCs w:val="16"/>
          <w:color w:val="16479F"/>
        </w:rPr>
      </w:pPr>
      <w:r>
        <w:rPr>
          <w:rFonts w:ascii="Arial" w:cs="Arial" w:eastAsia="Arial" w:hAnsi="Arial"/>
          <w:sz w:val="16"/>
          <w:szCs w:val="16"/>
          <w:color w:val="auto"/>
        </w:rPr>
        <w:t>Succession planning at levels beyond the Executive Committee; accelerated development of current internal candidates at all levels</w:t>
      </w:r>
    </w:p>
    <w:p>
      <w:pPr>
        <w:sectPr>
          <w:pgSz w:w="11900" w:h="16838" w:orient="portrait"/>
          <w:cols w:equalWidth="0" w:num="3">
            <w:col w:w="1240" w:space="660"/>
            <w:col w:w="4460" w:space="140"/>
            <w:col w:w="4740"/>
          </w:cols>
          <w:pgMar w:left="320" w:top="121" w:right="339" w:bottom="1440" w:gutter="0" w:footer="0" w:header="0"/>
          <w:type w:val="continuous"/>
        </w:sectPr>
      </w:pPr>
    </w:p>
    <w:bookmarkStart w:id="40" w:name="page41"/>
    <w:bookmarkEnd w:id="40"/>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149860</wp:posOffset>
            </wp:positionV>
            <wp:extent cx="7133590" cy="21272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3590" cy="212725"/>
                    </a:xfrm>
                    <a:prstGeom prst="rect">
                      <a:avLst/>
                    </a:prstGeom>
                    <a:noFill/>
                  </pic:spPr>
                </pic:pic>
              </a:graphicData>
            </a:graphic>
          </wp:anchor>
        </w:drawing>
      </w:r>
    </w:p>
    <w:p>
      <w:pPr>
        <w:spacing w:after="0" w:line="283"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4"/>
          <w:szCs w:val="14"/>
          <w:b w:val="1"/>
          <w:bCs w:val="1"/>
          <w:color w:val="16479F"/>
        </w:rPr>
        <w:t>40</w:t>
      </w:r>
      <w:r>
        <w:rPr>
          <w:sz w:val="20"/>
          <w:szCs w:val="20"/>
          <w:color w:val="auto"/>
        </w:rPr>
        <w:tab/>
      </w:r>
      <w:r>
        <w:rPr>
          <w:rFonts w:ascii="Arial" w:cs="Arial" w:eastAsia="Arial" w:hAnsi="Arial"/>
          <w:sz w:val="14"/>
          <w:szCs w:val="14"/>
          <w:b w:val="1"/>
          <w:bCs w:val="1"/>
          <w:color w:val="16479F"/>
        </w:rPr>
        <w:t>MSCI  |  CORPORATE GOVERNANCE</w:t>
      </w:r>
    </w:p>
    <w:p>
      <w:pPr>
        <w:spacing w:after="0" w:line="323"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Board may also periodically engage a third-party evaluation firm as part of this process. In 2019, a third-party evaluation firm met with certain members of senior management and members of the Board. The feedback from the third-party evaluation firm was considered by the Board and, where appropriate, the Board recommended enhancements to its practices based on such feedback.</w:t>
      </w:r>
    </w:p>
    <w:p>
      <w:pPr>
        <w:spacing w:after="0" w:line="164"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Shareholder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156845</wp:posOffset>
            </wp:positionV>
            <wp:extent cx="6206490" cy="23552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206490" cy="2355215"/>
                    </a:xfrm>
                    <a:prstGeom prst="rect">
                      <a:avLst/>
                    </a:prstGeom>
                    <a:noFill/>
                  </pic:spPr>
                </pic:pic>
              </a:graphicData>
            </a:graphic>
          </wp:anchor>
        </w:drawing>
      </w: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27"/>
          <w:szCs w:val="27"/>
          <w:b w:val="1"/>
          <w:bCs w:val="1"/>
          <w:color w:val="00B5AA"/>
        </w:rPr>
        <w:t>By the Numbers: Shareholder Engagement in 2021</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920"/>
        <w:spacing w:after="0" w:line="250" w:lineRule="auto"/>
        <w:rPr>
          <w:sz w:val="20"/>
          <w:szCs w:val="20"/>
          <w:color w:val="auto"/>
        </w:rPr>
      </w:pPr>
      <w:r>
        <w:rPr>
          <w:rFonts w:ascii="Arial" w:cs="Arial" w:eastAsia="Arial" w:hAnsi="Arial"/>
          <w:sz w:val="16"/>
          <w:szCs w:val="16"/>
          <w:b w:val="1"/>
          <w:bCs w:val="1"/>
          <w:color w:val="16479F"/>
        </w:rPr>
        <w:t xml:space="preserve">WE HELD OVER 300 MEETINGS </w:t>
      </w:r>
      <w:r>
        <w:rPr>
          <w:rFonts w:ascii="Arial" w:cs="Arial" w:eastAsia="Arial" w:hAnsi="Arial"/>
          <w:sz w:val="16"/>
          <w:szCs w:val="16"/>
          <w:color w:val="000000"/>
        </w:rPr>
        <w:t>with our shareholders,</w:t>
      </w:r>
      <w:r>
        <w:rPr>
          <w:rFonts w:ascii="Arial" w:cs="Arial" w:eastAsia="Arial" w:hAnsi="Arial"/>
          <w:sz w:val="16"/>
          <w:szCs w:val="16"/>
          <w:b w:val="1"/>
          <w:bCs w:val="1"/>
          <w:color w:val="16479F"/>
        </w:rPr>
        <w:t xml:space="preserve"> </w:t>
      </w:r>
      <w:r>
        <w:rPr>
          <w:rFonts w:ascii="Arial" w:cs="Arial" w:eastAsia="Arial" w:hAnsi="Arial"/>
          <w:sz w:val="16"/>
          <w:szCs w:val="16"/>
          <w:color w:val="000000"/>
        </w:rPr>
        <w:t xml:space="preserve">prospective shareholders and sell-side analysts, during which we </w:t>
      </w:r>
      <w:r>
        <w:rPr>
          <w:rFonts w:ascii="Arial" w:cs="Arial" w:eastAsia="Arial" w:hAnsi="Arial"/>
          <w:sz w:val="16"/>
          <w:szCs w:val="16"/>
          <w:b w:val="1"/>
          <w:bCs w:val="1"/>
          <w:color w:val="16479F"/>
        </w:rPr>
        <w:t>MET WITH SHAREHOLDERS REPRESENTING ~58% OF</w:t>
      </w:r>
      <w:r>
        <w:rPr>
          <w:rFonts w:ascii="Arial" w:cs="Arial" w:eastAsia="Arial" w:hAnsi="Arial"/>
          <w:sz w:val="16"/>
          <w:szCs w:val="16"/>
          <w:color w:val="000000"/>
        </w:rPr>
        <w:t xml:space="preserve"> </w:t>
      </w:r>
      <w:r>
        <w:rPr>
          <w:rFonts w:ascii="Arial" w:cs="Arial" w:eastAsia="Arial" w:hAnsi="Arial"/>
          <w:sz w:val="16"/>
          <w:szCs w:val="16"/>
          <w:b w:val="1"/>
          <w:bCs w:val="1"/>
          <w:color w:val="16479F"/>
        </w:rPr>
        <w:t>OUR SHARES OUTSTANDING</w:t>
      </w:r>
      <w:r>
        <w:rPr>
          <w:rFonts w:ascii="Arial" w:cs="Arial" w:eastAsia="Arial" w:hAnsi="Arial"/>
          <w:sz w:val="16"/>
          <w:szCs w:val="16"/>
          <w:color w:val="000000"/>
        </w:rPr>
        <w:t>, with participation at certain</w:t>
      </w:r>
      <w:r>
        <w:rPr>
          <w:rFonts w:ascii="Arial" w:cs="Arial" w:eastAsia="Arial" w:hAnsi="Arial"/>
          <w:sz w:val="16"/>
          <w:szCs w:val="16"/>
          <w:b w:val="1"/>
          <w:bCs w:val="1"/>
          <w:color w:val="16479F"/>
        </w:rPr>
        <w:t xml:space="preserve"> </w:t>
      </w:r>
      <w:r>
        <w:rPr>
          <w:rFonts w:ascii="Arial" w:cs="Arial" w:eastAsia="Arial" w:hAnsi="Arial"/>
          <w:sz w:val="16"/>
          <w:szCs w:val="16"/>
          <w:color w:val="000000"/>
        </w:rPr>
        <w:t>meetings by our CEO, President &amp; COO, CFO, Head of Investor Relations, Chief Responsibility Officer and other members of senior management</w:t>
      </w:r>
    </w:p>
    <w:p>
      <w:pPr>
        <w:spacing w:after="0" w:line="158" w:lineRule="exact"/>
        <w:rPr>
          <w:sz w:val="20"/>
          <w:szCs w:val="20"/>
          <w:color w:val="auto"/>
        </w:rPr>
      </w:pPr>
    </w:p>
    <w:p>
      <w:pPr>
        <w:ind w:left="920" w:right="60"/>
        <w:spacing w:after="0" w:line="254" w:lineRule="auto"/>
        <w:rPr>
          <w:sz w:val="20"/>
          <w:szCs w:val="20"/>
          <w:color w:val="auto"/>
        </w:rPr>
      </w:pPr>
      <w:r>
        <w:rPr>
          <w:rFonts w:ascii="Arial" w:cs="Arial" w:eastAsia="Arial" w:hAnsi="Arial"/>
          <w:sz w:val="16"/>
          <w:szCs w:val="16"/>
          <w:b w:val="1"/>
          <w:bCs w:val="1"/>
          <w:color w:val="16479F"/>
        </w:rPr>
        <w:t xml:space="preserve">SUCCESSFUL INVESTOR DAY </w:t>
      </w:r>
      <w:r>
        <w:rPr>
          <w:rFonts w:ascii="Arial" w:cs="Arial" w:eastAsia="Arial" w:hAnsi="Arial"/>
          <w:sz w:val="16"/>
          <w:szCs w:val="16"/>
          <w:color w:val="000000"/>
        </w:rPr>
        <w:t>which highlighted the</w:t>
      </w:r>
      <w:r>
        <w:rPr>
          <w:rFonts w:ascii="Arial" w:cs="Arial" w:eastAsia="Arial" w:hAnsi="Arial"/>
          <w:sz w:val="16"/>
          <w:szCs w:val="16"/>
          <w:b w:val="1"/>
          <w:bCs w:val="1"/>
          <w:color w:val="16479F"/>
        </w:rPr>
        <w:t xml:space="preserve"> </w:t>
      </w:r>
      <w:r>
        <w:rPr>
          <w:rFonts w:ascii="Arial" w:cs="Arial" w:eastAsia="Arial" w:hAnsi="Arial"/>
          <w:sz w:val="16"/>
          <w:szCs w:val="16"/>
          <w:color w:val="000000"/>
        </w:rPr>
        <w:t>achievement of our financial performance over the last several years, as well as provided a deeper understanding of our key strategic initiatives and an update on our long-term financial outlook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1040"/>
        <w:spacing w:after="0" w:line="254" w:lineRule="auto"/>
        <w:rPr>
          <w:sz w:val="20"/>
          <w:szCs w:val="20"/>
          <w:color w:val="auto"/>
        </w:rPr>
      </w:pPr>
      <w:r>
        <w:rPr>
          <w:rFonts w:ascii="Arial" w:cs="Arial" w:eastAsia="Arial" w:hAnsi="Arial"/>
          <w:sz w:val="16"/>
          <w:szCs w:val="16"/>
          <w:b w:val="1"/>
          <w:bCs w:val="1"/>
          <w:color w:val="16479F"/>
        </w:rPr>
        <w:t xml:space="preserve">10 INVESTOR CONFERENCES AND 8 NON-DEAL ROADSHOWS AND ANALYST SPONSORED EVENTS </w:t>
      </w:r>
      <w:r>
        <w:rPr>
          <w:rFonts w:ascii="Arial" w:cs="Arial" w:eastAsia="Arial" w:hAnsi="Arial"/>
          <w:sz w:val="16"/>
          <w:szCs w:val="16"/>
          <w:color w:val="000000"/>
        </w:rPr>
        <w:t>to</w:t>
      </w:r>
      <w:r>
        <w:rPr>
          <w:rFonts w:ascii="Arial" w:cs="Arial" w:eastAsia="Arial" w:hAnsi="Arial"/>
          <w:sz w:val="16"/>
          <w:szCs w:val="16"/>
          <w:b w:val="1"/>
          <w:bCs w:val="1"/>
          <w:color w:val="16479F"/>
        </w:rPr>
        <w:t xml:space="preserve"> </w:t>
      </w:r>
      <w:r>
        <w:rPr>
          <w:rFonts w:ascii="Arial" w:cs="Arial" w:eastAsia="Arial" w:hAnsi="Arial"/>
          <w:sz w:val="16"/>
          <w:szCs w:val="16"/>
          <w:color w:val="000000"/>
        </w:rPr>
        <w:t>discuss topics including long-term growth opportunities, strategic execution, financial performance, capital allocation and corporate responsibility</w:t>
      </w:r>
    </w:p>
    <w:p>
      <w:pPr>
        <w:spacing w:after="0" w:line="200" w:lineRule="exact"/>
        <w:rPr>
          <w:sz w:val="20"/>
          <w:szCs w:val="20"/>
          <w:color w:val="auto"/>
        </w:rPr>
      </w:pPr>
    </w:p>
    <w:p>
      <w:pPr>
        <w:spacing w:after="0" w:line="326" w:lineRule="exact"/>
        <w:rPr>
          <w:sz w:val="20"/>
          <w:szCs w:val="20"/>
          <w:color w:val="auto"/>
        </w:rPr>
      </w:pPr>
    </w:p>
    <w:p>
      <w:pPr>
        <w:ind w:right="1220"/>
        <w:spacing w:after="0" w:line="257" w:lineRule="auto"/>
        <w:rPr>
          <w:sz w:val="20"/>
          <w:szCs w:val="20"/>
          <w:color w:val="auto"/>
        </w:rPr>
      </w:pPr>
      <w:r>
        <w:rPr>
          <w:rFonts w:ascii="Arial" w:cs="Arial" w:eastAsia="Arial" w:hAnsi="Arial"/>
          <w:sz w:val="16"/>
          <w:szCs w:val="16"/>
          <w:b w:val="1"/>
          <w:bCs w:val="1"/>
          <w:color w:val="16479F"/>
        </w:rPr>
        <w:t xml:space="preserve">REWARDING CORPORATE RESPONSIBILITY ROADSHOW </w:t>
      </w:r>
      <w:r>
        <w:rPr>
          <w:rFonts w:ascii="Arial" w:cs="Arial" w:eastAsia="Arial" w:hAnsi="Arial"/>
          <w:sz w:val="16"/>
          <w:szCs w:val="16"/>
          <w:color w:val="000000"/>
        </w:rPr>
        <w:t>where we met with our top shareholders</w:t>
      </w:r>
      <w:r>
        <w:rPr>
          <w:rFonts w:ascii="Arial" w:cs="Arial" w:eastAsia="Arial" w:hAnsi="Arial"/>
          <w:sz w:val="16"/>
          <w:szCs w:val="16"/>
          <w:b w:val="1"/>
          <w:bCs w:val="1"/>
          <w:color w:val="16479F"/>
        </w:rPr>
        <w:t xml:space="preserve"> </w:t>
      </w:r>
      <w:r>
        <w:rPr>
          <w:rFonts w:ascii="Arial" w:cs="Arial" w:eastAsia="Arial" w:hAnsi="Arial"/>
          <w:sz w:val="16"/>
          <w:szCs w:val="16"/>
          <w:color w:val="000000"/>
        </w:rPr>
        <w:t>representing more than 40% of our outstanding shares to discuss our corporate responsibility practices</w:t>
      </w:r>
    </w:p>
    <w:p>
      <w:pPr>
        <w:spacing w:after="0" w:line="383" w:lineRule="exact"/>
        <w:rPr>
          <w:sz w:val="20"/>
          <w:szCs w:val="20"/>
          <w:color w:val="auto"/>
        </w:rPr>
      </w:pPr>
    </w:p>
    <w:p>
      <w:pPr>
        <w:sectPr>
          <w:pgSz w:w="11900" w:h="16838" w:orient="portrait"/>
          <w:cols w:equalWidth="0" w:num="2">
            <w:col w:w="5400" w:space="520"/>
            <w:col w:w="5280"/>
          </w:cols>
          <w:pgMar w:left="320" w:top="121" w:right="379" w:bottom="1440" w:gutter="0" w:footer="0" w:header="0"/>
          <w:type w:val="continuous"/>
        </w:sectPr>
      </w:pPr>
    </w:p>
    <w:p>
      <w:pPr>
        <w:ind w:right="100"/>
        <w:spacing w:after="0" w:line="248" w:lineRule="auto"/>
        <w:rPr>
          <w:sz w:val="20"/>
          <w:szCs w:val="20"/>
          <w:color w:val="auto"/>
        </w:rPr>
      </w:pPr>
      <w:r>
        <w:rPr>
          <w:rFonts w:ascii="Arial" w:cs="Arial" w:eastAsia="Arial" w:hAnsi="Arial"/>
          <w:sz w:val="16"/>
          <w:szCs w:val="16"/>
          <w:color w:val="auto"/>
        </w:rPr>
        <w:t>We believe that engaging with our shareholders, prospective shareholders and sell-side analysts is the best way to address the issues that matter most to them. Dialogue with these constituencies helps us understand their perspectives on the Company’s goals and expectations for performance, as well as identify issues that might affect our long-term strategy, corporate governance and compensation practices. As such, we offer several opportunities to provide feedback to our Board and senior management, including inviting certain shareholders to address the Board to present their views on the Company.</w:t>
      </w:r>
    </w:p>
    <w:p>
      <w:pPr>
        <w:spacing w:after="0" w:line="204"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Our Investor Relations team leads year-round outreach efforts with our investors and the investment community. During these engagements, we typically discuss topics such as market trends affecting our industry, the competitive environment, our go-to-market strategy, our financial performance and our overall outlook for the Company. In February 2021, we hosted an Investor Day to reiterate our growth opportunities and share management’s strategy for taking advantage of those opportunities.</w:t>
      </w:r>
    </w:p>
    <w:p>
      <w:pPr>
        <w:spacing w:after="0" w:line="204"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We also engage with shareholders before, during and after the proxy season, including by hosting a Corporate Responsibility Roadshow each winter, to review and receive feedback on the Company’s governance practices, our corporate responsibility efforts and human capital management strategies and the design of our executive compensation program. The feedback we receive from these discussions, as well as from third-party rating agencies, is carefully considered by the Board, the Governance Committee and the Compensation Committee.</w:t>
      </w:r>
    </w:p>
    <w:p>
      <w:pPr>
        <w:spacing w:after="0" w:line="204" w:lineRule="exact"/>
        <w:rPr>
          <w:sz w:val="20"/>
          <w:szCs w:val="20"/>
          <w:color w:val="auto"/>
        </w:rPr>
      </w:pPr>
    </w:p>
    <w:p>
      <w:pPr>
        <w:ind w:right="220"/>
        <w:spacing w:after="0" w:line="246" w:lineRule="auto"/>
        <w:rPr>
          <w:sz w:val="20"/>
          <w:szCs w:val="20"/>
          <w:color w:val="auto"/>
        </w:rPr>
      </w:pPr>
      <w:r>
        <w:rPr>
          <w:rFonts w:ascii="Arial" w:cs="Arial" w:eastAsia="Arial" w:hAnsi="Arial"/>
          <w:sz w:val="16"/>
          <w:szCs w:val="16"/>
          <w:color w:val="auto"/>
        </w:rPr>
        <w:t>During the Corporate Responsibility Roadshow that we hosted in the winter of 2021, our shareholders focused the discussions on, among other things, the following: (i) our corporate responsibility practices and disclosures in light of being a leader in ESG ratings and data and our path to Net-Zero and climate initiatives, (ii) human capital management, including the importance of efforts around DE&amp;I, (iii) talent management and executive and director succession planning and (iv) Board oversight and governance, including over our corporate responsibility efforts. These meetings often included a member of our Governance Committee as well as our Head of Investor Relations, Chief Responsibility Officer, Head of Corporate Responsibility, Chief Diversity Officer, Corporate Secretary, Head of Employer Brand and Talent Pipelines and Global Head of Compensation and Benefits.</w:t>
      </w:r>
    </w:p>
    <w:p>
      <w:pPr>
        <w:spacing w:after="0" w:line="207"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Additional information on our recent actions in response to investor feedback can be found under Corporate Responsibility on page 12 and beginning on page 45 of this Proxy Statement. Please see page 66 of this Proxy Statement for additional information on our engagement efforts specific to 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56515</wp:posOffset>
            </wp:positionV>
            <wp:extent cx="7154545"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41" w:name="page42"/>
    <w:bookmarkEnd w:id="41"/>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00" w:type="dxa"/>
            <w:vAlign w:val="bottom"/>
            <w:tcBorders>
              <w:right w:val="single" w:sz="8" w:color="16479F"/>
            </w:tcBorders>
          </w:tcPr>
          <w:p>
            <w:pPr>
              <w:ind w:left="8740"/>
              <w:spacing w:after="0"/>
              <w:rPr>
                <w:sz w:val="20"/>
                <w:szCs w:val="20"/>
                <w:color w:val="auto"/>
              </w:rPr>
            </w:pPr>
            <w:r>
              <w:rPr>
                <w:rFonts w:ascii="Arial" w:cs="Arial" w:eastAsia="Arial" w:hAnsi="Arial"/>
                <w:sz w:val="14"/>
                <w:szCs w:val="14"/>
                <w:b w:val="1"/>
                <w:bCs w:val="1"/>
                <w:color w:val="16479F"/>
              </w:rPr>
              <w:t>2022 PROXY STATEMENT</w:t>
            </w:r>
          </w:p>
        </w:tc>
        <w:tc>
          <w:tcPr>
            <w:tcW w:w="640" w:type="dxa"/>
            <w:vAlign w:val="bottom"/>
          </w:tcPr>
          <w:p>
            <w:pPr>
              <w:jc w:val="right"/>
              <w:ind w:right="9"/>
              <w:spacing w:after="0"/>
              <w:rPr>
                <w:sz w:val="20"/>
                <w:szCs w:val="20"/>
                <w:color w:val="auto"/>
              </w:rPr>
            </w:pPr>
            <w:r>
              <w:rPr>
                <w:rFonts w:ascii="Arial" w:cs="Arial" w:eastAsia="Arial" w:hAnsi="Arial"/>
                <w:sz w:val="14"/>
                <w:szCs w:val="14"/>
                <w:b w:val="1"/>
                <w:bCs w:val="1"/>
                <w:color w:val="16479F"/>
              </w:rPr>
              <w:t>41</w:t>
            </w:r>
          </w:p>
        </w:tc>
      </w:tr>
      <w:tr>
        <w:trPr>
          <w:trHeight w:val="65"/>
        </w:trPr>
        <w:tc>
          <w:tcPr>
            <w:tcW w:w="10600" w:type="dxa"/>
            <w:vAlign w:val="bottom"/>
            <w:tcBorders>
              <w:bottom w:val="single" w:sz="8" w:color="16479F"/>
              <w:right w:val="single" w:sz="8" w:color="16479F"/>
            </w:tcBorders>
          </w:tcPr>
          <w:p>
            <w:pPr>
              <w:spacing w:after="0"/>
              <w:rPr>
                <w:sz w:val="5"/>
                <w:szCs w:val="5"/>
                <w:color w:val="auto"/>
              </w:rPr>
            </w:pPr>
          </w:p>
        </w:tc>
        <w:tc>
          <w:tcPr>
            <w:tcW w:w="640" w:type="dxa"/>
            <w:vAlign w:val="bottom"/>
            <w:tcBorders>
              <w:bottom w:val="single" w:sz="8" w:color="16479F"/>
            </w:tcBorders>
          </w:tcPr>
          <w:p>
            <w:pPr>
              <w:spacing w:after="0"/>
              <w:rPr>
                <w:sz w:val="5"/>
                <w:szCs w:val="5"/>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32"/>
          <w:szCs w:val="32"/>
          <w:b w:val="1"/>
          <w:bCs w:val="1"/>
          <w:color w:val="16479F"/>
        </w:rPr>
        <w:t>Oversight by our Board</w:t>
      </w:r>
    </w:p>
    <w:p>
      <w:pPr>
        <w:spacing w:after="0" w:line="169"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Risk Assessment Responsibilities and Processes</w:t>
      </w:r>
    </w:p>
    <w:p>
      <w:pPr>
        <w:spacing w:after="0" w:line="195"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Our Board discusses and receives regular updates on a wide variety of matters affecting our firm. Our Board is responsible for, and committed to, the oversight of the business and affairs of our firm. In carrying out this responsibility, the Board’s role in risk oversight is consistent with the Company’s leadership structure, with management having day-to-day responsibility for identifying, evaluating and managing the Company’s risk exposure and the Board having the ultimate responsibility for overseeing risk management governance, with a focus on the Company’s most significant risks. In this role, the Board is responsible for ensuring that the risk-management processes designed and implemented by management are functioning as intended and that necessary steps are taken to assess, monitor and control key business risks.</w:t>
      </w:r>
    </w:p>
    <w:p>
      <w:pPr>
        <w:spacing w:after="0" w:line="154"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In order to maintain effective Board oversight across the entire firm, the Board delegates to individual committees certain elements of its oversight function, as described in the example below. The Board then receives regular updates from its committees on individual categories of risk, including strategy, reputation, operations, climate change, corporate responsibility, people, technology and regulatory. Our Board’s focus on overseeing risk management also enhances our directors’ ability to provide insight and feedback to senior management.</w:t>
      </w:r>
    </w:p>
    <w:p>
      <w:pPr>
        <w:spacing w:after="0" w:line="150"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The Board is assisted in meeting its risk oversight responsibilities by its committees as described below. The below illustration uses climate-related risks as an example of our risk oversight responsibilities and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7154545"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149860</wp:posOffset>
            </wp:positionV>
            <wp:extent cx="7133590" cy="21272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3590" cy="212725"/>
                    </a:xfrm>
                    <a:prstGeom prst="rect">
                      <a:avLst/>
                    </a:prstGeom>
                    <a:noFill/>
                  </pic:spPr>
                </pic:pic>
              </a:graphicData>
            </a:graphic>
          </wp:anchor>
        </w:drawing>
      </w:r>
    </w:p>
    <w:p>
      <w:pPr>
        <w:spacing w:after="0" w:line="283"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4"/>
          <w:szCs w:val="14"/>
          <w:b w:val="1"/>
          <w:bCs w:val="1"/>
          <w:color w:val="16479F"/>
        </w:rPr>
        <w:t>42</w:t>
      </w:r>
      <w:r>
        <w:rPr>
          <w:sz w:val="20"/>
          <w:szCs w:val="20"/>
          <w:color w:val="auto"/>
        </w:rPr>
        <w:tab/>
      </w:r>
      <w:r>
        <w:rPr>
          <w:rFonts w:ascii="Arial" w:cs="Arial" w:eastAsia="Arial" w:hAnsi="Arial"/>
          <w:sz w:val="14"/>
          <w:szCs w:val="14"/>
          <w:b w:val="1"/>
          <w:bCs w:val="1"/>
          <w:color w:val="16479F"/>
        </w:rPr>
        <w:t>MSCI  |  CORPORATE GOVERNANCE</w:t>
      </w:r>
    </w:p>
    <w:p>
      <w:pPr>
        <w:spacing w:after="0" w:line="248" w:lineRule="exact"/>
        <w:rPr>
          <w:sz w:val="20"/>
          <w:szCs w:val="20"/>
          <w:color w:val="auto"/>
        </w:rPr>
      </w:pPr>
    </w:p>
    <w:p>
      <w:pPr>
        <w:spacing w:after="0"/>
        <w:rPr>
          <w:sz w:val="20"/>
          <w:szCs w:val="20"/>
          <w:color w:val="auto"/>
        </w:rPr>
      </w:pPr>
      <w:r>
        <w:rPr>
          <w:rFonts w:ascii="Arial" w:cs="Arial" w:eastAsia="Arial" w:hAnsi="Arial"/>
          <w:sz w:val="21"/>
          <w:szCs w:val="21"/>
          <w:b w:val="1"/>
          <w:bCs w:val="1"/>
          <w:color w:val="16479F"/>
        </w:rPr>
        <w:t>Board Oversight: The Climate Example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139065</wp:posOffset>
            </wp:positionV>
            <wp:extent cx="7133590" cy="8845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3590" cy="884555"/>
                    </a:xfrm>
                    <a:prstGeom prst="rect">
                      <a:avLst/>
                    </a:prstGeom>
                    <a:noFill/>
                  </pic:spPr>
                </pic:pic>
              </a:graphicData>
            </a:graphic>
          </wp:anchor>
        </w:drawing>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00B5AA"/>
        </w:rPr>
        <w:t>Board of Directors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F"/>
        </w:rPr>
        <w:t>Oversees Major Risks</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4"/>
          <w:szCs w:val="14"/>
          <w:color w:val="FFFFFF"/>
        </w:rPr>
        <w:t>On an ongoing basis, receives quarterly written reports on enterprise-level risks, including climate-related risks.</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4"/>
          <w:szCs w:val="14"/>
          <w:color w:val="FFFFFF"/>
        </w:rPr>
        <w:t>Receives regular reports from each of the Board’s committees on their areas of risk oversight including, from time-to-time, climate-related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99060</wp:posOffset>
            </wp:positionV>
            <wp:extent cx="7133590" cy="29076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3590" cy="290766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16479F"/>
        </w:rPr>
        <w:t>Committees</w:t>
      </w:r>
    </w:p>
    <w:p>
      <w:pPr>
        <w:spacing w:after="0" w:line="86" w:lineRule="exact"/>
        <w:rPr>
          <w:sz w:val="20"/>
          <w:szCs w:val="20"/>
          <w:color w:val="auto"/>
        </w:rPr>
      </w:pPr>
    </w:p>
    <w:tbl>
      <w:tblPr>
        <w:tblLayout w:type="fixed"/>
        <w:tblInd w:w="240" w:type="dxa"/>
        <w:tblCellMar>
          <w:top w:w="0" w:type="dxa"/>
          <w:left w:w="0" w:type="dxa"/>
          <w:bottom w:w="0" w:type="dxa"/>
          <w:right w:w="0" w:type="dxa"/>
        </w:tblCellMar>
      </w:tblPr>
      <w:tr>
        <w:trPr>
          <w:trHeight w:val="249"/>
        </w:trPr>
        <w:tc>
          <w:tcPr>
            <w:tcW w:w="3380" w:type="dxa"/>
            <w:vAlign w:val="bottom"/>
            <w:tcBorders>
              <w:right w:val="single" w:sz="8" w:color="16479F"/>
            </w:tcBorders>
            <w:gridSpan w:val="2"/>
            <w:shd w:val="clear" w:color="auto" w:fill="F0F1F8"/>
          </w:tcPr>
          <w:p>
            <w:pPr>
              <w:spacing w:after="0"/>
              <w:rPr>
                <w:sz w:val="20"/>
                <w:szCs w:val="20"/>
                <w:color w:val="auto"/>
              </w:rPr>
            </w:pPr>
            <w:r>
              <w:rPr>
                <w:rFonts w:ascii="Arial" w:cs="Arial" w:eastAsia="Arial" w:hAnsi="Arial"/>
                <w:sz w:val="16"/>
                <w:szCs w:val="16"/>
                <w:b w:val="1"/>
                <w:bCs w:val="1"/>
                <w:color w:val="16479F"/>
              </w:rPr>
              <w:t>AUDIT COMMITTEE</w:t>
            </w:r>
          </w:p>
        </w:tc>
        <w:tc>
          <w:tcPr>
            <w:tcW w:w="3740" w:type="dxa"/>
            <w:vAlign w:val="bottom"/>
            <w:tcBorders>
              <w:right w:val="single" w:sz="8" w:color="16479F"/>
            </w:tcBorders>
            <w:shd w:val="clear" w:color="auto" w:fill="F0F1F8"/>
          </w:tcPr>
          <w:p>
            <w:pPr>
              <w:ind w:left="220"/>
              <w:spacing w:after="0"/>
              <w:rPr>
                <w:sz w:val="20"/>
                <w:szCs w:val="20"/>
                <w:color w:val="auto"/>
              </w:rPr>
            </w:pPr>
            <w:r>
              <w:rPr>
                <w:rFonts w:ascii="Arial" w:cs="Arial" w:eastAsia="Arial" w:hAnsi="Arial"/>
                <w:sz w:val="16"/>
                <w:szCs w:val="16"/>
                <w:b w:val="1"/>
                <w:bCs w:val="1"/>
                <w:color w:val="16479F"/>
              </w:rPr>
              <w:t>COMPENSATION COMMITTEE</w:t>
            </w:r>
          </w:p>
        </w:tc>
        <w:tc>
          <w:tcPr>
            <w:tcW w:w="3880" w:type="dxa"/>
            <w:vAlign w:val="bottom"/>
            <w:gridSpan w:val="3"/>
            <w:shd w:val="clear" w:color="auto" w:fill="F0F1F8"/>
          </w:tcPr>
          <w:p>
            <w:pPr>
              <w:ind w:left="180"/>
              <w:spacing w:after="0"/>
              <w:rPr>
                <w:sz w:val="20"/>
                <w:szCs w:val="20"/>
                <w:color w:val="auto"/>
              </w:rPr>
            </w:pPr>
            <w:r>
              <w:rPr>
                <w:rFonts w:ascii="Arial" w:cs="Arial" w:eastAsia="Arial" w:hAnsi="Arial"/>
                <w:sz w:val="16"/>
                <w:szCs w:val="16"/>
                <w:b w:val="1"/>
                <w:bCs w:val="1"/>
                <w:color w:val="16479F"/>
              </w:rPr>
              <w:t>STRATEGY COMMITTEE</w:t>
            </w:r>
          </w:p>
        </w:tc>
        <w:tc>
          <w:tcPr>
            <w:tcW w:w="0" w:type="dxa"/>
            <w:vAlign w:val="bottom"/>
          </w:tcPr>
          <w:p>
            <w:pPr>
              <w:spacing w:after="0"/>
              <w:rPr>
                <w:sz w:val="1"/>
                <w:szCs w:val="1"/>
                <w:color w:val="auto"/>
              </w:rPr>
            </w:pPr>
          </w:p>
        </w:tc>
      </w:tr>
      <w:tr>
        <w:trPr>
          <w:trHeight w:val="238"/>
        </w:trPr>
        <w:tc>
          <w:tcPr>
            <w:tcW w:w="120" w:type="dxa"/>
            <w:vAlign w:val="bottom"/>
            <w:shd w:val="clear" w:color="auto" w:fill="F0F1F8"/>
          </w:tcPr>
          <w:p>
            <w:pPr>
              <w:spacing w:after="0"/>
              <w:rPr>
                <w:sz w:val="20"/>
                <w:szCs w:val="20"/>
                <w:color w:val="auto"/>
              </w:rPr>
            </w:pPr>
            <w:r>
              <w:rPr>
                <w:rFonts w:ascii="Arial" w:cs="Arial" w:eastAsia="Arial" w:hAnsi="Arial"/>
                <w:sz w:val="14"/>
                <w:szCs w:val="14"/>
                <w:color w:val="16479F"/>
              </w:rPr>
              <w:t>●</w:t>
            </w:r>
          </w:p>
        </w:tc>
        <w:tc>
          <w:tcPr>
            <w:tcW w:w="3260" w:type="dxa"/>
            <w:vAlign w:val="bottom"/>
            <w:tcBorders>
              <w:right w:val="single" w:sz="8" w:color="16479F"/>
            </w:tcBorders>
            <w:shd w:val="clear" w:color="auto" w:fill="F0F1F8"/>
          </w:tcPr>
          <w:p>
            <w:pPr>
              <w:ind w:left="40"/>
              <w:spacing w:after="0"/>
              <w:rPr>
                <w:sz w:val="20"/>
                <w:szCs w:val="20"/>
                <w:color w:val="auto"/>
              </w:rPr>
            </w:pPr>
            <w:r>
              <w:rPr>
                <w:rFonts w:ascii="Arial" w:cs="Arial" w:eastAsia="Arial" w:hAnsi="Arial"/>
                <w:sz w:val="14"/>
                <w:szCs w:val="14"/>
                <w:color w:val="auto"/>
              </w:rPr>
              <w:t>Receives quarterly updates from our Enterprise</w:t>
            </w:r>
          </w:p>
        </w:tc>
        <w:tc>
          <w:tcPr>
            <w:tcW w:w="3740" w:type="dxa"/>
            <w:vAlign w:val="bottom"/>
            <w:tcBorders>
              <w:right w:val="single" w:sz="8" w:color="16479F"/>
            </w:tcBorders>
            <w:shd w:val="clear" w:color="auto" w:fill="F0F1F8"/>
          </w:tcPr>
          <w:p>
            <w:pPr>
              <w:ind w:left="220"/>
              <w:spacing w:after="0"/>
              <w:rPr>
                <w:sz w:val="20"/>
                <w:szCs w:val="20"/>
                <w:color w:val="auto"/>
              </w:rPr>
            </w:pPr>
            <w:r>
              <w:rPr>
                <w:rFonts w:ascii="Arial" w:cs="Arial" w:eastAsia="Arial" w:hAnsi="Arial"/>
                <w:sz w:val="13"/>
                <w:szCs w:val="13"/>
                <w:color w:val="16479F"/>
              </w:rPr>
              <w:t xml:space="preserve">● </w:t>
            </w:r>
            <w:r>
              <w:rPr>
                <w:rFonts w:ascii="Arial" w:cs="Arial" w:eastAsia="Arial" w:hAnsi="Arial"/>
                <w:sz w:val="14"/>
                <w:szCs w:val="14"/>
                <w:color w:val="000000"/>
              </w:rPr>
              <w:t>Oversees the Company’s assessment of</w:t>
            </w:r>
          </w:p>
        </w:tc>
        <w:tc>
          <w:tcPr>
            <w:tcW w:w="300" w:type="dxa"/>
            <w:vAlign w:val="bottom"/>
            <w:shd w:val="clear" w:color="auto" w:fill="F0F1F8"/>
          </w:tcPr>
          <w:p>
            <w:pPr>
              <w:ind w:left="180"/>
              <w:spacing w:after="0"/>
              <w:rPr>
                <w:sz w:val="20"/>
                <w:szCs w:val="20"/>
                <w:color w:val="auto"/>
              </w:rPr>
            </w:pPr>
            <w:r>
              <w:rPr>
                <w:rFonts w:ascii="Arial" w:cs="Arial" w:eastAsia="Arial" w:hAnsi="Arial"/>
                <w:sz w:val="14"/>
                <w:szCs w:val="14"/>
                <w:color w:val="16479F"/>
              </w:rPr>
              <w:t>●</w:t>
            </w:r>
          </w:p>
        </w:tc>
        <w:tc>
          <w:tcPr>
            <w:tcW w:w="3580" w:type="dxa"/>
            <w:vAlign w:val="bottom"/>
            <w:gridSpan w:val="2"/>
            <w:shd w:val="clear" w:color="auto" w:fill="F0F1F8"/>
          </w:tcPr>
          <w:p>
            <w:pPr>
              <w:ind w:left="60"/>
              <w:spacing w:after="0"/>
              <w:rPr>
                <w:sz w:val="20"/>
                <w:szCs w:val="20"/>
                <w:color w:val="auto"/>
              </w:rPr>
            </w:pPr>
            <w:r>
              <w:rPr>
                <w:rFonts w:ascii="Arial" w:cs="Arial" w:eastAsia="Arial" w:hAnsi="Arial"/>
                <w:sz w:val="14"/>
                <w:szCs w:val="14"/>
                <w:color w:val="auto"/>
              </w:rPr>
              <w:t>Ensures that management factors material</w:t>
            </w:r>
          </w:p>
        </w:tc>
        <w:tc>
          <w:tcPr>
            <w:tcW w:w="0" w:type="dxa"/>
            <w:vAlign w:val="bottom"/>
          </w:tcPr>
          <w:p>
            <w:pPr>
              <w:spacing w:after="0"/>
              <w:rPr>
                <w:sz w:val="1"/>
                <w:szCs w:val="1"/>
                <w:color w:val="auto"/>
              </w:rPr>
            </w:pPr>
          </w:p>
        </w:tc>
      </w:tr>
      <w:tr>
        <w:trPr>
          <w:trHeight w:val="161"/>
        </w:trPr>
        <w:tc>
          <w:tcPr>
            <w:tcW w:w="120" w:type="dxa"/>
            <w:vAlign w:val="bottom"/>
            <w:shd w:val="clear" w:color="auto" w:fill="F0F1F8"/>
          </w:tcPr>
          <w:p>
            <w:pPr>
              <w:spacing w:after="0"/>
              <w:rPr>
                <w:sz w:val="13"/>
                <w:szCs w:val="13"/>
                <w:color w:val="auto"/>
              </w:rPr>
            </w:pPr>
          </w:p>
        </w:tc>
        <w:tc>
          <w:tcPr>
            <w:tcW w:w="3260" w:type="dxa"/>
            <w:vAlign w:val="bottom"/>
            <w:tcBorders>
              <w:right w:val="single" w:sz="8" w:color="16479F"/>
            </w:tcBorders>
            <w:shd w:val="clear" w:color="auto" w:fill="F0F1F8"/>
          </w:tcPr>
          <w:p>
            <w:pPr>
              <w:ind w:left="40"/>
              <w:spacing w:after="0"/>
              <w:rPr>
                <w:sz w:val="20"/>
                <w:szCs w:val="20"/>
                <w:color w:val="auto"/>
              </w:rPr>
            </w:pPr>
            <w:r>
              <w:rPr>
                <w:rFonts w:ascii="Arial" w:cs="Arial" w:eastAsia="Arial" w:hAnsi="Arial"/>
                <w:sz w:val="14"/>
                <w:szCs w:val="14"/>
                <w:color w:val="auto"/>
              </w:rPr>
              <w:t>Risk Management Officer, which, in 2021,</w:t>
            </w:r>
          </w:p>
        </w:tc>
        <w:tc>
          <w:tcPr>
            <w:tcW w:w="3740" w:type="dxa"/>
            <w:vAlign w:val="bottom"/>
            <w:tcBorders>
              <w:right w:val="single" w:sz="8" w:color="16479F"/>
            </w:tcBorders>
            <w:shd w:val="clear" w:color="auto" w:fill="F0F1F8"/>
          </w:tcPr>
          <w:p>
            <w:pPr>
              <w:ind w:left="380"/>
              <w:spacing w:after="0"/>
              <w:rPr>
                <w:sz w:val="20"/>
                <w:szCs w:val="20"/>
                <w:color w:val="auto"/>
              </w:rPr>
            </w:pPr>
            <w:r>
              <w:rPr>
                <w:rFonts w:ascii="Arial" w:cs="Arial" w:eastAsia="Arial" w:hAnsi="Arial"/>
                <w:sz w:val="14"/>
                <w:szCs w:val="14"/>
                <w:color w:val="auto"/>
              </w:rPr>
              <w:t>executive performance against goals, including</w:t>
            </w:r>
          </w:p>
        </w:tc>
        <w:tc>
          <w:tcPr>
            <w:tcW w:w="300" w:type="dxa"/>
            <w:vAlign w:val="bottom"/>
            <w:shd w:val="clear" w:color="auto" w:fill="F0F1F8"/>
          </w:tcPr>
          <w:p>
            <w:pPr>
              <w:spacing w:after="0"/>
              <w:rPr>
                <w:sz w:val="13"/>
                <w:szCs w:val="13"/>
                <w:color w:val="auto"/>
              </w:rPr>
            </w:pPr>
          </w:p>
        </w:tc>
        <w:tc>
          <w:tcPr>
            <w:tcW w:w="3580" w:type="dxa"/>
            <w:vAlign w:val="bottom"/>
            <w:gridSpan w:val="2"/>
            <w:shd w:val="clear" w:color="auto" w:fill="F0F1F8"/>
          </w:tcPr>
          <w:p>
            <w:pPr>
              <w:ind w:left="40"/>
              <w:spacing w:after="0"/>
              <w:rPr>
                <w:sz w:val="20"/>
                <w:szCs w:val="20"/>
                <w:color w:val="auto"/>
              </w:rPr>
            </w:pPr>
            <w:r>
              <w:rPr>
                <w:rFonts w:ascii="Arial" w:cs="Arial" w:eastAsia="Arial" w:hAnsi="Arial"/>
                <w:sz w:val="14"/>
                <w:szCs w:val="14"/>
                <w:color w:val="auto"/>
              </w:rPr>
              <w:t>climate-related risks and opportunities into the</w:t>
            </w:r>
          </w:p>
        </w:tc>
        <w:tc>
          <w:tcPr>
            <w:tcW w:w="0" w:type="dxa"/>
            <w:vAlign w:val="bottom"/>
          </w:tcPr>
          <w:p>
            <w:pPr>
              <w:spacing w:after="0"/>
              <w:rPr>
                <w:sz w:val="1"/>
                <w:szCs w:val="1"/>
                <w:color w:val="auto"/>
              </w:rPr>
            </w:pPr>
          </w:p>
        </w:tc>
      </w:tr>
      <w:tr>
        <w:trPr>
          <w:trHeight w:val="161"/>
        </w:trPr>
        <w:tc>
          <w:tcPr>
            <w:tcW w:w="120" w:type="dxa"/>
            <w:vAlign w:val="bottom"/>
            <w:shd w:val="clear" w:color="auto" w:fill="F0F1F8"/>
          </w:tcPr>
          <w:p>
            <w:pPr>
              <w:spacing w:after="0"/>
              <w:rPr>
                <w:sz w:val="13"/>
                <w:szCs w:val="13"/>
                <w:color w:val="auto"/>
              </w:rPr>
            </w:pPr>
          </w:p>
        </w:tc>
        <w:tc>
          <w:tcPr>
            <w:tcW w:w="3260" w:type="dxa"/>
            <w:vAlign w:val="bottom"/>
            <w:tcBorders>
              <w:right w:val="single" w:sz="8" w:color="16479F"/>
            </w:tcBorders>
            <w:shd w:val="clear" w:color="auto" w:fill="F0F1F8"/>
          </w:tcPr>
          <w:p>
            <w:pPr>
              <w:ind w:left="40"/>
              <w:spacing w:after="0"/>
              <w:rPr>
                <w:sz w:val="20"/>
                <w:szCs w:val="20"/>
                <w:color w:val="auto"/>
              </w:rPr>
            </w:pPr>
            <w:r>
              <w:rPr>
                <w:rFonts w:ascii="Arial" w:cs="Arial" w:eastAsia="Arial" w:hAnsi="Arial"/>
                <w:sz w:val="14"/>
                <w:szCs w:val="14"/>
                <w:color w:val="auto"/>
              </w:rPr>
              <w:t>included a review of the governance and risks</w:t>
            </w:r>
          </w:p>
        </w:tc>
        <w:tc>
          <w:tcPr>
            <w:tcW w:w="3740" w:type="dxa"/>
            <w:vAlign w:val="bottom"/>
            <w:tcBorders>
              <w:right w:val="single" w:sz="8" w:color="16479F"/>
            </w:tcBorders>
            <w:shd w:val="clear" w:color="auto" w:fill="F0F1F8"/>
          </w:tcPr>
          <w:p>
            <w:pPr>
              <w:ind w:left="380"/>
              <w:spacing w:after="0"/>
              <w:rPr>
                <w:sz w:val="20"/>
                <w:szCs w:val="20"/>
                <w:color w:val="auto"/>
              </w:rPr>
            </w:pPr>
            <w:r>
              <w:rPr>
                <w:rFonts w:ascii="Arial" w:cs="Arial" w:eastAsia="Arial" w:hAnsi="Arial"/>
                <w:sz w:val="14"/>
                <w:szCs w:val="14"/>
                <w:color w:val="auto"/>
              </w:rPr>
              <w:t>ESG and climate related goals.</w:t>
            </w:r>
          </w:p>
        </w:tc>
        <w:tc>
          <w:tcPr>
            <w:tcW w:w="300" w:type="dxa"/>
            <w:vAlign w:val="bottom"/>
            <w:shd w:val="clear" w:color="auto" w:fill="F0F1F8"/>
          </w:tcPr>
          <w:p>
            <w:pPr>
              <w:spacing w:after="0"/>
              <w:rPr>
                <w:sz w:val="13"/>
                <w:szCs w:val="13"/>
                <w:color w:val="auto"/>
              </w:rPr>
            </w:pPr>
          </w:p>
        </w:tc>
        <w:tc>
          <w:tcPr>
            <w:tcW w:w="3580" w:type="dxa"/>
            <w:vAlign w:val="bottom"/>
            <w:gridSpan w:val="2"/>
            <w:shd w:val="clear" w:color="auto" w:fill="F0F1F8"/>
          </w:tcPr>
          <w:p>
            <w:pPr>
              <w:ind w:left="40"/>
              <w:spacing w:after="0"/>
              <w:rPr>
                <w:sz w:val="20"/>
                <w:szCs w:val="20"/>
                <w:color w:val="auto"/>
              </w:rPr>
            </w:pPr>
            <w:r>
              <w:rPr>
                <w:rFonts w:ascii="Arial" w:cs="Arial" w:eastAsia="Arial" w:hAnsi="Arial"/>
                <w:sz w:val="14"/>
                <w:szCs w:val="14"/>
                <w:color w:val="auto"/>
              </w:rPr>
              <w:t>Company’s strategy.</w:t>
            </w:r>
          </w:p>
        </w:tc>
        <w:tc>
          <w:tcPr>
            <w:tcW w:w="0" w:type="dxa"/>
            <w:vAlign w:val="bottom"/>
          </w:tcPr>
          <w:p>
            <w:pPr>
              <w:spacing w:after="0"/>
              <w:rPr>
                <w:sz w:val="1"/>
                <w:szCs w:val="1"/>
                <w:color w:val="auto"/>
              </w:rPr>
            </w:pPr>
          </w:p>
        </w:tc>
      </w:tr>
      <w:tr>
        <w:trPr>
          <w:trHeight w:val="161"/>
        </w:trPr>
        <w:tc>
          <w:tcPr>
            <w:tcW w:w="120" w:type="dxa"/>
            <w:vAlign w:val="bottom"/>
            <w:shd w:val="clear" w:color="auto" w:fill="F0F1F8"/>
          </w:tcPr>
          <w:p>
            <w:pPr>
              <w:spacing w:after="0"/>
              <w:rPr>
                <w:sz w:val="13"/>
                <w:szCs w:val="13"/>
                <w:color w:val="auto"/>
              </w:rPr>
            </w:pPr>
          </w:p>
        </w:tc>
        <w:tc>
          <w:tcPr>
            <w:tcW w:w="3260" w:type="dxa"/>
            <w:vAlign w:val="bottom"/>
            <w:tcBorders>
              <w:right w:val="single" w:sz="8" w:color="16479F"/>
            </w:tcBorders>
            <w:shd w:val="clear" w:color="auto" w:fill="F0F1F8"/>
          </w:tcPr>
          <w:p>
            <w:pPr>
              <w:ind w:left="40"/>
              <w:spacing w:after="0"/>
              <w:rPr>
                <w:sz w:val="20"/>
                <w:szCs w:val="20"/>
                <w:color w:val="auto"/>
              </w:rPr>
            </w:pPr>
            <w:r>
              <w:rPr>
                <w:rFonts w:ascii="Arial" w:cs="Arial" w:eastAsia="Arial" w:hAnsi="Arial"/>
                <w:sz w:val="14"/>
                <w:szCs w:val="14"/>
                <w:color w:val="auto"/>
              </w:rPr>
              <w:t>of ESG data integrity, as well as of opportunities</w:t>
            </w:r>
          </w:p>
        </w:tc>
        <w:tc>
          <w:tcPr>
            <w:tcW w:w="3740" w:type="dxa"/>
            <w:vAlign w:val="bottom"/>
            <w:tcBorders>
              <w:right w:val="single" w:sz="8" w:color="16479F"/>
            </w:tcBorders>
            <w:vMerge w:val="restart"/>
            <w:shd w:val="clear" w:color="auto" w:fill="F0F1F8"/>
          </w:tcPr>
          <w:p>
            <w:pPr>
              <w:ind w:left="220"/>
              <w:spacing w:after="0"/>
              <w:rPr>
                <w:sz w:val="20"/>
                <w:szCs w:val="20"/>
                <w:color w:val="auto"/>
              </w:rPr>
            </w:pPr>
            <w:r>
              <w:rPr>
                <w:rFonts w:ascii="Arial" w:cs="Arial" w:eastAsia="Arial" w:hAnsi="Arial"/>
                <w:sz w:val="14"/>
                <w:szCs w:val="14"/>
                <w:color w:val="16479F"/>
              </w:rPr>
              <w:t xml:space="preserve">● </w:t>
            </w:r>
            <w:r>
              <w:rPr>
                <w:rFonts w:ascii="Arial" w:cs="Arial" w:eastAsia="Arial" w:hAnsi="Arial"/>
                <w:sz w:val="14"/>
                <w:szCs w:val="14"/>
                <w:color w:val="000000"/>
              </w:rPr>
              <w:t>Oversees talent management, including talent</w:t>
            </w:r>
          </w:p>
        </w:tc>
        <w:tc>
          <w:tcPr>
            <w:tcW w:w="300" w:type="dxa"/>
            <w:vAlign w:val="bottom"/>
            <w:vMerge w:val="restart"/>
            <w:shd w:val="clear" w:color="auto" w:fill="F0F1F8"/>
          </w:tcPr>
          <w:p>
            <w:pPr>
              <w:ind w:left="180"/>
              <w:spacing w:after="0"/>
              <w:rPr>
                <w:sz w:val="20"/>
                <w:szCs w:val="20"/>
                <w:color w:val="auto"/>
              </w:rPr>
            </w:pPr>
            <w:r>
              <w:rPr>
                <w:rFonts w:ascii="Arial" w:cs="Arial" w:eastAsia="Arial" w:hAnsi="Arial"/>
                <w:sz w:val="14"/>
                <w:szCs w:val="14"/>
                <w:color w:val="16479F"/>
              </w:rPr>
              <w:t>●</w:t>
            </w:r>
          </w:p>
        </w:tc>
        <w:tc>
          <w:tcPr>
            <w:tcW w:w="3580" w:type="dxa"/>
            <w:vAlign w:val="bottom"/>
            <w:gridSpan w:val="2"/>
            <w:vMerge w:val="restart"/>
            <w:shd w:val="clear" w:color="auto" w:fill="F0F1F8"/>
          </w:tcPr>
          <w:p>
            <w:pPr>
              <w:ind w:left="60"/>
              <w:spacing w:after="0"/>
              <w:rPr>
                <w:sz w:val="20"/>
                <w:szCs w:val="20"/>
                <w:color w:val="auto"/>
              </w:rPr>
            </w:pPr>
            <w:r>
              <w:rPr>
                <w:rFonts w:ascii="Arial" w:cs="Arial" w:eastAsia="Arial" w:hAnsi="Arial"/>
                <w:sz w:val="14"/>
                <w:szCs w:val="14"/>
                <w:color w:val="auto"/>
              </w:rPr>
              <w:t>Monitors and provides guidance on strategic</w:t>
            </w:r>
          </w:p>
        </w:tc>
        <w:tc>
          <w:tcPr>
            <w:tcW w:w="0" w:type="dxa"/>
            <w:vAlign w:val="bottom"/>
          </w:tcPr>
          <w:p>
            <w:pPr>
              <w:spacing w:after="0"/>
              <w:rPr>
                <w:sz w:val="1"/>
                <w:szCs w:val="1"/>
                <w:color w:val="auto"/>
              </w:rPr>
            </w:pPr>
          </w:p>
        </w:tc>
      </w:tr>
      <w:tr>
        <w:trPr>
          <w:trHeight w:val="54"/>
        </w:trPr>
        <w:tc>
          <w:tcPr>
            <w:tcW w:w="120" w:type="dxa"/>
            <w:vAlign w:val="bottom"/>
            <w:shd w:val="clear" w:color="auto" w:fill="F0F1F8"/>
          </w:tcPr>
          <w:p>
            <w:pPr>
              <w:spacing w:after="0"/>
              <w:rPr>
                <w:sz w:val="4"/>
                <w:szCs w:val="4"/>
                <w:color w:val="auto"/>
              </w:rPr>
            </w:pPr>
          </w:p>
        </w:tc>
        <w:tc>
          <w:tcPr>
            <w:tcW w:w="3260" w:type="dxa"/>
            <w:vAlign w:val="bottom"/>
            <w:tcBorders>
              <w:right w:val="single" w:sz="8" w:color="16479F"/>
            </w:tcBorders>
            <w:vMerge w:val="restart"/>
            <w:shd w:val="clear" w:color="auto" w:fill="F0F1F8"/>
          </w:tcPr>
          <w:p>
            <w:pPr>
              <w:ind w:left="40"/>
              <w:spacing w:after="0"/>
              <w:rPr>
                <w:sz w:val="20"/>
                <w:szCs w:val="20"/>
                <w:color w:val="auto"/>
              </w:rPr>
            </w:pPr>
            <w:r>
              <w:rPr>
                <w:rFonts w:ascii="Arial" w:cs="Arial" w:eastAsia="Arial" w:hAnsi="Arial"/>
                <w:sz w:val="14"/>
                <w:szCs w:val="14"/>
                <w:color w:val="auto"/>
              </w:rPr>
              <w:t>related to reducing the Company's carbon</w:t>
            </w:r>
          </w:p>
        </w:tc>
        <w:tc>
          <w:tcPr>
            <w:tcW w:w="3740" w:type="dxa"/>
            <w:vAlign w:val="bottom"/>
            <w:tcBorders>
              <w:right w:val="single" w:sz="8" w:color="16479F"/>
            </w:tcBorders>
            <w:vMerge w:val="continue"/>
            <w:shd w:val="clear" w:color="auto" w:fill="F0F1F8"/>
          </w:tcPr>
          <w:p>
            <w:pPr>
              <w:spacing w:after="0"/>
              <w:rPr>
                <w:sz w:val="4"/>
                <w:szCs w:val="4"/>
                <w:color w:val="auto"/>
              </w:rPr>
            </w:pPr>
          </w:p>
        </w:tc>
        <w:tc>
          <w:tcPr>
            <w:tcW w:w="300" w:type="dxa"/>
            <w:vAlign w:val="bottom"/>
            <w:vMerge w:val="continue"/>
            <w:shd w:val="clear" w:color="auto" w:fill="F0F1F8"/>
          </w:tcPr>
          <w:p>
            <w:pPr>
              <w:spacing w:after="0"/>
              <w:rPr>
                <w:sz w:val="4"/>
                <w:szCs w:val="4"/>
                <w:color w:val="auto"/>
              </w:rPr>
            </w:pPr>
          </w:p>
        </w:tc>
        <w:tc>
          <w:tcPr>
            <w:tcW w:w="3580" w:type="dxa"/>
            <w:vAlign w:val="bottom"/>
            <w:gridSpan w:val="2"/>
            <w:vMerge w:val="continue"/>
            <w:shd w:val="clear" w:color="auto" w:fill="F0F1F8"/>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120" w:type="dxa"/>
            <w:vAlign w:val="bottom"/>
            <w:shd w:val="clear" w:color="auto" w:fill="F0F1F8"/>
          </w:tcPr>
          <w:p>
            <w:pPr>
              <w:spacing w:after="0"/>
              <w:rPr>
                <w:sz w:val="9"/>
                <w:szCs w:val="9"/>
                <w:color w:val="auto"/>
              </w:rPr>
            </w:pPr>
          </w:p>
        </w:tc>
        <w:tc>
          <w:tcPr>
            <w:tcW w:w="3260" w:type="dxa"/>
            <w:vAlign w:val="bottom"/>
            <w:tcBorders>
              <w:right w:val="single" w:sz="8" w:color="16479F"/>
            </w:tcBorders>
            <w:vMerge w:val="continue"/>
            <w:shd w:val="clear" w:color="auto" w:fill="F0F1F8"/>
          </w:tcPr>
          <w:p>
            <w:pPr>
              <w:spacing w:after="0"/>
              <w:rPr>
                <w:sz w:val="9"/>
                <w:szCs w:val="9"/>
                <w:color w:val="auto"/>
              </w:rPr>
            </w:pPr>
          </w:p>
        </w:tc>
        <w:tc>
          <w:tcPr>
            <w:tcW w:w="3740" w:type="dxa"/>
            <w:vAlign w:val="bottom"/>
            <w:tcBorders>
              <w:right w:val="single" w:sz="8" w:color="16479F"/>
            </w:tcBorders>
            <w:vMerge w:val="restart"/>
            <w:shd w:val="clear" w:color="auto" w:fill="F0F1F8"/>
          </w:tcPr>
          <w:p>
            <w:pPr>
              <w:ind w:left="380"/>
              <w:spacing w:after="0"/>
              <w:rPr>
                <w:sz w:val="20"/>
                <w:szCs w:val="20"/>
                <w:color w:val="auto"/>
              </w:rPr>
            </w:pPr>
            <w:r>
              <w:rPr>
                <w:rFonts w:ascii="Arial" w:cs="Arial" w:eastAsia="Arial" w:hAnsi="Arial"/>
                <w:sz w:val="14"/>
                <w:szCs w:val="14"/>
                <w:color w:val="auto"/>
              </w:rPr>
              <w:t>acquisition and succession planning relating to</w:t>
            </w:r>
          </w:p>
        </w:tc>
        <w:tc>
          <w:tcPr>
            <w:tcW w:w="300" w:type="dxa"/>
            <w:vAlign w:val="bottom"/>
            <w:shd w:val="clear" w:color="auto" w:fill="F0F1F8"/>
          </w:tcPr>
          <w:p>
            <w:pPr>
              <w:spacing w:after="0"/>
              <w:rPr>
                <w:sz w:val="9"/>
                <w:szCs w:val="9"/>
                <w:color w:val="auto"/>
              </w:rPr>
            </w:pPr>
          </w:p>
        </w:tc>
        <w:tc>
          <w:tcPr>
            <w:tcW w:w="3580" w:type="dxa"/>
            <w:vAlign w:val="bottom"/>
            <w:gridSpan w:val="2"/>
            <w:vMerge w:val="restart"/>
            <w:shd w:val="clear" w:color="auto" w:fill="F0F1F8"/>
          </w:tcPr>
          <w:p>
            <w:pPr>
              <w:ind w:left="40"/>
              <w:spacing w:after="0"/>
              <w:rPr>
                <w:sz w:val="20"/>
                <w:szCs w:val="20"/>
                <w:color w:val="auto"/>
              </w:rPr>
            </w:pPr>
            <w:r>
              <w:rPr>
                <w:rFonts w:ascii="Arial" w:cs="Arial" w:eastAsia="Arial" w:hAnsi="Arial"/>
                <w:sz w:val="14"/>
                <w:szCs w:val="14"/>
                <w:color w:val="auto"/>
              </w:rPr>
              <w:t>objectives, including on sustainability-related</w:t>
            </w:r>
          </w:p>
        </w:tc>
        <w:tc>
          <w:tcPr>
            <w:tcW w:w="0" w:type="dxa"/>
            <w:vAlign w:val="bottom"/>
          </w:tcPr>
          <w:p>
            <w:pPr>
              <w:spacing w:after="0"/>
              <w:rPr>
                <w:sz w:val="1"/>
                <w:szCs w:val="1"/>
                <w:color w:val="auto"/>
              </w:rPr>
            </w:pPr>
          </w:p>
        </w:tc>
      </w:tr>
      <w:tr>
        <w:trPr>
          <w:trHeight w:val="54"/>
        </w:trPr>
        <w:tc>
          <w:tcPr>
            <w:tcW w:w="120" w:type="dxa"/>
            <w:vAlign w:val="bottom"/>
            <w:shd w:val="clear" w:color="auto" w:fill="F0F1F8"/>
          </w:tcPr>
          <w:p>
            <w:pPr>
              <w:spacing w:after="0"/>
              <w:rPr>
                <w:sz w:val="4"/>
                <w:szCs w:val="4"/>
                <w:color w:val="auto"/>
              </w:rPr>
            </w:pPr>
          </w:p>
        </w:tc>
        <w:tc>
          <w:tcPr>
            <w:tcW w:w="3260" w:type="dxa"/>
            <w:vAlign w:val="bottom"/>
            <w:tcBorders>
              <w:right w:val="single" w:sz="8" w:color="16479F"/>
            </w:tcBorders>
            <w:vMerge w:val="restart"/>
            <w:shd w:val="clear" w:color="auto" w:fill="F0F1F8"/>
          </w:tcPr>
          <w:p>
            <w:pPr>
              <w:ind w:left="40"/>
              <w:spacing w:after="0"/>
              <w:rPr>
                <w:sz w:val="20"/>
                <w:szCs w:val="20"/>
                <w:color w:val="auto"/>
              </w:rPr>
            </w:pPr>
            <w:r>
              <w:rPr>
                <w:rFonts w:ascii="Arial" w:cs="Arial" w:eastAsia="Arial" w:hAnsi="Arial"/>
                <w:sz w:val="14"/>
                <w:szCs w:val="14"/>
                <w:color w:val="auto"/>
              </w:rPr>
              <w:t>footprint.</w:t>
            </w:r>
          </w:p>
        </w:tc>
        <w:tc>
          <w:tcPr>
            <w:tcW w:w="3740" w:type="dxa"/>
            <w:vAlign w:val="bottom"/>
            <w:tcBorders>
              <w:right w:val="single" w:sz="8" w:color="16479F"/>
            </w:tcBorders>
            <w:vMerge w:val="continue"/>
            <w:shd w:val="clear" w:color="auto" w:fill="F0F1F8"/>
          </w:tcPr>
          <w:p>
            <w:pPr>
              <w:spacing w:after="0"/>
              <w:rPr>
                <w:sz w:val="4"/>
                <w:szCs w:val="4"/>
                <w:color w:val="auto"/>
              </w:rPr>
            </w:pPr>
          </w:p>
        </w:tc>
        <w:tc>
          <w:tcPr>
            <w:tcW w:w="300" w:type="dxa"/>
            <w:vAlign w:val="bottom"/>
            <w:shd w:val="clear" w:color="auto" w:fill="F0F1F8"/>
          </w:tcPr>
          <w:p>
            <w:pPr>
              <w:spacing w:after="0"/>
              <w:rPr>
                <w:sz w:val="4"/>
                <w:szCs w:val="4"/>
                <w:color w:val="auto"/>
              </w:rPr>
            </w:pPr>
          </w:p>
        </w:tc>
        <w:tc>
          <w:tcPr>
            <w:tcW w:w="3580" w:type="dxa"/>
            <w:vAlign w:val="bottom"/>
            <w:gridSpan w:val="2"/>
            <w:vMerge w:val="continue"/>
            <w:shd w:val="clear" w:color="auto" w:fill="F0F1F8"/>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120" w:type="dxa"/>
            <w:vAlign w:val="bottom"/>
            <w:shd w:val="clear" w:color="auto" w:fill="F0F1F8"/>
          </w:tcPr>
          <w:p>
            <w:pPr>
              <w:spacing w:after="0"/>
              <w:rPr>
                <w:sz w:val="10"/>
                <w:szCs w:val="10"/>
                <w:color w:val="auto"/>
              </w:rPr>
            </w:pPr>
          </w:p>
        </w:tc>
        <w:tc>
          <w:tcPr>
            <w:tcW w:w="3260" w:type="dxa"/>
            <w:vAlign w:val="bottom"/>
            <w:tcBorders>
              <w:right w:val="single" w:sz="8" w:color="16479F"/>
            </w:tcBorders>
            <w:vMerge w:val="continue"/>
            <w:shd w:val="clear" w:color="auto" w:fill="F0F1F8"/>
          </w:tcPr>
          <w:p>
            <w:pPr>
              <w:spacing w:after="0"/>
              <w:rPr>
                <w:sz w:val="10"/>
                <w:szCs w:val="10"/>
                <w:color w:val="auto"/>
              </w:rPr>
            </w:pPr>
          </w:p>
        </w:tc>
        <w:tc>
          <w:tcPr>
            <w:tcW w:w="3740" w:type="dxa"/>
            <w:vAlign w:val="bottom"/>
            <w:tcBorders>
              <w:right w:val="single" w:sz="8" w:color="16479F"/>
            </w:tcBorders>
            <w:vMerge w:val="restart"/>
            <w:shd w:val="clear" w:color="auto" w:fill="F0F1F8"/>
          </w:tcPr>
          <w:p>
            <w:pPr>
              <w:ind w:left="380"/>
              <w:spacing w:after="0"/>
              <w:rPr>
                <w:sz w:val="20"/>
                <w:szCs w:val="20"/>
                <w:color w:val="auto"/>
              </w:rPr>
            </w:pPr>
            <w:r>
              <w:rPr>
                <w:rFonts w:ascii="Arial" w:cs="Arial" w:eastAsia="Arial" w:hAnsi="Arial"/>
                <w:sz w:val="14"/>
                <w:szCs w:val="14"/>
                <w:color w:val="auto"/>
              </w:rPr>
              <w:t>leaders in our ESG and climate business.</w:t>
            </w:r>
          </w:p>
        </w:tc>
        <w:tc>
          <w:tcPr>
            <w:tcW w:w="300" w:type="dxa"/>
            <w:vAlign w:val="bottom"/>
            <w:shd w:val="clear" w:color="auto" w:fill="F0F1F8"/>
          </w:tcPr>
          <w:p>
            <w:pPr>
              <w:spacing w:after="0"/>
              <w:rPr>
                <w:sz w:val="10"/>
                <w:szCs w:val="10"/>
                <w:color w:val="auto"/>
              </w:rPr>
            </w:pPr>
          </w:p>
        </w:tc>
        <w:tc>
          <w:tcPr>
            <w:tcW w:w="3580" w:type="dxa"/>
            <w:vAlign w:val="bottom"/>
            <w:gridSpan w:val="2"/>
            <w:vMerge w:val="restart"/>
            <w:shd w:val="clear" w:color="auto" w:fill="F0F1F8"/>
          </w:tcPr>
          <w:p>
            <w:pPr>
              <w:ind w:left="40"/>
              <w:spacing w:after="0"/>
              <w:rPr>
                <w:sz w:val="20"/>
                <w:szCs w:val="20"/>
                <w:color w:val="auto"/>
              </w:rPr>
            </w:pPr>
            <w:r>
              <w:rPr>
                <w:rFonts w:ascii="Arial" w:cs="Arial" w:eastAsia="Arial" w:hAnsi="Arial"/>
                <w:sz w:val="14"/>
                <w:szCs w:val="14"/>
                <w:color w:val="auto"/>
              </w:rPr>
              <w:t>mergers, partnerships and acquisition</w:t>
            </w:r>
          </w:p>
        </w:tc>
        <w:tc>
          <w:tcPr>
            <w:tcW w:w="0" w:type="dxa"/>
            <w:vAlign w:val="bottom"/>
          </w:tcPr>
          <w:p>
            <w:pPr>
              <w:spacing w:after="0"/>
              <w:rPr>
                <w:sz w:val="1"/>
                <w:szCs w:val="1"/>
                <w:color w:val="auto"/>
              </w:rPr>
            </w:pPr>
          </w:p>
        </w:tc>
      </w:tr>
      <w:tr>
        <w:trPr>
          <w:trHeight w:val="43"/>
        </w:trPr>
        <w:tc>
          <w:tcPr>
            <w:tcW w:w="120" w:type="dxa"/>
            <w:vAlign w:val="bottom"/>
            <w:shd w:val="clear" w:color="auto" w:fill="F0F1F8"/>
          </w:tcPr>
          <w:p>
            <w:pPr>
              <w:spacing w:after="0"/>
              <w:rPr>
                <w:sz w:val="3"/>
                <w:szCs w:val="3"/>
                <w:color w:val="auto"/>
              </w:rPr>
            </w:pPr>
          </w:p>
        </w:tc>
        <w:tc>
          <w:tcPr>
            <w:tcW w:w="3260" w:type="dxa"/>
            <w:vAlign w:val="bottom"/>
            <w:tcBorders>
              <w:right w:val="single" w:sz="8" w:color="16479F"/>
            </w:tcBorders>
            <w:shd w:val="clear" w:color="auto" w:fill="F0F1F8"/>
          </w:tcPr>
          <w:p>
            <w:pPr>
              <w:spacing w:after="0"/>
              <w:rPr>
                <w:sz w:val="3"/>
                <w:szCs w:val="3"/>
                <w:color w:val="auto"/>
              </w:rPr>
            </w:pPr>
          </w:p>
        </w:tc>
        <w:tc>
          <w:tcPr>
            <w:tcW w:w="3740" w:type="dxa"/>
            <w:vAlign w:val="bottom"/>
            <w:tcBorders>
              <w:right w:val="single" w:sz="8" w:color="16479F"/>
            </w:tcBorders>
            <w:vMerge w:val="continue"/>
            <w:shd w:val="clear" w:color="auto" w:fill="F0F1F8"/>
          </w:tcPr>
          <w:p>
            <w:pPr>
              <w:spacing w:after="0"/>
              <w:rPr>
                <w:sz w:val="3"/>
                <w:szCs w:val="3"/>
                <w:color w:val="auto"/>
              </w:rPr>
            </w:pPr>
          </w:p>
        </w:tc>
        <w:tc>
          <w:tcPr>
            <w:tcW w:w="300" w:type="dxa"/>
            <w:vAlign w:val="bottom"/>
            <w:shd w:val="clear" w:color="auto" w:fill="F0F1F8"/>
          </w:tcPr>
          <w:p>
            <w:pPr>
              <w:spacing w:after="0"/>
              <w:rPr>
                <w:sz w:val="3"/>
                <w:szCs w:val="3"/>
                <w:color w:val="auto"/>
              </w:rPr>
            </w:pPr>
          </w:p>
        </w:tc>
        <w:tc>
          <w:tcPr>
            <w:tcW w:w="3580" w:type="dxa"/>
            <w:vAlign w:val="bottom"/>
            <w:gridSpan w:val="2"/>
            <w:vMerge w:val="continue"/>
            <w:shd w:val="clear" w:color="auto" w:fill="F0F1F8"/>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120" w:type="dxa"/>
            <w:vAlign w:val="bottom"/>
            <w:shd w:val="clear" w:color="auto" w:fill="F0F1F8"/>
          </w:tcPr>
          <w:p>
            <w:pPr>
              <w:spacing w:after="0"/>
              <w:rPr>
                <w:sz w:val="20"/>
                <w:szCs w:val="20"/>
                <w:color w:val="auto"/>
              </w:rPr>
            </w:pPr>
            <w:r>
              <w:rPr>
                <w:rFonts w:ascii="Arial" w:cs="Arial" w:eastAsia="Arial" w:hAnsi="Arial"/>
                <w:sz w:val="14"/>
                <w:szCs w:val="14"/>
                <w:color w:val="16479F"/>
              </w:rPr>
              <w:t>●</w:t>
            </w:r>
          </w:p>
        </w:tc>
        <w:tc>
          <w:tcPr>
            <w:tcW w:w="3260" w:type="dxa"/>
            <w:vAlign w:val="bottom"/>
            <w:tcBorders>
              <w:right w:val="single" w:sz="8" w:color="16479F"/>
            </w:tcBorders>
            <w:shd w:val="clear" w:color="auto" w:fill="F0F1F8"/>
          </w:tcPr>
          <w:p>
            <w:pPr>
              <w:ind w:left="40"/>
              <w:spacing w:after="0"/>
              <w:rPr>
                <w:sz w:val="20"/>
                <w:szCs w:val="20"/>
                <w:color w:val="auto"/>
              </w:rPr>
            </w:pPr>
            <w:r>
              <w:rPr>
                <w:rFonts w:ascii="Arial" w:cs="Arial" w:eastAsia="Arial" w:hAnsi="Arial"/>
                <w:sz w:val="14"/>
                <w:szCs w:val="14"/>
                <w:color w:val="auto"/>
              </w:rPr>
              <w:t>Receives quarterly updates from our Chief</w:t>
            </w:r>
          </w:p>
        </w:tc>
        <w:tc>
          <w:tcPr>
            <w:tcW w:w="3740" w:type="dxa"/>
            <w:vAlign w:val="bottom"/>
            <w:tcBorders>
              <w:right w:val="single" w:sz="8" w:color="16479F"/>
            </w:tcBorders>
            <w:shd w:val="clear" w:color="auto" w:fill="F0F1F8"/>
          </w:tcPr>
          <w:p>
            <w:pPr>
              <w:spacing w:after="0"/>
              <w:rPr>
                <w:sz w:val="13"/>
                <w:szCs w:val="13"/>
                <w:color w:val="auto"/>
              </w:rPr>
            </w:pPr>
          </w:p>
        </w:tc>
        <w:tc>
          <w:tcPr>
            <w:tcW w:w="300" w:type="dxa"/>
            <w:vAlign w:val="bottom"/>
            <w:shd w:val="clear" w:color="auto" w:fill="F0F1F8"/>
          </w:tcPr>
          <w:p>
            <w:pPr>
              <w:spacing w:after="0"/>
              <w:rPr>
                <w:sz w:val="13"/>
                <w:szCs w:val="13"/>
                <w:color w:val="auto"/>
              </w:rPr>
            </w:pPr>
          </w:p>
        </w:tc>
        <w:tc>
          <w:tcPr>
            <w:tcW w:w="3580" w:type="dxa"/>
            <w:vAlign w:val="bottom"/>
            <w:gridSpan w:val="2"/>
            <w:shd w:val="clear" w:color="auto" w:fill="F0F1F8"/>
          </w:tcPr>
          <w:p>
            <w:pPr>
              <w:ind w:left="40"/>
              <w:spacing w:after="0"/>
              <w:rPr>
                <w:sz w:val="20"/>
                <w:szCs w:val="20"/>
                <w:color w:val="auto"/>
              </w:rPr>
            </w:pPr>
            <w:r>
              <w:rPr>
                <w:rFonts w:ascii="Arial" w:cs="Arial" w:eastAsia="Arial" w:hAnsi="Arial"/>
                <w:sz w:val="14"/>
                <w:szCs w:val="14"/>
                <w:color w:val="auto"/>
              </w:rPr>
              <w:t>opportunities such as for those related to climate-</w:t>
            </w:r>
          </w:p>
        </w:tc>
        <w:tc>
          <w:tcPr>
            <w:tcW w:w="0" w:type="dxa"/>
            <w:vAlign w:val="bottom"/>
          </w:tcPr>
          <w:p>
            <w:pPr>
              <w:spacing w:after="0"/>
              <w:rPr>
                <w:sz w:val="1"/>
                <w:szCs w:val="1"/>
                <w:color w:val="auto"/>
              </w:rPr>
            </w:pPr>
          </w:p>
        </w:tc>
      </w:tr>
      <w:tr>
        <w:trPr>
          <w:trHeight w:val="161"/>
        </w:trPr>
        <w:tc>
          <w:tcPr>
            <w:tcW w:w="120" w:type="dxa"/>
            <w:vAlign w:val="bottom"/>
            <w:shd w:val="clear" w:color="auto" w:fill="F0F1F8"/>
          </w:tcPr>
          <w:p>
            <w:pPr>
              <w:spacing w:after="0"/>
              <w:rPr>
                <w:sz w:val="13"/>
                <w:szCs w:val="13"/>
                <w:color w:val="auto"/>
              </w:rPr>
            </w:pPr>
          </w:p>
        </w:tc>
        <w:tc>
          <w:tcPr>
            <w:tcW w:w="3260" w:type="dxa"/>
            <w:vAlign w:val="bottom"/>
            <w:tcBorders>
              <w:right w:val="single" w:sz="8" w:color="16479F"/>
            </w:tcBorders>
            <w:shd w:val="clear" w:color="auto" w:fill="F0F1F8"/>
          </w:tcPr>
          <w:p>
            <w:pPr>
              <w:ind w:left="40"/>
              <w:spacing w:after="0"/>
              <w:rPr>
                <w:sz w:val="20"/>
                <w:szCs w:val="20"/>
                <w:color w:val="auto"/>
              </w:rPr>
            </w:pPr>
            <w:r>
              <w:rPr>
                <w:rFonts w:ascii="Arial" w:cs="Arial" w:eastAsia="Arial" w:hAnsi="Arial"/>
                <w:sz w:val="14"/>
                <w:szCs w:val="14"/>
                <w:color w:val="auto"/>
              </w:rPr>
              <w:t>Information Security Officer on our business</w:t>
            </w:r>
          </w:p>
        </w:tc>
        <w:tc>
          <w:tcPr>
            <w:tcW w:w="3740" w:type="dxa"/>
            <w:vAlign w:val="bottom"/>
            <w:tcBorders>
              <w:right w:val="single" w:sz="8" w:color="16479F"/>
            </w:tcBorders>
            <w:shd w:val="clear" w:color="auto" w:fill="F0F1F8"/>
          </w:tcPr>
          <w:p>
            <w:pPr>
              <w:spacing w:after="0"/>
              <w:rPr>
                <w:sz w:val="13"/>
                <w:szCs w:val="13"/>
                <w:color w:val="auto"/>
              </w:rPr>
            </w:pPr>
          </w:p>
        </w:tc>
        <w:tc>
          <w:tcPr>
            <w:tcW w:w="300" w:type="dxa"/>
            <w:vAlign w:val="bottom"/>
            <w:shd w:val="clear" w:color="auto" w:fill="F0F1F8"/>
          </w:tcPr>
          <w:p>
            <w:pPr>
              <w:spacing w:after="0"/>
              <w:rPr>
                <w:sz w:val="13"/>
                <w:szCs w:val="13"/>
                <w:color w:val="auto"/>
              </w:rPr>
            </w:pPr>
          </w:p>
        </w:tc>
        <w:tc>
          <w:tcPr>
            <w:tcW w:w="3580" w:type="dxa"/>
            <w:vAlign w:val="bottom"/>
            <w:gridSpan w:val="2"/>
            <w:shd w:val="clear" w:color="auto" w:fill="F0F1F8"/>
          </w:tcPr>
          <w:p>
            <w:pPr>
              <w:ind w:left="40"/>
              <w:spacing w:after="0"/>
              <w:rPr>
                <w:sz w:val="20"/>
                <w:szCs w:val="20"/>
                <w:color w:val="auto"/>
              </w:rPr>
            </w:pPr>
            <w:r>
              <w:rPr>
                <w:rFonts w:ascii="Arial" w:cs="Arial" w:eastAsia="Arial" w:hAnsi="Arial"/>
                <w:sz w:val="14"/>
                <w:szCs w:val="14"/>
                <w:color w:val="auto"/>
              </w:rPr>
              <w:t>related products and services.</w:t>
            </w:r>
          </w:p>
        </w:tc>
        <w:tc>
          <w:tcPr>
            <w:tcW w:w="0" w:type="dxa"/>
            <w:vAlign w:val="bottom"/>
          </w:tcPr>
          <w:p>
            <w:pPr>
              <w:spacing w:after="0"/>
              <w:rPr>
                <w:sz w:val="1"/>
                <w:szCs w:val="1"/>
                <w:color w:val="auto"/>
              </w:rPr>
            </w:pPr>
          </w:p>
        </w:tc>
      </w:tr>
      <w:tr>
        <w:trPr>
          <w:trHeight w:val="161"/>
        </w:trPr>
        <w:tc>
          <w:tcPr>
            <w:tcW w:w="120" w:type="dxa"/>
            <w:vAlign w:val="bottom"/>
            <w:shd w:val="clear" w:color="auto" w:fill="F0F1F8"/>
          </w:tcPr>
          <w:p>
            <w:pPr>
              <w:spacing w:after="0"/>
              <w:rPr>
                <w:sz w:val="13"/>
                <w:szCs w:val="13"/>
                <w:color w:val="auto"/>
              </w:rPr>
            </w:pPr>
          </w:p>
        </w:tc>
        <w:tc>
          <w:tcPr>
            <w:tcW w:w="3260" w:type="dxa"/>
            <w:vAlign w:val="bottom"/>
            <w:tcBorders>
              <w:right w:val="single" w:sz="8" w:color="16479F"/>
            </w:tcBorders>
            <w:shd w:val="clear" w:color="auto" w:fill="F0F1F8"/>
          </w:tcPr>
          <w:p>
            <w:pPr>
              <w:ind w:left="40"/>
              <w:spacing w:after="0"/>
              <w:rPr>
                <w:sz w:val="20"/>
                <w:szCs w:val="20"/>
                <w:color w:val="auto"/>
              </w:rPr>
            </w:pPr>
            <w:r>
              <w:rPr>
                <w:rFonts w:ascii="Arial" w:cs="Arial" w:eastAsia="Arial" w:hAnsi="Arial"/>
                <w:sz w:val="14"/>
                <w:szCs w:val="14"/>
                <w:color w:val="auto"/>
              </w:rPr>
              <w:t>continuity plans and IT disaster recovery efforts</w:t>
            </w:r>
          </w:p>
        </w:tc>
        <w:tc>
          <w:tcPr>
            <w:tcW w:w="3740" w:type="dxa"/>
            <w:vAlign w:val="bottom"/>
            <w:tcBorders>
              <w:right w:val="single" w:sz="8" w:color="16479F"/>
            </w:tcBorders>
            <w:shd w:val="clear" w:color="auto" w:fill="F0F1F8"/>
          </w:tcPr>
          <w:p>
            <w:pPr>
              <w:spacing w:after="0"/>
              <w:rPr>
                <w:sz w:val="13"/>
                <w:szCs w:val="13"/>
                <w:color w:val="auto"/>
              </w:rPr>
            </w:pPr>
          </w:p>
        </w:tc>
        <w:tc>
          <w:tcPr>
            <w:tcW w:w="300" w:type="dxa"/>
            <w:vAlign w:val="bottom"/>
            <w:shd w:val="clear" w:color="auto" w:fill="F0F1F8"/>
          </w:tcPr>
          <w:p>
            <w:pPr>
              <w:spacing w:after="0"/>
              <w:rPr>
                <w:sz w:val="13"/>
                <w:szCs w:val="13"/>
                <w:color w:val="auto"/>
              </w:rPr>
            </w:pPr>
          </w:p>
        </w:tc>
        <w:tc>
          <w:tcPr>
            <w:tcW w:w="3360" w:type="dxa"/>
            <w:vAlign w:val="bottom"/>
            <w:shd w:val="clear" w:color="auto" w:fill="F0F1F8"/>
          </w:tcPr>
          <w:p>
            <w:pPr>
              <w:spacing w:after="0"/>
              <w:rPr>
                <w:sz w:val="13"/>
                <w:szCs w:val="13"/>
                <w:color w:val="auto"/>
              </w:rPr>
            </w:pPr>
          </w:p>
        </w:tc>
        <w:tc>
          <w:tcPr>
            <w:tcW w:w="220" w:type="dxa"/>
            <w:vAlign w:val="bottom"/>
            <w:shd w:val="clear" w:color="auto" w:fill="F0F1F8"/>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20" w:type="dxa"/>
            <w:vAlign w:val="bottom"/>
            <w:shd w:val="clear" w:color="auto" w:fill="F0F1F8"/>
          </w:tcPr>
          <w:p>
            <w:pPr>
              <w:spacing w:after="0"/>
              <w:rPr>
                <w:sz w:val="13"/>
                <w:szCs w:val="13"/>
                <w:color w:val="auto"/>
              </w:rPr>
            </w:pPr>
          </w:p>
        </w:tc>
        <w:tc>
          <w:tcPr>
            <w:tcW w:w="3260" w:type="dxa"/>
            <w:vAlign w:val="bottom"/>
            <w:tcBorders>
              <w:right w:val="single" w:sz="8" w:color="16479F"/>
            </w:tcBorders>
            <w:shd w:val="clear" w:color="auto" w:fill="F0F1F8"/>
          </w:tcPr>
          <w:p>
            <w:pPr>
              <w:ind w:left="40"/>
              <w:spacing w:after="0"/>
              <w:rPr>
                <w:sz w:val="20"/>
                <w:szCs w:val="20"/>
                <w:color w:val="auto"/>
              </w:rPr>
            </w:pPr>
            <w:r>
              <w:rPr>
                <w:rFonts w:ascii="Arial" w:cs="Arial" w:eastAsia="Arial" w:hAnsi="Arial"/>
                <w:sz w:val="14"/>
                <w:szCs w:val="14"/>
                <w:color w:val="auto"/>
              </w:rPr>
              <w:t>to mitigate the impact of potential disruptions,</w:t>
            </w:r>
          </w:p>
        </w:tc>
        <w:tc>
          <w:tcPr>
            <w:tcW w:w="3740" w:type="dxa"/>
            <w:vAlign w:val="bottom"/>
            <w:tcBorders>
              <w:right w:val="single" w:sz="8" w:color="16479F"/>
            </w:tcBorders>
            <w:shd w:val="clear" w:color="auto" w:fill="F0F1F8"/>
          </w:tcPr>
          <w:p>
            <w:pPr>
              <w:spacing w:after="0"/>
              <w:rPr>
                <w:sz w:val="13"/>
                <w:szCs w:val="13"/>
                <w:color w:val="auto"/>
              </w:rPr>
            </w:pPr>
          </w:p>
        </w:tc>
        <w:tc>
          <w:tcPr>
            <w:tcW w:w="300" w:type="dxa"/>
            <w:vAlign w:val="bottom"/>
            <w:shd w:val="clear" w:color="auto" w:fill="F0F1F8"/>
          </w:tcPr>
          <w:p>
            <w:pPr>
              <w:spacing w:after="0"/>
              <w:rPr>
                <w:sz w:val="13"/>
                <w:szCs w:val="13"/>
                <w:color w:val="auto"/>
              </w:rPr>
            </w:pPr>
          </w:p>
        </w:tc>
        <w:tc>
          <w:tcPr>
            <w:tcW w:w="3360" w:type="dxa"/>
            <w:vAlign w:val="bottom"/>
            <w:shd w:val="clear" w:color="auto" w:fill="F0F1F8"/>
          </w:tcPr>
          <w:p>
            <w:pPr>
              <w:spacing w:after="0"/>
              <w:rPr>
                <w:sz w:val="13"/>
                <w:szCs w:val="13"/>
                <w:color w:val="auto"/>
              </w:rPr>
            </w:pPr>
          </w:p>
        </w:tc>
        <w:tc>
          <w:tcPr>
            <w:tcW w:w="220" w:type="dxa"/>
            <w:vAlign w:val="bottom"/>
            <w:shd w:val="clear" w:color="auto" w:fill="F0F1F8"/>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20" w:type="dxa"/>
            <w:vAlign w:val="bottom"/>
            <w:shd w:val="clear" w:color="auto" w:fill="F0F1F8"/>
          </w:tcPr>
          <w:p>
            <w:pPr>
              <w:spacing w:after="0"/>
              <w:rPr>
                <w:sz w:val="13"/>
                <w:szCs w:val="13"/>
                <w:color w:val="auto"/>
              </w:rPr>
            </w:pPr>
          </w:p>
        </w:tc>
        <w:tc>
          <w:tcPr>
            <w:tcW w:w="3260" w:type="dxa"/>
            <w:vAlign w:val="bottom"/>
            <w:tcBorders>
              <w:right w:val="single" w:sz="8" w:color="16479F"/>
            </w:tcBorders>
            <w:shd w:val="clear" w:color="auto" w:fill="F0F1F8"/>
          </w:tcPr>
          <w:p>
            <w:pPr>
              <w:ind w:left="40"/>
              <w:spacing w:after="0"/>
              <w:rPr>
                <w:sz w:val="20"/>
                <w:szCs w:val="20"/>
                <w:color w:val="auto"/>
              </w:rPr>
            </w:pPr>
            <w:r>
              <w:rPr>
                <w:rFonts w:ascii="Arial" w:cs="Arial" w:eastAsia="Arial" w:hAnsi="Arial"/>
                <w:sz w:val="14"/>
                <w:szCs w:val="14"/>
                <w:color w:val="auto"/>
              </w:rPr>
              <w:t>including those that could be caused by climate</w:t>
            </w:r>
          </w:p>
        </w:tc>
        <w:tc>
          <w:tcPr>
            <w:tcW w:w="3740" w:type="dxa"/>
            <w:vAlign w:val="bottom"/>
            <w:tcBorders>
              <w:right w:val="single" w:sz="8" w:color="16479F"/>
            </w:tcBorders>
            <w:shd w:val="clear" w:color="auto" w:fill="F0F1F8"/>
          </w:tcPr>
          <w:p>
            <w:pPr>
              <w:spacing w:after="0"/>
              <w:rPr>
                <w:sz w:val="13"/>
                <w:szCs w:val="13"/>
                <w:color w:val="auto"/>
              </w:rPr>
            </w:pPr>
          </w:p>
        </w:tc>
        <w:tc>
          <w:tcPr>
            <w:tcW w:w="300" w:type="dxa"/>
            <w:vAlign w:val="bottom"/>
            <w:shd w:val="clear" w:color="auto" w:fill="F0F1F8"/>
          </w:tcPr>
          <w:p>
            <w:pPr>
              <w:spacing w:after="0"/>
              <w:rPr>
                <w:sz w:val="13"/>
                <w:szCs w:val="13"/>
                <w:color w:val="auto"/>
              </w:rPr>
            </w:pPr>
          </w:p>
        </w:tc>
        <w:tc>
          <w:tcPr>
            <w:tcW w:w="3360" w:type="dxa"/>
            <w:vAlign w:val="bottom"/>
            <w:shd w:val="clear" w:color="auto" w:fill="F0F1F8"/>
          </w:tcPr>
          <w:p>
            <w:pPr>
              <w:spacing w:after="0"/>
              <w:rPr>
                <w:sz w:val="13"/>
                <w:szCs w:val="13"/>
                <w:color w:val="auto"/>
              </w:rPr>
            </w:pPr>
          </w:p>
        </w:tc>
        <w:tc>
          <w:tcPr>
            <w:tcW w:w="220" w:type="dxa"/>
            <w:vAlign w:val="bottom"/>
            <w:shd w:val="clear" w:color="auto" w:fill="F0F1F8"/>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0" w:type="dxa"/>
            <w:vAlign w:val="bottom"/>
            <w:shd w:val="clear" w:color="auto" w:fill="F0F1F8"/>
          </w:tcPr>
          <w:p>
            <w:pPr>
              <w:spacing w:after="0"/>
              <w:rPr>
                <w:sz w:val="14"/>
                <w:szCs w:val="14"/>
                <w:color w:val="auto"/>
              </w:rPr>
            </w:pPr>
          </w:p>
        </w:tc>
        <w:tc>
          <w:tcPr>
            <w:tcW w:w="3260" w:type="dxa"/>
            <w:vAlign w:val="bottom"/>
            <w:tcBorders>
              <w:right w:val="single" w:sz="8" w:color="16479F"/>
            </w:tcBorders>
            <w:shd w:val="clear" w:color="auto" w:fill="F0F1F8"/>
          </w:tcPr>
          <w:p>
            <w:pPr>
              <w:ind w:left="40"/>
              <w:spacing w:after="0"/>
              <w:rPr>
                <w:sz w:val="20"/>
                <w:szCs w:val="20"/>
                <w:color w:val="auto"/>
              </w:rPr>
            </w:pPr>
            <w:r>
              <w:rPr>
                <w:rFonts w:ascii="Arial" w:cs="Arial" w:eastAsia="Arial" w:hAnsi="Arial"/>
                <w:sz w:val="14"/>
                <w:szCs w:val="14"/>
                <w:color w:val="auto"/>
              </w:rPr>
              <w:t>and extreme weather events.</w:t>
            </w:r>
          </w:p>
        </w:tc>
        <w:tc>
          <w:tcPr>
            <w:tcW w:w="3740" w:type="dxa"/>
            <w:vAlign w:val="bottom"/>
            <w:tcBorders>
              <w:right w:val="single" w:sz="8" w:color="16479F"/>
            </w:tcBorders>
            <w:shd w:val="clear" w:color="auto" w:fill="F0F1F8"/>
          </w:tcPr>
          <w:p>
            <w:pPr>
              <w:spacing w:after="0"/>
              <w:rPr>
                <w:sz w:val="14"/>
                <w:szCs w:val="14"/>
                <w:color w:val="auto"/>
              </w:rPr>
            </w:pPr>
          </w:p>
        </w:tc>
        <w:tc>
          <w:tcPr>
            <w:tcW w:w="300" w:type="dxa"/>
            <w:vAlign w:val="bottom"/>
            <w:shd w:val="clear" w:color="auto" w:fill="F0F1F8"/>
          </w:tcPr>
          <w:p>
            <w:pPr>
              <w:spacing w:after="0"/>
              <w:rPr>
                <w:sz w:val="14"/>
                <w:szCs w:val="14"/>
                <w:color w:val="auto"/>
              </w:rPr>
            </w:pPr>
          </w:p>
        </w:tc>
        <w:tc>
          <w:tcPr>
            <w:tcW w:w="3360" w:type="dxa"/>
            <w:vAlign w:val="bottom"/>
            <w:shd w:val="clear" w:color="auto" w:fill="F0F1F8"/>
          </w:tcPr>
          <w:p>
            <w:pPr>
              <w:spacing w:after="0"/>
              <w:rPr>
                <w:sz w:val="14"/>
                <w:szCs w:val="14"/>
                <w:color w:val="auto"/>
              </w:rPr>
            </w:pPr>
          </w:p>
        </w:tc>
        <w:tc>
          <w:tcPr>
            <w:tcW w:w="220" w:type="dxa"/>
            <w:vAlign w:val="bottom"/>
            <w:shd w:val="clear" w:color="auto" w:fill="F0F1F8"/>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Borders>
              <w:bottom w:val="single" w:sz="8" w:color="16479F"/>
              <w:right w:val="single" w:sz="8" w:color="F0F1F8"/>
            </w:tcBorders>
            <w:gridSpan w:val="2"/>
            <w:shd w:val="clear" w:color="auto" w:fill="F0F1F8"/>
          </w:tcPr>
          <w:p>
            <w:pPr>
              <w:spacing w:after="0"/>
              <w:rPr>
                <w:sz w:val="10"/>
                <w:szCs w:val="10"/>
                <w:color w:val="auto"/>
              </w:rPr>
            </w:pPr>
          </w:p>
        </w:tc>
        <w:tc>
          <w:tcPr>
            <w:tcW w:w="3740" w:type="dxa"/>
            <w:vAlign w:val="bottom"/>
            <w:tcBorders>
              <w:bottom w:val="single" w:sz="8" w:color="16479F"/>
              <w:right w:val="single" w:sz="8" w:color="F0F1F8"/>
            </w:tcBorders>
            <w:shd w:val="clear" w:color="auto" w:fill="F0F1F8"/>
          </w:tcPr>
          <w:p>
            <w:pPr>
              <w:spacing w:after="0"/>
              <w:rPr>
                <w:sz w:val="10"/>
                <w:szCs w:val="10"/>
                <w:color w:val="auto"/>
              </w:rPr>
            </w:pPr>
          </w:p>
        </w:tc>
        <w:tc>
          <w:tcPr>
            <w:tcW w:w="300" w:type="dxa"/>
            <w:vAlign w:val="bottom"/>
            <w:tcBorders>
              <w:bottom w:val="single" w:sz="8" w:color="16479F"/>
            </w:tcBorders>
            <w:shd w:val="clear" w:color="auto" w:fill="F0F1F8"/>
          </w:tcPr>
          <w:p>
            <w:pPr>
              <w:spacing w:after="0"/>
              <w:rPr>
                <w:sz w:val="10"/>
                <w:szCs w:val="10"/>
                <w:color w:val="auto"/>
              </w:rPr>
            </w:pPr>
          </w:p>
        </w:tc>
        <w:tc>
          <w:tcPr>
            <w:tcW w:w="3360" w:type="dxa"/>
            <w:vAlign w:val="bottom"/>
            <w:tcBorders>
              <w:bottom w:val="single" w:sz="8" w:color="16479F"/>
            </w:tcBorders>
            <w:shd w:val="clear" w:color="auto" w:fill="F0F1F8"/>
          </w:tcPr>
          <w:p>
            <w:pPr>
              <w:spacing w:after="0"/>
              <w:rPr>
                <w:sz w:val="10"/>
                <w:szCs w:val="10"/>
                <w:color w:val="auto"/>
              </w:rPr>
            </w:pPr>
          </w:p>
        </w:tc>
        <w:tc>
          <w:tcPr>
            <w:tcW w:w="220" w:type="dxa"/>
            <w:vAlign w:val="bottom"/>
            <w:tcBorders>
              <w:bottom w:val="single" w:sz="8" w:color="F0F1F8"/>
            </w:tcBorders>
            <w:shd w:val="clear" w:color="auto" w:fill="F0F1F8"/>
          </w:tcPr>
          <w:p>
            <w:pPr>
              <w:spacing w:after="0"/>
              <w:rPr>
                <w:sz w:val="10"/>
                <w:szCs w:val="10"/>
                <w:color w:val="auto"/>
              </w:rPr>
            </w:pPr>
          </w:p>
        </w:tc>
        <w:tc>
          <w:tcPr>
            <w:tcW w:w="0" w:type="dxa"/>
            <w:vAlign w:val="bottom"/>
          </w:tcPr>
          <w:p>
            <w:pPr>
              <w:spacing w:after="0"/>
              <w:rPr>
                <w:sz w:val="1"/>
                <w:szCs w:val="1"/>
                <w:color w:val="auto"/>
              </w:rPr>
            </w:pPr>
          </w:p>
        </w:tc>
      </w:tr>
      <w:tr>
        <w:trPr>
          <w:trHeight w:val="269"/>
        </w:trPr>
        <w:tc>
          <w:tcPr>
            <w:tcW w:w="3380" w:type="dxa"/>
            <w:vAlign w:val="bottom"/>
            <w:tcBorders>
              <w:right w:val="single" w:sz="8" w:color="F0F1F8"/>
            </w:tcBorders>
            <w:gridSpan w:val="2"/>
            <w:shd w:val="clear" w:color="auto" w:fill="F0F1F8"/>
          </w:tcPr>
          <w:p>
            <w:pPr>
              <w:spacing w:after="0"/>
              <w:rPr>
                <w:sz w:val="20"/>
                <w:szCs w:val="20"/>
                <w:color w:val="auto"/>
              </w:rPr>
            </w:pPr>
            <w:r>
              <w:rPr>
                <w:rFonts w:ascii="Arial" w:cs="Arial" w:eastAsia="Arial" w:hAnsi="Arial"/>
                <w:sz w:val="16"/>
                <w:szCs w:val="16"/>
                <w:b w:val="1"/>
                <w:bCs w:val="1"/>
                <w:color w:val="16479F"/>
              </w:rPr>
              <w:t>GOVERNANCE COMMITTEE</w:t>
            </w:r>
          </w:p>
        </w:tc>
        <w:tc>
          <w:tcPr>
            <w:tcW w:w="3740" w:type="dxa"/>
            <w:vAlign w:val="bottom"/>
            <w:tcBorders>
              <w:right w:val="single" w:sz="8" w:color="F0F1F8"/>
            </w:tcBorders>
            <w:shd w:val="clear" w:color="auto" w:fill="F0F1F8"/>
          </w:tcPr>
          <w:p>
            <w:pPr>
              <w:spacing w:after="0"/>
              <w:rPr>
                <w:sz w:val="23"/>
                <w:szCs w:val="23"/>
                <w:color w:val="auto"/>
              </w:rPr>
            </w:pPr>
          </w:p>
        </w:tc>
        <w:tc>
          <w:tcPr>
            <w:tcW w:w="300" w:type="dxa"/>
            <w:vAlign w:val="bottom"/>
            <w:shd w:val="clear" w:color="auto" w:fill="F0F1F8"/>
          </w:tcPr>
          <w:p>
            <w:pPr>
              <w:spacing w:after="0"/>
              <w:rPr>
                <w:sz w:val="23"/>
                <w:szCs w:val="23"/>
                <w:color w:val="auto"/>
              </w:rPr>
            </w:pPr>
          </w:p>
        </w:tc>
        <w:tc>
          <w:tcPr>
            <w:tcW w:w="3360" w:type="dxa"/>
            <w:vAlign w:val="bottom"/>
            <w:shd w:val="clear" w:color="auto" w:fill="F0F1F8"/>
          </w:tcPr>
          <w:p>
            <w:pPr>
              <w:spacing w:after="0"/>
              <w:rPr>
                <w:sz w:val="23"/>
                <w:szCs w:val="23"/>
                <w:color w:val="auto"/>
              </w:rPr>
            </w:pPr>
          </w:p>
        </w:tc>
        <w:tc>
          <w:tcPr>
            <w:tcW w:w="220" w:type="dxa"/>
            <w:vAlign w:val="bottom"/>
            <w:shd w:val="clear" w:color="auto" w:fill="F0F1F8"/>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120" w:type="dxa"/>
            <w:vAlign w:val="bottom"/>
            <w:shd w:val="clear" w:color="auto" w:fill="F0F1F8"/>
          </w:tcPr>
          <w:p>
            <w:pPr>
              <w:spacing w:after="0"/>
              <w:rPr>
                <w:sz w:val="20"/>
                <w:szCs w:val="20"/>
                <w:color w:val="auto"/>
              </w:rPr>
            </w:pPr>
            <w:r>
              <w:rPr>
                <w:rFonts w:ascii="Arial" w:cs="Arial" w:eastAsia="Arial" w:hAnsi="Arial"/>
                <w:sz w:val="13"/>
                <w:szCs w:val="13"/>
                <w:color w:val="16479F"/>
              </w:rPr>
              <w:t>●</w:t>
            </w:r>
          </w:p>
        </w:tc>
        <w:tc>
          <w:tcPr>
            <w:tcW w:w="7000" w:type="dxa"/>
            <w:vAlign w:val="bottom"/>
            <w:tcBorders>
              <w:right w:val="single" w:sz="8" w:color="F0F1F8"/>
            </w:tcBorders>
            <w:gridSpan w:val="2"/>
            <w:shd w:val="clear" w:color="auto" w:fill="F0F1F8"/>
          </w:tcPr>
          <w:p>
            <w:pPr>
              <w:ind w:left="20"/>
              <w:spacing w:after="0"/>
              <w:rPr>
                <w:sz w:val="20"/>
                <w:szCs w:val="20"/>
                <w:color w:val="auto"/>
              </w:rPr>
            </w:pPr>
            <w:r>
              <w:rPr>
                <w:rFonts w:ascii="Arial" w:cs="Arial" w:eastAsia="Arial" w:hAnsi="Arial"/>
                <w:sz w:val="13"/>
                <w:szCs w:val="13"/>
                <w:color w:val="auto"/>
              </w:rPr>
              <w:t>Oversees the Company’s corporate responsibility policies and initiatives, including ESG and climate initiatives.</w:t>
            </w:r>
          </w:p>
        </w:tc>
        <w:tc>
          <w:tcPr>
            <w:tcW w:w="300" w:type="dxa"/>
            <w:vAlign w:val="bottom"/>
            <w:shd w:val="clear" w:color="auto" w:fill="F0F1F8"/>
          </w:tcPr>
          <w:p>
            <w:pPr>
              <w:spacing w:after="0"/>
              <w:rPr>
                <w:sz w:val="24"/>
                <w:szCs w:val="24"/>
                <w:color w:val="auto"/>
              </w:rPr>
            </w:pPr>
          </w:p>
        </w:tc>
        <w:tc>
          <w:tcPr>
            <w:tcW w:w="3360" w:type="dxa"/>
            <w:vAlign w:val="bottom"/>
            <w:shd w:val="clear" w:color="auto" w:fill="F0F1F8"/>
          </w:tcPr>
          <w:p>
            <w:pPr>
              <w:spacing w:after="0"/>
              <w:rPr>
                <w:sz w:val="24"/>
                <w:szCs w:val="24"/>
                <w:color w:val="auto"/>
              </w:rPr>
            </w:pPr>
          </w:p>
        </w:tc>
        <w:tc>
          <w:tcPr>
            <w:tcW w:w="220" w:type="dxa"/>
            <w:vAlign w:val="bottom"/>
            <w:shd w:val="clear" w:color="auto" w:fill="F0F1F8"/>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20" w:type="dxa"/>
            <w:vAlign w:val="bottom"/>
            <w:shd w:val="clear" w:color="auto" w:fill="F0F1F8"/>
          </w:tcPr>
          <w:p>
            <w:pPr>
              <w:spacing w:after="0"/>
              <w:rPr>
                <w:sz w:val="20"/>
                <w:szCs w:val="20"/>
                <w:color w:val="auto"/>
              </w:rPr>
            </w:pPr>
            <w:r>
              <w:rPr>
                <w:rFonts w:ascii="Arial" w:cs="Arial" w:eastAsia="Arial" w:hAnsi="Arial"/>
                <w:sz w:val="13"/>
                <w:szCs w:val="13"/>
                <w:color w:val="16479F"/>
              </w:rPr>
              <w:t>●</w:t>
            </w:r>
          </w:p>
        </w:tc>
        <w:tc>
          <w:tcPr>
            <w:tcW w:w="10880" w:type="dxa"/>
            <w:vAlign w:val="bottom"/>
            <w:gridSpan w:val="5"/>
            <w:shd w:val="clear" w:color="auto" w:fill="F0F1F8"/>
          </w:tcPr>
          <w:p>
            <w:pPr>
              <w:ind w:left="20"/>
              <w:spacing w:after="0"/>
              <w:rPr>
                <w:sz w:val="20"/>
                <w:szCs w:val="20"/>
                <w:color w:val="auto"/>
              </w:rPr>
            </w:pPr>
            <w:r>
              <w:rPr>
                <w:rFonts w:ascii="Arial" w:cs="Arial" w:eastAsia="Arial" w:hAnsi="Arial"/>
                <w:sz w:val="13"/>
                <w:szCs w:val="13"/>
                <w:color w:val="auto"/>
              </w:rPr>
              <w:t>Receives quarterly updates from the Chief Responsibility Officer. In 2021, these focused on MSCI’s net-zero commitment, climate-related initiatives and Corporate Responsibility</w:t>
            </w:r>
          </w:p>
        </w:tc>
        <w:tc>
          <w:tcPr>
            <w:tcW w:w="0" w:type="dxa"/>
            <w:vAlign w:val="bottom"/>
          </w:tcPr>
          <w:p>
            <w:pPr>
              <w:spacing w:after="0"/>
              <w:rPr>
                <w:sz w:val="1"/>
                <w:szCs w:val="1"/>
                <w:color w:val="auto"/>
              </w:rPr>
            </w:pPr>
          </w:p>
        </w:tc>
      </w:tr>
      <w:tr>
        <w:trPr>
          <w:trHeight w:val="161"/>
        </w:trPr>
        <w:tc>
          <w:tcPr>
            <w:tcW w:w="120" w:type="dxa"/>
            <w:vAlign w:val="bottom"/>
            <w:shd w:val="clear" w:color="auto" w:fill="F0F1F8"/>
          </w:tcPr>
          <w:p>
            <w:pPr>
              <w:spacing w:after="0"/>
              <w:rPr>
                <w:sz w:val="14"/>
                <w:szCs w:val="14"/>
                <w:color w:val="auto"/>
              </w:rPr>
            </w:pPr>
          </w:p>
        </w:tc>
        <w:tc>
          <w:tcPr>
            <w:tcW w:w="3260" w:type="dxa"/>
            <w:vAlign w:val="bottom"/>
            <w:tcBorders>
              <w:right w:val="single" w:sz="8" w:color="F0F1F8"/>
            </w:tcBorders>
            <w:shd w:val="clear" w:color="auto" w:fill="F0F1F8"/>
          </w:tcPr>
          <w:p>
            <w:pPr>
              <w:ind w:left="40"/>
              <w:spacing w:after="0"/>
              <w:rPr>
                <w:sz w:val="20"/>
                <w:szCs w:val="20"/>
                <w:color w:val="auto"/>
              </w:rPr>
            </w:pPr>
            <w:r>
              <w:rPr>
                <w:rFonts w:ascii="Arial" w:cs="Arial" w:eastAsia="Arial" w:hAnsi="Arial"/>
                <w:sz w:val="13"/>
                <w:szCs w:val="13"/>
                <w:color w:val="auto"/>
              </w:rPr>
              <w:t>Operating Plan.</w:t>
            </w:r>
          </w:p>
        </w:tc>
        <w:tc>
          <w:tcPr>
            <w:tcW w:w="3740" w:type="dxa"/>
            <w:vAlign w:val="bottom"/>
            <w:tcBorders>
              <w:right w:val="single" w:sz="8" w:color="F0F1F8"/>
            </w:tcBorders>
            <w:shd w:val="clear" w:color="auto" w:fill="F0F1F8"/>
          </w:tcPr>
          <w:p>
            <w:pPr>
              <w:spacing w:after="0"/>
              <w:rPr>
                <w:sz w:val="14"/>
                <w:szCs w:val="14"/>
                <w:color w:val="auto"/>
              </w:rPr>
            </w:pPr>
          </w:p>
        </w:tc>
        <w:tc>
          <w:tcPr>
            <w:tcW w:w="300" w:type="dxa"/>
            <w:vAlign w:val="bottom"/>
            <w:shd w:val="clear" w:color="auto" w:fill="F0F1F8"/>
          </w:tcPr>
          <w:p>
            <w:pPr>
              <w:spacing w:after="0"/>
              <w:rPr>
                <w:sz w:val="14"/>
                <w:szCs w:val="14"/>
                <w:color w:val="auto"/>
              </w:rPr>
            </w:pPr>
          </w:p>
        </w:tc>
        <w:tc>
          <w:tcPr>
            <w:tcW w:w="3360" w:type="dxa"/>
            <w:vAlign w:val="bottom"/>
            <w:shd w:val="clear" w:color="auto" w:fill="F0F1F8"/>
          </w:tcPr>
          <w:p>
            <w:pPr>
              <w:spacing w:after="0"/>
              <w:rPr>
                <w:sz w:val="14"/>
                <w:szCs w:val="14"/>
                <w:color w:val="auto"/>
              </w:rPr>
            </w:pPr>
          </w:p>
        </w:tc>
        <w:tc>
          <w:tcPr>
            <w:tcW w:w="220" w:type="dxa"/>
            <w:vAlign w:val="bottom"/>
            <w:shd w:val="clear" w:color="auto" w:fill="F0F1F8"/>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20" w:type="dxa"/>
            <w:vAlign w:val="bottom"/>
            <w:shd w:val="clear" w:color="auto" w:fill="F0F1F8"/>
          </w:tcPr>
          <w:p>
            <w:pPr>
              <w:spacing w:after="0"/>
              <w:rPr>
                <w:sz w:val="20"/>
                <w:szCs w:val="20"/>
                <w:color w:val="auto"/>
              </w:rPr>
            </w:pPr>
            <w:r>
              <w:rPr>
                <w:rFonts w:ascii="Arial" w:cs="Arial" w:eastAsia="Arial" w:hAnsi="Arial"/>
                <w:sz w:val="13"/>
                <w:szCs w:val="13"/>
                <w:color w:val="16479F"/>
              </w:rPr>
              <w:t>●</w:t>
            </w:r>
          </w:p>
        </w:tc>
        <w:tc>
          <w:tcPr>
            <w:tcW w:w="10880" w:type="dxa"/>
            <w:vAlign w:val="bottom"/>
            <w:gridSpan w:val="5"/>
            <w:shd w:val="clear" w:color="auto" w:fill="F0F1F8"/>
          </w:tcPr>
          <w:p>
            <w:pPr>
              <w:ind w:left="40"/>
              <w:spacing w:after="0"/>
              <w:rPr>
                <w:sz w:val="20"/>
                <w:szCs w:val="20"/>
                <w:color w:val="auto"/>
              </w:rPr>
            </w:pPr>
            <w:r>
              <w:rPr>
                <w:rFonts w:ascii="Arial" w:cs="Arial" w:eastAsia="Arial" w:hAnsi="Arial"/>
                <w:sz w:val="13"/>
                <w:szCs w:val="13"/>
                <w:color w:val="auto"/>
              </w:rPr>
              <w:t>Members of the Governance Committee participate in the annual Corporate Responsibility Roadshow to hear and report back to the Board on shareholders’ priorities, including</w:t>
            </w:r>
          </w:p>
        </w:tc>
        <w:tc>
          <w:tcPr>
            <w:tcW w:w="0" w:type="dxa"/>
            <w:vAlign w:val="bottom"/>
          </w:tcPr>
          <w:p>
            <w:pPr>
              <w:spacing w:after="0"/>
              <w:rPr>
                <w:sz w:val="1"/>
                <w:szCs w:val="1"/>
                <w:color w:val="auto"/>
              </w:rPr>
            </w:pPr>
          </w:p>
        </w:tc>
      </w:tr>
      <w:tr>
        <w:trPr>
          <w:trHeight w:val="161"/>
        </w:trPr>
        <w:tc>
          <w:tcPr>
            <w:tcW w:w="120" w:type="dxa"/>
            <w:vAlign w:val="bottom"/>
            <w:shd w:val="clear" w:color="auto" w:fill="F0F1F8"/>
          </w:tcPr>
          <w:p>
            <w:pPr>
              <w:spacing w:after="0"/>
              <w:rPr>
                <w:sz w:val="14"/>
                <w:szCs w:val="14"/>
                <w:color w:val="auto"/>
              </w:rPr>
            </w:pPr>
          </w:p>
        </w:tc>
        <w:tc>
          <w:tcPr>
            <w:tcW w:w="3260" w:type="dxa"/>
            <w:vAlign w:val="bottom"/>
            <w:tcBorders>
              <w:right w:val="single" w:sz="8" w:color="F0F1F8"/>
            </w:tcBorders>
            <w:shd w:val="clear" w:color="auto" w:fill="F0F1F8"/>
          </w:tcPr>
          <w:p>
            <w:pPr>
              <w:ind w:left="40"/>
              <w:spacing w:after="0"/>
              <w:rPr>
                <w:sz w:val="20"/>
                <w:szCs w:val="20"/>
                <w:color w:val="auto"/>
              </w:rPr>
            </w:pPr>
            <w:r>
              <w:rPr>
                <w:rFonts w:ascii="Arial" w:cs="Arial" w:eastAsia="Arial" w:hAnsi="Arial"/>
                <w:sz w:val="13"/>
                <w:szCs w:val="13"/>
                <w:color w:val="auto"/>
              </w:rPr>
              <w:t>climate-related risks and opportunities.</w:t>
            </w:r>
          </w:p>
        </w:tc>
        <w:tc>
          <w:tcPr>
            <w:tcW w:w="3740" w:type="dxa"/>
            <w:vAlign w:val="bottom"/>
            <w:tcBorders>
              <w:right w:val="single" w:sz="8" w:color="F0F1F8"/>
            </w:tcBorders>
            <w:shd w:val="clear" w:color="auto" w:fill="F0F1F8"/>
          </w:tcPr>
          <w:p>
            <w:pPr>
              <w:spacing w:after="0"/>
              <w:rPr>
                <w:sz w:val="14"/>
                <w:szCs w:val="14"/>
                <w:color w:val="auto"/>
              </w:rPr>
            </w:pPr>
          </w:p>
        </w:tc>
        <w:tc>
          <w:tcPr>
            <w:tcW w:w="300" w:type="dxa"/>
            <w:vAlign w:val="bottom"/>
            <w:shd w:val="clear" w:color="auto" w:fill="F0F1F8"/>
          </w:tcPr>
          <w:p>
            <w:pPr>
              <w:spacing w:after="0"/>
              <w:rPr>
                <w:sz w:val="14"/>
                <w:szCs w:val="14"/>
                <w:color w:val="auto"/>
              </w:rPr>
            </w:pPr>
          </w:p>
        </w:tc>
        <w:tc>
          <w:tcPr>
            <w:tcW w:w="3360" w:type="dxa"/>
            <w:vAlign w:val="bottom"/>
            <w:shd w:val="clear" w:color="auto" w:fill="F0F1F8"/>
          </w:tcPr>
          <w:p>
            <w:pPr>
              <w:spacing w:after="0"/>
              <w:rPr>
                <w:sz w:val="14"/>
                <w:szCs w:val="14"/>
                <w:color w:val="auto"/>
              </w:rPr>
            </w:pPr>
          </w:p>
        </w:tc>
        <w:tc>
          <w:tcPr>
            <w:tcW w:w="220" w:type="dxa"/>
            <w:vAlign w:val="bottom"/>
            <w:shd w:val="clear" w:color="auto" w:fill="F0F1F8"/>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20" w:type="dxa"/>
            <w:vAlign w:val="bottom"/>
            <w:shd w:val="clear" w:color="auto" w:fill="F0F1F8"/>
          </w:tcPr>
          <w:p>
            <w:pPr>
              <w:spacing w:after="0"/>
              <w:rPr>
                <w:sz w:val="20"/>
                <w:szCs w:val="20"/>
                <w:color w:val="auto"/>
              </w:rPr>
            </w:pPr>
            <w:r>
              <w:rPr>
                <w:rFonts w:ascii="Arial" w:cs="Arial" w:eastAsia="Arial" w:hAnsi="Arial"/>
                <w:sz w:val="13"/>
                <w:szCs w:val="13"/>
                <w:color w:val="16479F"/>
              </w:rPr>
              <w:t>●</w:t>
            </w:r>
          </w:p>
        </w:tc>
        <w:tc>
          <w:tcPr>
            <w:tcW w:w="10880" w:type="dxa"/>
            <w:vAlign w:val="bottom"/>
            <w:gridSpan w:val="5"/>
            <w:shd w:val="clear" w:color="auto" w:fill="F0F1F8"/>
          </w:tcPr>
          <w:p>
            <w:pPr>
              <w:ind w:left="40"/>
              <w:spacing w:after="0"/>
              <w:rPr>
                <w:sz w:val="20"/>
                <w:szCs w:val="20"/>
                <w:color w:val="auto"/>
              </w:rPr>
            </w:pPr>
            <w:r>
              <w:rPr>
                <w:rFonts w:ascii="Arial" w:cs="Arial" w:eastAsia="Arial" w:hAnsi="Arial"/>
                <w:sz w:val="13"/>
                <w:szCs w:val="13"/>
                <w:color w:val="auto"/>
              </w:rPr>
              <w:t>Periodically reviews with management requests from shareholders and the investment community for climate-related disclosures.</w:t>
            </w:r>
          </w:p>
        </w:tc>
        <w:tc>
          <w:tcPr>
            <w:tcW w:w="0" w:type="dxa"/>
            <w:vAlign w:val="bottom"/>
          </w:tcPr>
          <w:p>
            <w:pPr>
              <w:spacing w:after="0"/>
              <w:rPr>
                <w:sz w:val="1"/>
                <w:szCs w:val="1"/>
                <w:color w:val="auto"/>
              </w:rPr>
            </w:pPr>
          </w:p>
        </w:tc>
      </w:tr>
      <w:tr>
        <w:trPr>
          <w:trHeight w:val="54"/>
        </w:trPr>
        <w:tc>
          <w:tcPr>
            <w:tcW w:w="120" w:type="dxa"/>
            <w:vAlign w:val="bottom"/>
            <w:shd w:val="clear" w:color="auto" w:fill="F0F1F8"/>
          </w:tcPr>
          <w:p>
            <w:pPr>
              <w:spacing w:after="0"/>
              <w:rPr>
                <w:sz w:val="4"/>
                <w:szCs w:val="4"/>
                <w:color w:val="auto"/>
              </w:rPr>
            </w:pPr>
          </w:p>
        </w:tc>
        <w:tc>
          <w:tcPr>
            <w:tcW w:w="3260" w:type="dxa"/>
            <w:vAlign w:val="bottom"/>
            <w:tcBorders>
              <w:right w:val="single" w:sz="8" w:color="F0F1F8"/>
            </w:tcBorders>
            <w:shd w:val="clear" w:color="auto" w:fill="F0F1F8"/>
          </w:tcPr>
          <w:p>
            <w:pPr>
              <w:spacing w:after="0"/>
              <w:rPr>
                <w:sz w:val="4"/>
                <w:szCs w:val="4"/>
                <w:color w:val="auto"/>
              </w:rPr>
            </w:pPr>
          </w:p>
        </w:tc>
        <w:tc>
          <w:tcPr>
            <w:tcW w:w="3740" w:type="dxa"/>
            <w:vAlign w:val="bottom"/>
            <w:tcBorders>
              <w:right w:val="single" w:sz="8" w:color="F0F1F8"/>
            </w:tcBorders>
            <w:shd w:val="clear" w:color="auto" w:fill="F0F1F8"/>
          </w:tcPr>
          <w:p>
            <w:pPr>
              <w:spacing w:after="0"/>
              <w:rPr>
                <w:sz w:val="4"/>
                <w:szCs w:val="4"/>
                <w:color w:val="auto"/>
              </w:rPr>
            </w:pPr>
          </w:p>
        </w:tc>
        <w:tc>
          <w:tcPr>
            <w:tcW w:w="300" w:type="dxa"/>
            <w:vAlign w:val="bottom"/>
            <w:shd w:val="clear" w:color="auto" w:fill="F0F1F8"/>
          </w:tcPr>
          <w:p>
            <w:pPr>
              <w:spacing w:after="0"/>
              <w:rPr>
                <w:sz w:val="4"/>
                <w:szCs w:val="4"/>
                <w:color w:val="auto"/>
              </w:rPr>
            </w:pPr>
          </w:p>
        </w:tc>
        <w:tc>
          <w:tcPr>
            <w:tcW w:w="3360" w:type="dxa"/>
            <w:vAlign w:val="bottom"/>
            <w:shd w:val="clear" w:color="auto" w:fill="F0F1F8"/>
          </w:tcPr>
          <w:p>
            <w:pPr>
              <w:spacing w:after="0"/>
              <w:rPr>
                <w:sz w:val="4"/>
                <w:szCs w:val="4"/>
                <w:color w:val="auto"/>
              </w:rPr>
            </w:pPr>
          </w:p>
        </w:tc>
        <w:tc>
          <w:tcPr>
            <w:tcW w:w="220" w:type="dxa"/>
            <w:vAlign w:val="bottom"/>
            <w:shd w:val="clear" w:color="auto" w:fill="F0F1F8"/>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34290</wp:posOffset>
            </wp:positionV>
            <wp:extent cx="7133590" cy="15132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3590" cy="1513205"/>
                    </a:xfrm>
                    <a:prstGeom prst="rect">
                      <a:avLst/>
                    </a:prstGeom>
                    <a:noFill/>
                  </pic:spPr>
                </pic:pic>
              </a:graphicData>
            </a:graphic>
          </wp:anchor>
        </w:drawing>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16479F"/>
        </w:rPr>
        <w:t>Management</w:t>
      </w:r>
    </w:p>
    <w:p>
      <w:pPr>
        <w:spacing w:after="0" w:line="144" w:lineRule="exact"/>
        <w:rPr>
          <w:sz w:val="20"/>
          <w:szCs w:val="20"/>
          <w:color w:val="auto"/>
        </w:rPr>
      </w:pPr>
    </w:p>
    <w:p>
      <w:pPr>
        <w:ind w:left="400" w:right="280" w:hanging="165"/>
        <w:spacing w:after="0" w:line="247" w:lineRule="auto"/>
        <w:tabs>
          <w:tab w:leader="none" w:pos="404" w:val="left"/>
        </w:tabs>
        <w:numPr>
          <w:ilvl w:val="0"/>
          <w:numId w:val="64"/>
        </w:numPr>
        <w:rPr>
          <w:rFonts w:ascii="Arial" w:cs="Arial" w:eastAsia="Arial" w:hAnsi="Arial"/>
          <w:sz w:val="14"/>
          <w:szCs w:val="14"/>
          <w:color w:val="16479F"/>
        </w:rPr>
      </w:pPr>
      <w:r>
        <w:rPr>
          <w:rFonts w:ascii="Arial" w:cs="Arial" w:eastAsia="Arial" w:hAnsi="Arial"/>
          <w:sz w:val="14"/>
          <w:szCs w:val="14"/>
          <w:color w:val="auto"/>
        </w:rPr>
        <w:t>Our management team has day-to-day responsibility for identifying, assessing and managing ESG and climate-related risks and opportunities. The Company’s Enterprise Risk Oversight Committee oversees the Company’s key risk management activities to ensure that the Company is identifying, evaluating and managing risks that may have an impact on the Company’s ability to achieve its operational and strategic objectives, including ongoing assessments of climate risks.</w:t>
      </w:r>
    </w:p>
    <w:p>
      <w:pPr>
        <w:spacing w:after="0" w:line="38" w:lineRule="exact"/>
        <w:rPr>
          <w:rFonts w:ascii="Arial" w:cs="Arial" w:eastAsia="Arial" w:hAnsi="Arial"/>
          <w:sz w:val="14"/>
          <w:szCs w:val="14"/>
          <w:color w:val="16479F"/>
        </w:rPr>
      </w:pPr>
    </w:p>
    <w:p>
      <w:pPr>
        <w:ind w:left="400" w:right="640" w:hanging="165"/>
        <w:spacing w:after="0" w:line="254" w:lineRule="auto"/>
        <w:tabs>
          <w:tab w:leader="none" w:pos="404" w:val="left"/>
        </w:tabs>
        <w:numPr>
          <w:ilvl w:val="0"/>
          <w:numId w:val="64"/>
        </w:numPr>
        <w:rPr>
          <w:rFonts w:ascii="Arial" w:cs="Arial" w:eastAsia="Arial" w:hAnsi="Arial"/>
          <w:sz w:val="14"/>
          <w:szCs w:val="14"/>
          <w:color w:val="16479F"/>
        </w:rPr>
      </w:pPr>
      <w:r>
        <w:rPr>
          <w:rFonts w:ascii="Arial" w:cs="Arial" w:eastAsia="Arial" w:hAnsi="Arial"/>
          <w:sz w:val="14"/>
          <w:szCs w:val="14"/>
          <w:color w:val="auto"/>
        </w:rPr>
        <w:t>The Business Resiliency team assesses the severity, probability and scale of climate-related events, and implements and tests technology systems to support our business continuity plans.</w:t>
      </w:r>
    </w:p>
    <w:p>
      <w:pPr>
        <w:spacing w:after="0" w:line="34" w:lineRule="exact"/>
        <w:rPr>
          <w:rFonts w:ascii="Arial" w:cs="Arial" w:eastAsia="Arial" w:hAnsi="Arial"/>
          <w:sz w:val="14"/>
          <w:szCs w:val="14"/>
          <w:color w:val="16479F"/>
        </w:rPr>
      </w:pPr>
    </w:p>
    <w:p>
      <w:pPr>
        <w:ind w:left="400" w:right="220" w:hanging="165"/>
        <w:spacing w:after="0" w:line="244" w:lineRule="auto"/>
        <w:tabs>
          <w:tab w:leader="none" w:pos="405" w:val="left"/>
        </w:tabs>
        <w:numPr>
          <w:ilvl w:val="0"/>
          <w:numId w:val="64"/>
        </w:numPr>
        <w:rPr>
          <w:rFonts w:ascii="Arial" w:cs="Arial" w:eastAsia="Arial" w:hAnsi="Arial"/>
          <w:sz w:val="14"/>
          <w:szCs w:val="14"/>
          <w:color w:val="16479F"/>
        </w:rPr>
      </w:pPr>
      <w:r>
        <w:rPr>
          <w:rFonts w:ascii="Arial" w:cs="Arial" w:eastAsia="Arial" w:hAnsi="Arial"/>
          <w:sz w:val="14"/>
          <w:szCs w:val="14"/>
          <w:color w:val="auto"/>
        </w:rPr>
        <w:t>Our Crisis Management Team and Technology Service Operations Management Team oversee all aspects of our disaster and recovery response efforts, including protecting the general welfare and safety of our employees, data centers, networks, applications supporting business operations, communications systems and general technology recovery following an extreme weather incident or natural disaster. Our Internal Audit Team periodically reviews various aspects of these programs to provide independent assessment and assurance to management and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123190</wp:posOffset>
            </wp:positionV>
            <wp:extent cx="7154545"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00" w:type="dxa"/>
            <w:vAlign w:val="bottom"/>
            <w:tcBorders>
              <w:right w:val="single" w:sz="8" w:color="16479F"/>
            </w:tcBorders>
          </w:tcPr>
          <w:p>
            <w:pPr>
              <w:ind w:left="8740"/>
              <w:spacing w:after="0"/>
              <w:rPr>
                <w:sz w:val="20"/>
                <w:szCs w:val="20"/>
                <w:color w:val="auto"/>
              </w:rPr>
            </w:pPr>
            <w:r>
              <w:rPr>
                <w:rFonts w:ascii="Arial" w:cs="Arial" w:eastAsia="Arial" w:hAnsi="Arial"/>
                <w:sz w:val="14"/>
                <w:szCs w:val="14"/>
                <w:b w:val="1"/>
                <w:bCs w:val="1"/>
                <w:color w:val="16479F"/>
              </w:rPr>
              <w:t>2022 PROXY STATEMENT</w:t>
            </w:r>
          </w:p>
        </w:tc>
        <w:tc>
          <w:tcPr>
            <w:tcW w:w="640" w:type="dxa"/>
            <w:vAlign w:val="bottom"/>
          </w:tcPr>
          <w:p>
            <w:pPr>
              <w:jc w:val="right"/>
              <w:ind w:right="9"/>
              <w:spacing w:after="0"/>
              <w:rPr>
                <w:sz w:val="20"/>
                <w:szCs w:val="20"/>
                <w:color w:val="auto"/>
              </w:rPr>
            </w:pPr>
            <w:r>
              <w:rPr>
                <w:rFonts w:ascii="Arial" w:cs="Arial" w:eastAsia="Arial" w:hAnsi="Arial"/>
                <w:sz w:val="14"/>
                <w:szCs w:val="14"/>
                <w:b w:val="1"/>
                <w:bCs w:val="1"/>
                <w:color w:val="16479F"/>
              </w:rPr>
              <w:t>43</w:t>
            </w:r>
          </w:p>
        </w:tc>
      </w:tr>
      <w:tr>
        <w:trPr>
          <w:trHeight w:val="65"/>
        </w:trPr>
        <w:tc>
          <w:tcPr>
            <w:tcW w:w="10600" w:type="dxa"/>
            <w:vAlign w:val="bottom"/>
            <w:tcBorders>
              <w:bottom w:val="single" w:sz="8" w:color="16479F"/>
              <w:right w:val="single" w:sz="8" w:color="16479F"/>
            </w:tcBorders>
          </w:tcPr>
          <w:p>
            <w:pPr>
              <w:spacing w:after="0"/>
              <w:rPr>
                <w:sz w:val="5"/>
                <w:szCs w:val="5"/>
                <w:color w:val="auto"/>
              </w:rPr>
            </w:pPr>
          </w:p>
        </w:tc>
        <w:tc>
          <w:tcPr>
            <w:tcW w:w="640" w:type="dxa"/>
            <w:vAlign w:val="bottom"/>
            <w:tcBorders>
              <w:bottom w:val="single" w:sz="8" w:color="16479F"/>
            </w:tcBorders>
          </w:tcPr>
          <w:p>
            <w:pPr>
              <w:spacing w:after="0"/>
              <w:rPr>
                <w:sz w:val="5"/>
                <w:szCs w:val="5"/>
                <w:color w:val="auto"/>
              </w:rPr>
            </w:pPr>
          </w:p>
        </w:tc>
      </w:tr>
    </w:tbl>
    <w:p>
      <w:pPr>
        <w:spacing w:after="0" w:line="142" w:lineRule="exact"/>
        <w:rPr>
          <w:sz w:val="20"/>
          <w:szCs w:val="20"/>
          <w:color w:val="auto"/>
        </w:rPr>
      </w:pPr>
    </w:p>
    <w:p>
      <w:pPr>
        <w:spacing w:after="0"/>
        <w:rPr>
          <w:sz w:val="20"/>
          <w:szCs w:val="20"/>
          <w:color w:val="auto"/>
        </w:rPr>
      </w:pPr>
      <w:r>
        <w:rPr>
          <w:rFonts w:ascii="Arial" w:cs="Arial" w:eastAsia="Arial" w:hAnsi="Arial"/>
          <w:sz w:val="21"/>
          <w:szCs w:val="21"/>
          <w:b w:val="1"/>
          <w:bCs w:val="1"/>
          <w:color w:val="16479F"/>
        </w:rPr>
        <w:t>Cybersecurity and Information Security Awareness</w:t>
      </w:r>
    </w:p>
    <w:p>
      <w:pPr>
        <w:spacing w:after="0" w:line="221" w:lineRule="exact"/>
        <w:rPr>
          <w:sz w:val="20"/>
          <w:szCs w:val="20"/>
          <w:color w:val="auto"/>
        </w:rPr>
      </w:pPr>
    </w:p>
    <w:p>
      <w:pPr>
        <w:ind w:right="160"/>
        <w:spacing w:after="0" w:line="247" w:lineRule="auto"/>
        <w:rPr>
          <w:sz w:val="20"/>
          <w:szCs w:val="20"/>
          <w:color w:val="auto"/>
        </w:rPr>
      </w:pPr>
      <w:r>
        <w:rPr>
          <w:rFonts w:ascii="Arial" w:cs="Arial" w:eastAsia="Arial" w:hAnsi="Arial"/>
          <w:sz w:val="16"/>
          <w:szCs w:val="16"/>
          <w:color w:val="auto"/>
        </w:rPr>
        <w:t>Our Board recognizes that the security of our technology is integral to our products, our business processes and our infrastructure. The mission of our management-level Information and Technology Risk Oversight Committee (“ITROC”), led by our Chief Information Security Officer (“CISO”), is to provide oversight relating to cyber security- and technology-related risks that may present significant impact to our operations, clients, reputation and financial position. Our IT risk program also includes an incident response plan that provides controls and procedures for timely and accurate reporting of any material cybersecurity incident, on-going internal and external assessments of our IT controls and security awareness training for employees.</w:t>
      </w:r>
    </w:p>
    <w:p>
      <w:pPr>
        <w:spacing w:after="0" w:line="151" w:lineRule="exact"/>
        <w:rPr>
          <w:sz w:val="20"/>
          <w:szCs w:val="20"/>
          <w:color w:val="auto"/>
        </w:rPr>
      </w:pPr>
    </w:p>
    <w:p>
      <w:pPr>
        <w:ind w:right="240"/>
        <w:spacing w:after="0" w:line="248" w:lineRule="auto"/>
        <w:rPr>
          <w:sz w:val="20"/>
          <w:szCs w:val="20"/>
          <w:color w:val="auto"/>
        </w:rPr>
      </w:pPr>
      <w:r>
        <w:rPr>
          <w:rFonts w:ascii="Arial" w:cs="Arial" w:eastAsia="Arial" w:hAnsi="Arial"/>
          <w:sz w:val="16"/>
          <w:szCs w:val="16"/>
          <w:color w:val="auto"/>
        </w:rPr>
        <w:t>On a quarterly basis, the Audit Committee is updated on the Company’s IT risk program by our CISO, including an overview of risks and trends, that is also made available to the full Board. In addition, the Audit Committee receives updates about the results of assessments conducted by outside advisors who provide independent assessments of our IT risk program and our response preparedness. The Chair of the Audit Committee informs the Board of any key updates during his quarterly reports to the Board.</w:t>
      </w:r>
    </w:p>
    <w:p>
      <w:pPr>
        <w:spacing w:after="0" w:line="169" w:lineRule="exact"/>
        <w:rPr>
          <w:sz w:val="20"/>
          <w:szCs w:val="20"/>
          <w:color w:val="auto"/>
        </w:rPr>
      </w:pPr>
    </w:p>
    <w:p>
      <w:pPr>
        <w:spacing w:after="0"/>
        <w:rPr>
          <w:sz w:val="20"/>
          <w:szCs w:val="20"/>
          <w:color w:val="auto"/>
        </w:rPr>
      </w:pPr>
      <w:r>
        <w:rPr>
          <w:rFonts w:ascii="Arial" w:cs="Arial" w:eastAsia="Arial" w:hAnsi="Arial"/>
          <w:sz w:val="21"/>
          <w:szCs w:val="21"/>
          <w:b w:val="1"/>
          <w:bCs w:val="1"/>
          <w:color w:val="16479F"/>
        </w:rPr>
        <w:t>Enterprise Risk Awareness</w:t>
      </w:r>
    </w:p>
    <w:p>
      <w:pPr>
        <w:spacing w:after="0" w:line="208" w:lineRule="exact"/>
        <w:rPr>
          <w:sz w:val="20"/>
          <w:szCs w:val="20"/>
          <w:color w:val="auto"/>
        </w:rPr>
      </w:pPr>
    </w:p>
    <w:p>
      <w:pPr>
        <w:ind w:right="120"/>
        <w:spacing w:after="0" w:line="246" w:lineRule="auto"/>
        <w:rPr>
          <w:sz w:val="20"/>
          <w:szCs w:val="20"/>
          <w:color w:val="auto"/>
        </w:rPr>
      </w:pPr>
      <w:r>
        <w:rPr>
          <w:rFonts w:ascii="Arial" w:cs="Arial" w:eastAsia="Arial" w:hAnsi="Arial"/>
          <w:sz w:val="16"/>
          <w:szCs w:val="16"/>
          <w:color w:val="auto"/>
        </w:rPr>
        <w:t>Our approach to overseeing new and emerging risks across MSCI is informed by our management-level Enterprise Risk Oversight Committee (“EROC”), chaired by our Chief Financial Officer. The EROC provides oversight of MSCI’s risk management activities to ensure that we are identifying, evaluating and managing risks that may have an adverse impact on our ability to achieve operational and strategic objectives. The enterprise risk management program currently evaluates risk in numerous areas within MSCI, including technology infrastructure; clients; people, including talent management and DE&amp;I; financial resilience; legal, regulatory and compliance; and corporate responsibility, including areas such as climate risk. Within each category, we seek to identify and mitigate risks, enable improved decision-making and prioritization, and promote monitoring and reporting across functions within the Company. While the EROC captures and monitors risk management activities regarding our IT security and technology infrastructure, primary reporting and evaluation of risks relating to our technology infrastructure sits with the ITROC, as detailed above.</w:t>
      </w:r>
    </w:p>
    <w:p>
      <w:pPr>
        <w:spacing w:after="0" w:line="152"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On a quarterly basis, the Audit Committee is updated on MSCI’s enterprise risk management program by our Enterprise Risk Management Officer, including an overview of risks and trends, that is also made available to the full Board. Quarterly presentations to the Audit Committee include more detailed discussions of emerging topics and trends. In 2021, these discussions included topics such as ESG and climate-related risks and opportunities as well as MSCI’s regulatory environment. The Chair of the Audit Committee informs the Board of any key updates during his quarterly reports to the Board.</w:t>
      </w:r>
    </w:p>
    <w:p>
      <w:pPr>
        <w:spacing w:after="0" w:line="169" w:lineRule="exact"/>
        <w:rPr>
          <w:sz w:val="20"/>
          <w:szCs w:val="20"/>
          <w:color w:val="auto"/>
        </w:rPr>
      </w:pPr>
    </w:p>
    <w:p>
      <w:pPr>
        <w:spacing w:after="0"/>
        <w:rPr>
          <w:sz w:val="20"/>
          <w:szCs w:val="20"/>
          <w:color w:val="auto"/>
        </w:rPr>
      </w:pPr>
      <w:r>
        <w:rPr>
          <w:rFonts w:ascii="Arial" w:cs="Arial" w:eastAsia="Arial" w:hAnsi="Arial"/>
          <w:sz w:val="21"/>
          <w:szCs w:val="21"/>
          <w:b w:val="1"/>
          <w:bCs w:val="1"/>
          <w:color w:val="16479F"/>
        </w:rPr>
        <w:t>Privacy Awareness</w:t>
      </w:r>
    </w:p>
    <w:p>
      <w:pPr>
        <w:spacing w:after="0" w:line="208"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Integrated with our IT security program and our enterprise risk program is our global privacy program. Our privacy program is led by our Chief Privacy Officer and the members of the MSCI Privacy Office, and it reports into our CISO. Our Privacy Steering Committee meets on a quarterly basis to review key risks and trends, progress on key initiatives, focus topics and regulatory developments. The Privacy Steering Committee is an essential component of our efforts to safeguard the processing of personal, sensitive and confidential data at MSCI and provides cross-functional oversight of our privacy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57785</wp:posOffset>
            </wp:positionV>
            <wp:extent cx="7154545"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149860</wp:posOffset>
            </wp:positionV>
            <wp:extent cx="7133590" cy="21272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3590" cy="212725"/>
                    </a:xfrm>
                    <a:prstGeom prst="rect">
                      <a:avLst/>
                    </a:prstGeom>
                    <a:noFill/>
                  </pic:spPr>
                </pic:pic>
              </a:graphicData>
            </a:graphic>
          </wp:anchor>
        </w:drawing>
      </w:r>
    </w:p>
    <w:p>
      <w:pPr>
        <w:spacing w:after="0" w:line="283"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4"/>
          <w:szCs w:val="14"/>
          <w:b w:val="1"/>
          <w:bCs w:val="1"/>
          <w:color w:val="16479F"/>
        </w:rPr>
        <w:t>44</w:t>
      </w:r>
      <w:r>
        <w:rPr>
          <w:sz w:val="20"/>
          <w:szCs w:val="20"/>
          <w:color w:val="auto"/>
        </w:rPr>
        <w:tab/>
      </w:r>
      <w:r>
        <w:rPr>
          <w:rFonts w:ascii="Arial" w:cs="Arial" w:eastAsia="Arial" w:hAnsi="Arial"/>
          <w:sz w:val="14"/>
          <w:szCs w:val="14"/>
          <w:b w:val="1"/>
          <w:bCs w:val="1"/>
          <w:color w:val="16479F"/>
        </w:rPr>
        <w:t>MSCI  |  CORPORATE GOVERNANCE</w:t>
      </w:r>
    </w:p>
    <w:p>
      <w:pPr>
        <w:spacing w:after="0" w:line="245"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Management Succession Planning</w:t>
      </w:r>
    </w:p>
    <w:p>
      <w:pPr>
        <w:spacing w:after="0" w:line="222"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One of the Board’s principal responsibilities is to ensure appropriate succession plans are in place for our senior management and review our executive talent including our potential leadership bench. The Compensation Committee oversees the process for succession planning for senior management positions. Our CEO and President &amp; COO also meet regularly with our functions to review talent plans with an aim to identify top talent, including diverse talent, who have the most potential to progress to the senior-most roles at MSCI.</w:t>
      </w:r>
    </w:p>
    <w:p>
      <w:pPr>
        <w:spacing w:after="0" w:line="150"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In January 2022, as part of these efforts and following an extensive organizational design assessment conducted in 2021, we announced a number of organizational and senior leadership changes, and we expanded our Executive Committee to reflect MSCI’s ambition to serve as an indispensable partner to clients and the investment community. This expansion brings together and elevates more of the senior leaders who drive MSCI’s strategy and operations into MSCI’s primary leadership committee. The new members of the Executive Committee increase the representation from operating functions, in particular, Research, Technology and Data, and Private Assets. Additional information on our Executive Committee can be found on the “Our Leadership” section of our website (</w:t>
      </w:r>
      <w:r>
        <w:rPr>
          <w:rFonts w:ascii="Arial" w:cs="Arial" w:eastAsia="Arial" w:hAnsi="Arial"/>
          <w:sz w:val="16"/>
          <w:szCs w:val="16"/>
          <w:color w:val="00B5AA"/>
        </w:rPr>
        <w:t>https://www.msci.com/who-we-are/our-leadership</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96520</wp:posOffset>
            </wp:positionV>
            <wp:extent cx="7133590" cy="3314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3590" cy="331470"/>
                    </a:xfrm>
                    <a:prstGeom prst="rect">
                      <a:avLst/>
                    </a:prstGeom>
                    <a:noFill/>
                  </pic:spPr>
                </pic:pic>
              </a:graphicData>
            </a:graphic>
          </wp:anchor>
        </w:drawing>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27"/>
          <w:szCs w:val="27"/>
          <w:b w:val="1"/>
          <w:bCs w:val="1"/>
          <w:color w:val="FFFFFF"/>
        </w:rPr>
        <w:t>DEVELOPING OUR NEXT GENERATION OF LEADERS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88900</wp:posOffset>
            </wp:positionV>
            <wp:extent cx="7133590" cy="18364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3590" cy="1836420"/>
                    </a:xfrm>
                    <a:prstGeom prst="rect">
                      <a:avLst/>
                    </a:prstGeom>
                    <a:noFill/>
                  </pic:spPr>
                </pic:pic>
              </a:graphicData>
            </a:graphic>
          </wp:anchor>
        </w:drawing>
      </w:r>
    </w:p>
    <w:p>
      <w:pPr>
        <w:spacing w:after="0" w:line="343"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002739"/>
        </w:rPr>
        <w:t>EXPOSURE</w:t>
      </w:r>
    </w:p>
    <w:p>
      <w:pPr>
        <w:spacing w:after="0" w:line="23" w:lineRule="exact"/>
        <w:rPr>
          <w:sz w:val="20"/>
          <w:szCs w:val="20"/>
          <w:color w:val="auto"/>
        </w:rPr>
      </w:pPr>
    </w:p>
    <w:p>
      <w:pPr>
        <w:ind w:left="560" w:right="260"/>
        <w:spacing w:after="0" w:line="256" w:lineRule="auto"/>
        <w:rPr>
          <w:sz w:val="20"/>
          <w:szCs w:val="20"/>
          <w:color w:val="auto"/>
        </w:rPr>
      </w:pPr>
      <w:r>
        <w:rPr>
          <w:rFonts w:ascii="Arial" w:cs="Arial" w:eastAsia="Arial" w:hAnsi="Arial"/>
          <w:sz w:val="16"/>
          <w:szCs w:val="16"/>
          <w:color w:val="auto"/>
        </w:rPr>
        <w:t>High-potential leaders are given exposure to our directors through formal presentations at Board or committee meetings, informal virtual education sessions, one-on-one meetings with individual directors and participation in other Board activities.</w:t>
      </w:r>
    </w:p>
    <w:p>
      <w:pPr>
        <w:spacing w:after="0" w:line="270"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16479F"/>
        </w:rPr>
        <w:t>FORMAL SUCCESSION PLANNING</w:t>
      </w:r>
    </w:p>
    <w:p>
      <w:pPr>
        <w:spacing w:after="0" w:line="5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Annual formal succession planning and talent review session held by the Compensation Committee, where all directors are invited to attend.</w:t>
      </w:r>
    </w:p>
    <w:p>
      <w:pPr>
        <w:spacing w:after="0" w:line="258" w:lineRule="exact"/>
        <w:rPr>
          <w:sz w:val="20"/>
          <w:szCs w:val="20"/>
          <w:color w:val="auto"/>
        </w:rPr>
      </w:pPr>
    </w:p>
    <w:p>
      <w:pPr>
        <w:ind w:left="560" w:right="180"/>
        <w:spacing w:after="0" w:line="256" w:lineRule="auto"/>
        <w:rPr>
          <w:sz w:val="20"/>
          <w:szCs w:val="20"/>
          <w:color w:val="auto"/>
        </w:rPr>
      </w:pPr>
      <w:r>
        <w:rPr>
          <w:rFonts w:ascii="Arial" w:cs="Arial" w:eastAsia="Arial" w:hAnsi="Arial"/>
          <w:sz w:val="16"/>
          <w:szCs w:val="16"/>
          <w:color w:val="auto"/>
        </w:rPr>
        <w:t>This session includes identifying successors and reviewing succession plans for all senior management positions, including the CEO and President positions.</w:t>
      </w:r>
    </w:p>
    <w:p>
      <w:pPr>
        <w:spacing w:after="0" w:line="230"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00B5AA"/>
        </w:rPr>
        <w:t>ONGOING REVIEWS</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Board holds ongoing reviews of our leadership bench.</w:t>
      </w: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Over the last year, the Company made the following examples of senior management appointments from its succession pools: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March 2021</w:t>
      </w:r>
    </w:p>
    <w:p>
      <w:pPr>
        <w:spacing w:after="0" w:line="90" w:lineRule="exact"/>
        <w:rPr>
          <w:sz w:val="20"/>
          <w:szCs w:val="20"/>
          <w:color w:val="auto"/>
        </w:rPr>
      </w:pPr>
    </w:p>
    <w:p>
      <w:pPr>
        <w:ind w:left="440" w:hanging="245"/>
        <w:spacing w:after="0"/>
        <w:tabs>
          <w:tab w:leader="none" w:pos="440" w:val="left"/>
        </w:tabs>
        <w:numPr>
          <w:ilvl w:val="0"/>
          <w:numId w:val="65"/>
        </w:numPr>
        <w:rPr>
          <w:rFonts w:ascii="Arial" w:cs="Arial" w:eastAsia="Arial" w:hAnsi="Arial"/>
          <w:sz w:val="16"/>
          <w:szCs w:val="16"/>
          <w:color w:val="16479F"/>
        </w:rPr>
      </w:pPr>
      <w:r>
        <w:rPr>
          <w:rFonts w:ascii="Arial" w:cs="Arial" w:eastAsia="Arial" w:hAnsi="Arial"/>
          <w:sz w:val="16"/>
          <w:szCs w:val="16"/>
          <w:color w:val="auto"/>
        </w:rPr>
        <w:t>Former Head of Japan Client Coverage promoted to Head of APAC Client Coverage and Head of APAC Analytics following predecessor’s departure</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January 2022</w:t>
      </w:r>
    </w:p>
    <w:p>
      <w:pPr>
        <w:spacing w:after="0" w:line="90" w:lineRule="exact"/>
        <w:rPr>
          <w:sz w:val="20"/>
          <w:szCs w:val="20"/>
          <w:color w:val="auto"/>
        </w:rPr>
      </w:pPr>
    </w:p>
    <w:p>
      <w:pPr>
        <w:ind w:left="440" w:hanging="245"/>
        <w:spacing w:after="0"/>
        <w:tabs>
          <w:tab w:leader="none" w:pos="440" w:val="left"/>
        </w:tabs>
        <w:numPr>
          <w:ilvl w:val="0"/>
          <w:numId w:val="66"/>
        </w:numPr>
        <w:rPr>
          <w:rFonts w:ascii="Arial" w:cs="Arial" w:eastAsia="Arial" w:hAnsi="Arial"/>
          <w:sz w:val="16"/>
          <w:szCs w:val="16"/>
          <w:color w:val="16479F"/>
        </w:rPr>
      </w:pPr>
      <w:r>
        <w:rPr>
          <w:rFonts w:ascii="Arial" w:cs="Arial" w:eastAsia="Arial" w:hAnsi="Arial"/>
          <w:sz w:val="16"/>
          <w:szCs w:val="16"/>
          <w:color w:val="auto"/>
        </w:rPr>
        <w:t>Former Head of ESG and Climate promoted to Chief Product Officer and Head of Index</w:t>
      </w:r>
    </w:p>
    <w:p>
      <w:pPr>
        <w:spacing w:after="0" w:line="70" w:lineRule="exact"/>
        <w:rPr>
          <w:rFonts w:ascii="Arial" w:cs="Arial" w:eastAsia="Arial" w:hAnsi="Arial"/>
          <w:sz w:val="16"/>
          <w:szCs w:val="16"/>
          <w:color w:val="16479F"/>
        </w:rPr>
      </w:pPr>
    </w:p>
    <w:p>
      <w:pPr>
        <w:ind w:left="440" w:hanging="245"/>
        <w:spacing w:after="0"/>
        <w:tabs>
          <w:tab w:leader="none" w:pos="440" w:val="left"/>
        </w:tabs>
        <w:numPr>
          <w:ilvl w:val="0"/>
          <w:numId w:val="66"/>
        </w:numPr>
        <w:rPr>
          <w:rFonts w:ascii="Arial" w:cs="Arial" w:eastAsia="Arial" w:hAnsi="Arial"/>
          <w:sz w:val="16"/>
          <w:szCs w:val="16"/>
          <w:color w:val="16479F"/>
        </w:rPr>
      </w:pPr>
      <w:r>
        <w:rPr>
          <w:rFonts w:ascii="Arial" w:cs="Arial" w:eastAsia="Arial" w:hAnsi="Arial"/>
          <w:sz w:val="16"/>
          <w:szCs w:val="16"/>
          <w:color w:val="auto"/>
        </w:rPr>
        <w:t>Former Head of ESG Products promoted to Head of ESG and Climate</w:t>
      </w:r>
    </w:p>
    <w:p>
      <w:pPr>
        <w:spacing w:after="0" w:line="70" w:lineRule="exact"/>
        <w:rPr>
          <w:rFonts w:ascii="Arial" w:cs="Arial" w:eastAsia="Arial" w:hAnsi="Arial"/>
          <w:sz w:val="16"/>
          <w:szCs w:val="16"/>
          <w:color w:val="16479F"/>
        </w:rPr>
      </w:pPr>
    </w:p>
    <w:p>
      <w:pPr>
        <w:ind w:left="440" w:hanging="245"/>
        <w:spacing w:after="0"/>
        <w:tabs>
          <w:tab w:leader="none" w:pos="440" w:val="left"/>
        </w:tabs>
        <w:numPr>
          <w:ilvl w:val="0"/>
          <w:numId w:val="66"/>
        </w:numPr>
        <w:rPr>
          <w:rFonts w:ascii="Arial" w:cs="Arial" w:eastAsia="Arial" w:hAnsi="Arial"/>
          <w:sz w:val="16"/>
          <w:szCs w:val="16"/>
          <w:color w:val="16479F"/>
        </w:rPr>
      </w:pPr>
      <w:r>
        <w:rPr>
          <w:rFonts w:ascii="Arial" w:cs="Arial" w:eastAsia="Arial" w:hAnsi="Arial"/>
          <w:sz w:val="16"/>
          <w:szCs w:val="16"/>
          <w:color w:val="auto"/>
        </w:rPr>
        <w:t>Former Head of Americas Index Client Coverage promoted to Head of Client Coverage – Americas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92710</wp:posOffset>
            </wp:positionV>
            <wp:extent cx="7154545"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5" w:name="page46"/>
    <w:bookmarkEnd w:id="45"/>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00" w:type="dxa"/>
            <w:vAlign w:val="bottom"/>
            <w:tcBorders>
              <w:right w:val="single" w:sz="8" w:color="16479F"/>
            </w:tcBorders>
          </w:tcPr>
          <w:p>
            <w:pPr>
              <w:ind w:left="8740"/>
              <w:spacing w:after="0"/>
              <w:rPr>
                <w:sz w:val="20"/>
                <w:szCs w:val="20"/>
                <w:color w:val="auto"/>
              </w:rPr>
            </w:pPr>
            <w:r>
              <w:rPr>
                <w:rFonts w:ascii="Arial" w:cs="Arial" w:eastAsia="Arial" w:hAnsi="Arial"/>
                <w:sz w:val="14"/>
                <w:szCs w:val="14"/>
                <w:b w:val="1"/>
                <w:bCs w:val="1"/>
                <w:color w:val="16479F"/>
              </w:rPr>
              <w:t>2022 PROXY STATEMENT</w:t>
            </w:r>
          </w:p>
        </w:tc>
        <w:tc>
          <w:tcPr>
            <w:tcW w:w="640" w:type="dxa"/>
            <w:vAlign w:val="bottom"/>
          </w:tcPr>
          <w:p>
            <w:pPr>
              <w:jc w:val="right"/>
              <w:ind w:right="9"/>
              <w:spacing w:after="0"/>
              <w:rPr>
                <w:sz w:val="20"/>
                <w:szCs w:val="20"/>
                <w:color w:val="auto"/>
              </w:rPr>
            </w:pPr>
            <w:r>
              <w:rPr>
                <w:rFonts w:ascii="Arial" w:cs="Arial" w:eastAsia="Arial" w:hAnsi="Arial"/>
                <w:sz w:val="14"/>
                <w:szCs w:val="14"/>
                <w:b w:val="1"/>
                <w:bCs w:val="1"/>
                <w:color w:val="16479F"/>
              </w:rPr>
              <w:t>45</w:t>
            </w:r>
          </w:p>
        </w:tc>
      </w:tr>
      <w:tr>
        <w:trPr>
          <w:trHeight w:val="65"/>
        </w:trPr>
        <w:tc>
          <w:tcPr>
            <w:tcW w:w="10600" w:type="dxa"/>
            <w:vAlign w:val="bottom"/>
            <w:tcBorders>
              <w:bottom w:val="single" w:sz="8" w:color="16479F"/>
              <w:right w:val="single" w:sz="8" w:color="16479F"/>
            </w:tcBorders>
          </w:tcPr>
          <w:p>
            <w:pPr>
              <w:spacing w:after="0"/>
              <w:rPr>
                <w:sz w:val="5"/>
                <w:szCs w:val="5"/>
                <w:color w:val="auto"/>
              </w:rPr>
            </w:pPr>
          </w:p>
        </w:tc>
        <w:tc>
          <w:tcPr>
            <w:tcW w:w="640" w:type="dxa"/>
            <w:vAlign w:val="bottom"/>
            <w:tcBorders>
              <w:bottom w:val="single" w:sz="8" w:color="16479F"/>
            </w:tcBorders>
          </w:tcPr>
          <w:p>
            <w:pPr>
              <w:spacing w:after="0"/>
              <w:rPr>
                <w:sz w:val="5"/>
                <w:szCs w:val="5"/>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32"/>
          <w:szCs w:val="32"/>
          <w:b w:val="1"/>
          <w:bCs w:val="1"/>
          <w:color w:val="16479F"/>
        </w:rPr>
        <w:t>Corporate Responsibility</w:t>
      </w:r>
    </w:p>
    <w:p>
      <w:pPr>
        <w:spacing w:after="0" w:line="233" w:lineRule="exact"/>
        <w:rPr>
          <w:sz w:val="20"/>
          <w:szCs w:val="20"/>
          <w:color w:val="auto"/>
        </w:rPr>
      </w:pPr>
    </w:p>
    <w:p>
      <w:pPr>
        <w:jc w:val="both"/>
        <w:ind w:right="280"/>
        <w:spacing w:after="0" w:line="250" w:lineRule="auto"/>
        <w:rPr>
          <w:sz w:val="20"/>
          <w:szCs w:val="20"/>
          <w:color w:val="auto"/>
        </w:rPr>
      </w:pPr>
      <w:r>
        <w:rPr>
          <w:rFonts w:ascii="Arial" w:cs="Arial" w:eastAsia="Arial" w:hAnsi="Arial"/>
          <w:sz w:val="16"/>
          <w:szCs w:val="16"/>
          <w:color w:val="auto"/>
        </w:rPr>
        <w:t>As a leader in providing ESG and climate solutions to investors, we also aim to demonstrate leading corporate responsibility practices and policies that are meaningful to our various stakeholders, including our shareholders, clients, employees and local communities. This commitment includes our response to climate change and how we promote DE&amp;I in our workforce.</w:t>
      </w:r>
    </w:p>
    <w:p>
      <w:pPr>
        <w:spacing w:after="0" w:line="148"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auto"/>
        </w:rPr>
        <w:t>Our commitment to corporate responsibility is embodied in four pillars: Better Investments for a Better World, Sustainable Operations, Social Responsibility, and Robust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89535</wp:posOffset>
            </wp:positionV>
            <wp:extent cx="7154545" cy="31476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4545" cy="31476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149860</wp:posOffset>
            </wp:positionV>
            <wp:extent cx="7133590" cy="21272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3590" cy="212725"/>
                    </a:xfrm>
                    <a:prstGeom prst="rect">
                      <a:avLst/>
                    </a:prstGeom>
                    <a:noFill/>
                  </pic:spPr>
                </pic:pic>
              </a:graphicData>
            </a:graphic>
          </wp:anchor>
        </w:drawing>
      </w:r>
    </w:p>
    <w:p>
      <w:pPr>
        <w:spacing w:after="0" w:line="283"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4"/>
          <w:szCs w:val="14"/>
          <w:b w:val="1"/>
          <w:bCs w:val="1"/>
          <w:color w:val="16479F"/>
        </w:rPr>
        <w:t>46</w:t>
      </w:r>
      <w:r>
        <w:rPr>
          <w:sz w:val="20"/>
          <w:szCs w:val="20"/>
          <w:color w:val="auto"/>
        </w:rPr>
        <w:tab/>
      </w:r>
      <w:r>
        <w:rPr>
          <w:rFonts w:ascii="Arial" w:cs="Arial" w:eastAsia="Arial" w:hAnsi="Arial"/>
          <w:sz w:val="14"/>
          <w:szCs w:val="14"/>
          <w:b w:val="1"/>
          <w:bCs w:val="1"/>
          <w:color w:val="16479F"/>
        </w:rPr>
        <w:t>MSCI  |  CORPORATE GOVERNANCE</w:t>
      </w:r>
    </w:p>
    <w:p>
      <w:pPr>
        <w:spacing w:after="0" w:line="232"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Focus on Climate: Key Highlights</w:t>
      </w:r>
    </w:p>
    <w:p>
      <w:pPr>
        <w:spacing w:after="0" w:line="195"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We take our commitment to climate seriously. As a leader in ESG and climate research and applications, MSCI is also committed to do its part to address climate change. We are focused on reducing our carbon footprint and ensuring our approach is well-aligned with our tools and solutions. Some of our recent areas of progress on our Company’s climate considerations include the ones detailed below.</w:t>
      </w:r>
    </w:p>
    <w:p>
      <w:pPr>
        <w:spacing w:after="0" w:line="126" w:lineRule="exact"/>
        <w:rPr>
          <w:sz w:val="20"/>
          <w:szCs w:val="20"/>
          <w:color w:val="auto"/>
        </w:rPr>
      </w:pPr>
    </w:p>
    <w:tbl>
      <w:tblPr>
        <w:tblLayout w:type="fixed"/>
        <w:tblInd w:w="10" w:type="dxa"/>
        <w:tblCellMar>
          <w:top w:w="0" w:type="dxa"/>
          <w:left w:w="0" w:type="dxa"/>
          <w:bottom w:w="0" w:type="dxa"/>
          <w:right w:w="0" w:type="dxa"/>
        </w:tblCellMar>
      </w:tblPr>
      <w:tr>
        <w:trPr>
          <w:trHeight w:val="906"/>
        </w:trPr>
        <w:tc>
          <w:tcPr>
            <w:tcW w:w="260" w:type="dxa"/>
            <w:vAlign w:val="bottom"/>
            <w:tcBorders>
              <w:top w:val="single" w:sz="8" w:color="auto"/>
              <w:left w:val="single" w:sz="8" w:color="auto"/>
            </w:tcBorders>
          </w:tcPr>
          <w:p>
            <w:pPr>
              <w:spacing w:after="0"/>
              <w:rPr>
                <w:sz w:val="24"/>
                <w:szCs w:val="24"/>
                <w:color w:val="auto"/>
              </w:rPr>
            </w:pPr>
          </w:p>
        </w:tc>
        <w:tc>
          <w:tcPr>
            <w:tcW w:w="3580" w:type="dxa"/>
            <w:vAlign w:val="bottom"/>
            <w:tcBorders>
              <w:top w:val="single" w:sz="8" w:color="auto"/>
              <w:right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500" w:type="dxa"/>
            <w:vAlign w:val="bottom"/>
            <w:tcBorders>
              <w:top w:val="single" w:sz="8" w:color="auto"/>
              <w:right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280" w:type="dxa"/>
            <w:vAlign w:val="bottom"/>
            <w:tcBorders>
              <w:top w:val="single" w:sz="8" w:color="auto"/>
              <w:right w:val="single" w:sz="8" w:color="auto"/>
            </w:tcBorders>
          </w:tcPr>
          <w:p>
            <w:pPr>
              <w:jc w:val="center"/>
              <w:ind w:right="360"/>
              <w:spacing w:after="0"/>
              <w:rPr>
                <w:sz w:val="20"/>
                <w:szCs w:val="20"/>
                <w:color w:val="auto"/>
              </w:rPr>
            </w:pPr>
            <w:r>
              <w:rPr>
                <w:rFonts w:ascii="Arial" w:cs="Arial" w:eastAsia="Arial" w:hAnsi="Arial"/>
                <w:sz w:val="16"/>
                <w:szCs w:val="16"/>
                <w:b w:val="1"/>
                <w:bCs w:val="1"/>
                <w:color w:val="auto"/>
              </w:rPr>
              <w:t>Additional Transparency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60" w:type="dxa"/>
            <w:vAlign w:val="bottom"/>
            <w:tcBorders>
              <w:left w:val="single" w:sz="8" w:color="auto"/>
            </w:tcBorders>
          </w:tcPr>
          <w:p>
            <w:pPr>
              <w:spacing w:after="0"/>
              <w:rPr>
                <w:sz w:val="18"/>
                <w:szCs w:val="18"/>
                <w:color w:val="auto"/>
              </w:rPr>
            </w:pPr>
          </w:p>
        </w:tc>
        <w:tc>
          <w:tcPr>
            <w:tcW w:w="3580" w:type="dxa"/>
            <w:vAlign w:val="bottom"/>
            <w:tcBorders>
              <w:right w:val="single" w:sz="8" w:color="auto"/>
            </w:tcBorders>
          </w:tcPr>
          <w:p>
            <w:pPr>
              <w:ind w:left="540"/>
              <w:spacing w:after="0"/>
              <w:rPr>
                <w:sz w:val="20"/>
                <w:szCs w:val="20"/>
                <w:color w:val="auto"/>
              </w:rPr>
            </w:pPr>
            <w:r>
              <w:rPr>
                <w:rFonts w:ascii="Arial" w:cs="Arial" w:eastAsia="Arial" w:hAnsi="Arial"/>
                <w:sz w:val="16"/>
                <w:szCs w:val="16"/>
                <w:b w:val="1"/>
                <w:bCs w:val="1"/>
                <w:color w:val="auto"/>
              </w:rPr>
              <w:t>New Commitments &amp; Policies</w:t>
            </w:r>
          </w:p>
        </w:tc>
        <w:tc>
          <w:tcPr>
            <w:tcW w:w="220" w:type="dxa"/>
            <w:vAlign w:val="bottom"/>
          </w:tcPr>
          <w:p>
            <w:pPr>
              <w:spacing w:after="0"/>
              <w:rPr>
                <w:sz w:val="18"/>
                <w:szCs w:val="18"/>
                <w:color w:val="auto"/>
              </w:rPr>
            </w:pPr>
          </w:p>
        </w:tc>
        <w:tc>
          <w:tcPr>
            <w:tcW w:w="3500" w:type="dxa"/>
            <w:vAlign w:val="bottom"/>
            <w:tcBorders>
              <w:right w:val="single" w:sz="8" w:color="auto"/>
            </w:tcBorders>
          </w:tcPr>
          <w:p>
            <w:pPr>
              <w:ind w:left="1140"/>
              <w:spacing w:after="0"/>
              <w:rPr>
                <w:sz w:val="20"/>
                <w:szCs w:val="20"/>
                <w:color w:val="auto"/>
              </w:rPr>
            </w:pPr>
            <w:r>
              <w:rPr>
                <w:rFonts w:ascii="Arial" w:cs="Arial" w:eastAsia="Arial" w:hAnsi="Arial"/>
                <w:sz w:val="16"/>
                <w:szCs w:val="16"/>
                <w:b w:val="1"/>
                <w:bCs w:val="1"/>
                <w:color w:val="auto"/>
              </w:rPr>
              <w:t>New Actions</w:t>
            </w:r>
          </w:p>
        </w:tc>
        <w:tc>
          <w:tcPr>
            <w:tcW w:w="400" w:type="dxa"/>
            <w:vAlign w:val="bottom"/>
          </w:tcPr>
          <w:p>
            <w:pPr>
              <w:spacing w:after="0"/>
              <w:rPr>
                <w:sz w:val="18"/>
                <w:szCs w:val="18"/>
                <w:color w:val="auto"/>
              </w:rPr>
            </w:pPr>
          </w:p>
        </w:tc>
        <w:tc>
          <w:tcPr>
            <w:tcW w:w="3280" w:type="dxa"/>
            <w:vAlign w:val="bottom"/>
            <w:tcBorders>
              <w:right w:val="single" w:sz="8" w:color="auto"/>
            </w:tcBorders>
          </w:tcPr>
          <w:p>
            <w:pPr>
              <w:jc w:val="center"/>
              <w:ind w:right="340"/>
              <w:spacing w:after="0"/>
              <w:rPr>
                <w:sz w:val="20"/>
                <w:szCs w:val="20"/>
                <w:color w:val="auto"/>
              </w:rPr>
            </w:pPr>
            <w:r>
              <w:rPr>
                <w:rFonts w:ascii="Arial" w:cs="Arial" w:eastAsia="Arial" w:hAnsi="Arial"/>
                <w:sz w:val="16"/>
                <w:szCs w:val="16"/>
                <w:b w:val="1"/>
                <w:bCs w:val="1"/>
                <w:color w:val="auto"/>
              </w:rPr>
              <w:t>Through Reporting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60" w:type="dxa"/>
            <w:vAlign w:val="bottom"/>
            <w:tcBorders>
              <w:left w:val="single" w:sz="8" w:color="auto"/>
              <w:bottom w:val="single" w:sz="8" w:color="auto"/>
            </w:tcBorders>
          </w:tcPr>
          <w:p>
            <w:pPr>
              <w:spacing w:after="0"/>
              <w:rPr>
                <w:sz w:val="3"/>
                <w:szCs w:val="3"/>
                <w:color w:val="auto"/>
              </w:rPr>
            </w:pPr>
          </w:p>
        </w:tc>
        <w:tc>
          <w:tcPr>
            <w:tcW w:w="358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500" w:type="dxa"/>
            <w:vAlign w:val="bottom"/>
            <w:tcBorders>
              <w:bottom w:val="single" w:sz="8" w:color="auto"/>
              <w:right w:val="single" w:sz="8" w:color="auto"/>
            </w:tcBorders>
          </w:tcPr>
          <w:p>
            <w:pPr>
              <w:spacing w:after="0"/>
              <w:rPr>
                <w:sz w:val="3"/>
                <w:szCs w:val="3"/>
                <w:color w:val="auto"/>
              </w:rPr>
            </w:pPr>
          </w:p>
        </w:tc>
        <w:tc>
          <w:tcPr>
            <w:tcW w:w="3680" w:type="dxa"/>
            <w:vAlign w:val="bottom"/>
            <w:tcBorders>
              <w:bottom w:val="single" w:sz="8" w:color="auto"/>
              <w:right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60" w:type="dxa"/>
            <w:vAlign w:val="bottom"/>
            <w:tcBorders>
              <w:left w:val="single" w:sz="8" w:color="auto"/>
            </w:tcBorders>
          </w:tcPr>
          <w:p>
            <w:pPr>
              <w:ind w:left="100"/>
              <w:spacing w:after="0"/>
              <w:rPr>
                <w:sz w:val="20"/>
                <w:szCs w:val="20"/>
                <w:color w:val="auto"/>
              </w:rPr>
            </w:pPr>
            <w:r>
              <w:rPr>
                <w:rFonts w:ascii="Arial" w:cs="Arial" w:eastAsia="Arial" w:hAnsi="Arial"/>
                <w:sz w:val="16"/>
                <w:szCs w:val="16"/>
                <w:color w:val="16479F"/>
              </w:rPr>
              <w:t>●</w:t>
            </w:r>
          </w:p>
        </w:tc>
        <w:tc>
          <w:tcPr>
            <w:tcW w:w="35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Announced our commitment to the goal of Net-</w:t>
            </w:r>
          </w:p>
        </w:tc>
        <w:tc>
          <w:tcPr>
            <w:tcW w:w="220" w:type="dxa"/>
            <w:vAlign w:val="bottom"/>
          </w:tcPr>
          <w:p>
            <w:pPr>
              <w:ind w:left="80"/>
              <w:spacing w:after="0"/>
              <w:rPr>
                <w:sz w:val="20"/>
                <w:szCs w:val="20"/>
                <w:color w:val="auto"/>
              </w:rPr>
            </w:pPr>
            <w:r>
              <w:rPr>
                <w:rFonts w:ascii="Arial" w:cs="Arial" w:eastAsia="Arial" w:hAnsi="Arial"/>
                <w:sz w:val="16"/>
                <w:szCs w:val="16"/>
                <w:color w:val="16479F"/>
              </w:rPr>
              <w:t>●</w:t>
            </w: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Developed an internal Sustainable Supplier</w:t>
            </w:r>
          </w:p>
        </w:tc>
        <w:tc>
          <w:tcPr>
            <w:tcW w:w="368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16479F"/>
              </w:rPr>
              <w:t xml:space="preserve">● </w:t>
            </w:r>
            <w:r>
              <w:rPr>
                <w:rFonts w:ascii="Arial" w:cs="Arial" w:eastAsia="Arial" w:hAnsi="Arial"/>
                <w:sz w:val="16"/>
                <w:szCs w:val="16"/>
                <w:color w:val="000000"/>
              </w:rPr>
              <w:t>Developed easy-to-access webpage dedicated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60" w:type="dxa"/>
            <w:vAlign w:val="bottom"/>
            <w:tcBorders>
              <w:left w:val="single" w:sz="8" w:color="auto"/>
            </w:tcBorders>
          </w:tcPr>
          <w:p>
            <w:pPr>
              <w:spacing w:after="0"/>
              <w:rPr>
                <w:sz w:val="16"/>
                <w:szCs w:val="16"/>
                <w:color w:val="auto"/>
              </w:rPr>
            </w:pPr>
          </w:p>
        </w:tc>
        <w:tc>
          <w:tcPr>
            <w:tcW w:w="35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Zero emissions by 2040</w:t>
            </w:r>
          </w:p>
        </w:tc>
        <w:tc>
          <w:tcPr>
            <w:tcW w:w="220" w:type="dxa"/>
            <w:vAlign w:val="bottom"/>
          </w:tcPr>
          <w:p>
            <w:pPr>
              <w:spacing w:after="0"/>
              <w:rPr>
                <w:sz w:val="16"/>
                <w:szCs w:val="16"/>
                <w:color w:val="auto"/>
              </w:rPr>
            </w:pP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Management Team to support our efforts to</w:t>
            </w:r>
          </w:p>
        </w:tc>
        <w:tc>
          <w:tcPr>
            <w:tcW w:w="3680" w:type="dxa"/>
            <w:vAlign w:val="bottom"/>
            <w:tcBorders>
              <w:right w:val="single" w:sz="8" w:color="auto"/>
            </w:tcBorders>
            <w:gridSpan w:val="2"/>
          </w:tcPr>
          <w:p>
            <w:pPr>
              <w:ind w:left="260"/>
              <w:spacing w:after="0"/>
              <w:rPr>
                <w:sz w:val="20"/>
                <w:szCs w:val="20"/>
                <w:color w:val="auto"/>
              </w:rPr>
            </w:pPr>
            <w:r>
              <w:rPr>
                <w:rFonts w:ascii="Arial" w:cs="Arial" w:eastAsia="Arial" w:hAnsi="Arial"/>
                <w:sz w:val="16"/>
                <w:szCs w:val="16"/>
                <w:color w:val="auto"/>
              </w:rPr>
              <w:t>to Sustainability Reports &amp; Policies, including:</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40" w:type="dxa"/>
            <w:vAlign w:val="bottom"/>
            <w:tcBorders>
              <w:left w:val="single" w:sz="8" w:color="auto"/>
              <w:right w:val="single" w:sz="8" w:color="auto"/>
            </w:tcBorders>
            <w:gridSpan w:val="2"/>
            <w:vMerge w:val="restart"/>
          </w:tcPr>
          <w:p>
            <w:pPr>
              <w:ind w:left="100"/>
              <w:spacing w:after="0"/>
              <w:rPr>
                <w:sz w:val="20"/>
                <w:szCs w:val="20"/>
                <w:color w:val="auto"/>
              </w:rPr>
            </w:pPr>
            <w:r>
              <w:rPr>
                <w:rFonts w:ascii="Arial" w:cs="Arial" w:eastAsia="Arial" w:hAnsi="Arial"/>
                <w:sz w:val="16"/>
                <w:szCs w:val="16"/>
                <w:color w:val="16479F"/>
              </w:rPr>
              <w:t xml:space="preserve">● </w:t>
            </w:r>
            <w:r>
              <w:rPr>
                <w:rFonts w:ascii="Arial" w:cs="Arial" w:eastAsia="Arial" w:hAnsi="Arial"/>
                <w:sz w:val="16"/>
                <w:szCs w:val="16"/>
                <w:color w:val="000000"/>
              </w:rPr>
              <w:t>Became a founding member of the Net Zero</w:t>
            </w:r>
          </w:p>
        </w:tc>
        <w:tc>
          <w:tcPr>
            <w:tcW w:w="220" w:type="dxa"/>
            <w:vAlign w:val="bottom"/>
          </w:tcPr>
          <w:p>
            <w:pPr>
              <w:spacing w:after="0"/>
              <w:rPr>
                <w:sz w:val="16"/>
                <w:szCs w:val="16"/>
                <w:color w:val="auto"/>
              </w:rPr>
            </w:pP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learn about our suppliers’ corporate</w:t>
            </w:r>
          </w:p>
        </w:tc>
        <w:tc>
          <w:tcPr>
            <w:tcW w:w="3680" w:type="dxa"/>
            <w:vAlign w:val="bottom"/>
            <w:tcBorders>
              <w:right w:val="single" w:sz="8" w:color="auto"/>
            </w:tcBorders>
            <w:gridSpan w:val="2"/>
            <w:vMerge w:val="restart"/>
          </w:tcPr>
          <w:p>
            <w:pPr>
              <w:ind w:left="260"/>
              <w:spacing w:after="0"/>
              <w:rPr>
                <w:sz w:val="20"/>
                <w:szCs w:val="20"/>
                <w:color w:val="auto"/>
              </w:rPr>
            </w:pPr>
            <w:r>
              <w:rPr>
                <w:rFonts w:ascii="Arial" w:cs="Arial" w:eastAsia="Arial" w:hAnsi="Arial"/>
                <w:sz w:val="16"/>
                <w:szCs w:val="16"/>
                <w:color w:val="16479F"/>
              </w:rPr>
              <w:t xml:space="preserve">● </w:t>
            </w:r>
            <w:r>
              <w:rPr>
                <w:rFonts w:ascii="Arial" w:cs="Arial" w:eastAsia="Arial" w:hAnsi="Arial"/>
                <w:sz w:val="16"/>
                <w:szCs w:val="16"/>
                <w:color w:val="000000"/>
              </w:rPr>
              <w:t>UN SDG Report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3840" w:type="dxa"/>
            <w:vAlign w:val="bottom"/>
            <w:tcBorders>
              <w:left w:val="single" w:sz="8" w:color="auto"/>
              <w:right w:val="single" w:sz="8" w:color="auto"/>
            </w:tcBorders>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3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responsibility practices and through</w:t>
            </w:r>
          </w:p>
        </w:tc>
        <w:tc>
          <w:tcPr>
            <w:tcW w:w="3680" w:type="dxa"/>
            <w:vAlign w:val="bottom"/>
            <w:tcBorders>
              <w:right w:val="single" w:sz="8" w:color="auto"/>
            </w:tcBorders>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260" w:type="dxa"/>
            <w:vAlign w:val="bottom"/>
            <w:tcBorders>
              <w:left w:val="single" w:sz="8" w:color="auto"/>
            </w:tcBorders>
          </w:tcPr>
          <w:p>
            <w:pPr>
              <w:spacing w:after="0"/>
              <w:rPr>
                <w:sz w:val="11"/>
                <w:szCs w:val="11"/>
                <w:color w:val="auto"/>
              </w:rPr>
            </w:pPr>
          </w:p>
        </w:tc>
        <w:tc>
          <w:tcPr>
            <w:tcW w:w="3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color w:val="auto"/>
              </w:rPr>
              <w:t>Financial Service Provider Alliance</w:t>
            </w:r>
          </w:p>
        </w:tc>
        <w:tc>
          <w:tcPr>
            <w:tcW w:w="220" w:type="dxa"/>
            <w:vAlign w:val="bottom"/>
          </w:tcPr>
          <w:p>
            <w:pPr>
              <w:spacing w:after="0"/>
              <w:rPr>
                <w:sz w:val="11"/>
                <w:szCs w:val="11"/>
                <w:color w:val="auto"/>
              </w:rPr>
            </w:pPr>
          </w:p>
        </w:tc>
        <w:tc>
          <w:tcPr>
            <w:tcW w:w="3500" w:type="dxa"/>
            <w:vAlign w:val="bottom"/>
            <w:tcBorders>
              <w:right w:val="single" w:sz="8" w:color="auto"/>
            </w:tcBorders>
            <w:vMerge w:val="continue"/>
          </w:tcPr>
          <w:p>
            <w:pPr>
              <w:spacing w:after="0"/>
              <w:rPr>
                <w:sz w:val="11"/>
                <w:szCs w:val="11"/>
                <w:color w:val="auto"/>
              </w:rPr>
            </w:pPr>
          </w:p>
        </w:tc>
        <w:tc>
          <w:tcPr>
            <w:tcW w:w="400" w:type="dxa"/>
            <w:vAlign w:val="bottom"/>
            <w:vMerge w:val="restart"/>
          </w:tcPr>
          <w:p>
            <w:pPr>
              <w:ind w:left="260"/>
              <w:spacing w:after="0"/>
              <w:rPr>
                <w:sz w:val="20"/>
                <w:szCs w:val="20"/>
                <w:color w:val="auto"/>
              </w:rPr>
            </w:pPr>
            <w:r>
              <w:rPr>
                <w:rFonts w:ascii="Arial" w:cs="Arial" w:eastAsia="Arial" w:hAnsi="Arial"/>
                <w:sz w:val="16"/>
                <w:szCs w:val="16"/>
                <w:color w:val="16479F"/>
              </w:rPr>
              <w:t>●</w:t>
            </w:r>
          </w:p>
        </w:tc>
        <w:tc>
          <w:tcPr>
            <w:tcW w:w="328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color w:val="auto"/>
              </w:rPr>
              <w:t>Task Force on Climate-related Financial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260" w:type="dxa"/>
            <w:vAlign w:val="bottom"/>
            <w:tcBorders>
              <w:left w:val="single" w:sz="8" w:color="auto"/>
            </w:tcBorders>
          </w:tcPr>
          <w:p>
            <w:pPr>
              <w:spacing w:after="0"/>
              <w:rPr>
                <w:sz w:val="5"/>
                <w:szCs w:val="5"/>
                <w:color w:val="auto"/>
              </w:rPr>
            </w:pPr>
          </w:p>
        </w:tc>
        <w:tc>
          <w:tcPr>
            <w:tcW w:w="3580" w:type="dxa"/>
            <w:vAlign w:val="bottom"/>
            <w:tcBorders>
              <w:right w:val="single" w:sz="8" w:color="auto"/>
            </w:tcBorders>
            <w:vMerge w:val="continue"/>
          </w:tcPr>
          <w:p>
            <w:pPr>
              <w:spacing w:after="0"/>
              <w:rPr>
                <w:sz w:val="5"/>
                <w:szCs w:val="5"/>
                <w:color w:val="auto"/>
              </w:rPr>
            </w:pPr>
          </w:p>
        </w:tc>
        <w:tc>
          <w:tcPr>
            <w:tcW w:w="220" w:type="dxa"/>
            <w:vAlign w:val="bottom"/>
          </w:tcPr>
          <w:p>
            <w:pPr>
              <w:spacing w:after="0"/>
              <w:rPr>
                <w:sz w:val="5"/>
                <w:szCs w:val="5"/>
                <w:color w:val="auto"/>
              </w:rPr>
            </w:pPr>
          </w:p>
        </w:tc>
        <w:tc>
          <w:tcPr>
            <w:tcW w:w="3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engagement, seek to align them with our own</w:t>
            </w:r>
          </w:p>
        </w:tc>
        <w:tc>
          <w:tcPr>
            <w:tcW w:w="400" w:type="dxa"/>
            <w:vAlign w:val="bottom"/>
            <w:vMerge w:val="continue"/>
          </w:tcPr>
          <w:p>
            <w:pPr>
              <w:spacing w:after="0"/>
              <w:rPr>
                <w:sz w:val="5"/>
                <w:szCs w:val="5"/>
                <w:color w:val="auto"/>
              </w:rPr>
            </w:pPr>
          </w:p>
        </w:tc>
        <w:tc>
          <w:tcPr>
            <w:tcW w:w="3280" w:type="dxa"/>
            <w:vAlign w:val="bottom"/>
            <w:tcBorders>
              <w:right w:val="single" w:sz="8" w:color="auto"/>
            </w:tcBorders>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60" w:type="dxa"/>
            <w:vAlign w:val="bottom"/>
            <w:tcBorders>
              <w:left w:val="single" w:sz="8" w:color="auto"/>
            </w:tcBorders>
          </w:tcPr>
          <w:p>
            <w:pPr>
              <w:spacing w:after="0"/>
              <w:rPr>
                <w:sz w:val="4"/>
                <w:szCs w:val="4"/>
                <w:color w:val="auto"/>
              </w:rPr>
            </w:pPr>
          </w:p>
        </w:tc>
        <w:tc>
          <w:tcPr>
            <w:tcW w:w="3580" w:type="dxa"/>
            <w:vAlign w:val="bottom"/>
            <w:tcBorders>
              <w:right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500" w:type="dxa"/>
            <w:vAlign w:val="bottom"/>
            <w:tcBorders>
              <w:right w:val="single" w:sz="8" w:color="auto"/>
            </w:tcBorders>
            <w:vMerge w:val="continue"/>
          </w:tcPr>
          <w:p>
            <w:pPr>
              <w:spacing w:after="0"/>
              <w:rPr>
                <w:sz w:val="4"/>
                <w:szCs w:val="4"/>
                <w:color w:val="auto"/>
              </w:rPr>
            </w:pPr>
          </w:p>
        </w:tc>
        <w:tc>
          <w:tcPr>
            <w:tcW w:w="400" w:type="dxa"/>
            <w:vAlign w:val="bottom"/>
            <w:vMerge w:val="continue"/>
          </w:tcPr>
          <w:p>
            <w:pPr>
              <w:spacing w:after="0"/>
              <w:rPr>
                <w:sz w:val="4"/>
                <w:szCs w:val="4"/>
                <w:color w:val="auto"/>
              </w:rPr>
            </w:pPr>
          </w:p>
        </w:tc>
        <w:tc>
          <w:tcPr>
            <w:tcW w:w="328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3840" w:type="dxa"/>
            <w:vAlign w:val="bottom"/>
            <w:tcBorders>
              <w:left w:val="single" w:sz="8" w:color="auto"/>
              <w:right w:val="single" w:sz="8" w:color="auto"/>
            </w:tcBorders>
            <w:gridSpan w:val="2"/>
            <w:vMerge w:val="restart"/>
          </w:tcPr>
          <w:p>
            <w:pPr>
              <w:ind w:left="100"/>
              <w:spacing w:after="0"/>
              <w:rPr>
                <w:sz w:val="20"/>
                <w:szCs w:val="20"/>
                <w:color w:val="auto"/>
              </w:rPr>
            </w:pPr>
            <w:r>
              <w:rPr>
                <w:rFonts w:ascii="Arial" w:cs="Arial" w:eastAsia="Arial" w:hAnsi="Arial"/>
                <w:sz w:val="16"/>
                <w:szCs w:val="16"/>
                <w:color w:val="16479F"/>
              </w:rPr>
              <w:t xml:space="preserve">● </w:t>
            </w:r>
            <w:r>
              <w:rPr>
                <w:rFonts w:ascii="Arial" w:cs="Arial" w:eastAsia="Arial" w:hAnsi="Arial"/>
                <w:sz w:val="16"/>
                <w:szCs w:val="16"/>
                <w:color w:val="000000"/>
              </w:rPr>
              <w:t>Announced our commitment to support the UN</w:t>
            </w:r>
          </w:p>
        </w:tc>
        <w:tc>
          <w:tcPr>
            <w:tcW w:w="220" w:type="dxa"/>
            <w:vAlign w:val="bottom"/>
          </w:tcPr>
          <w:p>
            <w:pPr>
              <w:spacing w:after="0"/>
              <w:rPr>
                <w:sz w:val="6"/>
                <w:szCs w:val="6"/>
                <w:color w:val="auto"/>
              </w:rPr>
            </w:pPr>
          </w:p>
        </w:tc>
        <w:tc>
          <w:tcPr>
            <w:tcW w:w="3500" w:type="dxa"/>
            <w:vAlign w:val="bottom"/>
            <w:tcBorders>
              <w:right w:val="single" w:sz="8" w:color="auto"/>
            </w:tcBorders>
            <w:vMerge w:val="continue"/>
          </w:tcPr>
          <w:p>
            <w:pPr>
              <w:spacing w:after="0"/>
              <w:rPr>
                <w:sz w:val="6"/>
                <w:szCs w:val="6"/>
                <w:color w:val="auto"/>
              </w:rPr>
            </w:pPr>
          </w:p>
        </w:tc>
        <w:tc>
          <w:tcPr>
            <w:tcW w:w="400" w:type="dxa"/>
            <w:vAlign w:val="bottom"/>
          </w:tcPr>
          <w:p>
            <w:pPr>
              <w:spacing w:after="0"/>
              <w:rPr>
                <w:sz w:val="6"/>
                <w:szCs w:val="6"/>
                <w:color w:val="auto"/>
              </w:rPr>
            </w:pPr>
          </w:p>
        </w:tc>
        <w:tc>
          <w:tcPr>
            <w:tcW w:w="328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color w:val="auto"/>
              </w:rPr>
              <w:t>Disclosures (TCFD) Report</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3840" w:type="dxa"/>
            <w:vAlign w:val="bottom"/>
            <w:tcBorders>
              <w:left w:val="single" w:sz="8" w:color="auto"/>
              <w:right w:val="single" w:sz="8" w:color="auto"/>
            </w:tcBorders>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3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climate commitments</w:t>
            </w:r>
          </w:p>
        </w:tc>
        <w:tc>
          <w:tcPr>
            <w:tcW w:w="400" w:type="dxa"/>
            <w:vAlign w:val="bottom"/>
          </w:tcPr>
          <w:p>
            <w:pPr>
              <w:spacing w:after="0"/>
              <w:rPr>
                <w:sz w:val="9"/>
                <w:szCs w:val="9"/>
                <w:color w:val="auto"/>
              </w:rPr>
            </w:pPr>
          </w:p>
        </w:tc>
        <w:tc>
          <w:tcPr>
            <w:tcW w:w="328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260" w:type="dxa"/>
            <w:vAlign w:val="bottom"/>
            <w:tcBorders>
              <w:left w:val="single" w:sz="8" w:color="auto"/>
            </w:tcBorders>
          </w:tcPr>
          <w:p>
            <w:pPr>
              <w:spacing w:after="0"/>
              <w:rPr>
                <w:sz w:val="7"/>
                <w:szCs w:val="7"/>
                <w:color w:val="auto"/>
              </w:rPr>
            </w:pPr>
          </w:p>
        </w:tc>
        <w:tc>
          <w:tcPr>
            <w:tcW w:w="3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color w:val="auto"/>
              </w:rPr>
              <w:t>SDGs and published a report demonstrating our</w:t>
            </w:r>
          </w:p>
        </w:tc>
        <w:tc>
          <w:tcPr>
            <w:tcW w:w="220" w:type="dxa"/>
            <w:vAlign w:val="bottom"/>
          </w:tcPr>
          <w:p>
            <w:pPr>
              <w:spacing w:after="0"/>
              <w:rPr>
                <w:sz w:val="7"/>
                <w:szCs w:val="7"/>
                <w:color w:val="auto"/>
              </w:rPr>
            </w:pPr>
          </w:p>
        </w:tc>
        <w:tc>
          <w:tcPr>
            <w:tcW w:w="3500" w:type="dxa"/>
            <w:vAlign w:val="bottom"/>
            <w:tcBorders>
              <w:right w:val="single" w:sz="8" w:color="auto"/>
            </w:tcBorders>
            <w:vMerge w:val="continue"/>
          </w:tcPr>
          <w:p>
            <w:pPr>
              <w:spacing w:after="0"/>
              <w:rPr>
                <w:sz w:val="7"/>
                <w:szCs w:val="7"/>
                <w:color w:val="auto"/>
              </w:rPr>
            </w:pPr>
          </w:p>
        </w:tc>
        <w:tc>
          <w:tcPr>
            <w:tcW w:w="400" w:type="dxa"/>
            <w:vAlign w:val="bottom"/>
            <w:vMerge w:val="restart"/>
          </w:tcPr>
          <w:p>
            <w:pPr>
              <w:ind w:left="260"/>
              <w:spacing w:after="0"/>
              <w:rPr>
                <w:sz w:val="20"/>
                <w:szCs w:val="20"/>
                <w:color w:val="auto"/>
              </w:rPr>
            </w:pPr>
            <w:r>
              <w:rPr>
                <w:rFonts w:ascii="Arial" w:cs="Arial" w:eastAsia="Arial" w:hAnsi="Arial"/>
                <w:sz w:val="16"/>
                <w:szCs w:val="16"/>
                <w:color w:val="16479F"/>
              </w:rPr>
              <w:t>●</w:t>
            </w:r>
          </w:p>
        </w:tc>
        <w:tc>
          <w:tcPr>
            <w:tcW w:w="328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color w:val="auto"/>
              </w:rPr>
              <w:t>Third CDP report, with an improved grade of</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60" w:type="dxa"/>
            <w:vAlign w:val="bottom"/>
            <w:tcBorders>
              <w:left w:val="single" w:sz="8" w:color="auto"/>
            </w:tcBorders>
          </w:tcPr>
          <w:p>
            <w:pPr>
              <w:spacing w:after="0"/>
              <w:rPr>
                <w:sz w:val="8"/>
                <w:szCs w:val="8"/>
                <w:color w:val="auto"/>
              </w:rPr>
            </w:pPr>
          </w:p>
        </w:tc>
        <w:tc>
          <w:tcPr>
            <w:tcW w:w="3580" w:type="dxa"/>
            <w:vAlign w:val="bottom"/>
            <w:tcBorders>
              <w:right w:val="single" w:sz="8" w:color="auto"/>
            </w:tcBorders>
            <w:vMerge w:val="continue"/>
          </w:tcPr>
          <w:p>
            <w:pPr>
              <w:spacing w:after="0"/>
              <w:rPr>
                <w:sz w:val="8"/>
                <w:szCs w:val="8"/>
                <w:color w:val="auto"/>
              </w:rPr>
            </w:pPr>
          </w:p>
        </w:tc>
        <w:tc>
          <w:tcPr>
            <w:tcW w:w="372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6"/>
                <w:szCs w:val="16"/>
                <w:color w:val="16479F"/>
              </w:rPr>
              <w:t xml:space="preserve">● </w:t>
            </w:r>
            <w:r>
              <w:rPr>
                <w:rFonts w:ascii="Arial" w:cs="Arial" w:eastAsia="Arial" w:hAnsi="Arial"/>
                <w:sz w:val="16"/>
                <w:szCs w:val="16"/>
                <w:color w:val="000000"/>
              </w:rPr>
              <w:t>Enhanced our risk management framework to</w:t>
            </w:r>
          </w:p>
        </w:tc>
        <w:tc>
          <w:tcPr>
            <w:tcW w:w="400" w:type="dxa"/>
            <w:vAlign w:val="bottom"/>
            <w:vMerge w:val="continue"/>
          </w:tcPr>
          <w:p>
            <w:pPr>
              <w:spacing w:after="0"/>
              <w:rPr>
                <w:sz w:val="8"/>
                <w:szCs w:val="8"/>
                <w:color w:val="auto"/>
              </w:rPr>
            </w:pPr>
          </w:p>
        </w:tc>
        <w:tc>
          <w:tcPr>
            <w:tcW w:w="3280" w:type="dxa"/>
            <w:vAlign w:val="bottom"/>
            <w:tcBorders>
              <w:right w:val="single" w:sz="8" w:color="auto"/>
            </w:tcBorders>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60" w:type="dxa"/>
            <w:vAlign w:val="bottom"/>
            <w:tcBorders>
              <w:left w:val="single" w:sz="8" w:color="auto"/>
            </w:tcBorders>
          </w:tcPr>
          <w:p>
            <w:pPr>
              <w:spacing w:after="0"/>
              <w:rPr>
                <w:sz w:val="4"/>
                <w:szCs w:val="4"/>
                <w:color w:val="auto"/>
              </w:rPr>
            </w:pPr>
          </w:p>
        </w:tc>
        <w:tc>
          <w:tcPr>
            <w:tcW w:w="3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color w:val="auto"/>
              </w:rPr>
              <w:t>contribution to four SDGs, using metrics aligned</w:t>
            </w:r>
          </w:p>
        </w:tc>
        <w:tc>
          <w:tcPr>
            <w:tcW w:w="3720" w:type="dxa"/>
            <w:vAlign w:val="bottom"/>
            <w:tcBorders>
              <w:right w:val="single" w:sz="8" w:color="auto"/>
            </w:tcBorders>
            <w:gridSpan w:val="2"/>
            <w:vMerge w:val="continue"/>
          </w:tcPr>
          <w:p>
            <w:pPr>
              <w:spacing w:after="0"/>
              <w:rPr>
                <w:sz w:val="4"/>
                <w:szCs w:val="4"/>
                <w:color w:val="auto"/>
              </w:rPr>
            </w:pPr>
          </w:p>
        </w:tc>
        <w:tc>
          <w:tcPr>
            <w:tcW w:w="400" w:type="dxa"/>
            <w:vAlign w:val="bottom"/>
            <w:vMerge w:val="continue"/>
          </w:tcPr>
          <w:p>
            <w:pPr>
              <w:spacing w:after="0"/>
              <w:rPr>
                <w:sz w:val="4"/>
                <w:szCs w:val="4"/>
                <w:color w:val="auto"/>
              </w:rPr>
            </w:pPr>
          </w:p>
        </w:tc>
        <w:tc>
          <w:tcPr>
            <w:tcW w:w="328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60" w:type="dxa"/>
            <w:vAlign w:val="bottom"/>
            <w:tcBorders>
              <w:left w:val="single" w:sz="8" w:color="auto"/>
            </w:tcBorders>
          </w:tcPr>
          <w:p>
            <w:pPr>
              <w:spacing w:after="0"/>
              <w:rPr>
                <w:sz w:val="6"/>
                <w:szCs w:val="6"/>
                <w:color w:val="auto"/>
              </w:rPr>
            </w:pPr>
          </w:p>
        </w:tc>
        <w:tc>
          <w:tcPr>
            <w:tcW w:w="3580" w:type="dxa"/>
            <w:vAlign w:val="bottom"/>
            <w:tcBorders>
              <w:right w:val="single" w:sz="8" w:color="auto"/>
            </w:tcBorders>
            <w:vMerge w:val="continue"/>
          </w:tcPr>
          <w:p>
            <w:pPr>
              <w:spacing w:after="0"/>
              <w:rPr>
                <w:sz w:val="6"/>
                <w:szCs w:val="6"/>
                <w:color w:val="auto"/>
              </w:rPr>
            </w:pPr>
          </w:p>
        </w:tc>
        <w:tc>
          <w:tcPr>
            <w:tcW w:w="3720" w:type="dxa"/>
            <w:vAlign w:val="bottom"/>
            <w:tcBorders>
              <w:right w:val="single" w:sz="8" w:color="auto"/>
            </w:tcBorders>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328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color w:val="auto"/>
              </w:rPr>
              <w:t>A-</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260" w:type="dxa"/>
            <w:vAlign w:val="bottom"/>
            <w:tcBorders>
              <w:left w:val="single" w:sz="8" w:color="auto"/>
            </w:tcBorders>
          </w:tcPr>
          <w:p>
            <w:pPr>
              <w:spacing w:after="0"/>
              <w:rPr>
                <w:sz w:val="4"/>
                <w:szCs w:val="4"/>
                <w:color w:val="auto"/>
              </w:rPr>
            </w:pPr>
          </w:p>
        </w:tc>
        <w:tc>
          <w:tcPr>
            <w:tcW w:w="3580" w:type="dxa"/>
            <w:vAlign w:val="bottom"/>
            <w:tcBorders>
              <w:right w:val="single" w:sz="8" w:color="auto"/>
            </w:tcBorders>
            <w:vMerge w:val="continue"/>
          </w:tcPr>
          <w:p>
            <w:pPr>
              <w:spacing w:after="0"/>
              <w:rPr>
                <w:sz w:val="4"/>
                <w:szCs w:val="4"/>
                <w:color w:val="auto"/>
              </w:rPr>
            </w:pPr>
          </w:p>
        </w:tc>
        <w:tc>
          <w:tcPr>
            <w:tcW w:w="220" w:type="dxa"/>
            <w:vAlign w:val="bottom"/>
          </w:tcPr>
          <w:p>
            <w:pPr>
              <w:spacing w:after="0"/>
              <w:rPr>
                <w:sz w:val="4"/>
                <w:szCs w:val="4"/>
                <w:color w:val="auto"/>
              </w:rPr>
            </w:pPr>
          </w:p>
        </w:tc>
        <w:tc>
          <w:tcPr>
            <w:tcW w:w="3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include reporting on climate considerations</w:t>
            </w:r>
          </w:p>
        </w:tc>
        <w:tc>
          <w:tcPr>
            <w:tcW w:w="400" w:type="dxa"/>
            <w:vAlign w:val="bottom"/>
          </w:tcPr>
          <w:p>
            <w:pPr>
              <w:spacing w:after="0"/>
              <w:rPr>
                <w:sz w:val="4"/>
                <w:szCs w:val="4"/>
                <w:color w:val="auto"/>
              </w:rPr>
            </w:pPr>
          </w:p>
        </w:tc>
        <w:tc>
          <w:tcPr>
            <w:tcW w:w="328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60" w:type="dxa"/>
            <w:vAlign w:val="bottom"/>
            <w:tcBorders>
              <w:left w:val="single" w:sz="8" w:color="auto"/>
            </w:tcBorders>
          </w:tcPr>
          <w:p>
            <w:pPr>
              <w:spacing w:after="0"/>
              <w:rPr>
                <w:sz w:val="5"/>
                <w:szCs w:val="5"/>
                <w:color w:val="auto"/>
              </w:rPr>
            </w:pPr>
          </w:p>
        </w:tc>
        <w:tc>
          <w:tcPr>
            <w:tcW w:w="3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color w:val="auto"/>
              </w:rPr>
              <w:t>with our proprietary methodology to assess the</w:t>
            </w:r>
          </w:p>
        </w:tc>
        <w:tc>
          <w:tcPr>
            <w:tcW w:w="220" w:type="dxa"/>
            <w:vAlign w:val="bottom"/>
          </w:tcPr>
          <w:p>
            <w:pPr>
              <w:spacing w:after="0"/>
              <w:rPr>
                <w:sz w:val="5"/>
                <w:szCs w:val="5"/>
                <w:color w:val="auto"/>
              </w:rPr>
            </w:pPr>
          </w:p>
        </w:tc>
        <w:tc>
          <w:tcPr>
            <w:tcW w:w="3500" w:type="dxa"/>
            <w:vAlign w:val="bottom"/>
            <w:tcBorders>
              <w:right w:val="single" w:sz="8" w:color="auto"/>
            </w:tcBorders>
            <w:vMerge w:val="continue"/>
          </w:tcPr>
          <w:p>
            <w:pPr>
              <w:spacing w:after="0"/>
              <w:rPr>
                <w:sz w:val="5"/>
                <w:szCs w:val="5"/>
                <w:color w:val="auto"/>
              </w:rPr>
            </w:pPr>
          </w:p>
        </w:tc>
        <w:tc>
          <w:tcPr>
            <w:tcW w:w="400" w:type="dxa"/>
            <w:vAlign w:val="bottom"/>
          </w:tcPr>
          <w:p>
            <w:pPr>
              <w:spacing w:after="0"/>
              <w:rPr>
                <w:sz w:val="5"/>
                <w:szCs w:val="5"/>
                <w:color w:val="auto"/>
              </w:rPr>
            </w:pPr>
          </w:p>
        </w:tc>
        <w:tc>
          <w:tcPr>
            <w:tcW w:w="3280" w:type="dxa"/>
            <w:vAlign w:val="bottom"/>
            <w:tcBorders>
              <w:right w:val="single" w:sz="8" w:color="auto"/>
            </w:tcBorders>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60" w:type="dxa"/>
            <w:vAlign w:val="bottom"/>
            <w:tcBorders>
              <w:left w:val="single" w:sz="8" w:color="auto"/>
            </w:tcBorders>
          </w:tcPr>
          <w:p>
            <w:pPr>
              <w:spacing w:after="0"/>
              <w:rPr>
                <w:sz w:val="6"/>
                <w:szCs w:val="6"/>
                <w:color w:val="auto"/>
              </w:rPr>
            </w:pPr>
          </w:p>
        </w:tc>
        <w:tc>
          <w:tcPr>
            <w:tcW w:w="3580" w:type="dxa"/>
            <w:vAlign w:val="bottom"/>
            <w:tcBorders>
              <w:right w:val="single" w:sz="8" w:color="auto"/>
            </w:tcBorders>
            <w:vMerge w:val="continue"/>
          </w:tcPr>
          <w:p>
            <w:pPr>
              <w:spacing w:after="0"/>
              <w:rPr>
                <w:sz w:val="6"/>
                <w:szCs w:val="6"/>
                <w:color w:val="auto"/>
              </w:rPr>
            </w:pPr>
          </w:p>
        </w:tc>
        <w:tc>
          <w:tcPr>
            <w:tcW w:w="220" w:type="dxa"/>
            <w:vAlign w:val="bottom"/>
          </w:tcPr>
          <w:p>
            <w:pPr>
              <w:spacing w:after="0"/>
              <w:rPr>
                <w:sz w:val="6"/>
                <w:szCs w:val="6"/>
                <w:color w:val="auto"/>
              </w:rPr>
            </w:pPr>
          </w:p>
        </w:tc>
        <w:tc>
          <w:tcPr>
            <w:tcW w:w="3500" w:type="dxa"/>
            <w:vAlign w:val="bottom"/>
            <w:tcBorders>
              <w:right w:val="single" w:sz="8" w:color="auto"/>
            </w:tcBorders>
            <w:vMerge w:val="continue"/>
          </w:tcPr>
          <w:p>
            <w:pPr>
              <w:spacing w:after="0"/>
              <w:rPr>
                <w:sz w:val="6"/>
                <w:szCs w:val="6"/>
                <w:color w:val="auto"/>
              </w:rPr>
            </w:pPr>
          </w:p>
        </w:tc>
        <w:tc>
          <w:tcPr>
            <w:tcW w:w="3680" w:type="dxa"/>
            <w:vAlign w:val="bottom"/>
            <w:tcBorders>
              <w:right w:val="single" w:sz="8" w:color="auto"/>
            </w:tcBorders>
            <w:gridSpan w:val="2"/>
            <w:vMerge w:val="restart"/>
          </w:tcPr>
          <w:p>
            <w:pPr>
              <w:ind w:left="260"/>
              <w:spacing w:after="0"/>
              <w:rPr>
                <w:sz w:val="20"/>
                <w:szCs w:val="20"/>
                <w:color w:val="auto"/>
              </w:rPr>
            </w:pPr>
            <w:r>
              <w:rPr>
                <w:rFonts w:ascii="Arial" w:cs="Arial" w:eastAsia="Arial" w:hAnsi="Arial"/>
                <w:sz w:val="16"/>
                <w:szCs w:val="16"/>
                <w:color w:val="16479F"/>
              </w:rPr>
              <w:t xml:space="preserve">● </w:t>
            </w:r>
            <w:r>
              <w:rPr>
                <w:rFonts w:ascii="Arial" w:cs="Arial" w:eastAsia="Arial" w:hAnsi="Arial"/>
                <w:sz w:val="16"/>
                <w:szCs w:val="16"/>
                <w:color w:val="000000"/>
              </w:rPr>
              <w:t>SASB guide</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260" w:type="dxa"/>
            <w:vAlign w:val="bottom"/>
            <w:tcBorders>
              <w:left w:val="single" w:sz="8" w:color="auto"/>
            </w:tcBorders>
          </w:tcPr>
          <w:p>
            <w:pPr>
              <w:spacing w:after="0"/>
              <w:rPr>
                <w:sz w:val="4"/>
                <w:szCs w:val="4"/>
                <w:color w:val="auto"/>
              </w:rPr>
            </w:pPr>
          </w:p>
        </w:tc>
        <w:tc>
          <w:tcPr>
            <w:tcW w:w="3580" w:type="dxa"/>
            <w:vAlign w:val="bottom"/>
            <w:tcBorders>
              <w:right w:val="single" w:sz="8" w:color="auto"/>
            </w:tcBorders>
            <w:vMerge w:val="continue"/>
          </w:tcPr>
          <w:p>
            <w:pPr>
              <w:spacing w:after="0"/>
              <w:rPr>
                <w:sz w:val="4"/>
                <w:szCs w:val="4"/>
                <w:color w:val="auto"/>
              </w:rPr>
            </w:pPr>
          </w:p>
        </w:tc>
        <w:tc>
          <w:tcPr>
            <w:tcW w:w="220" w:type="dxa"/>
            <w:vAlign w:val="bottom"/>
          </w:tcPr>
          <w:p>
            <w:pPr>
              <w:spacing w:after="0"/>
              <w:rPr>
                <w:sz w:val="4"/>
                <w:szCs w:val="4"/>
                <w:color w:val="auto"/>
              </w:rPr>
            </w:pPr>
          </w:p>
        </w:tc>
        <w:tc>
          <w:tcPr>
            <w:tcW w:w="3500" w:type="dxa"/>
            <w:vAlign w:val="bottom"/>
            <w:tcBorders>
              <w:right w:val="single" w:sz="8" w:color="auto"/>
            </w:tcBorders>
          </w:tcPr>
          <w:p>
            <w:pPr>
              <w:spacing w:after="0"/>
              <w:rPr>
                <w:sz w:val="4"/>
                <w:szCs w:val="4"/>
                <w:color w:val="auto"/>
              </w:rPr>
            </w:pPr>
          </w:p>
        </w:tc>
        <w:tc>
          <w:tcPr>
            <w:tcW w:w="3680" w:type="dxa"/>
            <w:vAlign w:val="bottom"/>
            <w:tcBorders>
              <w:right w:val="single" w:sz="8" w:color="auto"/>
            </w:tcBorders>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3"/>
        </w:trPr>
        <w:tc>
          <w:tcPr>
            <w:tcW w:w="260" w:type="dxa"/>
            <w:vAlign w:val="bottom"/>
            <w:tcBorders>
              <w:left w:val="single" w:sz="8" w:color="auto"/>
            </w:tcBorders>
          </w:tcPr>
          <w:p>
            <w:pPr>
              <w:spacing w:after="0"/>
              <w:rPr>
                <w:sz w:val="9"/>
                <w:szCs w:val="9"/>
                <w:color w:val="auto"/>
              </w:rPr>
            </w:pPr>
          </w:p>
        </w:tc>
        <w:tc>
          <w:tcPr>
            <w:tcW w:w="3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color w:val="auto"/>
              </w:rPr>
              <w:t>SDG alignment of corporates</w:t>
            </w:r>
          </w:p>
        </w:tc>
        <w:tc>
          <w:tcPr>
            <w:tcW w:w="220" w:type="dxa"/>
            <w:vAlign w:val="bottom"/>
            <w:vMerge w:val="restart"/>
          </w:tcPr>
          <w:p>
            <w:pPr>
              <w:ind w:left="80"/>
              <w:spacing w:after="0"/>
              <w:rPr>
                <w:sz w:val="20"/>
                <w:szCs w:val="20"/>
                <w:color w:val="auto"/>
              </w:rPr>
            </w:pPr>
            <w:r>
              <w:rPr>
                <w:rFonts w:ascii="Arial" w:cs="Arial" w:eastAsia="Arial" w:hAnsi="Arial"/>
                <w:sz w:val="16"/>
                <w:szCs w:val="16"/>
                <w:color w:val="16479F"/>
              </w:rPr>
              <w:t>●</w:t>
            </w:r>
          </w:p>
        </w:tc>
        <w:tc>
          <w:tcPr>
            <w:tcW w:w="3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Enhanced our corporate responsibility</w:t>
            </w:r>
          </w:p>
        </w:tc>
        <w:tc>
          <w:tcPr>
            <w:tcW w:w="3680" w:type="dxa"/>
            <w:vAlign w:val="bottom"/>
            <w:tcBorders>
              <w:right w:val="single" w:sz="8" w:color="auto"/>
            </w:tcBorders>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260" w:type="dxa"/>
            <w:vAlign w:val="bottom"/>
            <w:tcBorders>
              <w:left w:val="single" w:sz="8" w:color="auto"/>
            </w:tcBorders>
          </w:tcPr>
          <w:p>
            <w:pPr>
              <w:spacing w:after="0"/>
              <w:rPr>
                <w:sz w:val="6"/>
                <w:szCs w:val="6"/>
                <w:color w:val="auto"/>
              </w:rPr>
            </w:pPr>
          </w:p>
        </w:tc>
        <w:tc>
          <w:tcPr>
            <w:tcW w:w="3580" w:type="dxa"/>
            <w:vAlign w:val="bottom"/>
            <w:tcBorders>
              <w:right w:val="single" w:sz="8" w:color="auto"/>
            </w:tcBorders>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3500" w:type="dxa"/>
            <w:vAlign w:val="bottom"/>
            <w:tcBorders>
              <w:right w:val="single" w:sz="8" w:color="auto"/>
            </w:tcBorders>
            <w:vMerge w:val="continue"/>
          </w:tcPr>
          <w:p>
            <w:pPr>
              <w:spacing w:after="0"/>
              <w:rPr>
                <w:sz w:val="6"/>
                <w:szCs w:val="6"/>
                <w:color w:val="auto"/>
              </w:rPr>
            </w:pPr>
          </w:p>
        </w:tc>
        <w:tc>
          <w:tcPr>
            <w:tcW w:w="400" w:type="dxa"/>
            <w:vAlign w:val="bottom"/>
            <w:vMerge w:val="restart"/>
          </w:tcPr>
          <w:p>
            <w:pPr>
              <w:ind w:left="260"/>
              <w:spacing w:after="0"/>
              <w:rPr>
                <w:sz w:val="20"/>
                <w:szCs w:val="20"/>
                <w:color w:val="auto"/>
              </w:rPr>
            </w:pPr>
            <w:r>
              <w:rPr>
                <w:rFonts w:ascii="Arial" w:cs="Arial" w:eastAsia="Arial" w:hAnsi="Arial"/>
                <w:sz w:val="16"/>
                <w:szCs w:val="16"/>
                <w:color w:val="16479F"/>
              </w:rPr>
              <w:t>●</w:t>
            </w:r>
          </w:p>
        </w:tc>
        <w:tc>
          <w:tcPr>
            <w:tcW w:w="328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color w:val="auto"/>
              </w:rPr>
              <w:t>Sustainable Finance Disclosure Regulation</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260" w:type="dxa"/>
            <w:vAlign w:val="bottom"/>
            <w:tcBorders>
              <w:left w:val="single" w:sz="8" w:color="auto"/>
            </w:tcBorders>
            <w:vMerge w:val="restart"/>
          </w:tcPr>
          <w:p>
            <w:pPr>
              <w:ind w:left="100"/>
              <w:spacing w:after="0"/>
              <w:rPr>
                <w:sz w:val="20"/>
                <w:szCs w:val="20"/>
                <w:color w:val="auto"/>
              </w:rPr>
            </w:pPr>
            <w:r>
              <w:rPr>
                <w:rFonts w:ascii="Arial" w:cs="Arial" w:eastAsia="Arial" w:hAnsi="Arial"/>
                <w:sz w:val="16"/>
                <w:szCs w:val="16"/>
                <w:color w:val="16479F"/>
              </w:rPr>
              <w:t>●</w:t>
            </w:r>
          </w:p>
        </w:tc>
        <w:tc>
          <w:tcPr>
            <w:tcW w:w="3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color w:val="auto"/>
              </w:rPr>
              <w:t>Updated our Environmental Policy to include our</w:t>
            </w:r>
          </w:p>
        </w:tc>
        <w:tc>
          <w:tcPr>
            <w:tcW w:w="220" w:type="dxa"/>
            <w:vAlign w:val="bottom"/>
          </w:tcPr>
          <w:p>
            <w:pPr>
              <w:spacing w:after="0"/>
              <w:rPr>
                <w:sz w:val="13"/>
                <w:szCs w:val="13"/>
                <w:color w:val="auto"/>
              </w:rPr>
            </w:pPr>
          </w:p>
        </w:tc>
        <w:tc>
          <w:tcPr>
            <w:tcW w:w="3500" w:type="dxa"/>
            <w:vAlign w:val="bottom"/>
            <w:tcBorders>
              <w:right w:val="single" w:sz="8" w:color="auto"/>
            </w:tcBorders>
          </w:tcPr>
          <w:p>
            <w:pPr>
              <w:ind w:left="60"/>
              <w:spacing w:after="0" w:line="161" w:lineRule="exact"/>
              <w:rPr>
                <w:sz w:val="20"/>
                <w:szCs w:val="20"/>
                <w:color w:val="auto"/>
              </w:rPr>
            </w:pPr>
            <w:r>
              <w:rPr>
                <w:rFonts w:ascii="Arial" w:cs="Arial" w:eastAsia="Arial" w:hAnsi="Arial"/>
                <w:sz w:val="16"/>
                <w:szCs w:val="16"/>
                <w:color w:val="auto"/>
              </w:rPr>
              <w:t>governance by creating a Corporate</w:t>
            </w:r>
          </w:p>
        </w:tc>
        <w:tc>
          <w:tcPr>
            <w:tcW w:w="400" w:type="dxa"/>
            <w:vAlign w:val="bottom"/>
            <w:vMerge w:val="continue"/>
          </w:tcPr>
          <w:p>
            <w:pPr>
              <w:spacing w:after="0"/>
              <w:rPr>
                <w:sz w:val="13"/>
                <w:szCs w:val="13"/>
                <w:color w:val="auto"/>
              </w:rPr>
            </w:pPr>
          </w:p>
        </w:tc>
        <w:tc>
          <w:tcPr>
            <w:tcW w:w="328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260" w:type="dxa"/>
            <w:vAlign w:val="bottom"/>
            <w:tcBorders>
              <w:left w:val="single" w:sz="8" w:color="auto"/>
            </w:tcBorders>
            <w:vMerge w:val="continue"/>
          </w:tcPr>
          <w:p>
            <w:pPr>
              <w:spacing w:after="0"/>
              <w:rPr>
                <w:sz w:val="6"/>
                <w:szCs w:val="6"/>
                <w:color w:val="auto"/>
              </w:rPr>
            </w:pPr>
          </w:p>
        </w:tc>
        <w:tc>
          <w:tcPr>
            <w:tcW w:w="3580" w:type="dxa"/>
            <w:vAlign w:val="bottom"/>
            <w:tcBorders>
              <w:right w:val="single" w:sz="8" w:color="auto"/>
            </w:tcBorders>
            <w:vMerge w:val="continue"/>
          </w:tcPr>
          <w:p>
            <w:pPr>
              <w:spacing w:after="0"/>
              <w:rPr>
                <w:sz w:val="6"/>
                <w:szCs w:val="6"/>
                <w:color w:val="auto"/>
              </w:rPr>
            </w:pPr>
          </w:p>
        </w:tc>
        <w:tc>
          <w:tcPr>
            <w:tcW w:w="220" w:type="dxa"/>
            <w:vAlign w:val="bottom"/>
          </w:tcPr>
          <w:p>
            <w:pPr>
              <w:spacing w:after="0"/>
              <w:rPr>
                <w:sz w:val="6"/>
                <w:szCs w:val="6"/>
                <w:color w:val="auto"/>
              </w:rPr>
            </w:pPr>
          </w:p>
        </w:tc>
        <w:tc>
          <w:tcPr>
            <w:tcW w:w="3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Responsibility Policy Committee</w:t>
            </w:r>
          </w:p>
        </w:tc>
        <w:tc>
          <w:tcPr>
            <w:tcW w:w="400" w:type="dxa"/>
            <w:vAlign w:val="bottom"/>
          </w:tcPr>
          <w:p>
            <w:pPr>
              <w:spacing w:after="0"/>
              <w:rPr>
                <w:sz w:val="6"/>
                <w:szCs w:val="6"/>
                <w:color w:val="auto"/>
              </w:rPr>
            </w:pPr>
          </w:p>
        </w:tc>
        <w:tc>
          <w:tcPr>
            <w:tcW w:w="328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color w:val="auto"/>
              </w:rPr>
              <w:t>(SFDR) Report</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60" w:type="dxa"/>
            <w:vAlign w:val="bottom"/>
            <w:tcBorders>
              <w:left w:val="single" w:sz="8" w:color="auto"/>
            </w:tcBorders>
          </w:tcPr>
          <w:p>
            <w:pPr>
              <w:spacing w:after="0"/>
              <w:rPr>
                <w:sz w:val="12"/>
                <w:szCs w:val="12"/>
                <w:color w:val="auto"/>
              </w:rPr>
            </w:pPr>
          </w:p>
        </w:tc>
        <w:tc>
          <w:tcPr>
            <w:tcW w:w="3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color w:val="auto"/>
              </w:rPr>
              <w:t>net-zero commitment</w:t>
            </w:r>
          </w:p>
        </w:tc>
        <w:tc>
          <w:tcPr>
            <w:tcW w:w="220" w:type="dxa"/>
            <w:vAlign w:val="bottom"/>
          </w:tcPr>
          <w:p>
            <w:pPr>
              <w:spacing w:after="0"/>
              <w:rPr>
                <w:sz w:val="12"/>
                <w:szCs w:val="12"/>
                <w:color w:val="auto"/>
              </w:rPr>
            </w:pPr>
          </w:p>
        </w:tc>
        <w:tc>
          <w:tcPr>
            <w:tcW w:w="3500" w:type="dxa"/>
            <w:vAlign w:val="bottom"/>
            <w:tcBorders>
              <w:right w:val="single" w:sz="8" w:color="auto"/>
            </w:tcBorders>
            <w:vMerge w:val="continue"/>
          </w:tcPr>
          <w:p>
            <w:pPr>
              <w:spacing w:after="0"/>
              <w:rPr>
                <w:sz w:val="12"/>
                <w:szCs w:val="12"/>
                <w:color w:val="auto"/>
              </w:rPr>
            </w:pPr>
          </w:p>
        </w:tc>
        <w:tc>
          <w:tcPr>
            <w:tcW w:w="400" w:type="dxa"/>
            <w:vAlign w:val="bottom"/>
          </w:tcPr>
          <w:p>
            <w:pPr>
              <w:spacing w:after="0"/>
              <w:rPr>
                <w:sz w:val="12"/>
                <w:szCs w:val="12"/>
                <w:color w:val="auto"/>
              </w:rPr>
            </w:pPr>
          </w:p>
        </w:tc>
        <w:tc>
          <w:tcPr>
            <w:tcW w:w="328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60" w:type="dxa"/>
            <w:vAlign w:val="bottom"/>
            <w:tcBorders>
              <w:left w:val="single" w:sz="8" w:color="auto"/>
            </w:tcBorders>
          </w:tcPr>
          <w:p>
            <w:pPr>
              <w:spacing w:after="0"/>
              <w:rPr>
                <w:sz w:val="4"/>
                <w:szCs w:val="4"/>
                <w:color w:val="auto"/>
              </w:rPr>
            </w:pPr>
          </w:p>
        </w:tc>
        <w:tc>
          <w:tcPr>
            <w:tcW w:w="3580" w:type="dxa"/>
            <w:vAlign w:val="bottom"/>
            <w:tcBorders>
              <w:right w:val="single" w:sz="8" w:color="auto"/>
            </w:tcBorders>
            <w:vMerge w:val="continue"/>
          </w:tcPr>
          <w:p>
            <w:pPr>
              <w:spacing w:after="0"/>
              <w:rPr>
                <w:sz w:val="4"/>
                <w:szCs w:val="4"/>
                <w:color w:val="auto"/>
              </w:rPr>
            </w:pPr>
          </w:p>
        </w:tc>
        <w:tc>
          <w:tcPr>
            <w:tcW w:w="220" w:type="dxa"/>
            <w:vAlign w:val="bottom"/>
            <w:vMerge w:val="restart"/>
          </w:tcPr>
          <w:p>
            <w:pPr>
              <w:ind w:left="80"/>
              <w:spacing w:after="0"/>
              <w:rPr>
                <w:sz w:val="20"/>
                <w:szCs w:val="20"/>
                <w:color w:val="auto"/>
              </w:rPr>
            </w:pPr>
            <w:r>
              <w:rPr>
                <w:rFonts w:ascii="Arial" w:cs="Arial" w:eastAsia="Arial" w:hAnsi="Arial"/>
                <w:sz w:val="16"/>
                <w:szCs w:val="16"/>
                <w:color w:val="16479F"/>
              </w:rPr>
              <w:t>●</w:t>
            </w:r>
          </w:p>
        </w:tc>
        <w:tc>
          <w:tcPr>
            <w:tcW w:w="3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Conducted Board education sessions on</w:t>
            </w:r>
          </w:p>
        </w:tc>
        <w:tc>
          <w:tcPr>
            <w:tcW w:w="400" w:type="dxa"/>
            <w:vAlign w:val="bottom"/>
            <w:vMerge w:val="restart"/>
          </w:tcPr>
          <w:p>
            <w:pPr>
              <w:ind w:left="260"/>
              <w:spacing w:after="0"/>
              <w:rPr>
                <w:sz w:val="20"/>
                <w:szCs w:val="20"/>
                <w:color w:val="auto"/>
              </w:rPr>
            </w:pPr>
            <w:r>
              <w:rPr>
                <w:rFonts w:ascii="Arial" w:cs="Arial" w:eastAsia="Arial" w:hAnsi="Arial"/>
                <w:sz w:val="16"/>
                <w:szCs w:val="16"/>
                <w:color w:val="16479F"/>
              </w:rPr>
              <w:t>●</w:t>
            </w:r>
          </w:p>
        </w:tc>
        <w:tc>
          <w:tcPr>
            <w:tcW w:w="328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color w:val="auto"/>
              </w:rPr>
              <w:t>Fifth UN PRI questionnaire</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3840" w:type="dxa"/>
            <w:vAlign w:val="bottom"/>
            <w:tcBorders>
              <w:left w:val="single" w:sz="8" w:color="auto"/>
              <w:right w:val="single" w:sz="8" w:color="auto"/>
            </w:tcBorders>
            <w:gridSpan w:val="2"/>
            <w:vMerge w:val="restart"/>
          </w:tcPr>
          <w:p>
            <w:pPr>
              <w:ind w:left="100"/>
              <w:spacing w:after="0"/>
              <w:rPr>
                <w:sz w:val="20"/>
                <w:szCs w:val="20"/>
                <w:color w:val="auto"/>
              </w:rPr>
            </w:pPr>
            <w:r>
              <w:rPr>
                <w:rFonts w:ascii="Arial" w:cs="Arial" w:eastAsia="Arial" w:hAnsi="Arial"/>
                <w:sz w:val="16"/>
                <w:szCs w:val="16"/>
                <w:color w:val="16479F"/>
              </w:rPr>
              <w:t xml:space="preserve">● </w:t>
            </w:r>
            <w:r>
              <w:rPr>
                <w:rFonts w:ascii="Arial" w:cs="Arial" w:eastAsia="Arial" w:hAnsi="Arial"/>
                <w:sz w:val="16"/>
                <w:szCs w:val="16"/>
                <w:color w:val="000000"/>
              </w:rPr>
              <w:t>Updated our Supplier Code of Conduct to</w:t>
            </w:r>
          </w:p>
        </w:tc>
        <w:tc>
          <w:tcPr>
            <w:tcW w:w="220" w:type="dxa"/>
            <w:vAlign w:val="bottom"/>
            <w:vMerge w:val="continue"/>
          </w:tcPr>
          <w:p>
            <w:pPr>
              <w:spacing w:after="0"/>
              <w:rPr>
                <w:sz w:val="15"/>
                <w:szCs w:val="15"/>
                <w:color w:val="auto"/>
              </w:rPr>
            </w:pPr>
          </w:p>
        </w:tc>
        <w:tc>
          <w:tcPr>
            <w:tcW w:w="3500" w:type="dxa"/>
            <w:vAlign w:val="bottom"/>
            <w:tcBorders>
              <w:right w:val="single" w:sz="8" w:color="auto"/>
            </w:tcBorders>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328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3840" w:type="dxa"/>
            <w:vAlign w:val="bottom"/>
            <w:tcBorders>
              <w:left w:val="single" w:sz="8" w:color="auto"/>
              <w:right w:val="single" w:sz="8" w:color="auto"/>
            </w:tcBorders>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3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climate</w:t>
            </w:r>
          </w:p>
        </w:tc>
        <w:tc>
          <w:tcPr>
            <w:tcW w:w="400" w:type="dxa"/>
            <w:vAlign w:val="bottom"/>
          </w:tcPr>
          <w:p>
            <w:pPr>
              <w:spacing w:after="0"/>
              <w:rPr>
                <w:sz w:val="4"/>
                <w:szCs w:val="4"/>
                <w:color w:val="auto"/>
              </w:rPr>
            </w:pPr>
          </w:p>
        </w:tc>
        <w:tc>
          <w:tcPr>
            <w:tcW w:w="328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260" w:type="dxa"/>
            <w:vAlign w:val="bottom"/>
            <w:tcBorders>
              <w:left w:val="single" w:sz="8" w:color="auto"/>
            </w:tcBorders>
          </w:tcPr>
          <w:p>
            <w:pPr>
              <w:spacing w:after="0"/>
              <w:rPr>
                <w:sz w:val="12"/>
                <w:szCs w:val="12"/>
                <w:color w:val="auto"/>
              </w:rPr>
            </w:pPr>
          </w:p>
        </w:tc>
        <w:tc>
          <w:tcPr>
            <w:tcW w:w="3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color w:val="auto"/>
              </w:rPr>
              <w:t>address emissions in MSCI’s supply chain</w:t>
            </w:r>
          </w:p>
        </w:tc>
        <w:tc>
          <w:tcPr>
            <w:tcW w:w="220" w:type="dxa"/>
            <w:vAlign w:val="bottom"/>
          </w:tcPr>
          <w:p>
            <w:pPr>
              <w:spacing w:after="0"/>
              <w:rPr>
                <w:sz w:val="12"/>
                <w:szCs w:val="12"/>
                <w:color w:val="auto"/>
              </w:rPr>
            </w:pPr>
          </w:p>
        </w:tc>
        <w:tc>
          <w:tcPr>
            <w:tcW w:w="3500" w:type="dxa"/>
            <w:vAlign w:val="bottom"/>
            <w:tcBorders>
              <w:right w:val="single" w:sz="8" w:color="auto"/>
            </w:tcBorders>
            <w:vMerge w:val="continue"/>
          </w:tcPr>
          <w:p>
            <w:pPr>
              <w:spacing w:after="0"/>
              <w:rPr>
                <w:sz w:val="12"/>
                <w:szCs w:val="12"/>
                <w:color w:val="auto"/>
              </w:rPr>
            </w:pPr>
          </w:p>
        </w:tc>
        <w:tc>
          <w:tcPr>
            <w:tcW w:w="400" w:type="dxa"/>
            <w:vAlign w:val="bottom"/>
          </w:tcPr>
          <w:p>
            <w:pPr>
              <w:spacing w:after="0"/>
              <w:rPr>
                <w:sz w:val="12"/>
                <w:szCs w:val="12"/>
                <w:color w:val="auto"/>
              </w:rPr>
            </w:pPr>
          </w:p>
        </w:tc>
        <w:tc>
          <w:tcPr>
            <w:tcW w:w="328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60" w:type="dxa"/>
            <w:vAlign w:val="bottom"/>
            <w:tcBorders>
              <w:left w:val="single" w:sz="8" w:color="auto"/>
            </w:tcBorders>
          </w:tcPr>
          <w:p>
            <w:pPr>
              <w:spacing w:after="0"/>
              <w:rPr>
                <w:sz w:val="4"/>
                <w:szCs w:val="4"/>
                <w:color w:val="auto"/>
              </w:rPr>
            </w:pPr>
          </w:p>
        </w:tc>
        <w:tc>
          <w:tcPr>
            <w:tcW w:w="3580" w:type="dxa"/>
            <w:vAlign w:val="bottom"/>
            <w:tcBorders>
              <w:right w:val="single" w:sz="8" w:color="auto"/>
            </w:tcBorders>
            <w:vMerge w:val="continue"/>
          </w:tcPr>
          <w:p>
            <w:pPr>
              <w:spacing w:after="0"/>
              <w:rPr>
                <w:sz w:val="4"/>
                <w:szCs w:val="4"/>
                <w:color w:val="auto"/>
              </w:rPr>
            </w:pPr>
          </w:p>
        </w:tc>
        <w:tc>
          <w:tcPr>
            <w:tcW w:w="220" w:type="dxa"/>
            <w:vAlign w:val="bottom"/>
            <w:vMerge w:val="restart"/>
          </w:tcPr>
          <w:p>
            <w:pPr>
              <w:ind w:left="80"/>
              <w:spacing w:after="0"/>
              <w:rPr>
                <w:sz w:val="20"/>
                <w:szCs w:val="20"/>
                <w:color w:val="auto"/>
              </w:rPr>
            </w:pPr>
            <w:r>
              <w:rPr>
                <w:rFonts w:ascii="Arial" w:cs="Arial" w:eastAsia="Arial" w:hAnsi="Arial"/>
                <w:sz w:val="16"/>
                <w:szCs w:val="16"/>
                <w:color w:val="16479F"/>
              </w:rPr>
              <w:t>●</w:t>
            </w:r>
          </w:p>
        </w:tc>
        <w:tc>
          <w:tcPr>
            <w:tcW w:w="3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Brought together corporates, pensions and</w:t>
            </w:r>
          </w:p>
        </w:tc>
        <w:tc>
          <w:tcPr>
            <w:tcW w:w="400" w:type="dxa"/>
            <w:vAlign w:val="bottom"/>
          </w:tcPr>
          <w:p>
            <w:pPr>
              <w:spacing w:after="0"/>
              <w:rPr>
                <w:sz w:val="4"/>
                <w:szCs w:val="4"/>
                <w:color w:val="auto"/>
              </w:rPr>
            </w:pPr>
          </w:p>
        </w:tc>
        <w:tc>
          <w:tcPr>
            <w:tcW w:w="328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60" w:type="dxa"/>
            <w:vAlign w:val="bottom"/>
            <w:tcBorders>
              <w:left w:val="single" w:sz="8" w:color="auto"/>
            </w:tcBorders>
            <w:vMerge w:val="restart"/>
          </w:tcPr>
          <w:p>
            <w:pPr>
              <w:ind w:left="100"/>
              <w:spacing w:after="0"/>
              <w:rPr>
                <w:sz w:val="20"/>
                <w:szCs w:val="20"/>
                <w:color w:val="auto"/>
              </w:rPr>
            </w:pPr>
            <w:r>
              <w:rPr>
                <w:rFonts w:ascii="Arial" w:cs="Arial" w:eastAsia="Arial" w:hAnsi="Arial"/>
                <w:sz w:val="16"/>
                <w:szCs w:val="16"/>
                <w:color w:val="16479F"/>
              </w:rPr>
              <w:t>●</w:t>
            </w:r>
          </w:p>
        </w:tc>
        <w:tc>
          <w:tcPr>
            <w:tcW w:w="3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color w:val="auto"/>
              </w:rPr>
              <w:t>Updated our Travel Policy to prioritize virtual</w:t>
            </w:r>
          </w:p>
        </w:tc>
        <w:tc>
          <w:tcPr>
            <w:tcW w:w="220" w:type="dxa"/>
            <w:vAlign w:val="bottom"/>
            <w:vMerge w:val="continue"/>
          </w:tcPr>
          <w:p>
            <w:pPr>
              <w:spacing w:after="0"/>
              <w:rPr>
                <w:sz w:val="15"/>
                <w:szCs w:val="15"/>
                <w:color w:val="auto"/>
              </w:rPr>
            </w:pPr>
          </w:p>
        </w:tc>
        <w:tc>
          <w:tcPr>
            <w:tcW w:w="3500" w:type="dxa"/>
            <w:vAlign w:val="bottom"/>
            <w:tcBorders>
              <w:right w:val="single" w:sz="8" w:color="auto"/>
            </w:tcBorders>
            <w:vMerge w:val="continue"/>
          </w:tcPr>
          <w:p>
            <w:pPr>
              <w:spacing w:after="0"/>
              <w:rPr>
                <w:sz w:val="15"/>
                <w:szCs w:val="15"/>
                <w:color w:val="auto"/>
              </w:rPr>
            </w:pPr>
          </w:p>
        </w:tc>
        <w:tc>
          <w:tcPr>
            <w:tcW w:w="400" w:type="dxa"/>
            <w:vAlign w:val="bottom"/>
          </w:tcPr>
          <w:p>
            <w:pPr>
              <w:spacing w:after="0"/>
              <w:rPr>
                <w:sz w:val="15"/>
                <w:szCs w:val="15"/>
                <w:color w:val="auto"/>
              </w:rPr>
            </w:pPr>
          </w:p>
        </w:tc>
        <w:tc>
          <w:tcPr>
            <w:tcW w:w="32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60" w:type="dxa"/>
            <w:vAlign w:val="bottom"/>
            <w:tcBorders>
              <w:left w:val="single" w:sz="8" w:color="auto"/>
            </w:tcBorders>
            <w:vMerge w:val="continue"/>
          </w:tcPr>
          <w:p>
            <w:pPr>
              <w:spacing w:after="0"/>
              <w:rPr>
                <w:sz w:val="4"/>
                <w:szCs w:val="4"/>
                <w:color w:val="auto"/>
              </w:rPr>
            </w:pPr>
          </w:p>
        </w:tc>
        <w:tc>
          <w:tcPr>
            <w:tcW w:w="3580" w:type="dxa"/>
            <w:vAlign w:val="bottom"/>
            <w:tcBorders>
              <w:right w:val="single" w:sz="8" w:color="auto"/>
            </w:tcBorders>
            <w:vMerge w:val="continue"/>
          </w:tcPr>
          <w:p>
            <w:pPr>
              <w:spacing w:after="0"/>
              <w:rPr>
                <w:sz w:val="4"/>
                <w:szCs w:val="4"/>
                <w:color w:val="auto"/>
              </w:rPr>
            </w:pPr>
          </w:p>
        </w:tc>
        <w:tc>
          <w:tcPr>
            <w:tcW w:w="220" w:type="dxa"/>
            <w:vAlign w:val="bottom"/>
          </w:tcPr>
          <w:p>
            <w:pPr>
              <w:spacing w:after="0"/>
              <w:rPr>
                <w:sz w:val="4"/>
                <w:szCs w:val="4"/>
                <w:color w:val="auto"/>
              </w:rPr>
            </w:pPr>
          </w:p>
        </w:tc>
        <w:tc>
          <w:tcPr>
            <w:tcW w:w="3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asset managers in roundtables to discuss</w:t>
            </w:r>
          </w:p>
        </w:tc>
        <w:tc>
          <w:tcPr>
            <w:tcW w:w="400" w:type="dxa"/>
            <w:vAlign w:val="bottom"/>
          </w:tcPr>
          <w:p>
            <w:pPr>
              <w:spacing w:after="0"/>
              <w:rPr>
                <w:sz w:val="4"/>
                <w:szCs w:val="4"/>
                <w:color w:val="auto"/>
              </w:rPr>
            </w:pPr>
          </w:p>
        </w:tc>
        <w:tc>
          <w:tcPr>
            <w:tcW w:w="328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260" w:type="dxa"/>
            <w:vAlign w:val="bottom"/>
            <w:tcBorders>
              <w:left w:val="single" w:sz="8" w:color="auto"/>
            </w:tcBorders>
          </w:tcPr>
          <w:p>
            <w:pPr>
              <w:spacing w:after="0"/>
              <w:rPr>
                <w:sz w:val="11"/>
                <w:szCs w:val="11"/>
                <w:color w:val="auto"/>
              </w:rPr>
            </w:pPr>
          </w:p>
        </w:tc>
        <w:tc>
          <w:tcPr>
            <w:tcW w:w="3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color w:val="auto"/>
              </w:rPr>
              <w:t>meetings and the use of low carbon travel</w:t>
            </w:r>
          </w:p>
        </w:tc>
        <w:tc>
          <w:tcPr>
            <w:tcW w:w="220" w:type="dxa"/>
            <w:vAlign w:val="bottom"/>
          </w:tcPr>
          <w:p>
            <w:pPr>
              <w:spacing w:after="0"/>
              <w:rPr>
                <w:sz w:val="11"/>
                <w:szCs w:val="11"/>
                <w:color w:val="auto"/>
              </w:rPr>
            </w:pPr>
          </w:p>
        </w:tc>
        <w:tc>
          <w:tcPr>
            <w:tcW w:w="3500" w:type="dxa"/>
            <w:vAlign w:val="bottom"/>
            <w:tcBorders>
              <w:right w:val="single" w:sz="8" w:color="auto"/>
            </w:tcBorders>
            <w:vMerge w:val="continue"/>
          </w:tcPr>
          <w:p>
            <w:pPr>
              <w:spacing w:after="0"/>
              <w:rPr>
                <w:sz w:val="11"/>
                <w:szCs w:val="11"/>
                <w:color w:val="auto"/>
              </w:rPr>
            </w:pPr>
          </w:p>
        </w:tc>
        <w:tc>
          <w:tcPr>
            <w:tcW w:w="400" w:type="dxa"/>
            <w:vAlign w:val="bottom"/>
          </w:tcPr>
          <w:p>
            <w:pPr>
              <w:spacing w:after="0"/>
              <w:rPr>
                <w:sz w:val="11"/>
                <w:szCs w:val="11"/>
                <w:color w:val="auto"/>
              </w:rPr>
            </w:pPr>
          </w:p>
        </w:tc>
        <w:tc>
          <w:tcPr>
            <w:tcW w:w="328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60" w:type="dxa"/>
            <w:vAlign w:val="bottom"/>
            <w:tcBorders>
              <w:left w:val="single" w:sz="8" w:color="auto"/>
            </w:tcBorders>
          </w:tcPr>
          <w:p>
            <w:pPr>
              <w:spacing w:after="0"/>
              <w:rPr>
                <w:sz w:val="4"/>
                <w:szCs w:val="4"/>
                <w:color w:val="auto"/>
              </w:rPr>
            </w:pPr>
          </w:p>
        </w:tc>
        <w:tc>
          <w:tcPr>
            <w:tcW w:w="3580" w:type="dxa"/>
            <w:vAlign w:val="bottom"/>
            <w:tcBorders>
              <w:right w:val="single" w:sz="8" w:color="auto"/>
            </w:tcBorders>
            <w:vMerge w:val="continue"/>
          </w:tcPr>
          <w:p>
            <w:pPr>
              <w:spacing w:after="0"/>
              <w:rPr>
                <w:sz w:val="4"/>
                <w:szCs w:val="4"/>
                <w:color w:val="auto"/>
              </w:rPr>
            </w:pPr>
          </w:p>
        </w:tc>
        <w:tc>
          <w:tcPr>
            <w:tcW w:w="220" w:type="dxa"/>
            <w:vAlign w:val="bottom"/>
          </w:tcPr>
          <w:p>
            <w:pPr>
              <w:spacing w:after="0"/>
              <w:rPr>
                <w:sz w:val="4"/>
                <w:szCs w:val="4"/>
                <w:color w:val="auto"/>
              </w:rPr>
            </w:pPr>
          </w:p>
        </w:tc>
        <w:tc>
          <w:tcPr>
            <w:tcW w:w="3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climate trends and corporate responsibility</w:t>
            </w:r>
          </w:p>
        </w:tc>
        <w:tc>
          <w:tcPr>
            <w:tcW w:w="400" w:type="dxa"/>
            <w:vAlign w:val="bottom"/>
          </w:tcPr>
          <w:p>
            <w:pPr>
              <w:spacing w:after="0"/>
              <w:rPr>
                <w:sz w:val="4"/>
                <w:szCs w:val="4"/>
                <w:color w:val="auto"/>
              </w:rPr>
            </w:pPr>
          </w:p>
        </w:tc>
        <w:tc>
          <w:tcPr>
            <w:tcW w:w="328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260" w:type="dxa"/>
            <w:vAlign w:val="bottom"/>
            <w:tcBorders>
              <w:left w:val="single" w:sz="8" w:color="auto"/>
            </w:tcBorders>
          </w:tcPr>
          <w:p>
            <w:pPr>
              <w:spacing w:after="0"/>
              <w:rPr>
                <w:sz w:val="11"/>
                <w:szCs w:val="11"/>
                <w:color w:val="auto"/>
              </w:rPr>
            </w:pPr>
          </w:p>
        </w:tc>
        <w:tc>
          <w:tcPr>
            <w:tcW w:w="3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color w:val="auto"/>
              </w:rPr>
              <w:t>options</w:t>
            </w:r>
          </w:p>
        </w:tc>
        <w:tc>
          <w:tcPr>
            <w:tcW w:w="220" w:type="dxa"/>
            <w:vAlign w:val="bottom"/>
          </w:tcPr>
          <w:p>
            <w:pPr>
              <w:spacing w:after="0"/>
              <w:rPr>
                <w:sz w:val="11"/>
                <w:szCs w:val="11"/>
                <w:color w:val="auto"/>
              </w:rPr>
            </w:pPr>
          </w:p>
        </w:tc>
        <w:tc>
          <w:tcPr>
            <w:tcW w:w="3500" w:type="dxa"/>
            <w:vAlign w:val="bottom"/>
            <w:tcBorders>
              <w:right w:val="single" w:sz="8" w:color="auto"/>
            </w:tcBorders>
            <w:vMerge w:val="continue"/>
          </w:tcPr>
          <w:p>
            <w:pPr>
              <w:spacing w:after="0"/>
              <w:rPr>
                <w:sz w:val="11"/>
                <w:szCs w:val="11"/>
                <w:color w:val="auto"/>
              </w:rPr>
            </w:pPr>
          </w:p>
        </w:tc>
        <w:tc>
          <w:tcPr>
            <w:tcW w:w="400" w:type="dxa"/>
            <w:vAlign w:val="bottom"/>
          </w:tcPr>
          <w:p>
            <w:pPr>
              <w:spacing w:after="0"/>
              <w:rPr>
                <w:sz w:val="11"/>
                <w:szCs w:val="11"/>
                <w:color w:val="auto"/>
              </w:rPr>
            </w:pPr>
          </w:p>
        </w:tc>
        <w:tc>
          <w:tcPr>
            <w:tcW w:w="328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260" w:type="dxa"/>
            <w:vAlign w:val="bottom"/>
            <w:tcBorders>
              <w:left w:val="single" w:sz="8" w:color="auto"/>
            </w:tcBorders>
          </w:tcPr>
          <w:p>
            <w:pPr>
              <w:spacing w:after="0"/>
              <w:rPr>
                <w:sz w:val="5"/>
                <w:szCs w:val="5"/>
                <w:color w:val="auto"/>
              </w:rPr>
            </w:pPr>
          </w:p>
        </w:tc>
        <w:tc>
          <w:tcPr>
            <w:tcW w:w="3580" w:type="dxa"/>
            <w:vAlign w:val="bottom"/>
            <w:tcBorders>
              <w:right w:val="single" w:sz="8" w:color="auto"/>
            </w:tcBorders>
            <w:vMerge w:val="continue"/>
          </w:tcPr>
          <w:p>
            <w:pPr>
              <w:spacing w:after="0"/>
              <w:rPr>
                <w:sz w:val="5"/>
                <w:szCs w:val="5"/>
                <w:color w:val="auto"/>
              </w:rPr>
            </w:pPr>
          </w:p>
        </w:tc>
        <w:tc>
          <w:tcPr>
            <w:tcW w:w="220" w:type="dxa"/>
            <w:vAlign w:val="bottom"/>
          </w:tcPr>
          <w:p>
            <w:pPr>
              <w:spacing w:after="0"/>
              <w:rPr>
                <w:sz w:val="5"/>
                <w:szCs w:val="5"/>
                <w:color w:val="auto"/>
              </w:rPr>
            </w:pPr>
          </w:p>
        </w:tc>
        <w:tc>
          <w:tcPr>
            <w:tcW w:w="3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practices</w:t>
            </w:r>
          </w:p>
        </w:tc>
        <w:tc>
          <w:tcPr>
            <w:tcW w:w="400" w:type="dxa"/>
            <w:vAlign w:val="bottom"/>
          </w:tcPr>
          <w:p>
            <w:pPr>
              <w:spacing w:after="0"/>
              <w:rPr>
                <w:sz w:val="5"/>
                <w:szCs w:val="5"/>
                <w:color w:val="auto"/>
              </w:rPr>
            </w:pPr>
          </w:p>
        </w:tc>
        <w:tc>
          <w:tcPr>
            <w:tcW w:w="32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60" w:type="dxa"/>
            <w:vAlign w:val="bottom"/>
            <w:tcBorders>
              <w:left w:val="single" w:sz="8" w:color="auto"/>
            </w:tcBorders>
          </w:tcPr>
          <w:p>
            <w:pPr>
              <w:spacing w:after="0"/>
              <w:rPr>
                <w:sz w:val="11"/>
                <w:szCs w:val="11"/>
                <w:color w:val="auto"/>
              </w:rPr>
            </w:pPr>
          </w:p>
        </w:tc>
        <w:tc>
          <w:tcPr>
            <w:tcW w:w="358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500" w:type="dxa"/>
            <w:vAlign w:val="bottom"/>
            <w:tcBorders>
              <w:right w:val="single" w:sz="8" w:color="auto"/>
            </w:tcBorders>
            <w:vMerge w:val="continue"/>
          </w:tcPr>
          <w:p>
            <w:pPr>
              <w:spacing w:after="0"/>
              <w:rPr>
                <w:sz w:val="11"/>
                <w:szCs w:val="11"/>
                <w:color w:val="auto"/>
              </w:rPr>
            </w:pPr>
          </w:p>
        </w:tc>
        <w:tc>
          <w:tcPr>
            <w:tcW w:w="400" w:type="dxa"/>
            <w:vAlign w:val="bottom"/>
          </w:tcPr>
          <w:p>
            <w:pPr>
              <w:spacing w:after="0"/>
              <w:rPr>
                <w:sz w:val="11"/>
                <w:szCs w:val="11"/>
                <w:color w:val="auto"/>
              </w:rPr>
            </w:pPr>
          </w:p>
        </w:tc>
        <w:tc>
          <w:tcPr>
            <w:tcW w:w="328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260" w:type="dxa"/>
            <w:vAlign w:val="bottom"/>
            <w:tcBorders>
              <w:left w:val="single" w:sz="8" w:color="auto"/>
              <w:bottom w:val="single" w:sz="8" w:color="auto"/>
            </w:tcBorders>
          </w:tcPr>
          <w:p>
            <w:pPr>
              <w:spacing w:after="0"/>
              <w:rPr>
                <w:sz w:val="3"/>
                <w:szCs w:val="3"/>
                <w:color w:val="auto"/>
              </w:rPr>
            </w:pPr>
          </w:p>
        </w:tc>
        <w:tc>
          <w:tcPr>
            <w:tcW w:w="358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500" w:type="dxa"/>
            <w:vAlign w:val="bottom"/>
            <w:tcBorders>
              <w:bottom w:val="single" w:sz="8" w:color="auto"/>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28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1"/>
        </w:trPr>
        <w:tc>
          <w:tcPr>
            <w:tcW w:w="260" w:type="dxa"/>
            <w:vAlign w:val="bottom"/>
            <w:tcBorders>
              <w:bottom w:val="single" w:sz="8" w:color="808080"/>
            </w:tcBorders>
          </w:tcPr>
          <w:p>
            <w:pPr>
              <w:spacing w:after="0"/>
              <w:rPr>
                <w:sz w:val="9"/>
                <w:szCs w:val="9"/>
                <w:color w:val="auto"/>
              </w:rPr>
            </w:pPr>
          </w:p>
        </w:tc>
        <w:tc>
          <w:tcPr>
            <w:tcW w:w="35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5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2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7144385</wp:posOffset>
            </wp:positionH>
            <wp:positionV relativeFrom="paragraph">
              <wp:posOffset>-13970</wp:posOffset>
            </wp:positionV>
            <wp:extent cx="127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-2807335</wp:posOffset>
            </wp:positionV>
            <wp:extent cx="424815" cy="28892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24815" cy="288925"/>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-2858135</wp:posOffset>
            </wp:positionV>
            <wp:extent cx="340360" cy="3403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0360" cy="340360"/>
                    </a:xfrm>
                    <a:prstGeom prst="rect">
                      <a:avLst/>
                    </a:prstGeom>
                    <a:noFill/>
                  </pic:spPr>
                </pic:pic>
              </a:graphicData>
            </a:graphic>
          </wp:anchor>
        </w:drawing>
        <w:drawing>
          <wp:anchor simplePos="0" relativeHeight="251657728" behindDoc="1" locked="0" layoutInCell="0" allowOverlap="1">
            <wp:simplePos x="0" y="0"/>
            <wp:positionH relativeFrom="column">
              <wp:posOffset>5794375</wp:posOffset>
            </wp:positionH>
            <wp:positionV relativeFrom="paragraph">
              <wp:posOffset>-3011170</wp:posOffset>
            </wp:positionV>
            <wp:extent cx="331470" cy="3740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1470" cy="37401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47" w:name="page48"/>
    <w:bookmarkEnd w:id="47"/>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00" w:type="dxa"/>
            <w:vAlign w:val="bottom"/>
            <w:tcBorders>
              <w:right w:val="single" w:sz="8" w:color="16479F"/>
            </w:tcBorders>
          </w:tcPr>
          <w:p>
            <w:pPr>
              <w:ind w:left="8740"/>
              <w:spacing w:after="0"/>
              <w:rPr>
                <w:sz w:val="20"/>
                <w:szCs w:val="20"/>
                <w:color w:val="auto"/>
              </w:rPr>
            </w:pPr>
            <w:r>
              <w:rPr>
                <w:rFonts w:ascii="Arial" w:cs="Arial" w:eastAsia="Arial" w:hAnsi="Arial"/>
                <w:sz w:val="14"/>
                <w:szCs w:val="14"/>
                <w:b w:val="1"/>
                <w:bCs w:val="1"/>
                <w:color w:val="16479F"/>
              </w:rPr>
              <w:t>2022 PROXY STATEMENT</w:t>
            </w:r>
          </w:p>
        </w:tc>
        <w:tc>
          <w:tcPr>
            <w:tcW w:w="640" w:type="dxa"/>
            <w:vAlign w:val="bottom"/>
          </w:tcPr>
          <w:p>
            <w:pPr>
              <w:jc w:val="right"/>
              <w:ind w:right="9"/>
              <w:spacing w:after="0"/>
              <w:rPr>
                <w:sz w:val="20"/>
                <w:szCs w:val="20"/>
                <w:color w:val="auto"/>
              </w:rPr>
            </w:pPr>
            <w:r>
              <w:rPr>
                <w:rFonts w:ascii="Arial" w:cs="Arial" w:eastAsia="Arial" w:hAnsi="Arial"/>
                <w:sz w:val="14"/>
                <w:szCs w:val="14"/>
                <w:b w:val="1"/>
                <w:bCs w:val="1"/>
                <w:color w:val="16479F"/>
              </w:rPr>
              <w:t>47</w:t>
            </w:r>
          </w:p>
        </w:tc>
      </w:tr>
      <w:tr>
        <w:trPr>
          <w:trHeight w:val="65"/>
        </w:trPr>
        <w:tc>
          <w:tcPr>
            <w:tcW w:w="10600" w:type="dxa"/>
            <w:vAlign w:val="bottom"/>
            <w:tcBorders>
              <w:bottom w:val="single" w:sz="8" w:color="16479F"/>
              <w:right w:val="single" w:sz="8" w:color="16479F"/>
            </w:tcBorders>
          </w:tcPr>
          <w:p>
            <w:pPr>
              <w:spacing w:after="0"/>
              <w:rPr>
                <w:sz w:val="5"/>
                <w:szCs w:val="5"/>
                <w:color w:val="auto"/>
              </w:rPr>
            </w:pPr>
          </w:p>
        </w:tc>
        <w:tc>
          <w:tcPr>
            <w:tcW w:w="640" w:type="dxa"/>
            <w:vAlign w:val="bottom"/>
            <w:tcBorders>
              <w:bottom w:val="single" w:sz="8" w:color="16479F"/>
            </w:tcBorders>
          </w:tcPr>
          <w:p>
            <w:pPr>
              <w:spacing w:after="0"/>
              <w:rPr>
                <w:sz w:val="5"/>
                <w:szCs w:val="5"/>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2"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Corporate Responsibility Governance</w:t>
      </w:r>
    </w:p>
    <w:p>
      <w:pPr>
        <w:spacing w:after="0" w:line="195" w:lineRule="exact"/>
        <w:rPr>
          <w:sz w:val="20"/>
          <w:szCs w:val="20"/>
          <w:color w:val="auto"/>
        </w:rPr>
      </w:pPr>
    </w:p>
    <w:p>
      <w:pPr>
        <w:ind w:right="1980"/>
        <w:spacing w:after="0" w:line="246" w:lineRule="auto"/>
        <w:rPr>
          <w:sz w:val="20"/>
          <w:szCs w:val="20"/>
          <w:color w:val="auto"/>
        </w:rPr>
      </w:pPr>
      <w:r>
        <w:rPr>
          <w:rFonts w:ascii="Arial" w:cs="Arial" w:eastAsia="Arial" w:hAnsi="Arial"/>
          <w:sz w:val="16"/>
          <w:szCs w:val="16"/>
          <w:color w:val="auto"/>
        </w:rPr>
        <w:t>We ensure the robustness of oversight over our corporate responsibility efforts through our governance process. Through a well-established framework and cross-functional committee structure, with leaders from across the organization, MSCI incorporates corporate responsibility into its core strategy—reflecting our belief that sustainable practices are essential to long-term growth. In line with this focus, the Governance Committee oversees the company’s significant corporate responsibility matters, including corporate responsibility priorities and disclosure, with management having day-to-day responsibility over these efforts.</w:t>
      </w:r>
    </w:p>
    <w:p>
      <w:pPr>
        <w:spacing w:after="0" w:line="150" w:lineRule="exact"/>
        <w:rPr>
          <w:sz w:val="20"/>
          <w:szCs w:val="20"/>
          <w:color w:val="auto"/>
        </w:rPr>
      </w:pPr>
    </w:p>
    <w:p>
      <w:pPr>
        <w:ind w:right="2260"/>
        <w:spacing w:after="0" w:line="246" w:lineRule="auto"/>
        <w:rPr>
          <w:sz w:val="20"/>
          <w:szCs w:val="20"/>
          <w:color w:val="auto"/>
        </w:rPr>
      </w:pPr>
      <w:r>
        <w:rPr>
          <w:rFonts w:ascii="Arial" w:cs="Arial" w:eastAsia="Arial" w:hAnsi="Arial"/>
          <w:sz w:val="16"/>
          <w:szCs w:val="16"/>
          <w:color w:val="auto"/>
        </w:rPr>
        <w:t>In 2021, we enhanced our corporate responsibility governance by separating our CRC, which reviews corporate responsibility issues and policy proposals, from the newly created CRPC, a smaller group of Executive Committee members who review strategically significant proposals regarding corporate responsibility policies, actions and disclosures.</w:t>
      </w:r>
    </w:p>
    <w:p>
      <w:pPr>
        <w:spacing w:after="0" w:line="154" w:lineRule="exact"/>
        <w:rPr>
          <w:sz w:val="20"/>
          <w:szCs w:val="20"/>
          <w:color w:val="auto"/>
        </w:rPr>
      </w:pPr>
    </w:p>
    <w:p>
      <w:pPr>
        <w:ind w:right="2020"/>
        <w:spacing w:after="0" w:line="246" w:lineRule="auto"/>
        <w:rPr>
          <w:sz w:val="20"/>
          <w:szCs w:val="20"/>
          <w:color w:val="auto"/>
        </w:rPr>
      </w:pPr>
      <w:r>
        <w:rPr>
          <w:rFonts w:ascii="Arial" w:cs="Arial" w:eastAsia="Arial" w:hAnsi="Arial"/>
          <w:sz w:val="16"/>
          <w:szCs w:val="16"/>
          <w:color w:val="auto"/>
        </w:rPr>
        <w:t>Second, we expanded the CRC, which reports to the CRPC. The CRC meets on a monthly basis and reviews corporate responsibility trends, shares updates on the implementation of MSCI’s Corporate Responsibility Operating Plan and reviews MSCI’s corporate responsibility reports. The CRC also considers corporate responsibility initiatives and makes recommendations to the CRPC on the most strategic ones.</w:t>
      </w:r>
    </w:p>
    <w:p>
      <w:pPr>
        <w:spacing w:after="0" w:line="154" w:lineRule="exact"/>
        <w:rPr>
          <w:sz w:val="20"/>
          <w:szCs w:val="20"/>
          <w:color w:val="auto"/>
        </w:rPr>
      </w:pPr>
    </w:p>
    <w:p>
      <w:pPr>
        <w:ind w:right="2200"/>
        <w:spacing w:after="0" w:line="250" w:lineRule="auto"/>
        <w:rPr>
          <w:sz w:val="20"/>
          <w:szCs w:val="20"/>
          <w:color w:val="auto"/>
        </w:rPr>
      </w:pPr>
      <w:r>
        <w:rPr>
          <w:rFonts w:ascii="Arial" w:cs="Arial" w:eastAsia="Arial" w:hAnsi="Arial"/>
          <w:sz w:val="16"/>
          <w:szCs w:val="16"/>
          <w:color w:val="auto"/>
        </w:rPr>
        <w:t>To underscore our commitment to our corporate responsibility efforts, in 2022, our Chief Responsibility Officer relinquished her role as Head of Index to become fully dedicated to corporate responsibility.</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ind w:right="260"/>
        <w:spacing w:after="0" w:line="281" w:lineRule="auto"/>
        <w:rPr>
          <w:sz w:val="20"/>
          <w:szCs w:val="20"/>
          <w:color w:val="auto"/>
        </w:rPr>
      </w:pPr>
      <w:r>
        <w:rPr>
          <w:rFonts w:ascii="Arial" w:cs="Arial" w:eastAsia="Arial" w:hAnsi="Arial"/>
          <w:sz w:val="21"/>
          <w:szCs w:val="21"/>
          <w:b w:val="1"/>
          <w:bCs w:val="1"/>
          <w:color w:val="002739"/>
        </w:rPr>
        <w:t>Our Corporate Responsibility Oversight Framework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-31750</wp:posOffset>
            </wp:positionV>
            <wp:extent cx="2975610" cy="4081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975610" cy="4081145"/>
                    </a:xfrm>
                    <a:prstGeom prst="rect">
                      <a:avLst/>
                    </a:prstGeom>
                    <a:noFill/>
                  </pic:spPr>
                </pic:pic>
              </a:graphicData>
            </a:graphic>
          </wp:anchor>
        </w:drawing>
      </w:r>
    </w:p>
    <w:p>
      <w:pPr>
        <w:spacing w:after="0" w:line="4916" w:lineRule="exact"/>
        <w:rPr>
          <w:sz w:val="20"/>
          <w:szCs w:val="20"/>
          <w:color w:val="auto"/>
        </w:rPr>
      </w:pPr>
    </w:p>
    <w:p>
      <w:pPr>
        <w:sectPr>
          <w:pgSz w:w="11900" w:h="16838" w:orient="portrait"/>
          <w:cols w:equalWidth="0" w:num="2">
            <w:col w:w="7280" w:space="720"/>
            <w:col w:w="3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Our Chief Responsibility Officer leads the CRPC, where she presents to MSCI’s key decision makers and/or internal experts on corporate responsibility-related actions that may ultimately be recommended to our CEO, President &amp; COO and/or the Board. As a member of the Executive Committee, she also brings corporate responsibility considerations to senior leadership discussions on MSCI’s business strategy and operations. At the Board level, she provides written updates to the Governance Committee in advance of each quarterly meeting on MSCI’s corporate responsibility efforts. The full Board also has access to these updates. In addition, at least twice per year, she presents to the Governance Committee on key initiatives and management’s performance against our Corporate Responsibility Operating Plan. In 2021, the Corporate Responsibility Operating Plan was largely informed by feedback from our stakeholders to increase our transparency in areas such as climate and DE&amp;I. Key developments are shared with the full Board during the Governance Committee’s quarterly report to the Board.</w:t>
      </w:r>
    </w:p>
    <w:p>
      <w:pPr>
        <w:spacing w:after="0" w:line="152" w:lineRule="exact"/>
        <w:rPr>
          <w:sz w:val="20"/>
          <w:szCs w:val="20"/>
          <w:color w:val="auto"/>
        </w:rPr>
      </w:pPr>
    </w:p>
    <w:p>
      <w:pPr>
        <w:ind w:right="260"/>
        <w:spacing w:after="0" w:line="256" w:lineRule="auto"/>
        <w:rPr>
          <w:sz w:val="20"/>
          <w:szCs w:val="20"/>
          <w:color w:val="auto"/>
        </w:rPr>
      </w:pPr>
      <w:r>
        <w:rPr>
          <w:rFonts w:ascii="Arial" w:cs="Arial" w:eastAsia="Arial" w:hAnsi="Arial"/>
          <w:sz w:val="16"/>
          <w:szCs w:val="16"/>
          <w:color w:val="auto"/>
        </w:rPr>
        <w:t>The Head of Corporate Responsibility was appointed in 2021 and reports to the Chief Responsibility Officer. She leads our officer-level CRC in its efforts to broaden the scope of perspectives that review the Company’s corporate responsibility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7154545"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8" w:name="page49"/>
    <w:bookmarkEnd w:id="48"/>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149860</wp:posOffset>
            </wp:positionV>
            <wp:extent cx="7133590" cy="21272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3590" cy="212725"/>
                    </a:xfrm>
                    <a:prstGeom prst="rect">
                      <a:avLst/>
                    </a:prstGeom>
                    <a:noFill/>
                  </pic:spPr>
                </pic:pic>
              </a:graphicData>
            </a:graphic>
          </wp:anchor>
        </w:drawing>
      </w:r>
    </w:p>
    <w:p>
      <w:pPr>
        <w:spacing w:after="0" w:line="283"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4"/>
          <w:szCs w:val="14"/>
          <w:b w:val="1"/>
          <w:bCs w:val="1"/>
          <w:color w:val="16479F"/>
        </w:rPr>
        <w:t>48</w:t>
      </w:r>
      <w:r>
        <w:rPr>
          <w:sz w:val="20"/>
          <w:szCs w:val="20"/>
          <w:color w:val="auto"/>
        </w:rPr>
        <w:tab/>
      </w:r>
      <w:r>
        <w:rPr>
          <w:rFonts w:ascii="Arial" w:cs="Arial" w:eastAsia="Arial" w:hAnsi="Arial"/>
          <w:sz w:val="14"/>
          <w:szCs w:val="14"/>
          <w:b w:val="1"/>
          <w:bCs w:val="1"/>
          <w:color w:val="16479F"/>
        </w:rPr>
        <w:t>MSCI  |  CORPORATE GOVERNANCE</w:t>
      </w:r>
    </w:p>
    <w:p>
      <w:pPr>
        <w:spacing w:after="0" w:line="235" w:lineRule="exact"/>
        <w:rPr>
          <w:sz w:val="20"/>
          <w:szCs w:val="20"/>
          <w:color w:val="auto"/>
        </w:rPr>
      </w:pPr>
    </w:p>
    <w:p>
      <w:pPr>
        <w:spacing w:after="0"/>
        <w:rPr>
          <w:sz w:val="20"/>
          <w:szCs w:val="20"/>
          <w:color w:val="auto"/>
        </w:rPr>
      </w:pPr>
      <w:r>
        <w:rPr>
          <w:rFonts w:ascii="Arial" w:cs="Arial" w:eastAsia="Arial" w:hAnsi="Arial"/>
          <w:sz w:val="21"/>
          <w:szCs w:val="21"/>
          <w:b w:val="1"/>
          <w:bCs w:val="1"/>
          <w:color w:val="16479F"/>
        </w:rPr>
        <w:t>The Board’s Oversight of Corporate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156210</wp:posOffset>
            </wp:positionV>
            <wp:extent cx="7133590" cy="2209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3590" cy="220980"/>
                    </a:xfrm>
                    <a:prstGeom prst="rect">
                      <a:avLst/>
                    </a:prstGeom>
                    <a:noFill/>
                  </pic:spPr>
                </pic:pic>
              </a:graphicData>
            </a:graphic>
          </wp:anchor>
        </w:drawing>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00B5AA"/>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105410</wp:posOffset>
            </wp:positionV>
            <wp:extent cx="170180" cy="850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70180" cy="85090"/>
                    </a:xfrm>
                    <a:prstGeom prst="rect">
                      <a:avLst/>
                    </a:prstGeom>
                    <a:noFill/>
                  </pic:spPr>
                </pic:pic>
              </a:graphicData>
            </a:graphic>
          </wp:anchor>
        </w:drawing>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860" w:type="dxa"/>
            <w:vAlign w:val="bottom"/>
            <w:shd w:val="clear" w:color="auto" w:fill="002739"/>
          </w:tcPr>
          <w:p>
            <w:pPr>
              <w:jc w:val="center"/>
              <w:ind w:right="60"/>
              <w:spacing w:after="0"/>
              <w:rPr>
                <w:sz w:val="20"/>
                <w:szCs w:val="20"/>
                <w:color w:val="auto"/>
              </w:rPr>
            </w:pPr>
            <w:r>
              <w:rPr>
                <w:rFonts w:ascii="Arial" w:cs="Arial" w:eastAsia="Arial" w:hAnsi="Arial"/>
                <w:sz w:val="16"/>
                <w:szCs w:val="16"/>
                <w:b w:val="1"/>
                <w:bCs w:val="1"/>
                <w:color w:val="FFFFFF"/>
                <w:w w:val="99"/>
              </w:rPr>
              <w:t>Chairman/CEO</w:t>
            </w:r>
          </w:p>
        </w:tc>
        <w:tc>
          <w:tcPr>
            <w:tcW w:w="2720" w:type="dxa"/>
            <w:vAlign w:val="bottom"/>
            <w:shd w:val="clear" w:color="auto" w:fill="002739"/>
          </w:tcPr>
          <w:p>
            <w:pPr>
              <w:jc w:val="center"/>
              <w:ind w:left="20"/>
              <w:spacing w:after="0"/>
              <w:rPr>
                <w:sz w:val="20"/>
                <w:szCs w:val="20"/>
                <w:color w:val="auto"/>
              </w:rPr>
            </w:pPr>
            <w:r>
              <w:rPr>
                <w:rFonts w:ascii="Arial" w:cs="Arial" w:eastAsia="Arial" w:hAnsi="Arial"/>
                <w:sz w:val="16"/>
                <w:szCs w:val="16"/>
                <w:b w:val="1"/>
                <w:bCs w:val="1"/>
                <w:color w:val="FFFFFF"/>
              </w:rPr>
              <w:t>Oversees</w:t>
            </w:r>
          </w:p>
        </w:tc>
        <w:tc>
          <w:tcPr>
            <w:tcW w:w="3060" w:type="dxa"/>
            <w:vAlign w:val="bottom"/>
            <w:shd w:val="clear" w:color="auto" w:fill="002739"/>
          </w:tcPr>
          <w:p>
            <w:pPr>
              <w:jc w:val="center"/>
              <w:ind w:left="40"/>
              <w:spacing w:after="0"/>
              <w:rPr>
                <w:sz w:val="20"/>
                <w:szCs w:val="20"/>
                <w:color w:val="auto"/>
              </w:rPr>
            </w:pPr>
            <w:r>
              <w:rPr>
                <w:rFonts w:ascii="Arial" w:cs="Arial" w:eastAsia="Arial" w:hAnsi="Arial"/>
                <w:sz w:val="16"/>
                <w:szCs w:val="16"/>
                <w:b w:val="1"/>
                <w:bCs w:val="1"/>
                <w:color w:val="FFFFFF"/>
                <w:w w:val="99"/>
              </w:rPr>
              <w:t>Meets Independently</w:t>
            </w:r>
          </w:p>
        </w:tc>
        <w:tc>
          <w:tcPr>
            <w:tcW w:w="2600" w:type="dxa"/>
            <w:vAlign w:val="bottom"/>
            <w:shd w:val="clear" w:color="auto" w:fill="002739"/>
          </w:tcPr>
          <w:p>
            <w:pPr>
              <w:jc w:val="center"/>
              <w:spacing w:after="0"/>
              <w:rPr>
                <w:sz w:val="20"/>
                <w:szCs w:val="20"/>
                <w:color w:val="auto"/>
              </w:rPr>
            </w:pPr>
            <w:r>
              <w:rPr>
                <w:rFonts w:ascii="Arial" w:cs="Arial" w:eastAsia="Arial" w:hAnsi="Arial"/>
                <w:sz w:val="16"/>
                <w:szCs w:val="16"/>
                <w:b w:val="1"/>
                <w:bCs w:val="1"/>
                <w:color w:val="FFFFFF"/>
              </w:rPr>
              <w:t>President &amp; COO</w:t>
            </w:r>
          </w:p>
        </w:tc>
      </w:tr>
      <w:tr>
        <w:trPr>
          <w:trHeight w:val="219"/>
        </w:trPr>
        <w:tc>
          <w:tcPr>
            <w:tcW w:w="2860" w:type="dxa"/>
            <w:vAlign w:val="bottom"/>
            <w:tcBorders>
              <w:bottom w:val="single" w:sz="8" w:color="002739"/>
            </w:tcBorders>
            <w:shd w:val="clear" w:color="auto" w:fill="002739"/>
          </w:tcPr>
          <w:p>
            <w:pPr>
              <w:jc w:val="center"/>
              <w:ind w:right="60"/>
              <w:spacing w:after="0"/>
              <w:rPr>
                <w:sz w:val="20"/>
                <w:szCs w:val="20"/>
                <w:color w:val="auto"/>
              </w:rPr>
            </w:pPr>
            <w:r>
              <w:rPr>
                <w:rFonts w:ascii="Arial" w:cs="Arial" w:eastAsia="Arial" w:hAnsi="Arial"/>
                <w:sz w:val="16"/>
                <w:szCs w:val="16"/>
                <w:color w:val="FFFFFF"/>
              </w:rPr>
              <w:t>Henry Fernandez</w:t>
            </w:r>
          </w:p>
        </w:tc>
        <w:tc>
          <w:tcPr>
            <w:tcW w:w="2720" w:type="dxa"/>
            <w:vAlign w:val="bottom"/>
            <w:tcBorders>
              <w:bottom w:val="single" w:sz="8" w:color="002739"/>
            </w:tcBorders>
            <w:shd w:val="clear" w:color="auto" w:fill="002739"/>
          </w:tcPr>
          <w:p>
            <w:pPr>
              <w:jc w:val="center"/>
              <w:ind w:left="20"/>
              <w:spacing w:after="0"/>
              <w:rPr>
                <w:sz w:val="20"/>
                <w:szCs w:val="20"/>
                <w:color w:val="auto"/>
              </w:rPr>
            </w:pPr>
            <w:r>
              <w:rPr>
                <w:rFonts w:ascii="Arial" w:cs="Arial" w:eastAsia="Arial" w:hAnsi="Arial"/>
                <w:sz w:val="16"/>
                <w:szCs w:val="16"/>
                <w:color w:val="FFFFFF"/>
              </w:rPr>
              <w:t>Board Process</w:t>
            </w:r>
          </w:p>
        </w:tc>
        <w:tc>
          <w:tcPr>
            <w:tcW w:w="3060" w:type="dxa"/>
            <w:vAlign w:val="bottom"/>
            <w:tcBorders>
              <w:bottom w:val="single" w:sz="8" w:color="002739"/>
            </w:tcBorders>
            <w:shd w:val="clear" w:color="auto" w:fill="002739"/>
          </w:tcPr>
          <w:p>
            <w:pPr>
              <w:jc w:val="center"/>
              <w:ind w:left="60"/>
              <w:spacing w:after="0"/>
              <w:rPr>
                <w:sz w:val="20"/>
                <w:szCs w:val="20"/>
                <w:color w:val="auto"/>
              </w:rPr>
            </w:pPr>
            <w:r>
              <w:rPr>
                <w:rFonts w:ascii="Arial" w:cs="Arial" w:eastAsia="Arial" w:hAnsi="Arial"/>
                <w:sz w:val="16"/>
                <w:szCs w:val="16"/>
                <w:color w:val="FFFFFF"/>
              </w:rPr>
              <w:t>with Board</w:t>
            </w:r>
          </w:p>
        </w:tc>
        <w:tc>
          <w:tcPr>
            <w:tcW w:w="2600" w:type="dxa"/>
            <w:vAlign w:val="bottom"/>
            <w:tcBorders>
              <w:bottom w:val="single" w:sz="8" w:color="002739"/>
            </w:tcBorders>
            <w:shd w:val="clear" w:color="auto" w:fill="002739"/>
          </w:tcPr>
          <w:p>
            <w:pPr>
              <w:jc w:val="center"/>
              <w:spacing w:after="0"/>
              <w:rPr>
                <w:sz w:val="20"/>
                <w:szCs w:val="20"/>
                <w:color w:val="auto"/>
              </w:rPr>
            </w:pPr>
            <w:r>
              <w:rPr>
                <w:rFonts w:ascii="Arial" w:cs="Arial" w:eastAsia="Arial" w:hAnsi="Arial"/>
                <w:sz w:val="16"/>
                <w:szCs w:val="16"/>
                <w:color w:val="FFFFFF"/>
              </w:rPr>
              <w:t>Baer Pettit</w:t>
            </w:r>
          </w:p>
        </w:tc>
      </w:tr>
      <w:tr>
        <w:trPr>
          <w:trHeight w:val="241"/>
        </w:trPr>
        <w:tc>
          <w:tcPr>
            <w:tcW w:w="28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600" w:type="dxa"/>
            <w:vAlign w:val="bottom"/>
          </w:tcPr>
          <w:p>
            <w:pPr>
              <w:spacing w:after="0"/>
              <w:rPr>
                <w:sz w:val="20"/>
                <w:szCs w:val="20"/>
                <w:color w:val="auto"/>
              </w:rPr>
            </w:pPr>
          </w:p>
        </w:tc>
      </w:tr>
      <w:tr>
        <w:trPr>
          <w:trHeight w:val="134"/>
        </w:trPr>
        <w:tc>
          <w:tcPr>
            <w:tcW w:w="2860" w:type="dxa"/>
            <w:vAlign w:val="bottom"/>
            <w:shd w:val="clear" w:color="auto" w:fill="F0F1F8"/>
          </w:tcPr>
          <w:p>
            <w:pPr>
              <w:spacing w:after="0"/>
              <w:rPr>
                <w:sz w:val="11"/>
                <w:szCs w:val="11"/>
                <w:color w:val="auto"/>
              </w:rPr>
            </w:pPr>
          </w:p>
        </w:tc>
        <w:tc>
          <w:tcPr>
            <w:tcW w:w="2720" w:type="dxa"/>
            <w:vAlign w:val="bottom"/>
            <w:shd w:val="clear" w:color="auto" w:fill="F0F1F8"/>
          </w:tcPr>
          <w:p>
            <w:pPr>
              <w:spacing w:after="0"/>
              <w:rPr>
                <w:sz w:val="11"/>
                <w:szCs w:val="11"/>
                <w:color w:val="auto"/>
              </w:rPr>
            </w:pPr>
          </w:p>
        </w:tc>
        <w:tc>
          <w:tcPr>
            <w:tcW w:w="3060" w:type="dxa"/>
            <w:vAlign w:val="bottom"/>
            <w:shd w:val="clear" w:color="auto" w:fill="F0F1F8"/>
          </w:tcPr>
          <w:p>
            <w:pPr>
              <w:spacing w:after="0"/>
              <w:rPr>
                <w:sz w:val="11"/>
                <w:szCs w:val="11"/>
                <w:color w:val="auto"/>
              </w:rPr>
            </w:pPr>
          </w:p>
        </w:tc>
        <w:tc>
          <w:tcPr>
            <w:tcW w:w="2600" w:type="dxa"/>
            <w:vAlign w:val="bottom"/>
            <w:shd w:val="clear" w:color="auto" w:fill="F0F1F8"/>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-492760</wp:posOffset>
            </wp:positionV>
            <wp:extent cx="7133590" cy="30181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3590" cy="30181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5" w:lineRule="exact"/>
        <w:rPr>
          <w:sz w:val="20"/>
          <w:szCs w:val="20"/>
          <w:color w:val="auto"/>
        </w:rPr>
      </w:pPr>
    </w:p>
    <w:p>
      <w:pPr>
        <w:ind w:left="100" w:right="520"/>
        <w:spacing w:after="0" w:line="317" w:lineRule="auto"/>
        <w:rPr>
          <w:sz w:val="20"/>
          <w:szCs w:val="20"/>
          <w:color w:val="auto"/>
        </w:rPr>
      </w:pPr>
      <w:r>
        <w:rPr>
          <w:rFonts w:ascii="Arial" w:cs="Arial" w:eastAsia="Arial" w:hAnsi="Arial"/>
          <w:sz w:val="15"/>
          <w:szCs w:val="15"/>
          <w:b w:val="1"/>
          <w:bCs w:val="1"/>
          <w:color w:val="16479F"/>
        </w:rPr>
        <w:t>Governance and Corporate Responsibility Committee</w:t>
      </w:r>
    </w:p>
    <w:p>
      <w:pPr>
        <w:spacing w:after="0" w:line="100" w:lineRule="exact"/>
        <w:rPr>
          <w:sz w:val="20"/>
          <w:szCs w:val="20"/>
          <w:color w:val="auto"/>
        </w:rPr>
      </w:pPr>
    </w:p>
    <w:p>
      <w:pPr>
        <w:ind w:left="280" w:right="400" w:hanging="184"/>
        <w:spacing w:after="0" w:line="256" w:lineRule="auto"/>
        <w:tabs>
          <w:tab w:leader="none" w:pos="279" w:val="left"/>
        </w:tabs>
        <w:numPr>
          <w:ilvl w:val="0"/>
          <w:numId w:val="67"/>
        </w:numPr>
        <w:rPr>
          <w:rFonts w:ascii="Arial" w:cs="Arial" w:eastAsia="Arial" w:hAnsi="Arial"/>
          <w:sz w:val="16"/>
          <w:szCs w:val="16"/>
          <w:color w:val="16479F"/>
        </w:rPr>
      </w:pPr>
      <w:r>
        <w:rPr>
          <w:rFonts w:ascii="Arial" w:cs="Arial" w:eastAsia="Arial" w:hAnsi="Arial"/>
          <w:sz w:val="16"/>
          <w:szCs w:val="16"/>
          <w:color w:val="auto"/>
        </w:rPr>
        <w:t>Chief Responsibility Officer* provides quarterly updates</w:t>
      </w:r>
    </w:p>
    <w:p>
      <w:pPr>
        <w:spacing w:after="0" w:line="33" w:lineRule="exact"/>
        <w:rPr>
          <w:rFonts w:ascii="Arial" w:cs="Arial" w:eastAsia="Arial" w:hAnsi="Arial"/>
          <w:sz w:val="16"/>
          <w:szCs w:val="16"/>
          <w:color w:val="16479F"/>
        </w:rPr>
      </w:pPr>
    </w:p>
    <w:p>
      <w:pPr>
        <w:ind w:left="280" w:right="180" w:hanging="184"/>
        <w:spacing w:after="0" w:line="219" w:lineRule="auto"/>
        <w:tabs>
          <w:tab w:leader="none" w:pos="279" w:val="left"/>
        </w:tabs>
        <w:numPr>
          <w:ilvl w:val="0"/>
          <w:numId w:val="67"/>
        </w:numPr>
        <w:rPr>
          <w:rFonts w:ascii="Arial" w:cs="Arial" w:eastAsia="Arial" w:hAnsi="Arial"/>
          <w:sz w:val="16"/>
          <w:szCs w:val="16"/>
          <w:color w:val="16479F"/>
        </w:rPr>
      </w:pPr>
      <w:r>
        <w:rPr>
          <w:rFonts w:ascii="Arial" w:cs="Arial" w:eastAsia="Arial" w:hAnsi="Arial"/>
          <w:sz w:val="16"/>
          <w:szCs w:val="16"/>
          <w:color w:val="auto"/>
        </w:rPr>
        <w:t>Corporate Secretary</w:t>
      </w:r>
      <w:r>
        <w:rPr>
          <w:rFonts w:ascii="Arial" w:cs="Arial" w:eastAsia="Arial" w:hAnsi="Arial"/>
          <w:sz w:val="26"/>
          <w:szCs w:val="26"/>
          <w:color w:val="auto"/>
          <w:vertAlign w:val="superscript"/>
        </w:rPr>
        <w:t>+</w:t>
      </w:r>
      <w:r>
        <w:rPr>
          <w:rFonts w:ascii="Arial" w:cs="Arial" w:eastAsia="Arial" w:hAnsi="Arial"/>
          <w:sz w:val="16"/>
          <w:szCs w:val="16"/>
          <w:color w:val="auto"/>
        </w:rPr>
        <w:t xml:space="preserve"> manages annual review of charters and Board policies</w:t>
      </w:r>
    </w:p>
    <w:p>
      <w:pPr>
        <w:spacing w:after="0" w:line="50" w:lineRule="exact"/>
        <w:rPr>
          <w:rFonts w:ascii="Arial" w:cs="Arial" w:eastAsia="Arial" w:hAnsi="Arial"/>
          <w:sz w:val="16"/>
          <w:szCs w:val="16"/>
          <w:color w:val="16479F"/>
        </w:rPr>
      </w:pPr>
    </w:p>
    <w:p>
      <w:pPr>
        <w:ind w:left="280" w:right="300" w:hanging="184"/>
        <w:spacing w:after="0" w:line="256" w:lineRule="auto"/>
        <w:tabs>
          <w:tab w:leader="none" w:pos="279" w:val="left"/>
        </w:tabs>
        <w:numPr>
          <w:ilvl w:val="0"/>
          <w:numId w:val="67"/>
        </w:numPr>
        <w:rPr>
          <w:rFonts w:ascii="Arial" w:cs="Arial" w:eastAsia="Arial" w:hAnsi="Arial"/>
          <w:sz w:val="16"/>
          <w:szCs w:val="16"/>
          <w:color w:val="16479F"/>
        </w:rPr>
      </w:pPr>
      <w:r>
        <w:rPr>
          <w:rFonts w:ascii="Arial" w:cs="Arial" w:eastAsia="Arial" w:hAnsi="Arial"/>
          <w:sz w:val="16"/>
          <w:szCs w:val="16"/>
          <w:color w:val="auto"/>
        </w:rPr>
        <w:t>Head of Compliance provides annual update</w:t>
      </w:r>
    </w:p>
    <w:p>
      <w:pPr>
        <w:spacing w:after="0" w:line="35" w:lineRule="exact"/>
        <w:rPr>
          <w:rFonts w:ascii="Arial" w:cs="Arial" w:eastAsia="Arial" w:hAnsi="Arial"/>
          <w:sz w:val="16"/>
          <w:szCs w:val="16"/>
          <w:color w:val="16479F"/>
        </w:rPr>
      </w:pPr>
    </w:p>
    <w:p>
      <w:pPr>
        <w:ind w:left="280" w:right="220" w:hanging="184"/>
        <w:spacing w:after="0" w:line="256" w:lineRule="auto"/>
        <w:tabs>
          <w:tab w:leader="none" w:pos="279" w:val="left"/>
        </w:tabs>
        <w:numPr>
          <w:ilvl w:val="0"/>
          <w:numId w:val="67"/>
        </w:numPr>
        <w:rPr>
          <w:rFonts w:ascii="Arial" w:cs="Arial" w:eastAsia="Arial" w:hAnsi="Arial"/>
          <w:sz w:val="16"/>
          <w:szCs w:val="16"/>
          <w:color w:val="16479F"/>
        </w:rPr>
      </w:pPr>
      <w:r>
        <w:rPr>
          <w:rFonts w:ascii="Arial" w:cs="Arial" w:eastAsia="Arial" w:hAnsi="Arial"/>
          <w:sz w:val="16"/>
          <w:szCs w:val="16"/>
          <w:color w:val="auto"/>
        </w:rPr>
        <w:t>External Counsel leads annual governance review</w:t>
      </w:r>
    </w:p>
    <w:p>
      <w:pPr>
        <w:spacing w:after="0" w:line="35" w:lineRule="exact"/>
        <w:rPr>
          <w:rFonts w:ascii="Arial" w:cs="Arial" w:eastAsia="Arial" w:hAnsi="Arial"/>
          <w:sz w:val="16"/>
          <w:szCs w:val="16"/>
          <w:color w:val="16479F"/>
        </w:rPr>
      </w:pPr>
    </w:p>
    <w:p>
      <w:pPr>
        <w:ind w:left="280" w:hanging="184"/>
        <w:spacing w:after="0" w:line="246" w:lineRule="auto"/>
        <w:tabs>
          <w:tab w:leader="none" w:pos="279" w:val="left"/>
        </w:tabs>
        <w:numPr>
          <w:ilvl w:val="0"/>
          <w:numId w:val="67"/>
        </w:numPr>
        <w:rPr>
          <w:rFonts w:ascii="Arial" w:cs="Arial" w:eastAsia="Arial" w:hAnsi="Arial"/>
          <w:sz w:val="16"/>
          <w:szCs w:val="16"/>
          <w:color w:val="16479F"/>
        </w:rPr>
      </w:pPr>
      <w:r>
        <w:rPr>
          <w:rFonts w:ascii="Arial" w:cs="Arial" w:eastAsia="Arial" w:hAnsi="Arial"/>
          <w:sz w:val="16"/>
          <w:szCs w:val="16"/>
          <w:color w:val="auto"/>
        </w:rPr>
        <w:t>Governance Committee oversees shareholder engagement on corporate responsibility matters, including participation by its members in annual Corporate Responsibility Roadshow</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b w:val="1"/>
          <w:bCs w:val="1"/>
          <w:color w:val="16479F"/>
        </w:rPr>
        <w:t>Compensation, Talent and Culture Committee</w:t>
      </w:r>
    </w:p>
    <w:p>
      <w:pPr>
        <w:spacing w:after="0" w:line="123" w:lineRule="exact"/>
        <w:rPr>
          <w:sz w:val="20"/>
          <w:szCs w:val="20"/>
          <w:color w:val="auto"/>
        </w:rPr>
      </w:pPr>
    </w:p>
    <w:p>
      <w:pPr>
        <w:ind w:left="200" w:right="120" w:hanging="194"/>
        <w:spacing w:after="0" w:line="248" w:lineRule="auto"/>
        <w:tabs>
          <w:tab w:leader="none" w:pos="199" w:val="left"/>
        </w:tabs>
        <w:numPr>
          <w:ilvl w:val="0"/>
          <w:numId w:val="68"/>
        </w:numPr>
        <w:rPr>
          <w:rFonts w:ascii="Arial" w:cs="Arial" w:eastAsia="Arial" w:hAnsi="Arial"/>
          <w:sz w:val="16"/>
          <w:szCs w:val="16"/>
          <w:color w:val="16479F"/>
        </w:rPr>
      </w:pPr>
      <w:r>
        <w:rPr>
          <w:rFonts w:ascii="Arial" w:cs="Arial" w:eastAsia="Arial" w:hAnsi="Arial"/>
          <w:sz w:val="16"/>
          <w:szCs w:val="16"/>
          <w:color w:val="auto"/>
        </w:rPr>
        <w:t>Chief Human Resources Officer* oversees quarterly meetings and succession and progression planning updates</w:t>
      </w:r>
    </w:p>
    <w:p>
      <w:pPr>
        <w:spacing w:after="0" w:line="40" w:lineRule="exact"/>
        <w:rPr>
          <w:rFonts w:ascii="Arial" w:cs="Arial" w:eastAsia="Arial" w:hAnsi="Arial"/>
          <w:sz w:val="16"/>
          <w:szCs w:val="16"/>
          <w:color w:val="16479F"/>
        </w:rPr>
      </w:pPr>
    </w:p>
    <w:p>
      <w:pPr>
        <w:jc w:val="both"/>
        <w:ind w:left="200" w:right="180" w:hanging="194"/>
        <w:spacing w:after="0" w:line="236" w:lineRule="auto"/>
        <w:tabs>
          <w:tab w:leader="none" w:pos="199" w:val="left"/>
        </w:tabs>
        <w:numPr>
          <w:ilvl w:val="0"/>
          <w:numId w:val="68"/>
        </w:numPr>
        <w:rPr>
          <w:rFonts w:ascii="Arial" w:cs="Arial" w:eastAsia="Arial" w:hAnsi="Arial"/>
          <w:sz w:val="15"/>
          <w:szCs w:val="15"/>
          <w:color w:val="16479F"/>
        </w:rPr>
      </w:pPr>
      <w:r>
        <w:rPr>
          <w:rFonts w:ascii="Arial" w:cs="Arial" w:eastAsia="Arial" w:hAnsi="Arial"/>
          <w:sz w:val="15"/>
          <w:szCs w:val="15"/>
          <w:color w:val="auto"/>
        </w:rPr>
        <w:t>Chief Diversity Officer</w:t>
      </w:r>
      <w:r>
        <w:rPr>
          <w:rFonts w:ascii="Arial" w:cs="Arial" w:eastAsia="Arial" w:hAnsi="Arial"/>
          <w:sz w:val="24"/>
          <w:szCs w:val="24"/>
          <w:color w:val="auto"/>
          <w:vertAlign w:val="superscript"/>
        </w:rPr>
        <w:t>+</w:t>
      </w:r>
      <w:r>
        <w:rPr>
          <w:rFonts w:ascii="Arial" w:cs="Arial" w:eastAsia="Arial" w:hAnsi="Arial"/>
          <w:sz w:val="15"/>
          <w:szCs w:val="15"/>
          <w:color w:val="auto"/>
        </w:rPr>
        <w:t xml:space="preserve"> provides updates on DE&amp;I initiatives and strategic enhancements</w:t>
      </w:r>
    </w:p>
    <w:p>
      <w:pPr>
        <w:spacing w:after="0" w:line="48" w:lineRule="exact"/>
        <w:rPr>
          <w:rFonts w:ascii="Arial" w:cs="Arial" w:eastAsia="Arial" w:hAnsi="Arial"/>
          <w:sz w:val="15"/>
          <w:szCs w:val="15"/>
          <w:color w:val="16479F"/>
        </w:rPr>
      </w:pPr>
    </w:p>
    <w:p>
      <w:pPr>
        <w:ind w:left="200" w:right="20" w:hanging="194"/>
        <w:spacing w:after="0" w:line="247" w:lineRule="auto"/>
        <w:tabs>
          <w:tab w:leader="none" w:pos="199" w:val="left"/>
        </w:tabs>
        <w:numPr>
          <w:ilvl w:val="0"/>
          <w:numId w:val="68"/>
        </w:numPr>
        <w:rPr>
          <w:rFonts w:ascii="Arial" w:cs="Arial" w:eastAsia="Arial" w:hAnsi="Arial"/>
          <w:sz w:val="16"/>
          <w:szCs w:val="16"/>
          <w:color w:val="16479F"/>
        </w:rPr>
      </w:pPr>
      <w:r>
        <w:rPr>
          <w:rFonts w:ascii="Arial" w:cs="Arial" w:eastAsia="Arial" w:hAnsi="Arial"/>
          <w:sz w:val="16"/>
          <w:szCs w:val="16"/>
          <w:color w:val="auto"/>
        </w:rPr>
        <w:t>Head of Compensation &amp; Benefits incorporates the Compensation Committee’s recommendations into executive compensation program</w:t>
      </w:r>
    </w:p>
    <w:p>
      <w:pPr>
        <w:spacing w:after="0" w:line="44" w:lineRule="exact"/>
        <w:rPr>
          <w:rFonts w:ascii="Arial" w:cs="Arial" w:eastAsia="Arial" w:hAnsi="Arial"/>
          <w:sz w:val="16"/>
          <w:szCs w:val="16"/>
          <w:color w:val="16479F"/>
        </w:rPr>
      </w:pPr>
    </w:p>
    <w:p>
      <w:pPr>
        <w:ind w:left="200" w:hanging="194"/>
        <w:spacing w:after="0" w:line="248" w:lineRule="auto"/>
        <w:tabs>
          <w:tab w:leader="none" w:pos="199" w:val="left"/>
        </w:tabs>
        <w:numPr>
          <w:ilvl w:val="0"/>
          <w:numId w:val="68"/>
        </w:numPr>
        <w:rPr>
          <w:rFonts w:ascii="Arial" w:cs="Arial" w:eastAsia="Arial" w:hAnsi="Arial"/>
          <w:sz w:val="16"/>
          <w:szCs w:val="16"/>
          <w:color w:val="16479F"/>
        </w:rPr>
      </w:pPr>
      <w:r>
        <w:rPr>
          <w:rFonts w:ascii="Arial" w:cs="Arial" w:eastAsia="Arial" w:hAnsi="Arial"/>
          <w:sz w:val="16"/>
          <w:szCs w:val="16"/>
          <w:color w:val="auto"/>
        </w:rPr>
        <w:t>Compensation Consultant advises Compensation Committee on risk assessment and peer and best practices</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b w:val="1"/>
          <w:bCs w:val="1"/>
          <w:color w:val="16479F"/>
        </w:rPr>
        <w:t>Audit &amp; Risk Committee</w:t>
      </w:r>
    </w:p>
    <w:p>
      <w:pPr>
        <w:spacing w:after="0" w:line="369" w:lineRule="exact"/>
        <w:rPr>
          <w:sz w:val="20"/>
          <w:szCs w:val="20"/>
          <w:color w:val="auto"/>
        </w:rPr>
      </w:pPr>
    </w:p>
    <w:p>
      <w:pPr>
        <w:ind w:left="200" w:right="320" w:hanging="195"/>
        <w:spacing w:after="0" w:line="226" w:lineRule="auto"/>
        <w:tabs>
          <w:tab w:leader="none" w:pos="199" w:val="left"/>
        </w:tabs>
        <w:numPr>
          <w:ilvl w:val="0"/>
          <w:numId w:val="69"/>
        </w:numPr>
        <w:rPr>
          <w:rFonts w:ascii="Arial" w:cs="Arial" w:eastAsia="Arial" w:hAnsi="Arial"/>
          <w:sz w:val="15"/>
          <w:szCs w:val="15"/>
          <w:color w:val="16479F"/>
        </w:rPr>
      </w:pPr>
      <w:r>
        <w:rPr>
          <w:rFonts w:ascii="Arial" w:cs="Arial" w:eastAsia="Arial" w:hAnsi="Arial"/>
          <w:sz w:val="15"/>
          <w:szCs w:val="15"/>
          <w:color w:val="auto"/>
        </w:rPr>
        <w:t>CFO* and Global Controller</w:t>
      </w:r>
      <w:r>
        <w:rPr>
          <w:rFonts w:ascii="Arial" w:cs="Arial" w:eastAsia="Arial" w:hAnsi="Arial"/>
          <w:sz w:val="24"/>
          <w:szCs w:val="24"/>
          <w:color w:val="auto"/>
          <w:vertAlign w:val="superscript"/>
        </w:rPr>
        <w:t>+</w:t>
      </w:r>
      <w:r>
        <w:rPr>
          <w:rFonts w:ascii="Arial" w:cs="Arial" w:eastAsia="Arial" w:hAnsi="Arial"/>
          <w:sz w:val="15"/>
          <w:szCs w:val="15"/>
          <w:color w:val="auto"/>
        </w:rPr>
        <w:t xml:space="preserve"> oversee quarterly meetings</w:t>
      </w:r>
    </w:p>
    <w:p>
      <w:pPr>
        <w:spacing w:after="0" w:line="48" w:lineRule="exact"/>
        <w:rPr>
          <w:rFonts w:ascii="Arial" w:cs="Arial" w:eastAsia="Arial" w:hAnsi="Arial"/>
          <w:sz w:val="15"/>
          <w:szCs w:val="15"/>
          <w:color w:val="16479F"/>
        </w:rPr>
      </w:pPr>
    </w:p>
    <w:p>
      <w:pPr>
        <w:ind w:left="200" w:right="220" w:hanging="195"/>
        <w:spacing w:after="0" w:line="256" w:lineRule="auto"/>
        <w:tabs>
          <w:tab w:leader="none" w:pos="199" w:val="left"/>
        </w:tabs>
        <w:numPr>
          <w:ilvl w:val="0"/>
          <w:numId w:val="69"/>
        </w:numPr>
        <w:rPr>
          <w:rFonts w:ascii="Arial" w:cs="Arial" w:eastAsia="Arial" w:hAnsi="Arial"/>
          <w:sz w:val="16"/>
          <w:szCs w:val="16"/>
          <w:color w:val="16479F"/>
        </w:rPr>
      </w:pPr>
      <w:r>
        <w:rPr>
          <w:rFonts w:ascii="Arial" w:cs="Arial" w:eastAsia="Arial" w:hAnsi="Arial"/>
          <w:sz w:val="16"/>
          <w:szCs w:val="16"/>
          <w:color w:val="auto"/>
        </w:rPr>
        <w:t>Independent Auditor oversees integrity in financial reporting</w:t>
      </w:r>
    </w:p>
    <w:p>
      <w:pPr>
        <w:spacing w:after="0" w:line="35" w:lineRule="exact"/>
        <w:rPr>
          <w:rFonts w:ascii="Arial" w:cs="Arial" w:eastAsia="Arial" w:hAnsi="Arial"/>
          <w:sz w:val="16"/>
          <w:szCs w:val="16"/>
          <w:color w:val="16479F"/>
        </w:rPr>
      </w:pPr>
    </w:p>
    <w:p>
      <w:pPr>
        <w:ind w:left="200" w:hanging="195"/>
        <w:spacing w:after="0" w:line="248" w:lineRule="auto"/>
        <w:tabs>
          <w:tab w:leader="none" w:pos="199" w:val="left"/>
        </w:tabs>
        <w:numPr>
          <w:ilvl w:val="0"/>
          <w:numId w:val="69"/>
        </w:numPr>
        <w:rPr>
          <w:rFonts w:ascii="Arial" w:cs="Arial" w:eastAsia="Arial" w:hAnsi="Arial"/>
          <w:sz w:val="16"/>
          <w:szCs w:val="16"/>
          <w:color w:val="16479F"/>
        </w:rPr>
      </w:pPr>
      <w:r>
        <w:rPr>
          <w:rFonts w:ascii="Arial" w:cs="Arial" w:eastAsia="Arial" w:hAnsi="Arial"/>
          <w:sz w:val="16"/>
          <w:szCs w:val="16"/>
          <w:color w:val="auto"/>
        </w:rPr>
        <w:t>Internal Auditor reports to Audit Committee and provides quarterly updates on audit activities, findings and assurance</w:t>
      </w:r>
    </w:p>
    <w:p>
      <w:pPr>
        <w:spacing w:after="0" w:line="42" w:lineRule="exact"/>
        <w:rPr>
          <w:rFonts w:ascii="Arial" w:cs="Arial" w:eastAsia="Arial" w:hAnsi="Arial"/>
          <w:sz w:val="16"/>
          <w:szCs w:val="16"/>
          <w:color w:val="16479F"/>
        </w:rPr>
      </w:pPr>
    </w:p>
    <w:p>
      <w:pPr>
        <w:ind w:left="200" w:right="300" w:hanging="195"/>
        <w:spacing w:after="0" w:line="241" w:lineRule="auto"/>
        <w:tabs>
          <w:tab w:leader="none" w:pos="199" w:val="left"/>
        </w:tabs>
        <w:numPr>
          <w:ilvl w:val="0"/>
          <w:numId w:val="69"/>
        </w:numPr>
        <w:rPr>
          <w:rFonts w:ascii="Arial" w:cs="Arial" w:eastAsia="Arial" w:hAnsi="Arial"/>
          <w:sz w:val="15"/>
          <w:szCs w:val="15"/>
          <w:color w:val="16479F"/>
        </w:rPr>
      </w:pPr>
      <w:r>
        <w:rPr>
          <w:rFonts w:ascii="Arial" w:cs="Arial" w:eastAsia="Arial" w:hAnsi="Arial"/>
          <w:sz w:val="15"/>
          <w:szCs w:val="15"/>
          <w:color w:val="auto"/>
        </w:rPr>
        <w:t>Enterprise Risk Management Officer and Chief Information Security Officer</w:t>
      </w:r>
      <w:r>
        <w:rPr>
          <w:rFonts w:ascii="Arial" w:cs="Arial" w:eastAsia="Arial" w:hAnsi="Arial"/>
          <w:sz w:val="24"/>
          <w:szCs w:val="24"/>
          <w:color w:val="auto"/>
          <w:vertAlign w:val="superscript"/>
        </w:rPr>
        <w:t>+</w:t>
      </w:r>
      <w:r>
        <w:rPr>
          <w:rFonts w:ascii="Arial" w:cs="Arial" w:eastAsia="Arial" w:hAnsi="Arial"/>
          <w:sz w:val="15"/>
          <w:szCs w:val="15"/>
          <w:color w:val="auto"/>
        </w:rPr>
        <w:t xml:space="preserve"> provide quarterly reports</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jc w:val="center"/>
        <w:ind w:right="230"/>
        <w:spacing w:after="0"/>
        <w:rPr>
          <w:sz w:val="20"/>
          <w:szCs w:val="20"/>
          <w:color w:val="auto"/>
        </w:rPr>
      </w:pPr>
      <w:r>
        <w:rPr>
          <w:rFonts w:ascii="Arial" w:cs="Arial" w:eastAsia="Arial" w:hAnsi="Arial"/>
          <w:sz w:val="15"/>
          <w:szCs w:val="15"/>
          <w:b w:val="1"/>
          <w:bCs w:val="1"/>
          <w:color w:val="16479F"/>
        </w:rPr>
        <w:t>Strategy &amp; Finance Committee</w:t>
      </w:r>
    </w:p>
    <w:p>
      <w:pPr>
        <w:spacing w:after="0" w:line="381" w:lineRule="exact"/>
        <w:rPr>
          <w:sz w:val="20"/>
          <w:szCs w:val="20"/>
          <w:color w:val="auto"/>
        </w:rPr>
      </w:pPr>
    </w:p>
    <w:p>
      <w:pPr>
        <w:ind w:left="190" w:right="640" w:hanging="190"/>
        <w:spacing w:after="0" w:line="210" w:lineRule="auto"/>
        <w:tabs>
          <w:tab w:leader="none" w:pos="189" w:val="left"/>
        </w:tabs>
        <w:numPr>
          <w:ilvl w:val="0"/>
          <w:numId w:val="70"/>
        </w:numPr>
        <w:rPr>
          <w:rFonts w:ascii="Arial" w:cs="Arial" w:eastAsia="Arial" w:hAnsi="Arial"/>
          <w:sz w:val="16"/>
          <w:szCs w:val="16"/>
          <w:color w:val="16479F"/>
        </w:rPr>
      </w:pPr>
      <w:r>
        <w:rPr>
          <w:rFonts w:ascii="Arial" w:cs="Arial" w:eastAsia="Arial" w:hAnsi="Arial"/>
          <w:sz w:val="16"/>
          <w:szCs w:val="16"/>
          <w:color w:val="auto"/>
        </w:rPr>
        <w:t>CFO</w:t>
      </w:r>
      <w:r>
        <w:rPr>
          <w:rFonts w:ascii="Arial" w:cs="Arial" w:eastAsia="Arial" w:hAnsi="Arial"/>
          <w:sz w:val="26"/>
          <w:szCs w:val="26"/>
          <w:color w:val="auto"/>
          <w:vertAlign w:val="superscript"/>
        </w:rPr>
        <w:t>*</w:t>
      </w:r>
      <w:r>
        <w:rPr>
          <w:rFonts w:ascii="Arial" w:cs="Arial" w:eastAsia="Arial" w:hAnsi="Arial"/>
          <w:sz w:val="16"/>
          <w:szCs w:val="16"/>
          <w:color w:val="auto"/>
        </w:rPr>
        <w:t xml:space="preserve"> oversees quarterly meetings</w:t>
      </w:r>
    </w:p>
    <w:p>
      <w:pPr>
        <w:spacing w:after="0" w:line="46" w:lineRule="exact"/>
        <w:rPr>
          <w:rFonts w:ascii="Arial" w:cs="Arial" w:eastAsia="Arial" w:hAnsi="Arial"/>
          <w:sz w:val="16"/>
          <w:szCs w:val="16"/>
          <w:color w:val="16479F"/>
        </w:rPr>
      </w:pPr>
    </w:p>
    <w:p>
      <w:pPr>
        <w:ind w:left="190" w:hanging="190"/>
        <w:spacing w:after="0" w:line="219" w:lineRule="auto"/>
        <w:tabs>
          <w:tab w:leader="none" w:pos="189" w:val="left"/>
        </w:tabs>
        <w:numPr>
          <w:ilvl w:val="0"/>
          <w:numId w:val="70"/>
        </w:numPr>
        <w:rPr>
          <w:rFonts w:ascii="Arial" w:cs="Arial" w:eastAsia="Arial" w:hAnsi="Arial"/>
          <w:sz w:val="16"/>
          <w:szCs w:val="16"/>
          <w:color w:val="16479F"/>
        </w:rPr>
      </w:pPr>
      <w:r>
        <w:rPr>
          <w:rFonts w:ascii="Arial" w:cs="Arial" w:eastAsia="Arial" w:hAnsi="Arial"/>
          <w:sz w:val="16"/>
          <w:szCs w:val="16"/>
          <w:color w:val="auto"/>
        </w:rPr>
        <w:t>CFO</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partners with Strategy Committee to develop agenda for annual strategy meeting</w:t>
      </w:r>
    </w:p>
    <w:p>
      <w:pPr>
        <w:spacing w:after="0" w:line="47" w:lineRule="exact"/>
        <w:rPr>
          <w:rFonts w:ascii="Arial" w:cs="Arial" w:eastAsia="Arial" w:hAnsi="Arial"/>
          <w:sz w:val="16"/>
          <w:szCs w:val="16"/>
          <w:color w:val="16479F"/>
        </w:rPr>
      </w:pPr>
    </w:p>
    <w:p>
      <w:pPr>
        <w:ind w:left="190" w:right="20" w:hanging="190"/>
        <w:spacing w:after="0" w:line="219" w:lineRule="auto"/>
        <w:tabs>
          <w:tab w:leader="none" w:pos="189" w:val="left"/>
        </w:tabs>
        <w:numPr>
          <w:ilvl w:val="0"/>
          <w:numId w:val="70"/>
        </w:numPr>
        <w:rPr>
          <w:rFonts w:ascii="Arial" w:cs="Arial" w:eastAsia="Arial" w:hAnsi="Arial"/>
          <w:sz w:val="16"/>
          <w:szCs w:val="16"/>
          <w:color w:val="16479F"/>
        </w:rPr>
      </w:pPr>
      <w:r>
        <w:rPr>
          <w:rFonts w:ascii="Arial" w:cs="Arial" w:eastAsia="Arial" w:hAnsi="Arial"/>
          <w:sz w:val="16"/>
          <w:szCs w:val="16"/>
          <w:color w:val="auto"/>
        </w:rPr>
        <w:t>Heads of Product Lines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present strategy at annual strategy meeting</w:t>
      </w:r>
    </w:p>
    <w:p>
      <w:pPr>
        <w:spacing w:after="0" w:line="1679" w:lineRule="exact"/>
        <w:rPr>
          <w:sz w:val="20"/>
          <w:szCs w:val="20"/>
          <w:color w:val="auto"/>
        </w:rPr>
      </w:pPr>
    </w:p>
    <w:p>
      <w:pPr>
        <w:sectPr>
          <w:pgSz w:w="11900" w:h="16838" w:orient="portrait"/>
          <w:cols w:equalWidth="0" w:num="4">
            <w:col w:w="2680" w:space="240"/>
            <w:col w:w="2640" w:space="320"/>
            <w:col w:w="2560" w:space="230"/>
            <w:col w:w="2570"/>
          </w:cols>
          <w:pgMar w:left="320" w:top="121" w:right="339" w:bottom="1440" w:gutter="0" w:footer="0" w:header="0"/>
          <w:type w:val="continuous"/>
        </w:sectPr>
      </w:pPr>
    </w:p>
    <w:p>
      <w:pPr>
        <w:spacing w:after="0" w:line="140" w:lineRule="exact"/>
        <w:rPr>
          <w:sz w:val="20"/>
          <w:szCs w:val="20"/>
          <w:color w:val="auto"/>
        </w:rPr>
      </w:pPr>
    </w:p>
    <w:p>
      <w:pPr>
        <w:ind w:left="240" w:hanging="233"/>
        <w:spacing w:after="0"/>
        <w:tabs>
          <w:tab w:leader="none" w:pos="2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Member of Corporate Responsibility Policy Committee</w:t>
      </w:r>
    </w:p>
    <w:p>
      <w:pPr>
        <w:spacing w:after="0" w:line="53" w:lineRule="exact"/>
        <w:rPr>
          <w:sz w:val="20"/>
          <w:szCs w:val="20"/>
          <w:color w:val="auto"/>
        </w:rPr>
      </w:pPr>
    </w:p>
    <w:p>
      <w:pPr>
        <w:ind w:left="240" w:hanging="233"/>
        <w:spacing w:after="0"/>
        <w:tabs>
          <w:tab w:leader="none" w:pos="2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Member of or function represented on Corporate Responsibility Committee</w:t>
      </w:r>
    </w:p>
    <w:p>
      <w:pPr>
        <w:spacing w:after="0" w:line="120"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Risk Oversight of Corporate Responsibility</w:t>
      </w:r>
    </w:p>
    <w:p>
      <w:pPr>
        <w:spacing w:after="0" w:line="195" w:lineRule="exact"/>
        <w:rPr>
          <w:sz w:val="20"/>
          <w:szCs w:val="20"/>
          <w:color w:val="auto"/>
        </w:rPr>
      </w:pPr>
    </w:p>
    <w:p>
      <w:pPr>
        <w:ind w:right="160"/>
        <w:spacing w:after="0" w:line="247" w:lineRule="auto"/>
        <w:rPr>
          <w:sz w:val="20"/>
          <w:szCs w:val="20"/>
          <w:color w:val="auto"/>
        </w:rPr>
      </w:pPr>
      <w:r>
        <w:rPr>
          <w:rFonts w:ascii="Arial" w:cs="Arial" w:eastAsia="Arial" w:hAnsi="Arial"/>
          <w:sz w:val="16"/>
          <w:szCs w:val="16"/>
          <w:color w:val="auto"/>
        </w:rPr>
        <w:t>MSCI’s EROC is also integrated into our corporate responsibility oversight framework. The EROC oversees MSCI’s risk-management governance to ensure that MSCI has an effective process designed to identify, evaluate and manage risks that may have an adverse impact on MSCI’s ability to achieve its operational and strategic objectives. Climate-related risks are integrated into MSCI risk reporting, including transition and physical climate risks. The Audit Committee receives a quarterly update from the Enterprise Risk Management Officer on the work of the EROC, which includes reporting on climate-related risks.</w:t>
      </w:r>
    </w:p>
    <w:p>
      <w:pPr>
        <w:spacing w:after="0" w:line="151" w:lineRule="exact"/>
        <w:rPr>
          <w:sz w:val="20"/>
          <w:szCs w:val="20"/>
          <w:color w:val="auto"/>
        </w:rPr>
      </w:pPr>
    </w:p>
    <w:p>
      <w:pPr>
        <w:ind w:right="440"/>
        <w:spacing w:after="0" w:line="256" w:lineRule="auto"/>
        <w:rPr>
          <w:sz w:val="20"/>
          <w:szCs w:val="20"/>
          <w:color w:val="auto"/>
        </w:rPr>
      </w:pPr>
      <w:r>
        <w:rPr>
          <w:rFonts w:ascii="Arial" w:cs="Arial" w:eastAsia="Arial" w:hAnsi="Arial"/>
          <w:sz w:val="16"/>
          <w:szCs w:val="16"/>
          <w:color w:val="auto"/>
        </w:rPr>
        <w:t xml:space="preserve">Additional information on our corporate responsibility efforts, including our published sustainability reports, can be found on our Corporate Responsibility website </w:t>
      </w:r>
      <w:r>
        <w:rPr>
          <w:rFonts w:ascii="Arial" w:cs="Arial" w:eastAsia="Arial" w:hAnsi="Arial"/>
          <w:sz w:val="16"/>
          <w:szCs w:val="16"/>
          <w:color w:val="00B5AA"/>
        </w:rPr>
        <w:t>(https://www.msci.com/who-we-are/corporate-responsibility)</w:t>
      </w:r>
      <w:r>
        <w:rPr>
          <w:rFonts w:ascii="Arial" w:cs="Arial" w:eastAsia="Arial" w:hAnsi="Arial"/>
          <w:sz w:val="16"/>
          <w:szCs w:val="16"/>
          <w:color w:val="auto"/>
        </w:rPr>
        <w:t>.</w:t>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16479F"/>
        </w:rPr>
        <w:t>Human Capital Management</w:t>
      </w:r>
    </w:p>
    <w:p>
      <w:pPr>
        <w:spacing w:after="0" w:line="206" w:lineRule="exact"/>
        <w:rPr>
          <w:sz w:val="20"/>
          <w:szCs w:val="20"/>
          <w:color w:val="auto"/>
        </w:rPr>
      </w:pPr>
    </w:p>
    <w:p>
      <w:pPr>
        <w:ind w:right="160"/>
        <w:spacing w:after="0" w:line="247" w:lineRule="auto"/>
        <w:rPr>
          <w:sz w:val="20"/>
          <w:szCs w:val="20"/>
          <w:color w:val="auto"/>
        </w:rPr>
      </w:pPr>
      <w:r>
        <w:rPr>
          <w:rFonts w:ascii="Arial" w:cs="Arial" w:eastAsia="Arial" w:hAnsi="Arial"/>
          <w:sz w:val="16"/>
          <w:szCs w:val="16"/>
          <w:color w:val="auto"/>
        </w:rPr>
        <w:t>We recognize that our people power our business and that our diverse workforce and inclusive work environment are critical to our success. Our Compensation Committee’s oversight responsibilities include our policies relating to DE&amp;I, corporate culture and employee engagement. The Compensation Committee at least annually receives updates on the Company’s progress on DE&amp;I initiatives, including key performance metrics, and the Chief Diversity Officer regularly presents to the Compensation Committee. The Compensation Committee also annually reviews MSCI’s Global Human Rights Policy and related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58420</wp:posOffset>
            </wp:positionV>
            <wp:extent cx="7154545" cy="209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9" w:name="page50"/>
    <w:bookmarkEnd w:id="49"/>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00" w:type="dxa"/>
            <w:vAlign w:val="bottom"/>
            <w:tcBorders>
              <w:right w:val="single" w:sz="8" w:color="16479F"/>
            </w:tcBorders>
          </w:tcPr>
          <w:p>
            <w:pPr>
              <w:ind w:left="8740"/>
              <w:spacing w:after="0"/>
              <w:rPr>
                <w:sz w:val="20"/>
                <w:szCs w:val="20"/>
                <w:color w:val="auto"/>
              </w:rPr>
            </w:pPr>
            <w:r>
              <w:rPr>
                <w:rFonts w:ascii="Arial" w:cs="Arial" w:eastAsia="Arial" w:hAnsi="Arial"/>
                <w:sz w:val="14"/>
                <w:szCs w:val="14"/>
                <w:b w:val="1"/>
                <w:bCs w:val="1"/>
                <w:color w:val="16479F"/>
              </w:rPr>
              <w:t>2022 PROXY STATEMENT</w:t>
            </w:r>
          </w:p>
        </w:tc>
        <w:tc>
          <w:tcPr>
            <w:tcW w:w="640" w:type="dxa"/>
            <w:vAlign w:val="bottom"/>
          </w:tcPr>
          <w:p>
            <w:pPr>
              <w:jc w:val="right"/>
              <w:ind w:right="9"/>
              <w:spacing w:after="0"/>
              <w:rPr>
                <w:sz w:val="20"/>
                <w:szCs w:val="20"/>
                <w:color w:val="auto"/>
              </w:rPr>
            </w:pPr>
            <w:r>
              <w:rPr>
                <w:rFonts w:ascii="Arial" w:cs="Arial" w:eastAsia="Arial" w:hAnsi="Arial"/>
                <w:sz w:val="14"/>
                <w:szCs w:val="14"/>
                <w:b w:val="1"/>
                <w:bCs w:val="1"/>
                <w:color w:val="16479F"/>
              </w:rPr>
              <w:t>49</w:t>
            </w:r>
          </w:p>
        </w:tc>
      </w:tr>
      <w:tr>
        <w:trPr>
          <w:trHeight w:val="65"/>
        </w:trPr>
        <w:tc>
          <w:tcPr>
            <w:tcW w:w="10600" w:type="dxa"/>
            <w:vAlign w:val="bottom"/>
            <w:tcBorders>
              <w:bottom w:val="single" w:sz="8" w:color="16479F"/>
              <w:right w:val="single" w:sz="8" w:color="16479F"/>
            </w:tcBorders>
          </w:tcPr>
          <w:p>
            <w:pPr>
              <w:spacing w:after="0"/>
              <w:rPr>
                <w:sz w:val="5"/>
                <w:szCs w:val="5"/>
                <w:color w:val="auto"/>
              </w:rPr>
            </w:pPr>
          </w:p>
        </w:tc>
        <w:tc>
          <w:tcPr>
            <w:tcW w:w="640" w:type="dxa"/>
            <w:vAlign w:val="bottom"/>
            <w:tcBorders>
              <w:bottom w:val="single" w:sz="8" w:color="16479F"/>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102235</wp:posOffset>
            </wp:positionV>
            <wp:extent cx="7133590" cy="2209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3590" cy="22098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23" w:lineRule="exact"/>
        <w:rPr>
          <w:sz w:val="20"/>
          <w:szCs w:val="20"/>
          <w:color w:val="auto"/>
        </w:rPr>
      </w:pPr>
    </w:p>
    <w:p>
      <w:pPr>
        <w:jc w:val="center"/>
        <w:ind w:left="180"/>
        <w:spacing w:after="0"/>
        <w:rPr>
          <w:sz w:val="20"/>
          <w:szCs w:val="20"/>
          <w:color w:val="auto"/>
        </w:rPr>
      </w:pPr>
      <w:r>
        <w:rPr>
          <w:rFonts w:ascii="Arial" w:cs="Arial" w:eastAsia="Arial" w:hAnsi="Arial"/>
          <w:sz w:val="16"/>
          <w:szCs w:val="16"/>
          <w:b w:val="1"/>
          <w:bCs w:val="1"/>
          <w:color w:val="FFFFFF"/>
        </w:rPr>
        <w:t>Learning and Development</w:t>
      </w:r>
    </w:p>
    <w:p>
      <w:pPr>
        <w:spacing w:after="0" w:line="152" w:lineRule="exact"/>
        <w:rPr>
          <w:sz w:val="20"/>
          <w:szCs w:val="20"/>
          <w:color w:val="auto"/>
        </w:rPr>
      </w:pPr>
    </w:p>
    <w:p>
      <w:pPr>
        <w:ind w:left="280" w:right="80" w:hanging="184"/>
        <w:spacing w:after="0" w:line="229" w:lineRule="auto"/>
        <w:tabs>
          <w:tab w:leader="none" w:pos="277" w:val="left"/>
        </w:tabs>
        <w:numPr>
          <w:ilvl w:val="0"/>
          <w:numId w:val="73"/>
        </w:numPr>
        <w:rPr>
          <w:rFonts w:ascii="Arial" w:cs="Arial" w:eastAsia="Arial" w:hAnsi="Arial"/>
          <w:sz w:val="15"/>
          <w:szCs w:val="15"/>
          <w:color w:val="16479F"/>
        </w:rPr>
      </w:pPr>
      <w:r>
        <w:rPr>
          <w:rFonts w:ascii="Arial" w:cs="Arial" w:eastAsia="Arial" w:hAnsi="Arial"/>
          <w:sz w:val="15"/>
          <w:szCs w:val="15"/>
          <w:color w:val="auto"/>
        </w:rPr>
        <w:t>We are committed to creating a performance and growth culture of high employee engagement, where every employee takes personal ownership of their performance, career and professional growth</w:t>
      </w:r>
    </w:p>
    <w:p>
      <w:pPr>
        <w:spacing w:after="0" w:line="34" w:lineRule="exact"/>
        <w:rPr>
          <w:rFonts w:ascii="Arial" w:cs="Arial" w:eastAsia="Arial" w:hAnsi="Arial"/>
          <w:sz w:val="15"/>
          <w:szCs w:val="15"/>
          <w:color w:val="16479F"/>
        </w:rPr>
      </w:pPr>
    </w:p>
    <w:p>
      <w:pPr>
        <w:ind w:left="280" w:right="100" w:hanging="184"/>
        <w:spacing w:after="0" w:line="228" w:lineRule="auto"/>
        <w:tabs>
          <w:tab w:leader="none" w:pos="277" w:val="left"/>
        </w:tabs>
        <w:numPr>
          <w:ilvl w:val="0"/>
          <w:numId w:val="73"/>
        </w:numPr>
        <w:rPr>
          <w:rFonts w:ascii="Arial" w:cs="Arial" w:eastAsia="Arial" w:hAnsi="Arial"/>
          <w:sz w:val="15"/>
          <w:szCs w:val="15"/>
          <w:color w:val="16479F"/>
        </w:rPr>
      </w:pPr>
      <w:r>
        <w:rPr>
          <w:rFonts w:ascii="Arial" w:cs="Arial" w:eastAsia="Arial" w:hAnsi="Arial"/>
          <w:sz w:val="15"/>
          <w:szCs w:val="15"/>
          <w:color w:val="auto"/>
        </w:rPr>
        <w:t>We offer tools and workshops to help employees better understand how their work aligns with our overall strategy, seek and receive feedback and coaching, successfully deliver on goals and plan and develop their careers. Recent updates include:</w:t>
      </w:r>
    </w:p>
    <w:p>
      <w:pPr>
        <w:spacing w:after="0" w:line="43" w:lineRule="exact"/>
        <w:rPr>
          <w:rFonts w:ascii="Arial" w:cs="Arial" w:eastAsia="Arial" w:hAnsi="Arial"/>
          <w:sz w:val="15"/>
          <w:szCs w:val="15"/>
          <w:color w:val="16479F"/>
        </w:rPr>
      </w:pPr>
    </w:p>
    <w:p>
      <w:pPr>
        <w:ind w:left="460" w:right="20" w:hanging="185"/>
        <w:spacing w:after="0" w:line="194" w:lineRule="auto"/>
        <w:tabs>
          <w:tab w:leader="none" w:pos="457" w:val="left"/>
        </w:tabs>
        <w:numPr>
          <w:ilvl w:val="1"/>
          <w:numId w:val="73"/>
        </w:numPr>
        <w:rPr>
          <w:rFonts w:ascii="Arial" w:cs="Arial" w:eastAsia="Arial" w:hAnsi="Arial"/>
          <w:sz w:val="15"/>
          <w:szCs w:val="15"/>
          <w:color w:val="16479F"/>
        </w:rPr>
      </w:pPr>
      <w:r>
        <w:rPr>
          <w:rFonts w:ascii="Arial" w:cs="Arial" w:eastAsia="Arial" w:hAnsi="Arial"/>
          <w:sz w:val="15"/>
          <w:szCs w:val="15"/>
          <w:color w:val="auto"/>
        </w:rPr>
        <w:t>210%</w:t>
      </w:r>
      <w:r>
        <w:rPr>
          <w:rFonts w:ascii="Arial" w:cs="Arial" w:eastAsia="Arial" w:hAnsi="Arial"/>
          <w:sz w:val="25"/>
          <w:szCs w:val="25"/>
          <w:color w:val="auto"/>
          <w:vertAlign w:val="superscript"/>
        </w:rPr>
        <w:t>+(1)</w:t>
      </w:r>
      <w:r>
        <w:rPr>
          <w:rFonts w:ascii="Arial" w:cs="Arial" w:eastAsia="Arial" w:hAnsi="Arial"/>
          <w:sz w:val="15"/>
          <w:szCs w:val="15"/>
          <w:color w:val="auto"/>
        </w:rPr>
        <w:t xml:space="preserve"> increase in our investment in learning and development since 2015</w:t>
      </w:r>
    </w:p>
    <w:p>
      <w:pPr>
        <w:spacing w:after="0" w:line="43" w:lineRule="exact"/>
        <w:rPr>
          <w:rFonts w:ascii="Arial" w:cs="Arial" w:eastAsia="Arial" w:hAnsi="Arial"/>
          <w:sz w:val="15"/>
          <w:szCs w:val="15"/>
          <w:color w:val="16479F"/>
        </w:rPr>
      </w:pPr>
    </w:p>
    <w:p>
      <w:pPr>
        <w:jc w:val="both"/>
        <w:ind w:left="460" w:hanging="185"/>
        <w:spacing w:after="0" w:line="202" w:lineRule="auto"/>
        <w:tabs>
          <w:tab w:leader="none" w:pos="457" w:val="left"/>
        </w:tabs>
        <w:numPr>
          <w:ilvl w:val="1"/>
          <w:numId w:val="73"/>
        </w:numPr>
        <w:rPr>
          <w:rFonts w:ascii="Arial" w:cs="Arial" w:eastAsia="Arial" w:hAnsi="Arial"/>
          <w:sz w:val="15"/>
          <w:szCs w:val="15"/>
          <w:color w:val="16479F"/>
        </w:rPr>
      </w:pPr>
      <w:r>
        <w:rPr>
          <w:rFonts w:ascii="Arial" w:cs="Arial" w:eastAsia="Arial" w:hAnsi="Arial"/>
          <w:sz w:val="15"/>
          <w:szCs w:val="15"/>
          <w:color w:val="auto"/>
        </w:rPr>
        <w:t>5x</w:t>
      </w:r>
      <w:r>
        <w:rPr>
          <w:rFonts w:ascii="Arial" w:cs="Arial" w:eastAsia="Arial" w:hAnsi="Arial"/>
          <w:sz w:val="25"/>
          <w:szCs w:val="25"/>
          <w:color w:val="auto"/>
          <w:vertAlign w:val="superscript"/>
        </w:rPr>
        <w:t>(1)</w:t>
      </w:r>
      <w:r>
        <w:rPr>
          <w:rFonts w:ascii="Arial" w:cs="Arial" w:eastAsia="Arial" w:hAnsi="Arial"/>
          <w:sz w:val="15"/>
          <w:szCs w:val="15"/>
          <w:color w:val="auto"/>
        </w:rPr>
        <w:t xml:space="preserve"> growth in the number of participants in our learning and development programs from 2017 to 2021</w:t>
      </w:r>
    </w:p>
    <w:p>
      <w:pPr>
        <w:spacing w:after="0" w:line="33" w:lineRule="exact"/>
        <w:rPr>
          <w:rFonts w:ascii="Arial" w:cs="Arial" w:eastAsia="Arial" w:hAnsi="Arial"/>
          <w:sz w:val="15"/>
          <w:szCs w:val="15"/>
          <w:color w:val="16479F"/>
        </w:rPr>
      </w:pPr>
    </w:p>
    <w:p>
      <w:pPr>
        <w:ind w:left="280" w:right="40" w:hanging="184"/>
        <w:spacing w:after="0" w:line="230" w:lineRule="auto"/>
        <w:tabs>
          <w:tab w:leader="none" w:pos="277" w:val="left"/>
        </w:tabs>
        <w:numPr>
          <w:ilvl w:val="0"/>
          <w:numId w:val="73"/>
        </w:numPr>
        <w:rPr>
          <w:rFonts w:ascii="Arial" w:cs="Arial" w:eastAsia="Arial" w:hAnsi="Arial"/>
          <w:sz w:val="15"/>
          <w:szCs w:val="15"/>
          <w:color w:val="16479F"/>
        </w:rPr>
      </w:pPr>
      <w:r>
        <w:rPr>
          <w:rFonts w:ascii="Arial" w:cs="Arial" w:eastAsia="Arial" w:hAnsi="Arial"/>
          <w:sz w:val="15"/>
          <w:szCs w:val="15"/>
          <w:color w:val="auto"/>
        </w:rPr>
        <w:t>We support employee learning by sponsoring and reimbursing employees for certain certifications and membership dues, ongoing education and relevant industry conferences and seminars</w:t>
      </w:r>
    </w:p>
    <w:p>
      <w:pPr>
        <w:spacing w:after="0" w:line="35" w:lineRule="exact"/>
        <w:rPr>
          <w:rFonts w:ascii="Arial" w:cs="Arial" w:eastAsia="Arial" w:hAnsi="Arial"/>
          <w:sz w:val="15"/>
          <w:szCs w:val="15"/>
          <w:color w:val="16479F"/>
        </w:rPr>
      </w:pPr>
    </w:p>
    <w:p>
      <w:pPr>
        <w:ind w:left="280" w:hanging="184"/>
        <w:spacing w:after="0"/>
        <w:tabs>
          <w:tab w:leader="none" w:pos="280" w:val="left"/>
        </w:tabs>
        <w:numPr>
          <w:ilvl w:val="0"/>
          <w:numId w:val="73"/>
        </w:numPr>
        <w:rPr>
          <w:rFonts w:ascii="Arial" w:cs="Arial" w:eastAsia="Arial" w:hAnsi="Arial"/>
          <w:sz w:val="15"/>
          <w:szCs w:val="15"/>
          <w:color w:val="16479F"/>
        </w:rPr>
      </w:pPr>
      <w:r>
        <w:rPr>
          <w:rFonts w:ascii="Arial" w:cs="Arial" w:eastAsia="Arial" w:hAnsi="Arial"/>
          <w:sz w:val="15"/>
          <w:szCs w:val="15"/>
          <w:color w:val="auto"/>
        </w:rPr>
        <w:t>Additional examples of programs offered include:</w:t>
      </w:r>
    </w:p>
    <w:p>
      <w:pPr>
        <w:spacing w:after="0" w:line="41" w:lineRule="exact"/>
        <w:rPr>
          <w:rFonts w:ascii="Arial" w:cs="Arial" w:eastAsia="Arial" w:hAnsi="Arial"/>
          <w:sz w:val="15"/>
          <w:szCs w:val="15"/>
          <w:color w:val="16479F"/>
        </w:rPr>
      </w:pPr>
    </w:p>
    <w:p>
      <w:pPr>
        <w:ind w:left="460" w:right="500" w:hanging="185"/>
        <w:spacing w:after="0" w:line="237" w:lineRule="auto"/>
        <w:tabs>
          <w:tab w:leader="none" w:pos="457" w:val="left"/>
        </w:tabs>
        <w:numPr>
          <w:ilvl w:val="1"/>
          <w:numId w:val="73"/>
        </w:numPr>
        <w:rPr>
          <w:rFonts w:ascii="Arial" w:cs="Arial" w:eastAsia="Arial" w:hAnsi="Arial"/>
          <w:sz w:val="15"/>
          <w:szCs w:val="15"/>
          <w:color w:val="16479F"/>
        </w:rPr>
      </w:pPr>
      <w:r>
        <w:rPr>
          <w:rFonts w:ascii="Arial" w:cs="Arial" w:eastAsia="Arial" w:hAnsi="Arial"/>
          <w:sz w:val="15"/>
          <w:szCs w:val="15"/>
          <w:color w:val="auto"/>
        </w:rPr>
        <w:t>Virtual training programs to build remote capabilities</w:t>
      </w:r>
    </w:p>
    <w:p>
      <w:pPr>
        <w:spacing w:after="0" w:line="34" w:lineRule="exact"/>
        <w:rPr>
          <w:rFonts w:ascii="Arial" w:cs="Arial" w:eastAsia="Arial" w:hAnsi="Arial"/>
          <w:sz w:val="15"/>
          <w:szCs w:val="15"/>
          <w:color w:val="16479F"/>
        </w:rPr>
      </w:pPr>
    </w:p>
    <w:p>
      <w:pPr>
        <w:ind w:left="460" w:right="80" w:hanging="185"/>
        <w:spacing w:after="0" w:line="237" w:lineRule="auto"/>
        <w:tabs>
          <w:tab w:leader="none" w:pos="457" w:val="left"/>
        </w:tabs>
        <w:numPr>
          <w:ilvl w:val="1"/>
          <w:numId w:val="73"/>
        </w:numPr>
        <w:rPr>
          <w:rFonts w:ascii="Arial" w:cs="Arial" w:eastAsia="Arial" w:hAnsi="Arial"/>
          <w:sz w:val="15"/>
          <w:szCs w:val="15"/>
          <w:color w:val="16479F"/>
        </w:rPr>
      </w:pPr>
      <w:r>
        <w:rPr>
          <w:rFonts w:ascii="Arial" w:cs="Arial" w:eastAsia="Arial" w:hAnsi="Arial"/>
          <w:sz w:val="15"/>
          <w:szCs w:val="15"/>
          <w:color w:val="auto"/>
        </w:rPr>
        <w:t>Mystery Coffee: connects employees across the globe for informal networking opportunities</w:t>
      </w:r>
    </w:p>
    <w:p>
      <w:pPr>
        <w:spacing w:after="0" w:line="34" w:lineRule="exact"/>
        <w:rPr>
          <w:rFonts w:ascii="Arial" w:cs="Arial" w:eastAsia="Arial" w:hAnsi="Arial"/>
          <w:sz w:val="15"/>
          <w:szCs w:val="15"/>
          <w:color w:val="16479F"/>
        </w:rPr>
      </w:pPr>
    </w:p>
    <w:p>
      <w:pPr>
        <w:jc w:val="both"/>
        <w:ind w:left="460" w:right="100" w:hanging="185"/>
        <w:spacing w:after="0" w:line="233" w:lineRule="auto"/>
        <w:tabs>
          <w:tab w:leader="none" w:pos="457" w:val="left"/>
        </w:tabs>
        <w:numPr>
          <w:ilvl w:val="1"/>
          <w:numId w:val="73"/>
        </w:numPr>
        <w:rPr>
          <w:rFonts w:ascii="Arial" w:cs="Arial" w:eastAsia="Arial" w:hAnsi="Arial"/>
          <w:sz w:val="15"/>
          <w:szCs w:val="15"/>
          <w:color w:val="16479F"/>
        </w:rPr>
      </w:pPr>
      <w:r>
        <w:rPr>
          <w:rFonts w:ascii="Arial" w:cs="Arial" w:eastAsia="Arial" w:hAnsi="Arial"/>
          <w:sz w:val="15"/>
          <w:szCs w:val="15"/>
          <w:color w:val="auto"/>
        </w:rPr>
        <w:t>Career Success at MSCI: enables employees to plan, manage and take actions aligned with their career aspirations</w:t>
      </w:r>
    </w:p>
    <w:p>
      <w:pPr>
        <w:spacing w:after="0" w:line="33" w:lineRule="exact"/>
        <w:rPr>
          <w:rFonts w:ascii="Arial" w:cs="Arial" w:eastAsia="Arial" w:hAnsi="Arial"/>
          <w:sz w:val="15"/>
          <w:szCs w:val="15"/>
          <w:color w:val="16479F"/>
        </w:rPr>
      </w:pPr>
    </w:p>
    <w:p>
      <w:pPr>
        <w:ind w:left="460" w:hanging="185"/>
        <w:spacing w:after="0" w:line="233" w:lineRule="auto"/>
        <w:tabs>
          <w:tab w:leader="none" w:pos="457" w:val="left"/>
        </w:tabs>
        <w:numPr>
          <w:ilvl w:val="1"/>
          <w:numId w:val="73"/>
        </w:numPr>
        <w:rPr>
          <w:rFonts w:ascii="Arial" w:cs="Arial" w:eastAsia="Arial" w:hAnsi="Arial"/>
          <w:sz w:val="15"/>
          <w:szCs w:val="15"/>
          <w:color w:val="16479F"/>
        </w:rPr>
      </w:pPr>
      <w:r>
        <w:rPr>
          <w:rFonts w:ascii="Arial" w:cs="Arial" w:eastAsia="Arial" w:hAnsi="Arial"/>
          <w:sz w:val="15"/>
          <w:szCs w:val="15"/>
          <w:color w:val="auto"/>
        </w:rPr>
        <w:t>Accelerated Leadership Development: provides one-on-one coaching, leadership skills development, networking and applied learning</w:t>
      </w:r>
    </w:p>
    <w:p>
      <w:pPr>
        <w:spacing w:after="0" w:line="33" w:lineRule="exact"/>
        <w:rPr>
          <w:rFonts w:ascii="Arial" w:cs="Arial" w:eastAsia="Arial" w:hAnsi="Arial"/>
          <w:sz w:val="15"/>
          <w:szCs w:val="15"/>
          <w:color w:val="16479F"/>
        </w:rPr>
      </w:pPr>
    </w:p>
    <w:p>
      <w:pPr>
        <w:ind w:left="280" w:right="240" w:hanging="184"/>
        <w:spacing w:after="0" w:line="237" w:lineRule="auto"/>
        <w:tabs>
          <w:tab w:leader="none" w:pos="277" w:val="left"/>
        </w:tabs>
        <w:numPr>
          <w:ilvl w:val="0"/>
          <w:numId w:val="73"/>
        </w:numPr>
        <w:rPr>
          <w:rFonts w:ascii="Arial" w:cs="Arial" w:eastAsia="Arial" w:hAnsi="Arial"/>
          <w:sz w:val="15"/>
          <w:szCs w:val="15"/>
          <w:color w:val="16479F"/>
        </w:rPr>
      </w:pPr>
      <w:r>
        <w:rPr>
          <w:rFonts w:ascii="Arial" w:cs="Arial" w:eastAsia="Arial" w:hAnsi="Arial"/>
          <w:sz w:val="15"/>
          <w:szCs w:val="15"/>
          <w:color w:val="auto"/>
        </w:rPr>
        <w:t>Women’s Sponsorship/Mentorship program for high performing women</w:t>
      </w:r>
    </w:p>
    <w:p>
      <w:pPr>
        <w:spacing w:after="0" w:line="34" w:lineRule="exact"/>
        <w:rPr>
          <w:rFonts w:ascii="Arial" w:cs="Arial" w:eastAsia="Arial" w:hAnsi="Arial"/>
          <w:sz w:val="15"/>
          <w:szCs w:val="15"/>
          <w:color w:val="16479F"/>
        </w:rPr>
      </w:pPr>
    </w:p>
    <w:p>
      <w:pPr>
        <w:ind w:left="280" w:right="320" w:hanging="184"/>
        <w:spacing w:after="0" w:line="237" w:lineRule="auto"/>
        <w:tabs>
          <w:tab w:leader="none" w:pos="277" w:val="left"/>
        </w:tabs>
        <w:numPr>
          <w:ilvl w:val="0"/>
          <w:numId w:val="73"/>
        </w:numPr>
        <w:rPr>
          <w:rFonts w:ascii="Arial" w:cs="Arial" w:eastAsia="Arial" w:hAnsi="Arial"/>
          <w:sz w:val="15"/>
          <w:szCs w:val="15"/>
          <w:color w:val="16479F"/>
        </w:rPr>
      </w:pPr>
      <w:r>
        <w:rPr>
          <w:rFonts w:ascii="Arial" w:cs="Arial" w:eastAsia="Arial" w:hAnsi="Arial"/>
          <w:sz w:val="15"/>
          <w:szCs w:val="15"/>
          <w:color w:val="auto"/>
        </w:rPr>
        <w:t>Integration programs for new colleagues from Real Capital Analytics</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jc w:val="center"/>
        <w:ind w:left="-60"/>
        <w:spacing w:after="0"/>
        <w:rPr>
          <w:sz w:val="20"/>
          <w:szCs w:val="20"/>
          <w:color w:val="auto"/>
        </w:rPr>
      </w:pPr>
      <w:r>
        <w:rPr>
          <w:rFonts w:ascii="Arial" w:cs="Arial" w:eastAsia="Arial" w:hAnsi="Arial"/>
          <w:sz w:val="16"/>
          <w:szCs w:val="16"/>
          <w:b w:val="1"/>
          <w:bCs w:val="1"/>
          <w:color w:val="FFFFFF"/>
        </w:rPr>
        <w:t>Diversity, Equity and Inclusion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-2419350</wp:posOffset>
            </wp:positionH>
            <wp:positionV relativeFrom="paragraph">
              <wp:posOffset>64770</wp:posOffset>
            </wp:positionV>
            <wp:extent cx="7133590" cy="4081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3590" cy="4081145"/>
                    </a:xfrm>
                    <a:prstGeom prst="rect">
                      <a:avLst/>
                    </a:prstGeom>
                    <a:noFill/>
                  </pic:spPr>
                </pic:pic>
              </a:graphicData>
            </a:graphic>
          </wp:anchor>
        </w:drawing>
      </w:r>
    </w:p>
    <w:p>
      <w:pPr>
        <w:spacing w:after="0" w:line="132" w:lineRule="exact"/>
        <w:rPr>
          <w:sz w:val="20"/>
          <w:szCs w:val="20"/>
          <w:color w:val="auto"/>
        </w:rPr>
      </w:pPr>
    </w:p>
    <w:p>
      <w:pPr>
        <w:ind w:left="181" w:right="120" w:hanging="181"/>
        <w:spacing w:after="0" w:line="230" w:lineRule="auto"/>
        <w:tabs>
          <w:tab w:leader="none" w:pos="179" w:val="left"/>
        </w:tabs>
        <w:numPr>
          <w:ilvl w:val="0"/>
          <w:numId w:val="74"/>
        </w:numPr>
        <w:rPr>
          <w:rFonts w:ascii="Arial" w:cs="Arial" w:eastAsia="Arial" w:hAnsi="Arial"/>
          <w:sz w:val="15"/>
          <w:szCs w:val="15"/>
          <w:color w:val="16479F"/>
        </w:rPr>
      </w:pPr>
      <w:r>
        <w:rPr>
          <w:rFonts w:ascii="Arial" w:cs="Arial" w:eastAsia="Arial" w:hAnsi="Arial"/>
          <w:sz w:val="15"/>
          <w:szCs w:val="15"/>
          <w:color w:val="auto"/>
        </w:rPr>
        <w:t>Our people are empowered to maximize their potential in an environment where all individuals are respected and encouraged to bring their authentic selves to work</w:t>
      </w:r>
    </w:p>
    <w:p>
      <w:pPr>
        <w:spacing w:after="0" w:line="35" w:lineRule="exact"/>
        <w:rPr>
          <w:rFonts w:ascii="Arial" w:cs="Arial" w:eastAsia="Arial" w:hAnsi="Arial"/>
          <w:sz w:val="15"/>
          <w:szCs w:val="15"/>
          <w:color w:val="16479F"/>
        </w:rPr>
      </w:pPr>
    </w:p>
    <w:p>
      <w:pPr>
        <w:ind w:left="181" w:right="580" w:hanging="181"/>
        <w:spacing w:after="0" w:line="237" w:lineRule="auto"/>
        <w:tabs>
          <w:tab w:leader="none" w:pos="179" w:val="left"/>
        </w:tabs>
        <w:numPr>
          <w:ilvl w:val="0"/>
          <w:numId w:val="74"/>
        </w:numPr>
        <w:rPr>
          <w:rFonts w:ascii="Arial" w:cs="Arial" w:eastAsia="Arial" w:hAnsi="Arial"/>
          <w:sz w:val="15"/>
          <w:szCs w:val="15"/>
          <w:color w:val="16479F"/>
        </w:rPr>
      </w:pPr>
      <w:r>
        <w:rPr>
          <w:rFonts w:ascii="Arial" w:cs="Arial" w:eastAsia="Arial" w:hAnsi="Arial"/>
          <w:sz w:val="15"/>
          <w:szCs w:val="15"/>
          <w:color w:val="auto"/>
        </w:rPr>
        <w:t>In May 2021, we appointed our first Chief Diversity Officer</w:t>
      </w:r>
    </w:p>
    <w:p>
      <w:pPr>
        <w:spacing w:after="0" w:line="34" w:lineRule="exact"/>
        <w:rPr>
          <w:rFonts w:ascii="Arial" w:cs="Arial" w:eastAsia="Arial" w:hAnsi="Arial"/>
          <w:sz w:val="15"/>
          <w:szCs w:val="15"/>
          <w:color w:val="16479F"/>
        </w:rPr>
      </w:pPr>
    </w:p>
    <w:p>
      <w:pPr>
        <w:ind w:left="181" w:hanging="181"/>
        <w:spacing w:after="0" w:line="233" w:lineRule="auto"/>
        <w:tabs>
          <w:tab w:leader="none" w:pos="179" w:val="left"/>
        </w:tabs>
        <w:numPr>
          <w:ilvl w:val="0"/>
          <w:numId w:val="74"/>
        </w:numPr>
        <w:rPr>
          <w:rFonts w:ascii="Arial" w:cs="Arial" w:eastAsia="Arial" w:hAnsi="Arial"/>
          <w:sz w:val="15"/>
          <w:szCs w:val="15"/>
          <w:color w:val="16479F"/>
        </w:rPr>
      </w:pPr>
      <w:r>
        <w:rPr>
          <w:rFonts w:ascii="Arial" w:cs="Arial" w:eastAsia="Arial" w:hAnsi="Arial"/>
          <w:sz w:val="15"/>
          <w:szCs w:val="15"/>
          <w:color w:val="auto"/>
        </w:rPr>
        <w:t>Continued sponsorship of existing ERGs, with three new ERGs launched in 2021: Asian Support Network, All Abilities Network and Hola! MSCI</w:t>
      </w:r>
    </w:p>
    <w:p>
      <w:pPr>
        <w:spacing w:after="0" w:line="33" w:lineRule="exact"/>
        <w:rPr>
          <w:rFonts w:ascii="Arial" w:cs="Arial" w:eastAsia="Arial" w:hAnsi="Arial"/>
          <w:sz w:val="15"/>
          <w:szCs w:val="15"/>
          <w:color w:val="16479F"/>
        </w:rPr>
      </w:pPr>
    </w:p>
    <w:p>
      <w:pPr>
        <w:ind w:left="181" w:right="20" w:hanging="181"/>
        <w:spacing w:after="0" w:line="228" w:lineRule="auto"/>
        <w:tabs>
          <w:tab w:leader="none" w:pos="179" w:val="left"/>
        </w:tabs>
        <w:numPr>
          <w:ilvl w:val="0"/>
          <w:numId w:val="74"/>
        </w:numPr>
        <w:rPr>
          <w:rFonts w:ascii="Arial" w:cs="Arial" w:eastAsia="Arial" w:hAnsi="Arial"/>
          <w:sz w:val="15"/>
          <w:szCs w:val="15"/>
          <w:color w:val="16479F"/>
        </w:rPr>
      </w:pPr>
      <w:r>
        <w:rPr>
          <w:rFonts w:ascii="Arial" w:cs="Arial" w:eastAsia="Arial" w:hAnsi="Arial"/>
          <w:sz w:val="15"/>
          <w:szCs w:val="15"/>
          <w:color w:val="auto"/>
        </w:rPr>
        <w:t>Linked 10% of target annual cash incentive under AIP program to DE&amp;I Goals for all Managing Directors, and created an Executive Accountability Framework to establish the philosophy and process for assessing progress against DE&amp;I Goals</w:t>
      </w:r>
    </w:p>
    <w:p>
      <w:pPr>
        <w:spacing w:after="0" w:line="34" w:lineRule="exact"/>
        <w:rPr>
          <w:rFonts w:ascii="Arial" w:cs="Arial" w:eastAsia="Arial" w:hAnsi="Arial"/>
          <w:sz w:val="15"/>
          <w:szCs w:val="15"/>
          <w:color w:val="16479F"/>
        </w:rPr>
      </w:pPr>
    </w:p>
    <w:p>
      <w:pPr>
        <w:ind w:left="181" w:hanging="181"/>
        <w:spacing w:after="0" w:line="233" w:lineRule="auto"/>
        <w:tabs>
          <w:tab w:leader="none" w:pos="179" w:val="left"/>
        </w:tabs>
        <w:numPr>
          <w:ilvl w:val="0"/>
          <w:numId w:val="74"/>
        </w:numPr>
        <w:rPr>
          <w:rFonts w:ascii="Arial" w:cs="Arial" w:eastAsia="Arial" w:hAnsi="Arial"/>
          <w:sz w:val="15"/>
          <w:szCs w:val="15"/>
          <w:color w:val="16479F"/>
        </w:rPr>
      </w:pPr>
      <w:r>
        <w:rPr>
          <w:rFonts w:ascii="Arial" w:cs="Arial" w:eastAsia="Arial" w:hAnsi="Arial"/>
          <w:sz w:val="15"/>
          <w:szCs w:val="15"/>
          <w:color w:val="auto"/>
        </w:rPr>
        <w:t>Executed 4th Annual Global DE&amp;I Summit, focusing on leadership development and strategic planning</w:t>
      </w:r>
    </w:p>
    <w:p>
      <w:pPr>
        <w:spacing w:after="0" w:line="33" w:lineRule="exact"/>
        <w:rPr>
          <w:rFonts w:ascii="Arial" w:cs="Arial" w:eastAsia="Arial" w:hAnsi="Arial"/>
          <w:sz w:val="15"/>
          <w:szCs w:val="15"/>
          <w:color w:val="16479F"/>
        </w:rPr>
      </w:pPr>
    </w:p>
    <w:p>
      <w:pPr>
        <w:ind w:left="181" w:right="80" w:hanging="181"/>
        <w:spacing w:after="0" w:line="230" w:lineRule="auto"/>
        <w:tabs>
          <w:tab w:leader="none" w:pos="179" w:val="left"/>
        </w:tabs>
        <w:numPr>
          <w:ilvl w:val="0"/>
          <w:numId w:val="74"/>
        </w:numPr>
        <w:rPr>
          <w:rFonts w:ascii="Arial" w:cs="Arial" w:eastAsia="Arial" w:hAnsi="Arial"/>
          <w:sz w:val="15"/>
          <w:szCs w:val="15"/>
          <w:color w:val="16479F"/>
        </w:rPr>
      </w:pPr>
      <w:r>
        <w:rPr>
          <w:rFonts w:ascii="Arial" w:cs="Arial" w:eastAsia="Arial" w:hAnsi="Arial"/>
          <w:sz w:val="15"/>
          <w:szCs w:val="15"/>
          <w:color w:val="auto"/>
        </w:rPr>
        <w:t>Continued partnerships with multiple external resources for our outreach and engagement with diverse talent, including #10,000 Black Interns and Rare Recruitment</w:t>
      </w:r>
    </w:p>
    <w:p>
      <w:pPr>
        <w:spacing w:after="0" w:line="35" w:lineRule="exact"/>
        <w:rPr>
          <w:rFonts w:ascii="Arial" w:cs="Arial" w:eastAsia="Arial" w:hAnsi="Arial"/>
          <w:sz w:val="15"/>
          <w:szCs w:val="15"/>
          <w:color w:val="16479F"/>
        </w:rPr>
      </w:pPr>
    </w:p>
    <w:p>
      <w:pPr>
        <w:ind w:left="181" w:right="40" w:hanging="181"/>
        <w:spacing w:after="0" w:line="230" w:lineRule="auto"/>
        <w:tabs>
          <w:tab w:leader="none" w:pos="179" w:val="left"/>
        </w:tabs>
        <w:numPr>
          <w:ilvl w:val="0"/>
          <w:numId w:val="74"/>
        </w:numPr>
        <w:rPr>
          <w:rFonts w:ascii="Arial" w:cs="Arial" w:eastAsia="Arial" w:hAnsi="Arial"/>
          <w:sz w:val="15"/>
          <w:szCs w:val="15"/>
          <w:color w:val="16479F"/>
        </w:rPr>
      </w:pPr>
      <w:r>
        <w:rPr>
          <w:rFonts w:ascii="Arial" w:cs="Arial" w:eastAsia="Arial" w:hAnsi="Arial"/>
          <w:sz w:val="15"/>
          <w:szCs w:val="15"/>
          <w:color w:val="auto"/>
        </w:rPr>
        <w:t>Launched an inclusive internship program in New York, London and Chicago for undergraduates and masters students, sourced from partnership organizations and key universities globally</w:t>
      </w:r>
    </w:p>
    <w:p>
      <w:pPr>
        <w:spacing w:after="0" w:line="35" w:lineRule="exact"/>
        <w:rPr>
          <w:rFonts w:ascii="Arial" w:cs="Arial" w:eastAsia="Arial" w:hAnsi="Arial"/>
          <w:sz w:val="15"/>
          <w:szCs w:val="15"/>
          <w:color w:val="16479F"/>
        </w:rPr>
      </w:pPr>
    </w:p>
    <w:p>
      <w:pPr>
        <w:ind w:left="181" w:right="20" w:hanging="181"/>
        <w:spacing w:after="0" w:line="244" w:lineRule="auto"/>
        <w:tabs>
          <w:tab w:leader="none" w:pos="179" w:val="left"/>
        </w:tabs>
        <w:numPr>
          <w:ilvl w:val="0"/>
          <w:numId w:val="74"/>
        </w:numPr>
        <w:rPr>
          <w:rFonts w:ascii="Arial" w:cs="Arial" w:eastAsia="Arial" w:hAnsi="Arial"/>
          <w:sz w:val="15"/>
          <w:szCs w:val="15"/>
          <w:color w:val="16479F"/>
        </w:rPr>
      </w:pPr>
      <w:r>
        <w:rPr>
          <w:rFonts w:ascii="Arial" w:cs="Arial" w:eastAsia="Arial" w:hAnsi="Arial"/>
          <w:sz w:val="15"/>
          <w:szCs w:val="15"/>
          <w:color w:val="auto"/>
        </w:rPr>
        <w:t>An employee engagement check-in survey in December 2021 showed that 91% of respondents are proud to work at MSCI and 87% feel they can bring their authentic selves to work</w:t>
      </w:r>
      <w:r>
        <w:rPr>
          <w:rFonts w:ascii="Arial" w:cs="Arial" w:eastAsia="Arial" w:hAnsi="Arial"/>
          <w:sz w:val="25"/>
          <w:szCs w:val="25"/>
          <w:color w:val="auto"/>
          <w:vertAlign w:val="superscript"/>
        </w:rPr>
        <w:t>(1)</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left="413"/>
        <w:spacing w:after="0"/>
        <w:rPr>
          <w:sz w:val="20"/>
          <w:szCs w:val="20"/>
          <w:color w:val="auto"/>
        </w:rPr>
      </w:pPr>
      <w:r>
        <w:rPr>
          <w:rFonts w:ascii="Arial" w:cs="Arial" w:eastAsia="Arial" w:hAnsi="Arial"/>
          <w:sz w:val="16"/>
          <w:szCs w:val="16"/>
          <w:b w:val="1"/>
          <w:bCs w:val="1"/>
          <w:color w:val="FFFFFF"/>
        </w:rPr>
        <w:t>Health and Safety and Future of Work</w:t>
      </w:r>
    </w:p>
    <w:p>
      <w:pPr>
        <w:spacing w:after="0" w:line="152" w:lineRule="exact"/>
        <w:rPr>
          <w:sz w:val="20"/>
          <w:szCs w:val="20"/>
          <w:color w:val="auto"/>
        </w:rPr>
      </w:pPr>
    </w:p>
    <w:p>
      <w:pPr>
        <w:ind w:left="173" w:right="80" w:hanging="173"/>
        <w:spacing w:after="0" w:line="237" w:lineRule="auto"/>
        <w:tabs>
          <w:tab w:leader="none" w:pos="170" w:val="left"/>
        </w:tabs>
        <w:numPr>
          <w:ilvl w:val="0"/>
          <w:numId w:val="75"/>
        </w:numPr>
        <w:rPr>
          <w:rFonts w:ascii="Arial" w:cs="Arial" w:eastAsia="Arial" w:hAnsi="Arial"/>
          <w:sz w:val="15"/>
          <w:szCs w:val="15"/>
          <w:color w:val="16479F"/>
        </w:rPr>
      </w:pPr>
      <w:r>
        <w:rPr>
          <w:rFonts w:ascii="Arial" w:cs="Arial" w:eastAsia="Arial" w:hAnsi="Arial"/>
          <w:sz w:val="15"/>
          <w:szCs w:val="15"/>
          <w:color w:val="auto"/>
        </w:rPr>
        <w:t>We have a long-standing commitment to the health, safety and well-being of our employees</w:t>
      </w:r>
    </w:p>
    <w:p>
      <w:pPr>
        <w:spacing w:after="0" w:line="34" w:lineRule="exact"/>
        <w:rPr>
          <w:rFonts w:ascii="Arial" w:cs="Arial" w:eastAsia="Arial" w:hAnsi="Arial"/>
          <w:sz w:val="15"/>
          <w:szCs w:val="15"/>
          <w:color w:val="16479F"/>
        </w:rPr>
      </w:pPr>
    </w:p>
    <w:p>
      <w:pPr>
        <w:ind w:left="173" w:right="120" w:hanging="173"/>
        <w:spacing w:after="0" w:line="230" w:lineRule="auto"/>
        <w:tabs>
          <w:tab w:leader="none" w:pos="170" w:val="left"/>
        </w:tabs>
        <w:numPr>
          <w:ilvl w:val="0"/>
          <w:numId w:val="75"/>
        </w:numPr>
        <w:rPr>
          <w:rFonts w:ascii="Arial" w:cs="Arial" w:eastAsia="Arial" w:hAnsi="Arial"/>
          <w:sz w:val="15"/>
          <w:szCs w:val="15"/>
          <w:color w:val="16479F"/>
        </w:rPr>
      </w:pPr>
      <w:r>
        <w:rPr>
          <w:rFonts w:ascii="Arial" w:cs="Arial" w:eastAsia="Arial" w:hAnsi="Arial"/>
          <w:sz w:val="15"/>
          <w:szCs w:val="15"/>
          <w:color w:val="auto"/>
        </w:rPr>
        <w:t>Early in the course of the COVID-19 pandemic, we prioritized the well-being of our global workforce by having the vast majority of our employees work from home</w:t>
      </w:r>
    </w:p>
    <w:p>
      <w:pPr>
        <w:spacing w:after="0" w:line="35" w:lineRule="exact"/>
        <w:rPr>
          <w:rFonts w:ascii="Arial" w:cs="Arial" w:eastAsia="Arial" w:hAnsi="Arial"/>
          <w:sz w:val="15"/>
          <w:szCs w:val="15"/>
          <w:color w:val="16479F"/>
        </w:rPr>
      </w:pPr>
    </w:p>
    <w:p>
      <w:pPr>
        <w:ind w:left="173" w:right="100" w:hanging="173"/>
        <w:spacing w:after="0" w:line="230" w:lineRule="auto"/>
        <w:tabs>
          <w:tab w:leader="none" w:pos="170" w:val="left"/>
        </w:tabs>
        <w:numPr>
          <w:ilvl w:val="0"/>
          <w:numId w:val="75"/>
        </w:numPr>
        <w:rPr>
          <w:rFonts w:ascii="Arial" w:cs="Arial" w:eastAsia="Arial" w:hAnsi="Arial"/>
          <w:sz w:val="15"/>
          <w:szCs w:val="15"/>
          <w:color w:val="16479F"/>
        </w:rPr>
      </w:pPr>
      <w:r>
        <w:rPr>
          <w:rFonts w:ascii="Arial" w:cs="Arial" w:eastAsia="Arial" w:hAnsi="Arial"/>
          <w:sz w:val="15"/>
          <w:szCs w:val="15"/>
          <w:color w:val="auto"/>
        </w:rPr>
        <w:t>At the onset of the pandemic, we engaged a firm of global medical and safety experts to provide additional information and guidance to all of our offices globally</w:t>
      </w:r>
    </w:p>
    <w:p>
      <w:pPr>
        <w:spacing w:after="0" w:line="35" w:lineRule="exact"/>
        <w:rPr>
          <w:rFonts w:ascii="Arial" w:cs="Arial" w:eastAsia="Arial" w:hAnsi="Arial"/>
          <w:sz w:val="15"/>
          <w:szCs w:val="15"/>
          <w:color w:val="16479F"/>
        </w:rPr>
      </w:pPr>
    </w:p>
    <w:p>
      <w:pPr>
        <w:ind w:left="173" w:right="100" w:hanging="173"/>
        <w:spacing w:after="0" w:line="229" w:lineRule="auto"/>
        <w:tabs>
          <w:tab w:leader="none" w:pos="170" w:val="left"/>
        </w:tabs>
        <w:numPr>
          <w:ilvl w:val="0"/>
          <w:numId w:val="75"/>
        </w:numPr>
        <w:rPr>
          <w:rFonts w:ascii="Arial" w:cs="Arial" w:eastAsia="Arial" w:hAnsi="Arial"/>
          <w:sz w:val="15"/>
          <w:szCs w:val="15"/>
          <w:color w:val="16479F"/>
        </w:rPr>
      </w:pPr>
      <w:r>
        <w:rPr>
          <w:rFonts w:ascii="Arial" w:cs="Arial" w:eastAsia="Arial" w:hAnsi="Arial"/>
          <w:sz w:val="15"/>
          <w:szCs w:val="15"/>
          <w:color w:val="auto"/>
        </w:rPr>
        <w:t>We have increased communications about employee assistance programs that provide mental health and emotional well-being support, as well as resources to help manage stress and care for individuals and their families</w:t>
      </w:r>
    </w:p>
    <w:p>
      <w:pPr>
        <w:spacing w:after="0" w:line="34" w:lineRule="exact"/>
        <w:rPr>
          <w:rFonts w:ascii="Arial" w:cs="Arial" w:eastAsia="Arial" w:hAnsi="Arial"/>
          <w:sz w:val="15"/>
          <w:szCs w:val="15"/>
          <w:color w:val="16479F"/>
        </w:rPr>
      </w:pPr>
    </w:p>
    <w:p>
      <w:pPr>
        <w:ind w:left="173" w:right="60" w:hanging="173"/>
        <w:spacing w:after="0" w:line="228" w:lineRule="auto"/>
        <w:tabs>
          <w:tab w:leader="none" w:pos="170" w:val="left"/>
        </w:tabs>
        <w:numPr>
          <w:ilvl w:val="0"/>
          <w:numId w:val="75"/>
        </w:numPr>
        <w:rPr>
          <w:rFonts w:ascii="Arial" w:cs="Arial" w:eastAsia="Arial" w:hAnsi="Arial"/>
          <w:sz w:val="15"/>
          <w:szCs w:val="15"/>
          <w:color w:val="16479F"/>
        </w:rPr>
      </w:pPr>
      <w:r>
        <w:rPr>
          <w:rFonts w:ascii="Arial" w:cs="Arial" w:eastAsia="Arial" w:hAnsi="Arial"/>
          <w:sz w:val="15"/>
          <w:szCs w:val="15"/>
          <w:color w:val="auto"/>
        </w:rPr>
        <w:t>In January 2022, we transitioned to our Future of Work at MSCI, which introduced increased flexibility to how and where employees work, reimagined our use of our offices, and modernized technology to enhance MSCI’s interactions with clients and employees</w:t>
      </w:r>
    </w:p>
    <w:p>
      <w:pPr>
        <w:spacing w:after="0" w:line="34" w:lineRule="exact"/>
        <w:rPr>
          <w:rFonts w:ascii="Arial" w:cs="Arial" w:eastAsia="Arial" w:hAnsi="Arial"/>
          <w:sz w:val="15"/>
          <w:szCs w:val="15"/>
          <w:color w:val="16479F"/>
        </w:rPr>
      </w:pPr>
    </w:p>
    <w:p>
      <w:pPr>
        <w:ind w:left="173" w:right="180" w:hanging="173"/>
        <w:spacing w:after="0" w:line="229" w:lineRule="auto"/>
        <w:tabs>
          <w:tab w:leader="none" w:pos="170" w:val="left"/>
        </w:tabs>
        <w:numPr>
          <w:ilvl w:val="0"/>
          <w:numId w:val="75"/>
        </w:numPr>
        <w:rPr>
          <w:rFonts w:ascii="Arial" w:cs="Arial" w:eastAsia="Arial" w:hAnsi="Arial"/>
          <w:sz w:val="15"/>
          <w:szCs w:val="15"/>
          <w:color w:val="16479F"/>
        </w:rPr>
      </w:pPr>
      <w:r>
        <w:rPr>
          <w:rFonts w:ascii="Arial" w:cs="Arial" w:eastAsia="Arial" w:hAnsi="Arial"/>
          <w:sz w:val="15"/>
          <w:szCs w:val="15"/>
          <w:color w:val="auto"/>
        </w:rPr>
        <w:t>To protect the health and safety of our employees, we implemented a global vaccination policy requiring employees and visitors to be fully vaccinated prior to entering an MSCI office or participating in an MSCI-sponsored function.</w:t>
      </w:r>
    </w:p>
    <w:p>
      <w:pPr>
        <w:spacing w:after="0" w:line="34" w:lineRule="exact"/>
        <w:rPr>
          <w:rFonts w:ascii="Arial" w:cs="Arial" w:eastAsia="Arial" w:hAnsi="Arial"/>
          <w:sz w:val="15"/>
          <w:szCs w:val="15"/>
          <w:color w:val="16479F"/>
        </w:rPr>
      </w:pPr>
    </w:p>
    <w:p>
      <w:pPr>
        <w:ind w:left="173" w:right="560" w:hanging="173"/>
        <w:spacing w:after="0" w:line="230" w:lineRule="auto"/>
        <w:tabs>
          <w:tab w:leader="none" w:pos="170" w:val="left"/>
        </w:tabs>
        <w:numPr>
          <w:ilvl w:val="0"/>
          <w:numId w:val="75"/>
        </w:numPr>
        <w:rPr>
          <w:rFonts w:ascii="Arial" w:cs="Arial" w:eastAsia="Arial" w:hAnsi="Arial"/>
          <w:sz w:val="15"/>
          <w:szCs w:val="15"/>
          <w:color w:val="16479F"/>
        </w:rPr>
      </w:pPr>
      <w:r>
        <w:rPr>
          <w:rFonts w:ascii="Arial" w:cs="Arial" w:eastAsia="Arial" w:hAnsi="Arial"/>
          <w:sz w:val="15"/>
          <w:szCs w:val="15"/>
          <w:color w:val="auto"/>
        </w:rPr>
        <w:t>Our Global Human Rights Policy reflects our commitment to a safe, inclusive and diverse workplace, and is annually reviewed by the Compensation Committee</w:t>
      </w:r>
    </w:p>
    <w:p>
      <w:pPr>
        <w:spacing w:after="0" w:line="1352" w:lineRule="exact"/>
        <w:rPr>
          <w:sz w:val="20"/>
          <w:szCs w:val="20"/>
          <w:color w:val="auto"/>
        </w:rPr>
      </w:pPr>
    </w:p>
    <w:p>
      <w:pPr>
        <w:sectPr>
          <w:pgSz w:w="11900" w:h="16838" w:orient="portrait"/>
          <w:cols w:equalWidth="0" w:num="3">
            <w:col w:w="3640" w:space="179"/>
            <w:col w:w="3521" w:space="187"/>
            <w:col w:w="3713"/>
          </w:cols>
          <w:pgMar w:left="320" w:top="121" w:right="339" w:bottom="1440" w:gutter="0" w:footer="0" w:header="0"/>
          <w:type w:val="continuous"/>
        </w:sectPr>
      </w:pPr>
    </w:p>
    <w:p>
      <w:pPr>
        <w:spacing w:after="0" w:line="3" w:lineRule="exact"/>
        <w:rPr>
          <w:sz w:val="20"/>
          <w:szCs w:val="20"/>
          <w:color w:val="auto"/>
        </w:rPr>
      </w:pPr>
    </w:p>
    <w:p>
      <w:pPr>
        <w:ind w:left="300" w:right="360" w:hanging="293"/>
        <w:spacing w:after="0" w:line="182" w:lineRule="auto"/>
        <w:tabs>
          <w:tab w:leader="none" w:pos="300" w:val="left"/>
        </w:tabs>
        <w:numPr>
          <w:ilvl w:val="0"/>
          <w:numId w:val="76"/>
        </w:numPr>
        <w:rPr>
          <w:rFonts w:ascii="Arial" w:cs="Arial" w:eastAsia="Arial" w:hAnsi="Arial"/>
          <w:sz w:val="24"/>
          <w:szCs w:val="24"/>
          <w:color w:val="auto"/>
          <w:vertAlign w:val="superscript"/>
        </w:rPr>
      </w:pPr>
      <w:r>
        <w:rPr>
          <w:rFonts w:ascii="Arial" w:cs="Arial" w:eastAsia="Arial" w:hAnsi="Arial"/>
          <w:sz w:val="14"/>
          <w:szCs w:val="14"/>
          <w:color w:val="auto"/>
        </w:rPr>
        <w:t>On September 13, 2021, we completed our acquisition of Real Capital Analytics, a provider of data and analytics for the properties and transactions that drive the global commercial real estate capital markets. This information does not reflect or include these new employees from Real Capital Analytics.</w:t>
      </w:r>
    </w:p>
    <w:p>
      <w:pPr>
        <w:spacing w:after="0" w:line="102" w:lineRule="exact"/>
        <w:rPr>
          <w:sz w:val="20"/>
          <w:szCs w:val="20"/>
          <w:color w:val="auto"/>
        </w:rPr>
      </w:pPr>
    </w:p>
    <w:p>
      <w:pPr>
        <w:spacing w:after="0"/>
        <w:tabs>
          <w:tab w:leader="none" w:pos="5620" w:val="left"/>
        </w:tabs>
        <w:rPr>
          <w:sz w:val="20"/>
          <w:szCs w:val="20"/>
          <w:color w:val="auto"/>
        </w:rPr>
      </w:pPr>
      <w:r>
        <w:rPr>
          <w:rFonts w:ascii="Arial" w:cs="Arial" w:eastAsia="Arial" w:hAnsi="Arial"/>
          <w:sz w:val="16"/>
          <w:szCs w:val="16"/>
          <w:b w:val="1"/>
          <w:bCs w:val="1"/>
          <w:color w:val="auto"/>
        </w:rPr>
        <w:t>TOTAL EMPLOYEES: GENDER</w:t>
      </w:r>
      <w:r>
        <w:rPr>
          <w:rFonts w:ascii="Arial" w:cs="Arial" w:eastAsia="Arial" w:hAnsi="Arial"/>
          <w:sz w:val="26"/>
          <w:szCs w:val="26"/>
          <w:b w:val="1"/>
          <w:bCs w:val="1"/>
          <w:color w:val="auto"/>
          <w:vertAlign w:val="superscript"/>
        </w:rPr>
        <w:t>(1)(2)</w:t>
      </w:r>
      <w:r>
        <w:rPr>
          <w:sz w:val="20"/>
          <w:szCs w:val="20"/>
          <w:color w:val="auto"/>
        </w:rPr>
        <w:tab/>
      </w:r>
      <w:r>
        <w:rPr>
          <w:rFonts w:ascii="Arial" w:cs="Arial" w:eastAsia="Arial" w:hAnsi="Arial"/>
          <w:sz w:val="15"/>
          <w:szCs w:val="15"/>
          <w:b w:val="1"/>
          <w:bCs w:val="1"/>
          <w:color w:val="auto"/>
        </w:rPr>
        <w:t>U.S. EMPLOYEES: RACE/ETHNICITY</w:t>
      </w:r>
      <w:r>
        <w:rPr>
          <w:rFonts w:ascii="Arial" w:cs="Arial" w:eastAsia="Arial" w:hAnsi="Arial"/>
          <w:sz w:val="24"/>
          <w:szCs w:val="24"/>
          <w:b w:val="1"/>
          <w:bCs w:val="1"/>
          <w:color w:val="auto"/>
          <w:vertAlign w:val="superscript"/>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7133590" cy="17259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3590" cy="1725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00" w:hanging="293"/>
        <w:spacing w:after="0"/>
        <w:tabs>
          <w:tab w:leader="none" w:pos="300" w:val="left"/>
        </w:tabs>
        <w:numPr>
          <w:ilvl w:val="0"/>
          <w:numId w:val="77"/>
        </w:numPr>
        <w:rPr>
          <w:rFonts w:ascii="Arial" w:cs="Arial" w:eastAsia="Arial" w:hAnsi="Arial"/>
          <w:sz w:val="24"/>
          <w:szCs w:val="24"/>
          <w:color w:val="auto"/>
          <w:vertAlign w:val="superscript"/>
        </w:rPr>
      </w:pPr>
      <w:r>
        <w:rPr>
          <w:rFonts w:ascii="Arial" w:cs="Arial" w:eastAsia="Arial" w:hAnsi="Arial"/>
          <w:sz w:val="14"/>
          <w:szCs w:val="14"/>
          <w:color w:val="auto"/>
        </w:rPr>
        <w:t>Data as of December 31, 2021.</w:t>
      </w:r>
    </w:p>
    <w:p>
      <w:pPr>
        <w:spacing w:after="0" w:line="43" w:lineRule="exact"/>
        <w:rPr>
          <w:rFonts w:ascii="Arial" w:cs="Arial" w:eastAsia="Arial" w:hAnsi="Arial"/>
          <w:sz w:val="24"/>
          <w:szCs w:val="24"/>
          <w:color w:val="auto"/>
          <w:vertAlign w:val="superscript"/>
        </w:rPr>
      </w:pPr>
    </w:p>
    <w:p>
      <w:pPr>
        <w:ind w:left="300" w:hanging="293"/>
        <w:spacing w:after="0" w:line="188" w:lineRule="auto"/>
        <w:tabs>
          <w:tab w:leader="none" w:pos="300" w:val="left"/>
        </w:tabs>
        <w:numPr>
          <w:ilvl w:val="0"/>
          <w:numId w:val="77"/>
        </w:numPr>
        <w:rPr>
          <w:rFonts w:ascii="Arial" w:cs="Arial" w:eastAsia="Arial" w:hAnsi="Arial"/>
          <w:sz w:val="19"/>
          <w:szCs w:val="19"/>
          <w:color w:val="auto"/>
          <w:vertAlign w:val="superscript"/>
        </w:rPr>
      </w:pPr>
      <w:r>
        <w:rPr>
          <w:rFonts w:ascii="Arial" w:cs="Arial" w:eastAsia="Arial" w:hAnsi="Arial"/>
          <w:sz w:val="12"/>
          <w:szCs w:val="12"/>
          <w:color w:val="auto"/>
        </w:rPr>
        <w:t>3% of global employees have not identified gender and are not included in the data calculations.</w:t>
      </w:r>
    </w:p>
    <w:p>
      <w:pPr>
        <w:spacing w:after="0" w:line="43" w:lineRule="exact"/>
        <w:rPr>
          <w:rFonts w:ascii="Arial" w:cs="Arial" w:eastAsia="Arial" w:hAnsi="Arial"/>
          <w:sz w:val="19"/>
          <w:szCs w:val="19"/>
          <w:color w:val="auto"/>
          <w:vertAlign w:val="superscript"/>
        </w:rPr>
      </w:pPr>
    </w:p>
    <w:p>
      <w:pPr>
        <w:ind w:left="300" w:hanging="293"/>
        <w:spacing w:after="0" w:line="188" w:lineRule="auto"/>
        <w:tabs>
          <w:tab w:leader="none" w:pos="300" w:val="left"/>
        </w:tabs>
        <w:numPr>
          <w:ilvl w:val="0"/>
          <w:numId w:val="77"/>
        </w:numPr>
        <w:rPr>
          <w:rFonts w:ascii="Arial" w:cs="Arial" w:eastAsia="Arial" w:hAnsi="Arial"/>
          <w:sz w:val="19"/>
          <w:szCs w:val="19"/>
          <w:color w:val="auto"/>
          <w:vertAlign w:val="superscript"/>
        </w:rPr>
      </w:pPr>
      <w:r>
        <w:rPr>
          <w:rFonts w:ascii="Arial" w:cs="Arial" w:eastAsia="Arial" w:hAnsi="Arial"/>
          <w:sz w:val="12"/>
          <w:szCs w:val="12"/>
          <w:color w:val="auto"/>
        </w:rPr>
        <w:t>11% of U.S. employees have not identified race/ethnicity and are not included in the data calculations.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56515</wp:posOffset>
            </wp:positionV>
            <wp:extent cx="7154545" cy="209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0" w:name="page51"/>
    <w:bookmarkEnd w:id="50"/>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149860</wp:posOffset>
            </wp:positionV>
            <wp:extent cx="7133590" cy="21272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3590" cy="212725"/>
                    </a:xfrm>
                    <a:prstGeom prst="rect">
                      <a:avLst/>
                    </a:prstGeom>
                    <a:noFill/>
                  </pic:spPr>
                </pic:pic>
              </a:graphicData>
            </a:graphic>
          </wp:anchor>
        </w:drawing>
      </w:r>
    </w:p>
    <w:p>
      <w:pPr>
        <w:spacing w:after="0" w:line="283"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4"/>
          <w:szCs w:val="14"/>
          <w:b w:val="1"/>
          <w:bCs w:val="1"/>
          <w:color w:val="16479F"/>
        </w:rPr>
        <w:t>50</w:t>
      </w:r>
      <w:r>
        <w:rPr>
          <w:sz w:val="20"/>
          <w:szCs w:val="20"/>
          <w:color w:val="auto"/>
        </w:rPr>
        <w:tab/>
      </w:r>
      <w:r>
        <w:rPr>
          <w:rFonts w:ascii="Arial" w:cs="Arial" w:eastAsia="Arial" w:hAnsi="Arial"/>
          <w:sz w:val="14"/>
          <w:szCs w:val="14"/>
          <w:b w:val="1"/>
          <w:bCs w:val="1"/>
          <w:color w:val="16479F"/>
        </w:rPr>
        <w:t>MSCI  |  CORPORATE GOVERNANCE</w:t>
      </w:r>
    </w:p>
    <w:p>
      <w:pPr>
        <w:spacing w:after="0" w:line="286"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Compensation, Talent and Culture Governance</w:t>
      </w:r>
    </w:p>
    <w:p>
      <w:pPr>
        <w:spacing w:after="0" w:line="249"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The Compensation Committee operates under a written charter adopted by the Board. To provide more clarity and transparency to investors and stakeholders on Board committee-level oversight of talent management, in 2021, the Board changed the name of its Compensation &amp; Talent Management Committee to “Compensation, Talent and Culture Committee.” This corresponds with changes to the Compensation Committee’s charter in 2021 to reflect more direct oversight of talent management, including talent acquisition, development and career progression, as well as the Company’s policies relating to DE&amp;I, corporate culture and employee engagement. As noted above in the description of the Compensation Committee’s responsibilities, the Compensation Committee is responsible for reviewing and approving annually all compensation awarded to the Company’s Executives, including the CEO and our other NEOs.</w:t>
      </w:r>
    </w:p>
    <w:p>
      <w:pPr>
        <w:spacing w:after="0" w:line="153" w:lineRule="exact"/>
        <w:rPr>
          <w:sz w:val="20"/>
          <w:szCs w:val="20"/>
          <w:color w:val="auto"/>
        </w:rPr>
      </w:pPr>
    </w:p>
    <w:p>
      <w:pPr>
        <w:ind w:right="260"/>
        <w:spacing w:after="0" w:line="246" w:lineRule="auto"/>
        <w:rPr>
          <w:sz w:val="20"/>
          <w:szCs w:val="20"/>
          <w:color w:val="auto"/>
        </w:rPr>
      </w:pPr>
      <w:r>
        <w:rPr>
          <w:rFonts w:ascii="Arial" w:cs="Arial" w:eastAsia="Arial" w:hAnsi="Arial"/>
          <w:sz w:val="16"/>
          <w:szCs w:val="16"/>
          <w:color w:val="auto"/>
        </w:rPr>
        <w:t>The Compensation Committee also regularly engages with our CEO, President &amp; COO, Chief Human Resources Officer, Chief Diversity Officer and other members of senior leadership on a broad range of human capital management topics. The Board regularly receives reports from the Compensation Committee on human capital management topics throughout the year. The Compensation Committee annually reviews the Company’s talent management strategies and programs with respect to senior levels in the organization, including the Company’s DE&amp;I strategies and programs and key performance metrics, and periodically reviews open senior management roles, future talent needs, the Company’s corporate culture and learning and development programs, as well as the results of the Company’s employee engagement survey. See page 35 of this Proxy Statement for additional information on the Compensation Committee’s responsibilities.</w:t>
      </w:r>
    </w:p>
    <w:p>
      <w:pPr>
        <w:spacing w:after="0" w:line="153"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principal compensation plans and arrangements applicable to our NEOs are described in the “Compensation Matters” section of this Proxy Statement and the executive compensation tables included therein. The Compensation Committee may delegate the administration of these plans and arrangements, as appropriate, including to one or more officers of the Company, subcommittees or to the Chair of the Compensation Committee, in each case, when it deems doing so to be appropriate, in the best interests of the Company and consistent with applicable law and NYSE requirements.</w:t>
      </w:r>
    </w:p>
    <w:p>
      <w:pPr>
        <w:spacing w:after="0" w:line="150"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The Compensation Committee has the authority to retain and terminate any compensation consultant assisting the Compensation Committee in the evaluation of CEO or other executive officer compensation. As further described in the “Compensation Discussion and Analysis” section included herein, during 2021, the Compensation Committee continued to retain Semler Brossy Consulting Group, LLC (“Semler Brossy”) as its own independent compensation consultant to review CEO and other executive officer compensation. All of the services provided by Semler Brossy to the Compensation Committee during 2021 were to provide advice or recommendations on the amount or form of executive officer and director compensation, and Semler Brossy did not provide any additional services to the Company during 2021. The Compensation Committee has considered, among other things, the factors delineated in Rule 10C-1 under the Exchange Act (“Rule 10C-1”), including the NYSE listing rules implementing Rule 10C-1 and Semler Brossy’s conflict of interest policies, and determined that the engagement of Semler Brossy does not raise any conflict of interest or other factors that compromise the independence of its relationship with the Compensation Committee. In developing its views on compensation matters and determining the compensation awarded to our CEO and other executive officers, the human resources department provides data and analyses to aid the Compensation Committee in its decisions. The CEO also makes recommendations on compensation for executive officers other than himself and the Compensation Committee takes these recommendations into account in reaching its compensation decisions. From time to time, the Compensation Committee may obtain input from external legal counsel, including Davis Polk &amp; Wardwell LLP (“Davis Polk”), on compensation award documentation and other compensation-related practices, which in 2021 was communicated to the Compensation Committee via management, the legal department or the human resources department. In light of this relationship, the Compensation Committee has considered, among other things, the factors delineated in Rule 10C-1, including the NYSE listing rules implementing Rule 10C-1 and Davis Polk’s conflict of interest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60960</wp:posOffset>
            </wp:positionV>
            <wp:extent cx="7154545" cy="209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00" w:type="dxa"/>
            <w:vAlign w:val="bottom"/>
            <w:tcBorders>
              <w:right w:val="single" w:sz="8" w:color="16479F"/>
            </w:tcBorders>
          </w:tcPr>
          <w:p>
            <w:pPr>
              <w:ind w:left="8740"/>
              <w:spacing w:after="0"/>
              <w:rPr>
                <w:sz w:val="20"/>
                <w:szCs w:val="20"/>
                <w:color w:val="auto"/>
              </w:rPr>
            </w:pPr>
            <w:r>
              <w:rPr>
                <w:rFonts w:ascii="Arial" w:cs="Arial" w:eastAsia="Arial" w:hAnsi="Arial"/>
                <w:sz w:val="14"/>
                <w:szCs w:val="14"/>
                <w:b w:val="1"/>
                <w:bCs w:val="1"/>
                <w:color w:val="16479F"/>
              </w:rPr>
              <w:t>2022 PROXY STATEMENT</w:t>
            </w:r>
          </w:p>
        </w:tc>
        <w:tc>
          <w:tcPr>
            <w:tcW w:w="640" w:type="dxa"/>
            <w:vAlign w:val="bottom"/>
          </w:tcPr>
          <w:p>
            <w:pPr>
              <w:jc w:val="right"/>
              <w:ind w:right="9"/>
              <w:spacing w:after="0"/>
              <w:rPr>
                <w:sz w:val="20"/>
                <w:szCs w:val="20"/>
                <w:color w:val="auto"/>
              </w:rPr>
            </w:pPr>
            <w:r>
              <w:rPr>
                <w:rFonts w:ascii="Arial" w:cs="Arial" w:eastAsia="Arial" w:hAnsi="Arial"/>
                <w:sz w:val="14"/>
                <w:szCs w:val="14"/>
                <w:b w:val="1"/>
                <w:bCs w:val="1"/>
                <w:color w:val="16479F"/>
              </w:rPr>
              <w:t>51</w:t>
            </w:r>
          </w:p>
        </w:tc>
      </w:tr>
      <w:tr>
        <w:trPr>
          <w:trHeight w:val="65"/>
        </w:trPr>
        <w:tc>
          <w:tcPr>
            <w:tcW w:w="10600" w:type="dxa"/>
            <w:vAlign w:val="bottom"/>
            <w:tcBorders>
              <w:bottom w:val="single" w:sz="8" w:color="16479F"/>
              <w:right w:val="single" w:sz="8" w:color="16479F"/>
            </w:tcBorders>
          </w:tcPr>
          <w:p>
            <w:pPr>
              <w:spacing w:after="0"/>
              <w:rPr>
                <w:sz w:val="5"/>
                <w:szCs w:val="5"/>
                <w:color w:val="auto"/>
              </w:rPr>
            </w:pPr>
          </w:p>
        </w:tc>
        <w:tc>
          <w:tcPr>
            <w:tcW w:w="640" w:type="dxa"/>
            <w:vAlign w:val="bottom"/>
            <w:tcBorders>
              <w:bottom w:val="single" w:sz="8" w:color="16479F"/>
            </w:tcBorders>
          </w:tcPr>
          <w:p>
            <w:pPr>
              <w:spacing w:after="0"/>
              <w:rPr>
                <w:sz w:val="5"/>
                <w:szCs w:val="5"/>
                <w:color w:val="auto"/>
              </w:rPr>
            </w:pPr>
          </w:p>
        </w:tc>
      </w:tr>
    </w:tbl>
    <w:p>
      <w:pPr>
        <w:spacing w:after="0" w:line="144" w:lineRule="exact"/>
        <w:rPr>
          <w:sz w:val="20"/>
          <w:szCs w:val="20"/>
          <w:color w:val="auto"/>
        </w:rPr>
      </w:pPr>
    </w:p>
    <w:p>
      <w:pPr>
        <w:ind w:right="2600"/>
        <w:spacing w:after="0" w:line="268" w:lineRule="auto"/>
        <w:rPr>
          <w:sz w:val="20"/>
          <w:szCs w:val="20"/>
          <w:color w:val="auto"/>
        </w:rPr>
      </w:pPr>
      <w:r>
        <w:rPr>
          <w:rFonts w:ascii="Arial" w:cs="Arial" w:eastAsia="Arial" w:hAnsi="Arial"/>
          <w:sz w:val="54"/>
          <w:szCs w:val="54"/>
          <w:b w:val="1"/>
          <w:bCs w:val="1"/>
          <w:color w:val="002739"/>
        </w:rPr>
        <w:t>Director Compensation and Stock Ownership Guidelines</w:t>
      </w:r>
    </w:p>
    <w:p>
      <w:pPr>
        <w:spacing w:after="0" w:line="67" w:lineRule="exact"/>
        <w:rPr>
          <w:sz w:val="20"/>
          <w:szCs w:val="20"/>
          <w:color w:val="auto"/>
        </w:rPr>
      </w:pPr>
    </w:p>
    <w:p>
      <w:pPr>
        <w:spacing w:after="0"/>
        <w:rPr>
          <w:sz w:val="20"/>
          <w:szCs w:val="20"/>
          <w:color w:val="auto"/>
        </w:rPr>
      </w:pPr>
      <w:r>
        <w:rPr>
          <w:rFonts w:ascii="Arial" w:cs="Arial" w:eastAsia="Arial" w:hAnsi="Arial"/>
          <w:sz w:val="32"/>
          <w:szCs w:val="32"/>
          <w:b w:val="1"/>
          <w:bCs w:val="1"/>
          <w:color w:val="16479F"/>
        </w:rPr>
        <w:t>Director Compensation</w:t>
      </w:r>
    </w:p>
    <w:p>
      <w:pPr>
        <w:spacing w:after="0" w:line="222"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Director Compensation Best Practices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80" w:type="dxa"/>
            <w:vAlign w:val="bottom"/>
            <w:tcBorders>
              <w:top w:val="single" w:sz="8" w:color="16479F"/>
            </w:tcBorders>
            <w:shd w:val="clear" w:color="auto" w:fill="F0F1F8"/>
          </w:tcPr>
          <w:p>
            <w:pPr>
              <w:ind w:left="60"/>
              <w:spacing w:after="0"/>
              <w:rPr>
                <w:sz w:val="20"/>
                <w:szCs w:val="20"/>
                <w:color w:val="auto"/>
              </w:rPr>
            </w:pPr>
            <w:r>
              <w:rPr>
                <w:rFonts w:ascii="Arial" w:cs="Arial" w:eastAsia="Arial" w:hAnsi="Arial"/>
                <w:sz w:val="16"/>
                <w:szCs w:val="16"/>
                <w:b w:val="1"/>
                <w:bCs w:val="1"/>
                <w:color w:val="auto"/>
              </w:rPr>
              <w:t>Robust Director Stock Ownership Guidelines</w:t>
            </w:r>
          </w:p>
        </w:tc>
        <w:tc>
          <w:tcPr>
            <w:tcW w:w="7260" w:type="dxa"/>
            <w:vAlign w:val="bottom"/>
            <w:tcBorders>
              <w:top w:val="single" w:sz="8" w:color="16479F"/>
            </w:tcBorders>
            <w:shd w:val="clear" w:color="auto" w:fill="F0F1F8"/>
          </w:tcPr>
          <w:p>
            <w:pPr>
              <w:ind w:left="480"/>
              <w:spacing w:after="0"/>
              <w:rPr>
                <w:sz w:val="20"/>
                <w:szCs w:val="20"/>
                <w:color w:val="auto"/>
              </w:rPr>
            </w:pPr>
            <w:r>
              <w:rPr>
                <w:rFonts w:ascii="Arial" w:cs="Arial" w:eastAsia="Arial" w:hAnsi="Arial"/>
                <w:sz w:val="16"/>
                <w:szCs w:val="16"/>
                <w:color w:val="auto"/>
              </w:rPr>
              <w:t>Each non-employee director is required to own a target number of shares of stock of the</w:t>
            </w:r>
          </w:p>
        </w:tc>
      </w:tr>
      <w:tr>
        <w:trPr>
          <w:trHeight w:val="187"/>
        </w:trPr>
        <w:tc>
          <w:tcPr>
            <w:tcW w:w="3980" w:type="dxa"/>
            <w:vAlign w:val="bottom"/>
            <w:shd w:val="clear" w:color="auto" w:fill="F0F1F8"/>
          </w:tcPr>
          <w:p>
            <w:pPr>
              <w:spacing w:after="0"/>
              <w:rPr>
                <w:sz w:val="16"/>
                <w:szCs w:val="16"/>
                <w:color w:val="auto"/>
              </w:rPr>
            </w:pPr>
          </w:p>
        </w:tc>
        <w:tc>
          <w:tcPr>
            <w:tcW w:w="7260" w:type="dxa"/>
            <w:vAlign w:val="bottom"/>
            <w:shd w:val="clear" w:color="auto" w:fill="F0F1F8"/>
          </w:tcPr>
          <w:p>
            <w:pPr>
              <w:ind w:left="480"/>
              <w:spacing w:after="0"/>
              <w:rPr>
                <w:sz w:val="20"/>
                <w:szCs w:val="20"/>
                <w:color w:val="auto"/>
              </w:rPr>
            </w:pPr>
            <w:r>
              <w:rPr>
                <w:rFonts w:ascii="Arial" w:cs="Arial" w:eastAsia="Arial" w:hAnsi="Arial"/>
                <w:sz w:val="16"/>
                <w:szCs w:val="16"/>
                <w:color w:val="auto"/>
              </w:rPr>
              <w:t>Company equal to the sum of the “net shares” resulting from the vesting of the RSUs granted</w:t>
            </w:r>
          </w:p>
        </w:tc>
      </w:tr>
      <w:tr>
        <w:trPr>
          <w:trHeight w:val="212"/>
        </w:trPr>
        <w:tc>
          <w:tcPr>
            <w:tcW w:w="3980" w:type="dxa"/>
            <w:vAlign w:val="bottom"/>
            <w:shd w:val="clear" w:color="auto" w:fill="F0F1F8"/>
          </w:tcPr>
          <w:p>
            <w:pPr>
              <w:spacing w:after="0"/>
              <w:rPr>
                <w:sz w:val="18"/>
                <w:szCs w:val="18"/>
                <w:color w:val="auto"/>
              </w:rPr>
            </w:pPr>
          </w:p>
        </w:tc>
        <w:tc>
          <w:tcPr>
            <w:tcW w:w="7260" w:type="dxa"/>
            <w:vAlign w:val="bottom"/>
            <w:shd w:val="clear" w:color="auto" w:fill="F0F1F8"/>
          </w:tcPr>
          <w:p>
            <w:pPr>
              <w:ind w:left="480"/>
              <w:spacing w:after="0"/>
              <w:rPr>
                <w:sz w:val="20"/>
                <w:szCs w:val="20"/>
                <w:color w:val="auto"/>
              </w:rPr>
            </w:pPr>
            <w:r>
              <w:rPr>
                <w:rFonts w:ascii="Arial" w:cs="Arial" w:eastAsia="Arial" w:hAnsi="Arial"/>
                <w:sz w:val="16"/>
                <w:szCs w:val="16"/>
                <w:color w:val="auto"/>
              </w:rPr>
              <w:t>to such director for each of the last five years.</w:t>
            </w:r>
          </w:p>
        </w:tc>
      </w:tr>
      <w:tr>
        <w:trPr>
          <w:trHeight w:val="216"/>
        </w:trPr>
        <w:tc>
          <w:tcPr>
            <w:tcW w:w="3980" w:type="dxa"/>
            <w:vAlign w:val="bottom"/>
          </w:tcPr>
          <w:p>
            <w:pPr>
              <w:ind w:left="60"/>
              <w:spacing w:after="0"/>
              <w:rPr>
                <w:sz w:val="20"/>
                <w:szCs w:val="20"/>
                <w:color w:val="auto"/>
              </w:rPr>
            </w:pPr>
            <w:r>
              <w:rPr>
                <w:rFonts w:ascii="Arial" w:cs="Arial" w:eastAsia="Arial" w:hAnsi="Arial"/>
                <w:sz w:val="16"/>
                <w:szCs w:val="16"/>
                <w:b w:val="1"/>
                <w:bCs w:val="1"/>
                <w:color w:val="auto"/>
              </w:rPr>
              <w:t>Anti-Hedging and Anti-Pledging Policy</w:t>
            </w:r>
          </w:p>
        </w:tc>
        <w:tc>
          <w:tcPr>
            <w:tcW w:w="7260" w:type="dxa"/>
            <w:vAlign w:val="bottom"/>
          </w:tcPr>
          <w:p>
            <w:pPr>
              <w:ind w:left="480"/>
              <w:spacing w:after="0"/>
              <w:rPr>
                <w:sz w:val="20"/>
                <w:szCs w:val="20"/>
                <w:color w:val="auto"/>
              </w:rPr>
            </w:pPr>
            <w:r>
              <w:rPr>
                <w:rFonts w:ascii="Arial" w:cs="Arial" w:eastAsia="Arial" w:hAnsi="Arial"/>
                <w:sz w:val="16"/>
                <w:szCs w:val="16"/>
                <w:color w:val="auto"/>
              </w:rPr>
              <w:t>We prohibit all directors and employees, including all NEOs, from hedging or pledging the</w:t>
            </w:r>
          </w:p>
        </w:tc>
      </w:tr>
      <w:tr>
        <w:trPr>
          <w:trHeight w:val="187"/>
        </w:trPr>
        <w:tc>
          <w:tcPr>
            <w:tcW w:w="3980" w:type="dxa"/>
            <w:vAlign w:val="bottom"/>
          </w:tcPr>
          <w:p>
            <w:pPr>
              <w:spacing w:after="0"/>
              <w:rPr>
                <w:sz w:val="16"/>
                <w:szCs w:val="16"/>
                <w:color w:val="auto"/>
              </w:rPr>
            </w:pPr>
          </w:p>
        </w:tc>
        <w:tc>
          <w:tcPr>
            <w:tcW w:w="7260" w:type="dxa"/>
            <w:vAlign w:val="bottom"/>
          </w:tcPr>
          <w:p>
            <w:pPr>
              <w:ind w:left="480"/>
              <w:spacing w:after="0"/>
              <w:rPr>
                <w:sz w:val="20"/>
                <w:szCs w:val="20"/>
                <w:color w:val="auto"/>
              </w:rPr>
            </w:pPr>
            <w:r>
              <w:rPr>
                <w:rFonts w:ascii="Arial" w:cs="Arial" w:eastAsia="Arial" w:hAnsi="Arial"/>
                <w:sz w:val="16"/>
                <w:szCs w:val="16"/>
                <w:color w:val="auto"/>
              </w:rPr>
              <w:t>Company’s common stock or engaging in short sales, purchases or sales of options, puts or</w:t>
            </w:r>
          </w:p>
        </w:tc>
      </w:tr>
      <w:tr>
        <w:trPr>
          <w:trHeight w:val="187"/>
        </w:trPr>
        <w:tc>
          <w:tcPr>
            <w:tcW w:w="3980" w:type="dxa"/>
            <w:vAlign w:val="bottom"/>
          </w:tcPr>
          <w:p>
            <w:pPr>
              <w:spacing w:after="0"/>
              <w:rPr>
                <w:sz w:val="16"/>
                <w:szCs w:val="16"/>
                <w:color w:val="auto"/>
              </w:rPr>
            </w:pPr>
          </w:p>
        </w:tc>
        <w:tc>
          <w:tcPr>
            <w:tcW w:w="7260" w:type="dxa"/>
            <w:vAlign w:val="bottom"/>
          </w:tcPr>
          <w:p>
            <w:pPr>
              <w:ind w:left="480"/>
              <w:spacing w:after="0"/>
              <w:rPr>
                <w:sz w:val="20"/>
                <w:szCs w:val="20"/>
                <w:color w:val="auto"/>
              </w:rPr>
            </w:pPr>
            <w:r>
              <w:rPr>
                <w:rFonts w:ascii="Arial" w:cs="Arial" w:eastAsia="Arial" w:hAnsi="Arial"/>
                <w:sz w:val="16"/>
                <w:szCs w:val="16"/>
                <w:color w:val="auto"/>
              </w:rPr>
              <w:t>calls, as well as derivatives such as swaps, forwards or futures and trading on a short-term</w:t>
            </w:r>
          </w:p>
        </w:tc>
      </w:tr>
      <w:tr>
        <w:trPr>
          <w:trHeight w:val="203"/>
        </w:trPr>
        <w:tc>
          <w:tcPr>
            <w:tcW w:w="3980" w:type="dxa"/>
            <w:vAlign w:val="bottom"/>
          </w:tcPr>
          <w:p>
            <w:pPr>
              <w:spacing w:after="0"/>
              <w:rPr>
                <w:sz w:val="17"/>
                <w:szCs w:val="17"/>
                <w:color w:val="auto"/>
              </w:rPr>
            </w:pPr>
          </w:p>
        </w:tc>
        <w:tc>
          <w:tcPr>
            <w:tcW w:w="7260" w:type="dxa"/>
            <w:vAlign w:val="bottom"/>
          </w:tcPr>
          <w:p>
            <w:pPr>
              <w:ind w:left="480"/>
              <w:spacing w:after="0"/>
              <w:rPr>
                <w:sz w:val="20"/>
                <w:szCs w:val="20"/>
                <w:color w:val="auto"/>
              </w:rPr>
            </w:pPr>
            <w:r>
              <w:rPr>
                <w:rFonts w:ascii="Arial" w:cs="Arial" w:eastAsia="Arial" w:hAnsi="Arial"/>
                <w:sz w:val="16"/>
                <w:szCs w:val="16"/>
                <w:color w:val="auto"/>
              </w:rPr>
              <w:t>basis in the Company’s common stock.</w:t>
            </w:r>
          </w:p>
        </w:tc>
      </w:tr>
      <w:tr>
        <w:trPr>
          <w:trHeight w:val="226"/>
        </w:trPr>
        <w:tc>
          <w:tcPr>
            <w:tcW w:w="3980" w:type="dxa"/>
            <w:vAlign w:val="bottom"/>
            <w:shd w:val="clear" w:color="auto" w:fill="F0F1F8"/>
          </w:tcPr>
          <w:p>
            <w:pPr>
              <w:ind w:left="60"/>
              <w:spacing w:after="0"/>
              <w:rPr>
                <w:sz w:val="20"/>
                <w:szCs w:val="20"/>
                <w:color w:val="auto"/>
              </w:rPr>
            </w:pPr>
            <w:r>
              <w:rPr>
                <w:rFonts w:ascii="Arial" w:cs="Arial" w:eastAsia="Arial" w:hAnsi="Arial"/>
                <w:sz w:val="16"/>
                <w:szCs w:val="16"/>
                <w:b w:val="1"/>
                <w:bCs w:val="1"/>
                <w:color w:val="auto"/>
              </w:rPr>
              <w:t>Emphasis on Equity Compensation</w:t>
            </w:r>
          </w:p>
        </w:tc>
        <w:tc>
          <w:tcPr>
            <w:tcW w:w="7260" w:type="dxa"/>
            <w:vAlign w:val="bottom"/>
            <w:shd w:val="clear" w:color="auto" w:fill="F0F1F8"/>
          </w:tcPr>
          <w:p>
            <w:pPr>
              <w:ind w:left="480"/>
              <w:spacing w:after="0"/>
              <w:rPr>
                <w:sz w:val="20"/>
                <w:szCs w:val="20"/>
                <w:color w:val="auto"/>
              </w:rPr>
            </w:pPr>
            <w:r>
              <w:rPr>
                <w:rFonts w:ascii="Arial" w:cs="Arial" w:eastAsia="Arial" w:hAnsi="Arial"/>
                <w:sz w:val="16"/>
                <w:szCs w:val="16"/>
                <w:color w:val="auto"/>
              </w:rPr>
              <w:t>The most significant portion of non-employee director compensation is the annual RSU equity</w:t>
            </w:r>
          </w:p>
        </w:tc>
      </w:tr>
      <w:tr>
        <w:trPr>
          <w:trHeight w:val="206"/>
        </w:trPr>
        <w:tc>
          <w:tcPr>
            <w:tcW w:w="3980" w:type="dxa"/>
            <w:vAlign w:val="bottom"/>
            <w:tcBorders>
              <w:bottom w:val="single" w:sz="8" w:color="auto"/>
            </w:tcBorders>
            <w:shd w:val="clear" w:color="auto" w:fill="F0F1F8"/>
          </w:tcPr>
          <w:p>
            <w:pPr>
              <w:spacing w:after="0"/>
              <w:rPr>
                <w:sz w:val="17"/>
                <w:szCs w:val="17"/>
                <w:color w:val="auto"/>
              </w:rPr>
            </w:pPr>
          </w:p>
        </w:tc>
        <w:tc>
          <w:tcPr>
            <w:tcW w:w="7260" w:type="dxa"/>
            <w:vAlign w:val="bottom"/>
            <w:tcBorders>
              <w:bottom w:val="single" w:sz="8" w:color="auto"/>
            </w:tcBorders>
            <w:shd w:val="clear" w:color="auto" w:fill="F0F1F8"/>
          </w:tcPr>
          <w:p>
            <w:pPr>
              <w:ind w:left="480"/>
              <w:spacing w:after="0"/>
              <w:rPr>
                <w:sz w:val="20"/>
                <w:szCs w:val="20"/>
                <w:color w:val="auto"/>
              </w:rPr>
            </w:pPr>
            <w:r>
              <w:rPr>
                <w:rFonts w:ascii="Arial" w:cs="Arial" w:eastAsia="Arial" w:hAnsi="Arial"/>
                <w:sz w:val="16"/>
                <w:szCs w:val="16"/>
                <w:color w:val="auto"/>
              </w:rPr>
              <w:t>award for service on the Board.</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Director Compensation Program</w:t>
      </w:r>
    </w:p>
    <w:p>
      <w:pPr>
        <w:spacing w:after="0" w:line="249"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Compensation Committee reviews non-employee director compensation every two years and recommends changes, when appropriate, to the Board. The Compensation Committee is aided in its review by its external independent compensation consultant, Semler Brossy. The Compensation Committee takes into account peer benchmarking and broader general industry practices to establish non-employee director compensation.</w:t>
      </w:r>
    </w:p>
    <w:p>
      <w:pPr>
        <w:spacing w:after="0" w:line="177"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b w:val="1"/>
          <w:bCs w:val="1"/>
          <w:color w:val="auto"/>
        </w:rPr>
        <w:t>DIRECTOR FEES</w:t>
      </w:r>
      <w:r>
        <w:rPr>
          <w:sz w:val="20"/>
          <w:szCs w:val="20"/>
          <w:color w:val="auto"/>
        </w:rPr>
        <w:tab/>
      </w:r>
      <w:r>
        <w:rPr>
          <w:rFonts w:ascii="Arial" w:cs="Arial" w:eastAsia="Arial" w:hAnsi="Arial"/>
          <w:sz w:val="17"/>
          <w:szCs w:val="17"/>
          <w:b w:val="1"/>
          <w:bCs w:val="1"/>
          <w:color w:val="auto"/>
        </w:rPr>
        <w:t>COMMITTEE MEMBERSHIP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33590" cy="133477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3590" cy="1334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0" w:hanging="193"/>
        <w:spacing w:after="0"/>
        <w:tabs>
          <w:tab w:leader="none" w:pos="200" w:val="left"/>
        </w:tabs>
        <w:numPr>
          <w:ilvl w:val="0"/>
          <w:numId w:val="78"/>
        </w:numPr>
        <w:rPr>
          <w:rFonts w:ascii="Arial" w:cs="Arial" w:eastAsia="Arial" w:hAnsi="Arial"/>
          <w:sz w:val="14"/>
          <w:szCs w:val="14"/>
          <w:color w:val="auto"/>
        </w:rPr>
      </w:pPr>
      <w:r>
        <w:rPr>
          <w:rFonts w:ascii="Arial" w:cs="Arial" w:eastAsia="Arial" w:hAnsi="Arial"/>
          <w:sz w:val="14"/>
          <w:szCs w:val="14"/>
          <w:color w:val="auto"/>
        </w:rPr>
        <w:t>Based on the closing price of our common stock as reported by the NYSE on the trading day prior to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47625</wp:posOffset>
            </wp:positionV>
            <wp:extent cx="7133590" cy="49339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3590" cy="493395"/>
                    </a:xfrm>
                    <a:prstGeom prst="rect">
                      <a:avLst/>
                    </a:prstGeom>
                    <a:noFill/>
                  </pic:spPr>
                </pic:pic>
              </a:graphicData>
            </a:graphic>
          </wp:anchor>
        </w:drawing>
      </w:r>
    </w:p>
    <w:p>
      <w:pPr>
        <w:spacing w:after="0" w:line="164" w:lineRule="exact"/>
        <w:rPr>
          <w:sz w:val="20"/>
          <w:szCs w:val="20"/>
          <w:color w:val="auto"/>
        </w:rPr>
      </w:pPr>
    </w:p>
    <w:p>
      <w:pPr>
        <w:ind w:left="120" w:right="220"/>
        <w:spacing w:after="0" w:line="250" w:lineRule="auto"/>
        <w:rPr>
          <w:sz w:val="20"/>
          <w:szCs w:val="20"/>
          <w:color w:val="auto"/>
        </w:rPr>
      </w:pPr>
      <w:r>
        <w:rPr>
          <w:rFonts w:ascii="Arial" w:cs="Arial" w:eastAsia="Arial" w:hAnsi="Arial"/>
          <w:sz w:val="16"/>
          <w:szCs w:val="16"/>
          <w:color w:val="auto"/>
        </w:rPr>
        <w:t>Effective May 1, 2022, the cash retainer for serving as chair of the Governance Committee will increase by $5,000 to $25,000, for parity with the chair role of a number of our other committees. In addition, the grant date values of the annual RSU equity awards for each non-employee director will increase by $20,000 to $185,000 and for the Lead Director will increase to $235,000, following a review of peer company and market practice.</w:t>
      </w:r>
    </w:p>
    <w:p>
      <w:pPr>
        <w:spacing w:after="0" w:line="309" w:lineRule="exact"/>
        <w:rPr>
          <w:sz w:val="20"/>
          <w:szCs w:val="20"/>
          <w:color w:val="auto"/>
        </w:rPr>
      </w:pPr>
    </w:p>
    <w:p>
      <w:pPr>
        <w:ind w:right="80"/>
        <w:spacing w:after="0" w:line="247" w:lineRule="auto"/>
        <w:rPr>
          <w:sz w:val="20"/>
          <w:szCs w:val="20"/>
          <w:color w:val="auto"/>
        </w:rPr>
      </w:pPr>
      <w:r>
        <w:rPr>
          <w:rFonts w:ascii="Arial" w:cs="Arial" w:eastAsia="Arial" w:hAnsi="Arial"/>
          <w:sz w:val="16"/>
          <w:szCs w:val="16"/>
          <w:color w:val="auto"/>
        </w:rPr>
        <w:t>Directors may elect under the terms of the MSCI Inc. 2016 Non-Employee Directors Compensation Plan (the “Directors Plan”) to receive their cash retainer in the form of shares of our common stock. Under the Directors Plan, non-employee directors are subject to annual limits on their cash and equity compensation, which were approved by our shareholders at our 2016 annual meeting of shareholders, as follows: non-employee directors may not receive in any calendar year (i) options, restricted stock, RSUs and other stock-based awards with a grant date fair value of more than $1,000,000 (as determined in accordance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127000</wp:posOffset>
            </wp:positionV>
            <wp:extent cx="7154545" cy="209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00" w:type="dxa"/>
            <w:vAlign w:val="bottom"/>
            <w:tcBorders>
              <w:right w:val="single" w:sz="8" w:color="16479F"/>
            </w:tcBorders>
          </w:tcPr>
          <w:p>
            <w:pPr>
              <w:jc w:val="right"/>
              <w:ind w:right="369"/>
              <w:spacing w:after="0"/>
              <w:rPr>
                <w:sz w:val="20"/>
                <w:szCs w:val="20"/>
                <w:color w:val="auto"/>
              </w:rPr>
            </w:pPr>
            <w:r>
              <w:rPr>
                <w:rFonts w:ascii="Arial" w:cs="Arial" w:eastAsia="Arial" w:hAnsi="Arial"/>
                <w:sz w:val="14"/>
                <w:szCs w:val="14"/>
                <w:b w:val="1"/>
                <w:bCs w:val="1"/>
                <w:color w:val="16479F"/>
              </w:rPr>
              <w:t>52</w:t>
            </w:r>
          </w:p>
        </w:tc>
        <w:tc>
          <w:tcPr>
            <w:tcW w:w="10540" w:type="dxa"/>
            <w:vAlign w:val="bottom"/>
          </w:tcPr>
          <w:p>
            <w:pPr>
              <w:ind w:left="100"/>
              <w:spacing w:after="0"/>
              <w:rPr>
                <w:sz w:val="20"/>
                <w:szCs w:val="20"/>
                <w:color w:val="auto"/>
              </w:rPr>
            </w:pPr>
            <w:r>
              <w:rPr>
                <w:rFonts w:ascii="Arial" w:cs="Arial" w:eastAsia="Arial" w:hAnsi="Arial"/>
                <w:sz w:val="14"/>
                <w:szCs w:val="14"/>
                <w:b w:val="1"/>
                <w:bCs w:val="1"/>
                <w:color w:val="16479F"/>
              </w:rPr>
              <w:t>MSCI  |  DIRECTOR COMPENSATION AND STOCK OWNERSHIP GUIDELINES</w:t>
            </w:r>
          </w:p>
        </w:tc>
      </w:tr>
      <w:tr>
        <w:trPr>
          <w:trHeight w:val="65"/>
        </w:trPr>
        <w:tc>
          <w:tcPr>
            <w:tcW w:w="700" w:type="dxa"/>
            <w:vAlign w:val="bottom"/>
            <w:tcBorders>
              <w:bottom w:val="single" w:sz="8" w:color="16479F"/>
              <w:right w:val="single" w:sz="8" w:color="16479F"/>
            </w:tcBorders>
          </w:tcPr>
          <w:p>
            <w:pPr>
              <w:spacing w:after="0"/>
              <w:rPr>
                <w:sz w:val="5"/>
                <w:szCs w:val="5"/>
                <w:color w:val="auto"/>
              </w:rPr>
            </w:pPr>
          </w:p>
        </w:tc>
        <w:tc>
          <w:tcPr>
            <w:tcW w:w="10540" w:type="dxa"/>
            <w:vAlign w:val="bottom"/>
            <w:tcBorders>
              <w:bottom w:val="single" w:sz="8" w:color="16479F"/>
            </w:tcBorders>
          </w:tcPr>
          <w:p>
            <w:pPr>
              <w:spacing w:after="0"/>
              <w:rPr>
                <w:sz w:val="5"/>
                <w:szCs w:val="5"/>
                <w:color w:val="auto"/>
              </w:rPr>
            </w:pPr>
          </w:p>
        </w:tc>
      </w:tr>
    </w:tbl>
    <w:p>
      <w:pPr>
        <w:spacing w:after="0" w:line="216" w:lineRule="exact"/>
        <w:rPr>
          <w:sz w:val="20"/>
          <w:szCs w:val="20"/>
          <w:color w:val="auto"/>
        </w:rPr>
      </w:pPr>
    </w:p>
    <w:p>
      <w:pPr>
        <w:ind w:right="540"/>
        <w:spacing w:after="0" w:line="256" w:lineRule="auto"/>
        <w:rPr>
          <w:sz w:val="20"/>
          <w:szCs w:val="20"/>
          <w:color w:val="auto"/>
        </w:rPr>
      </w:pPr>
      <w:r>
        <w:rPr>
          <w:rFonts w:ascii="Arial" w:cs="Arial" w:eastAsia="Arial" w:hAnsi="Arial"/>
          <w:sz w:val="16"/>
          <w:szCs w:val="16"/>
          <w:color w:val="auto"/>
        </w:rPr>
        <w:t>applicable accounting standards) and (ii) retainers and other cash-based awards in excess of $1,000,000. These caps cannot be increased without the approval of our shareholders.</w:t>
      </w:r>
    </w:p>
    <w:p>
      <w:pPr>
        <w:spacing w:after="0" w:line="197"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RSUs granted to non-employee directors are granted on May 1st of each year and vest on the first anniversary of the grant date. Cash retainers and RSU awards are prorated when a director joins the Board and/or a committee at any time other than May 1st. RSUs granted on or after May 1st vest on the next May 1st to occur following the grant date. For example, if a director joins the Board on February 1, 2022, his or her prorated RSUs will vest on May 1, 2022. If a director joins the Board on May 31, 2022, his or her prorated RSUs will vest on May 1, 2023.</w:t>
      </w:r>
    </w:p>
    <w:p>
      <w:pPr>
        <w:spacing w:after="0" w:line="204" w:lineRule="exact"/>
        <w:rPr>
          <w:sz w:val="20"/>
          <w:szCs w:val="20"/>
          <w:color w:val="auto"/>
        </w:rPr>
      </w:pPr>
    </w:p>
    <w:p>
      <w:pPr>
        <w:ind w:right="300"/>
        <w:spacing w:after="0" w:line="256" w:lineRule="auto"/>
        <w:rPr>
          <w:sz w:val="20"/>
          <w:szCs w:val="20"/>
          <w:color w:val="auto"/>
        </w:rPr>
      </w:pPr>
      <w:r>
        <w:rPr>
          <w:rFonts w:ascii="Arial" w:cs="Arial" w:eastAsia="Arial" w:hAnsi="Arial"/>
          <w:sz w:val="16"/>
          <w:szCs w:val="16"/>
          <w:color w:val="auto"/>
        </w:rPr>
        <w:t>RSUs are recognized as an expense in the Company’s financial statements for financial reporting purposes with respect to 2021 in accordance with FASB ASC Subtopic 718-10.</w:t>
      </w:r>
    </w:p>
    <w:p>
      <w:pPr>
        <w:spacing w:after="0" w:line="197" w:lineRule="exact"/>
        <w:rPr>
          <w:sz w:val="20"/>
          <w:szCs w:val="20"/>
          <w:color w:val="auto"/>
        </w:rPr>
      </w:pPr>
    </w:p>
    <w:p>
      <w:pPr>
        <w:ind w:right="60"/>
        <w:spacing w:after="0" w:line="246" w:lineRule="auto"/>
        <w:rPr>
          <w:sz w:val="20"/>
          <w:szCs w:val="20"/>
          <w:color w:val="auto"/>
        </w:rPr>
      </w:pPr>
      <w:r>
        <w:rPr>
          <w:rFonts w:ascii="Arial" w:cs="Arial" w:eastAsia="Arial" w:hAnsi="Arial"/>
          <w:sz w:val="16"/>
          <w:szCs w:val="16"/>
          <w:color w:val="auto"/>
        </w:rPr>
        <w:t>Holders of these RSUs are entitled to participate in dividend equivalent payments, and such payments may be settled in cash, shares of our common stock, or a combination thereof, to be decided by the Company in its sole discretion. Prior to the conversion to shares, RSU holders do not have any rights as an MSCI shareholder with respect to such RSUs, including the right to vote the underlying shares. The RSUs are generally non-transferable; however, our Board may, in its discretion, specify circumstances under which an award may become immediately transferable and nonforfeitable or under which the award will be forfeited. The RSUs vest and convert to shares immediately upon termination of service for reasons of death, disability or a change in control. If service as a director terminates for any other reason, all unvested RSUs will be cancelled and forfeited unless determined otherwise by the Board or the Compensation Committee.</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Non-employee directors are reimbursed for expenses incurred in connection with attending Board meetings and educational sessions.</w:t>
      </w:r>
    </w:p>
    <w:p>
      <w:pPr>
        <w:spacing w:after="0" w:line="180"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Director Deferral Plan</w:t>
      </w:r>
    </w:p>
    <w:p>
      <w:pPr>
        <w:spacing w:after="0" w:line="249"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Under the MSCI Inc. Non-Employee Directors Deferral Plan (the “Deferral Plan”), our directors are permitted to defer receipt of shares of our common stock payable in lieu of cash retainers and/or upon conversion of RSUs granted to the director following the year for which an election has been submitted; provided that an election made by a director within 30 days after the director becomes eligible to receive a cash retainer or RSUs shall apply to any common stock payable in lieu of such a cash retainer and/or upon conversion of such RSUs granted to the director following the date on which the director makes the election. Receipt of shares of our common stock may be deferred until a future date specified by the director, a separation from service (as defined by Treasury regulations), or the earlier of the two. While the Deferral Plan allows for it, the Board has not yet implemented a process for the deferral of cash payments.</w:t>
      </w:r>
    </w:p>
    <w:p>
      <w:pPr>
        <w:spacing w:after="0" w:line="169"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2021 Non-Employee Director Compensation</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3740" w:type="dxa"/>
            <w:vAlign w:val="bottom"/>
          </w:tcPr>
          <w:p>
            <w:pPr>
              <w:jc w:val="right"/>
              <w:ind w:right="162"/>
              <w:spacing w:after="0"/>
              <w:rPr>
                <w:sz w:val="20"/>
                <w:szCs w:val="20"/>
                <w:color w:val="auto"/>
              </w:rPr>
            </w:pPr>
            <w:r>
              <w:rPr>
                <w:rFonts w:ascii="Arial" w:cs="Arial" w:eastAsia="Arial" w:hAnsi="Arial"/>
                <w:sz w:val="14"/>
                <w:szCs w:val="14"/>
                <w:b w:val="1"/>
                <w:bCs w:val="1"/>
                <w:color w:val="auto"/>
              </w:rPr>
              <w:t>Fees Earned or</w:t>
            </w:r>
          </w:p>
        </w:tc>
        <w:tc>
          <w:tcPr>
            <w:tcW w:w="1260" w:type="dxa"/>
            <w:vAlign w:val="bottom"/>
          </w:tcPr>
          <w:p>
            <w:pPr>
              <w:jc w:val="right"/>
              <w:ind w:right="122"/>
              <w:spacing w:after="0"/>
              <w:rPr>
                <w:sz w:val="20"/>
                <w:szCs w:val="20"/>
                <w:color w:val="auto"/>
              </w:rPr>
            </w:pPr>
            <w:r>
              <w:rPr>
                <w:rFonts w:ascii="Arial" w:cs="Arial" w:eastAsia="Arial" w:hAnsi="Arial"/>
                <w:sz w:val="14"/>
                <w:szCs w:val="14"/>
                <w:b w:val="1"/>
                <w:bCs w:val="1"/>
                <w:color w:val="auto"/>
              </w:rPr>
              <w:t>Stock</w:t>
            </w:r>
          </w:p>
        </w:tc>
        <w:tc>
          <w:tcPr>
            <w:tcW w:w="1440" w:type="dxa"/>
            <w:vAlign w:val="bottom"/>
          </w:tcPr>
          <w:p>
            <w:pPr>
              <w:jc w:val="right"/>
              <w:ind w:right="22"/>
              <w:spacing w:after="0"/>
              <w:rPr>
                <w:sz w:val="20"/>
                <w:szCs w:val="20"/>
                <w:color w:val="auto"/>
              </w:rPr>
            </w:pPr>
            <w:r>
              <w:rPr>
                <w:rFonts w:ascii="Arial" w:cs="Arial" w:eastAsia="Arial" w:hAnsi="Arial"/>
                <w:sz w:val="14"/>
                <w:szCs w:val="14"/>
                <w:b w:val="1"/>
                <w:bCs w:val="1"/>
                <w:color w:val="auto"/>
              </w:rPr>
              <w:t>All Other</w:t>
            </w:r>
          </w:p>
        </w:tc>
        <w:tc>
          <w:tcPr>
            <w:tcW w:w="740" w:type="dxa"/>
            <w:vAlign w:val="bottom"/>
          </w:tcPr>
          <w:p>
            <w:pPr>
              <w:spacing w:after="0"/>
              <w:rPr>
                <w:sz w:val="14"/>
                <w:szCs w:val="14"/>
                <w:color w:val="auto"/>
              </w:rPr>
            </w:pPr>
          </w:p>
        </w:tc>
      </w:tr>
      <w:tr>
        <w:trPr>
          <w:trHeight w:val="189"/>
        </w:trPr>
        <w:tc>
          <w:tcPr>
            <w:tcW w:w="4060" w:type="dxa"/>
            <w:vAlign w:val="bottom"/>
          </w:tcPr>
          <w:p>
            <w:pPr>
              <w:spacing w:after="0"/>
              <w:rPr>
                <w:sz w:val="16"/>
                <w:szCs w:val="16"/>
                <w:color w:val="auto"/>
              </w:rPr>
            </w:pPr>
          </w:p>
        </w:tc>
        <w:tc>
          <w:tcPr>
            <w:tcW w:w="3740" w:type="dxa"/>
            <w:vAlign w:val="bottom"/>
          </w:tcPr>
          <w:p>
            <w:pPr>
              <w:jc w:val="right"/>
              <w:ind w:right="162"/>
              <w:spacing w:after="0" w:line="189" w:lineRule="exact"/>
              <w:rPr>
                <w:sz w:val="20"/>
                <w:szCs w:val="20"/>
                <w:color w:val="auto"/>
              </w:rPr>
            </w:pPr>
            <w:r>
              <w:rPr>
                <w:rFonts w:ascii="Arial" w:cs="Arial" w:eastAsia="Arial" w:hAnsi="Arial"/>
                <w:sz w:val="13"/>
                <w:szCs w:val="13"/>
                <w:b w:val="1"/>
                <w:bCs w:val="1"/>
                <w:color w:val="auto"/>
              </w:rPr>
              <w:t>Paid in Cash</w:t>
            </w:r>
            <w:r>
              <w:rPr>
                <w:rFonts w:ascii="Arial" w:cs="Arial" w:eastAsia="Arial" w:hAnsi="Arial"/>
                <w:sz w:val="21"/>
                <w:szCs w:val="21"/>
                <w:b w:val="1"/>
                <w:bCs w:val="1"/>
                <w:color w:val="auto"/>
                <w:vertAlign w:val="superscript"/>
              </w:rPr>
              <w:t>(1)(2)</w:t>
            </w:r>
          </w:p>
        </w:tc>
        <w:tc>
          <w:tcPr>
            <w:tcW w:w="1260" w:type="dxa"/>
            <w:vAlign w:val="bottom"/>
          </w:tcPr>
          <w:p>
            <w:pPr>
              <w:jc w:val="right"/>
              <w:ind w:right="122"/>
              <w:spacing w:after="0" w:line="189" w:lineRule="exact"/>
              <w:rPr>
                <w:sz w:val="20"/>
                <w:szCs w:val="20"/>
                <w:color w:val="auto"/>
              </w:rPr>
            </w:pPr>
            <w:r>
              <w:rPr>
                <w:rFonts w:ascii="Arial" w:cs="Arial" w:eastAsia="Arial" w:hAnsi="Arial"/>
                <w:sz w:val="13"/>
                <w:szCs w:val="13"/>
                <w:b w:val="1"/>
                <w:bCs w:val="1"/>
                <w:color w:val="auto"/>
              </w:rPr>
              <w:t>Awards</w:t>
            </w:r>
            <w:r>
              <w:rPr>
                <w:rFonts w:ascii="Arial" w:cs="Arial" w:eastAsia="Arial" w:hAnsi="Arial"/>
                <w:sz w:val="21"/>
                <w:szCs w:val="21"/>
                <w:b w:val="1"/>
                <w:bCs w:val="1"/>
                <w:color w:val="auto"/>
                <w:vertAlign w:val="superscript"/>
              </w:rPr>
              <w:t>(3)(4)</w:t>
            </w:r>
          </w:p>
        </w:tc>
        <w:tc>
          <w:tcPr>
            <w:tcW w:w="1440" w:type="dxa"/>
            <w:vAlign w:val="bottom"/>
          </w:tcPr>
          <w:p>
            <w:pPr>
              <w:jc w:val="right"/>
              <w:ind w:right="22"/>
              <w:spacing w:after="0" w:line="189" w:lineRule="exact"/>
              <w:rPr>
                <w:sz w:val="20"/>
                <w:szCs w:val="20"/>
                <w:color w:val="auto"/>
              </w:rPr>
            </w:pPr>
            <w:r>
              <w:rPr>
                <w:rFonts w:ascii="Arial" w:cs="Arial" w:eastAsia="Arial" w:hAnsi="Arial"/>
                <w:sz w:val="13"/>
                <w:szCs w:val="13"/>
                <w:b w:val="1"/>
                <w:bCs w:val="1"/>
                <w:color w:val="auto"/>
              </w:rPr>
              <w:t>Compensation</w:t>
            </w:r>
            <w:r>
              <w:rPr>
                <w:rFonts w:ascii="Arial" w:cs="Arial" w:eastAsia="Arial" w:hAnsi="Arial"/>
                <w:sz w:val="21"/>
                <w:szCs w:val="21"/>
                <w:b w:val="1"/>
                <w:bCs w:val="1"/>
                <w:color w:val="auto"/>
                <w:vertAlign w:val="superscript"/>
              </w:rPr>
              <w:t>(5)</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r>
      <w:tr>
        <w:trPr>
          <w:trHeight w:val="174"/>
        </w:trPr>
        <w:tc>
          <w:tcPr>
            <w:tcW w:w="4060" w:type="dxa"/>
            <w:vAlign w:val="bottom"/>
            <w:tcBorders>
              <w:bottom w:val="single" w:sz="8" w:color="16479F"/>
            </w:tcBorders>
          </w:tcPr>
          <w:p>
            <w:pPr>
              <w:ind w:left="60"/>
              <w:spacing w:after="0"/>
              <w:rPr>
                <w:sz w:val="20"/>
                <w:szCs w:val="20"/>
                <w:color w:val="auto"/>
              </w:rPr>
            </w:pPr>
            <w:r>
              <w:rPr>
                <w:rFonts w:ascii="Arial" w:cs="Arial" w:eastAsia="Arial" w:hAnsi="Arial"/>
                <w:sz w:val="14"/>
                <w:szCs w:val="14"/>
                <w:b w:val="1"/>
                <w:bCs w:val="1"/>
                <w:color w:val="auto"/>
              </w:rPr>
              <w:t>Name</w:t>
            </w:r>
          </w:p>
        </w:tc>
        <w:tc>
          <w:tcPr>
            <w:tcW w:w="3740" w:type="dxa"/>
            <w:vAlign w:val="bottom"/>
            <w:tcBorders>
              <w:bottom w:val="single" w:sz="8" w:color="16479F"/>
            </w:tcBorders>
          </w:tcPr>
          <w:p>
            <w:pPr>
              <w:jc w:val="right"/>
              <w:ind w:right="162"/>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16479F"/>
            </w:tcBorders>
          </w:tcPr>
          <w:p>
            <w:pPr>
              <w:jc w:val="right"/>
              <w:ind w:right="122"/>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16479F"/>
            </w:tcBorders>
          </w:tcPr>
          <w:p>
            <w:pPr>
              <w:jc w:val="right"/>
              <w:ind w:right="22"/>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16479F"/>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234"/>
        </w:trPr>
        <w:tc>
          <w:tcPr>
            <w:tcW w:w="4060" w:type="dxa"/>
            <w:vAlign w:val="bottom"/>
            <w:shd w:val="clear" w:color="auto" w:fill="F0F1F8"/>
          </w:tcPr>
          <w:p>
            <w:pPr>
              <w:ind w:left="60"/>
              <w:spacing w:after="0"/>
              <w:rPr>
                <w:sz w:val="20"/>
                <w:szCs w:val="20"/>
                <w:color w:val="auto"/>
              </w:rPr>
            </w:pPr>
            <w:r>
              <w:rPr>
                <w:rFonts w:ascii="Arial" w:cs="Arial" w:eastAsia="Arial" w:hAnsi="Arial"/>
                <w:sz w:val="16"/>
                <w:szCs w:val="16"/>
                <w:b w:val="1"/>
                <w:bCs w:val="1"/>
                <w:color w:val="auto"/>
              </w:rPr>
              <w:t>Robert G. Ashe</w:t>
            </w:r>
          </w:p>
        </w:tc>
        <w:tc>
          <w:tcPr>
            <w:tcW w:w="3740" w:type="dxa"/>
            <w:vAlign w:val="bottom"/>
            <w:shd w:val="clear" w:color="auto" w:fill="F0F1F8"/>
          </w:tcPr>
          <w:p>
            <w:pPr>
              <w:jc w:val="right"/>
              <w:ind w:right="162"/>
              <w:spacing w:after="0"/>
              <w:rPr>
                <w:sz w:val="20"/>
                <w:szCs w:val="20"/>
                <w:color w:val="auto"/>
              </w:rPr>
            </w:pPr>
            <w:r>
              <w:rPr>
                <w:rFonts w:ascii="Arial" w:cs="Arial" w:eastAsia="Arial" w:hAnsi="Arial"/>
                <w:sz w:val="16"/>
                <w:szCs w:val="16"/>
                <w:color w:val="auto"/>
              </w:rPr>
              <w:t>114,642</w:t>
            </w:r>
          </w:p>
        </w:tc>
        <w:tc>
          <w:tcPr>
            <w:tcW w:w="1260" w:type="dxa"/>
            <w:vAlign w:val="bottom"/>
            <w:shd w:val="clear" w:color="auto" w:fill="F0F1F8"/>
          </w:tcPr>
          <w:p>
            <w:pPr>
              <w:jc w:val="right"/>
              <w:ind w:right="122"/>
              <w:spacing w:after="0"/>
              <w:rPr>
                <w:sz w:val="20"/>
                <w:szCs w:val="20"/>
                <w:color w:val="auto"/>
              </w:rPr>
            </w:pPr>
            <w:r>
              <w:rPr>
                <w:rFonts w:ascii="Arial" w:cs="Arial" w:eastAsia="Arial" w:hAnsi="Arial"/>
                <w:sz w:val="16"/>
                <w:szCs w:val="16"/>
                <w:color w:val="auto"/>
              </w:rPr>
              <w:t>214,710</w:t>
            </w:r>
          </w:p>
        </w:tc>
        <w:tc>
          <w:tcPr>
            <w:tcW w:w="1440" w:type="dxa"/>
            <w:vAlign w:val="bottom"/>
            <w:shd w:val="clear" w:color="auto" w:fill="F0F1F8"/>
          </w:tcPr>
          <w:p>
            <w:pPr>
              <w:jc w:val="right"/>
              <w:ind w:right="22"/>
              <w:spacing w:after="0"/>
              <w:rPr>
                <w:sz w:val="20"/>
                <w:szCs w:val="20"/>
                <w:color w:val="auto"/>
              </w:rPr>
            </w:pPr>
            <w:r>
              <w:rPr>
                <w:rFonts w:ascii="Arial" w:cs="Arial" w:eastAsia="Arial" w:hAnsi="Arial"/>
                <w:sz w:val="16"/>
                <w:szCs w:val="16"/>
                <w:color w:val="auto"/>
              </w:rPr>
              <w:t>1,777</w:t>
            </w:r>
          </w:p>
        </w:tc>
        <w:tc>
          <w:tcPr>
            <w:tcW w:w="740" w:type="dxa"/>
            <w:vAlign w:val="bottom"/>
            <w:shd w:val="clear" w:color="auto" w:fill="F0F1F8"/>
          </w:tcPr>
          <w:p>
            <w:pPr>
              <w:jc w:val="right"/>
              <w:spacing w:after="0"/>
              <w:rPr>
                <w:sz w:val="20"/>
                <w:szCs w:val="20"/>
                <w:color w:val="auto"/>
              </w:rPr>
            </w:pPr>
            <w:r>
              <w:rPr>
                <w:rFonts w:ascii="Arial" w:cs="Arial" w:eastAsia="Arial" w:hAnsi="Arial"/>
                <w:sz w:val="16"/>
                <w:szCs w:val="16"/>
                <w:color w:val="auto"/>
              </w:rPr>
              <w:t>331,129</w:t>
            </w:r>
          </w:p>
        </w:tc>
      </w:tr>
      <w:tr>
        <w:trPr>
          <w:trHeight w:val="281"/>
        </w:trPr>
        <w:tc>
          <w:tcPr>
            <w:tcW w:w="4060" w:type="dxa"/>
            <w:vAlign w:val="bottom"/>
          </w:tcPr>
          <w:p>
            <w:pPr>
              <w:ind w:left="60"/>
              <w:spacing w:after="0" w:line="281" w:lineRule="exact"/>
              <w:rPr>
                <w:sz w:val="20"/>
                <w:szCs w:val="20"/>
                <w:color w:val="auto"/>
              </w:rPr>
            </w:pPr>
            <w:r>
              <w:rPr>
                <w:rFonts w:ascii="Arial" w:cs="Arial" w:eastAsia="Arial" w:hAnsi="Arial"/>
                <w:sz w:val="16"/>
                <w:szCs w:val="16"/>
                <w:b w:val="1"/>
                <w:bCs w:val="1"/>
                <w:color w:val="auto"/>
              </w:rPr>
              <w:t>Benjamin F. duPont</w:t>
            </w:r>
            <w:r>
              <w:rPr>
                <w:rFonts w:ascii="Arial" w:cs="Arial" w:eastAsia="Arial" w:hAnsi="Arial"/>
                <w:sz w:val="26"/>
                <w:szCs w:val="26"/>
                <w:b w:val="1"/>
                <w:bCs w:val="1"/>
                <w:color w:val="auto"/>
                <w:vertAlign w:val="superscript"/>
              </w:rPr>
              <w:t>(6)</w:t>
            </w:r>
          </w:p>
        </w:tc>
        <w:tc>
          <w:tcPr>
            <w:tcW w:w="374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2"/>
              <w:spacing w:after="0"/>
              <w:rPr>
                <w:sz w:val="20"/>
                <w:szCs w:val="20"/>
                <w:color w:val="auto"/>
              </w:rPr>
            </w:pPr>
            <w:r>
              <w:rPr>
                <w:rFonts w:ascii="Arial" w:cs="Arial" w:eastAsia="Arial" w:hAnsi="Arial"/>
                <w:sz w:val="16"/>
                <w:szCs w:val="16"/>
                <w:color w:val="auto"/>
              </w:rPr>
              <w:t>9,159</w:t>
            </w:r>
          </w:p>
        </w:tc>
        <w:tc>
          <w:tcPr>
            <w:tcW w:w="740" w:type="dxa"/>
            <w:vAlign w:val="bottom"/>
          </w:tcPr>
          <w:p>
            <w:pPr>
              <w:jc w:val="right"/>
              <w:spacing w:after="0"/>
              <w:rPr>
                <w:sz w:val="20"/>
                <w:szCs w:val="20"/>
                <w:color w:val="auto"/>
              </w:rPr>
            </w:pPr>
            <w:r>
              <w:rPr>
                <w:rFonts w:ascii="Arial" w:cs="Arial" w:eastAsia="Arial" w:hAnsi="Arial"/>
                <w:sz w:val="16"/>
                <w:szCs w:val="16"/>
                <w:color w:val="auto"/>
              </w:rPr>
              <w:t>9,159</w:t>
            </w:r>
          </w:p>
        </w:tc>
      </w:tr>
      <w:tr>
        <w:trPr>
          <w:trHeight w:val="241"/>
        </w:trPr>
        <w:tc>
          <w:tcPr>
            <w:tcW w:w="4060" w:type="dxa"/>
            <w:vAlign w:val="bottom"/>
            <w:shd w:val="clear" w:color="auto" w:fill="F0F1F8"/>
          </w:tcPr>
          <w:p>
            <w:pPr>
              <w:ind w:left="60"/>
              <w:spacing w:after="0"/>
              <w:rPr>
                <w:sz w:val="20"/>
                <w:szCs w:val="20"/>
                <w:color w:val="auto"/>
              </w:rPr>
            </w:pPr>
            <w:r>
              <w:rPr>
                <w:rFonts w:ascii="Arial" w:cs="Arial" w:eastAsia="Arial" w:hAnsi="Arial"/>
                <w:sz w:val="16"/>
                <w:szCs w:val="16"/>
                <w:b w:val="1"/>
                <w:bCs w:val="1"/>
                <w:color w:val="auto"/>
              </w:rPr>
              <w:t>Wayne Edmunds</w:t>
            </w:r>
          </w:p>
        </w:tc>
        <w:tc>
          <w:tcPr>
            <w:tcW w:w="3740" w:type="dxa"/>
            <w:vAlign w:val="bottom"/>
            <w:shd w:val="clear" w:color="auto" w:fill="F0F1F8"/>
          </w:tcPr>
          <w:p>
            <w:pPr>
              <w:jc w:val="right"/>
              <w:ind w:right="162"/>
              <w:spacing w:after="0"/>
              <w:rPr>
                <w:sz w:val="20"/>
                <w:szCs w:val="20"/>
                <w:color w:val="auto"/>
              </w:rPr>
            </w:pPr>
            <w:r>
              <w:rPr>
                <w:rFonts w:ascii="Arial" w:cs="Arial" w:eastAsia="Arial" w:hAnsi="Arial"/>
                <w:sz w:val="16"/>
                <w:szCs w:val="16"/>
                <w:color w:val="auto"/>
              </w:rPr>
              <w:t>120,000</w:t>
            </w:r>
          </w:p>
        </w:tc>
        <w:tc>
          <w:tcPr>
            <w:tcW w:w="1260" w:type="dxa"/>
            <w:vAlign w:val="bottom"/>
            <w:shd w:val="clear" w:color="auto" w:fill="F0F1F8"/>
          </w:tcPr>
          <w:p>
            <w:pPr>
              <w:jc w:val="right"/>
              <w:ind w:right="122"/>
              <w:spacing w:after="0"/>
              <w:rPr>
                <w:sz w:val="20"/>
                <w:szCs w:val="20"/>
                <w:color w:val="auto"/>
              </w:rPr>
            </w:pPr>
            <w:r>
              <w:rPr>
                <w:rFonts w:ascii="Arial" w:cs="Arial" w:eastAsia="Arial" w:hAnsi="Arial"/>
                <w:sz w:val="16"/>
                <w:szCs w:val="16"/>
                <w:color w:val="auto"/>
              </w:rPr>
              <w:t>164,676</w:t>
            </w:r>
          </w:p>
        </w:tc>
        <w:tc>
          <w:tcPr>
            <w:tcW w:w="1440" w:type="dxa"/>
            <w:vAlign w:val="bottom"/>
            <w:shd w:val="clear" w:color="auto" w:fill="F0F1F8"/>
          </w:tcPr>
          <w:p>
            <w:pPr>
              <w:jc w:val="right"/>
              <w:ind w:right="22"/>
              <w:spacing w:after="0"/>
              <w:rPr>
                <w:sz w:val="20"/>
                <w:szCs w:val="20"/>
                <w:color w:val="auto"/>
              </w:rPr>
            </w:pPr>
            <w:r>
              <w:rPr>
                <w:rFonts w:ascii="Arial" w:cs="Arial" w:eastAsia="Arial" w:hAnsi="Arial"/>
                <w:sz w:val="16"/>
                <w:szCs w:val="16"/>
                <w:color w:val="auto"/>
              </w:rPr>
              <w:t>1,363</w:t>
            </w:r>
          </w:p>
        </w:tc>
        <w:tc>
          <w:tcPr>
            <w:tcW w:w="740" w:type="dxa"/>
            <w:vAlign w:val="bottom"/>
            <w:shd w:val="clear" w:color="auto" w:fill="F0F1F8"/>
          </w:tcPr>
          <w:p>
            <w:pPr>
              <w:jc w:val="right"/>
              <w:spacing w:after="0"/>
              <w:rPr>
                <w:sz w:val="20"/>
                <w:szCs w:val="20"/>
                <w:color w:val="auto"/>
              </w:rPr>
            </w:pPr>
            <w:r>
              <w:rPr>
                <w:rFonts w:ascii="Arial" w:cs="Arial" w:eastAsia="Arial" w:hAnsi="Arial"/>
                <w:sz w:val="16"/>
                <w:szCs w:val="16"/>
                <w:color w:val="auto"/>
              </w:rPr>
              <w:t>286,039</w:t>
            </w:r>
          </w:p>
        </w:tc>
      </w:tr>
      <w:tr>
        <w:trPr>
          <w:trHeight w:val="232"/>
        </w:trPr>
        <w:tc>
          <w:tcPr>
            <w:tcW w:w="4060" w:type="dxa"/>
            <w:vAlign w:val="bottom"/>
          </w:tcPr>
          <w:p>
            <w:pPr>
              <w:ind w:left="60"/>
              <w:spacing w:after="0"/>
              <w:rPr>
                <w:sz w:val="20"/>
                <w:szCs w:val="20"/>
                <w:color w:val="auto"/>
              </w:rPr>
            </w:pPr>
            <w:r>
              <w:rPr>
                <w:rFonts w:ascii="Arial" w:cs="Arial" w:eastAsia="Arial" w:hAnsi="Arial"/>
                <w:sz w:val="16"/>
                <w:szCs w:val="16"/>
                <w:b w:val="1"/>
                <w:bCs w:val="1"/>
                <w:color w:val="auto"/>
              </w:rPr>
              <w:t>Catherine R. Kinney</w:t>
            </w:r>
          </w:p>
        </w:tc>
        <w:tc>
          <w:tcPr>
            <w:tcW w:w="3740" w:type="dxa"/>
            <w:vAlign w:val="bottom"/>
          </w:tcPr>
          <w:p>
            <w:pPr>
              <w:jc w:val="right"/>
              <w:ind w:right="162"/>
              <w:spacing w:after="0"/>
              <w:rPr>
                <w:sz w:val="20"/>
                <w:szCs w:val="20"/>
                <w:color w:val="auto"/>
              </w:rPr>
            </w:pPr>
            <w:r>
              <w:rPr>
                <w:rFonts w:ascii="Arial" w:cs="Arial" w:eastAsia="Arial" w:hAnsi="Arial"/>
                <w:sz w:val="16"/>
                <w:szCs w:val="16"/>
                <w:color w:val="auto"/>
              </w:rPr>
              <w:t>89,867</w:t>
            </w:r>
          </w:p>
        </w:tc>
        <w:tc>
          <w:tcPr>
            <w:tcW w:w="1260" w:type="dxa"/>
            <w:vAlign w:val="bottom"/>
          </w:tcPr>
          <w:p>
            <w:pPr>
              <w:jc w:val="right"/>
              <w:ind w:right="122"/>
              <w:spacing w:after="0"/>
              <w:rPr>
                <w:sz w:val="20"/>
                <w:szCs w:val="20"/>
                <w:color w:val="auto"/>
              </w:rPr>
            </w:pPr>
            <w:r>
              <w:rPr>
                <w:rFonts w:ascii="Arial" w:cs="Arial" w:eastAsia="Arial" w:hAnsi="Arial"/>
                <w:sz w:val="16"/>
                <w:szCs w:val="16"/>
                <w:color w:val="auto"/>
              </w:rPr>
              <w:t>164,676</w:t>
            </w:r>
          </w:p>
        </w:tc>
        <w:tc>
          <w:tcPr>
            <w:tcW w:w="1440" w:type="dxa"/>
            <w:vAlign w:val="bottom"/>
          </w:tcPr>
          <w:p>
            <w:pPr>
              <w:jc w:val="right"/>
              <w:ind w:right="22"/>
              <w:spacing w:after="0"/>
              <w:rPr>
                <w:sz w:val="20"/>
                <w:szCs w:val="20"/>
                <w:color w:val="auto"/>
              </w:rPr>
            </w:pPr>
            <w:r>
              <w:rPr>
                <w:rFonts w:ascii="Arial" w:cs="Arial" w:eastAsia="Arial" w:hAnsi="Arial"/>
                <w:sz w:val="16"/>
                <w:szCs w:val="16"/>
                <w:color w:val="auto"/>
              </w:rPr>
              <w:t>75,468</w:t>
            </w:r>
          </w:p>
        </w:tc>
        <w:tc>
          <w:tcPr>
            <w:tcW w:w="740" w:type="dxa"/>
            <w:vAlign w:val="bottom"/>
          </w:tcPr>
          <w:p>
            <w:pPr>
              <w:jc w:val="right"/>
              <w:spacing w:after="0"/>
              <w:rPr>
                <w:sz w:val="20"/>
                <w:szCs w:val="20"/>
                <w:color w:val="auto"/>
              </w:rPr>
            </w:pPr>
            <w:r>
              <w:rPr>
                <w:rFonts w:ascii="Arial" w:cs="Arial" w:eastAsia="Arial" w:hAnsi="Arial"/>
                <w:sz w:val="16"/>
                <w:szCs w:val="16"/>
                <w:color w:val="auto"/>
              </w:rPr>
              <w:t>330,011</w:t>
            </w:r>
          </w:p>
        </w:tc>
      </w:tr>
      <w:tr>
        <w:trPr>
          <w:trHeight w:val="250"/>
        </w:trPr>
        <w:tc>
          <w:tcPr>
            <w:tcW w:w="4060" w:type="dxa"/>
            <w:vAlign w:val="bottom"/>
            <w:shd w:val="clear" w:color="auto" w:fill="F0F1F8"/>
          </w:tcPr>
          <w:p>
            <w:pPr>
              <w:ind w:left="60"/>
              <w:spacing w:after="0"/>
              <w:rPr>
                <w:sz w:val="20"/>
                <w:szCs w:val="20"/>
                <w:color w:val="auto"/>
              </w:rPr>
            </w:pPr>
            <w:r>
              <w:rPr>
                <w:rFonts w:ascii="Arial" w:cs="Arial" w:eastAsia="Arial" w:hAnsi="Arial"/>
                <w:sz w:val="16"/>
                <w:szCs w:val="16"/>
                <w:b w:val="1"/>
                <w:bCs w:val="1"/>
                <w:color w:val="auto"/>
              </w:rPr>
              <w:t>Jacques P. Perold</w:t>
            </w:r>
          </w:p>
        </w:tc>
        <w:tc>
          <w:tcPr>
            <w:tcW w:w="3740" w:type="dxa"/>
            <w:vAlign w:val="bottom"/>
            <w:shd w:val="clear" w:color="auto" w:fill="F0F1F8"/>
          </w:tcPr>
          <w:p>
            <w:pPr>
              <w:jc w:val="right"/>
              <w:ind w:right="162"/>
              <w:spacing w:after="0"/>
              <w:rPr>
                <w:sz w:val="20"/>
                <w:szCs w:val="20"/>
                <w:color w:val="auto"/>
              </w:rPr>
            </w:pPr>
            <w:r>
              <w:rPr>
                <w:rFonts w:ascii="Arial" w:cs="Arial" w:eastAsia="Arial" w:hAnsi="Arial"/>
                <w:sz w:val="16"/>
                <w:szCs w:val="16"/>
                <w:color w:val="auto"/>
              </w:rPr>
              <w:t>110,000</w:t>
            </w:r>
          </w:p>
        </w:tc>
        <w:tc>
          <w:tcPr>
            <w:tcW w:w="1260" w:type="dxa"/>
            <w:vAlign w:val="bottom"/>
            <w:shd w:val="clear" w:color="auto" w:fill="F0F1F8"/>
          </w:tcPr>
          <w:p>
            <w:pPr>
              <w:jc w:val="right"/>
              <w:ind w:right="122"/>
              <w:spacing w:after="0"/>
              <w:rPr>
                <w:sz w:val="20"/>
                <w:szCs w:val="20"/>
                <w:color w:val="auto"/>
              </w:rPr>
            </w:pPr>
            <w:r>
              <w:rPr>
                <w:rFonts w:ascii="Arial" w:cs="Arial" w:eastAsia="Arial" w:hAnsi="Arial"/>
                <w:sz w:val="16"/>
                <w:szCs w:val="16"/>
                <w:color w:val="auto"/>
              </w:rPr>
              <w:t>164,676</w:t>
            </w:r>
          </w:p>
        </w:tc>
        <w:tc>
          <w:tcPr>
            <w:tcW w:w="1440" w:type="dxa"/>
            <w:vAlign w:val="bottom"/>
            <w:shd w:val="clear" w:color="auto" w:fill="F0F1F8"/>
          </w:tcPr>
          <w:p>
            <w:pPr>
              <w:jc w:val="right"/>
              <w:ind w:right="22"/>
              <w:spacing w:after="0"/>
              <w:rPr>
                <w:sz w:val="20"/>
                <w:szCs w:val="20"/>
                <w:color w:val="auto"/>
              </w:rPr>
            </w:pPr>
            <w:r>
              <w:rPr>
                <w:rFonts w:ascii="Arial" w:cs="Arial" w:eastAsia="Arial" w:hAnsi="Arial"/>
                <w:sz w:val="16"/>
                <w:szCs w:val="16"/>
                <w:color w:val="auto"/>
              </w:rPr>
              <w:t>1,363</w:t>
            </w:r>
          </w:p>
        </w:tc>
        <w:tc>
          <w:tcPr>
            <w:tcW w:w="740" w:type="dxa"/>
            <w:vAlign w:val="bottom"/>
            <w:shd w:val="clear" w:color="auto" w:fill="F0F1F8"/>
          </w:tcPr>
          <w:p>
            <w:pPr>
              <w:jc w:val="right"/>
              <w:spacing w:after="0"/>
              <w:rPr>
                <w:sz w:val="20"/>
                <w:szCs w:val="20"/>
                <w:color w:val="auto"/>
              </w:rPr>
            </w:pPr>
            <w:r>
              <w:rPr>
                <w:rFonts w:ascii="Arial" w:cs="Arial" w:eastAsia="Arial" w:hAnsi="Arial"/>
                <w:sz w:val="16"/>
                <w:szCs w:val="16"/>
                <w:color w:val="auto"/>
              </w:rPr>
              <w:t>276,039</w:t>
            </w:r>
          </w:p>
        </w:tc>
      </w:tr>
      <w:tr>
        <w:trPr>
          <w:trHeight w:val="232"/>
        </w:trPr>
        <w:tc>
          <w:tcPr>
            <w:tcW w:w="4060" w:type="dxa"/>
            <w:vAlign w:val="bottom"/>
          </w:tcPr>
          <w:p>
            <w:pPr>
              <w:ind w:left="60"/>
              <w:spacing w:after="0"/>
              <w:rPr>
                <w:sz w:val="20"/>
                <w:szCs w:val="20"/>
                <w:color w:val="auto"/>
              </w:rPr>
            </w:pPr>
            <w:r>
              <w:rPr>
                <w:rFonts w:ascii="Arial" w:cs="Arial" w:eastAsia="Arial" w:hAnsi="Arial"/>
                <w:sz w:val="16"/>
                <w:szCs w:val="16"/>
                <w:b w:val="1"/>
                <w:bCs w:val="1"/>
                <w:color w:val="auto"/>
              </w:rPr>
              <w:t>Sandy C. Rattray</w:t>
            </w:r>
          </w:p>
        </w:tc>
        <w:tc>
          <w:tcPr>
            <w:tcW w:w="3740" w:type="dxa"/>
            <w:vAlign w:val="bottom"/>
          </w:tcPr>
          <w:p>
            <w:pPr>
              <w:jc w:val="right"/>
              <w:ind w:right="162"/>
              <w:spacing w:after="0"/>
              <w:rPr>
                <w:sz w:val="20"/>
                <w:szCs w:val="20"/>
                <w:color w:val="auto"/>
              </w:rPr>
            </w:pPr>
            <w:r>
              <w:rPr>
                <w:rFonts w:ascii="Arial" w:cs="Arial" w:eastAsia="Arial" w:hAnsi="Arial"/>
                <w:sz w:val="16"/>
                <w:szCs w:val="16"/>
                <w:color w:val="auto"/>
              </w:rPr>
              <w:t>100,000</w:t>
            </w:r>
          </w:p>
        </w:tc>
        <w:tc>
          <w:tcPr>
            <w:tcW w:w="1260" w:type="dxa"/>
            <w:vAlign w:val="bottom"/>
          </w:tcPr>
          <w:p>
            <w:pPr>
              <w:jc w:val="right"/>
              <w:ind w:right="122"/>
              <w:spacing w:after="0"/>
              <w:rPr>
                <w:sz w:val="20"/>
                <w:szCs w:val="20"/>
                <w:color w:val="auto"/>
              </w:rPr>
            </w:pPr>
            <w:r>
              <w:rPr>
                <w:rFonts w:ascii="Arial" w:cs="Arial" w:eastAsia="Arial" w:hAnsi="Arial"/>
                <w:sz w:val="16"/>
                <w:szCs w:val="16"/>
                <w:color w:val="auto"/>
              </w:rPr>
              <w:t>164,676</w:t>
            </w:r>
          </w:p>
        </w:tc>
        <w:tc>
          <w:tcPr>
            <w:tcW w:w="1440" w:type="dxa"/>
            <w:vAlign w:val="bottom"/>
          </w:tcPr>
          <w:p>
            <w:pPr>
              <w:jc w:val="right"/>
              <w:ind w:right="22"/>
              <w:spacing w:after="0"/>
              <w:rPr>
                <w:sz w:val="20"/>
                <w:szCs w:val="20"/>
                <w:color w:val="auto"/>
              </w:rPr>
            </w:pPr>
            <w:r>
              <w:rPr>
                <w:rFonts w:ascii="Arial" w:cs="Arial" w:eastAsia="Arial" w:hAnsi="Arial"/>
                <w:sz w:val="16"/>
                <w:szCs w:val="16"/>
                <w:color w:val="auto"/>
              </w:rPr>
              <w:t>1,363</w:t>
            </w:r>
          </w:p>
        </w:tc>
        <w:tc>
          <w:tcPr>
            <w:tcW w:w="740" w:type="dxa"/>
            <w:vAlign w:val="bottom"/>
          </w:tcPr>
          <w:p>
            <w:pPr>
              <w:jc w:val="right"/>
              <w:spacing w:after="0"/>
              <w:rPr>
                <w:sz w:val="20"/>
                <w:szCs w:val="20"/>
                <w:color w:val="auto"/>
              </w:rPr>
            </w:pPr>
            <w:r>
              <w:rPr>
                <w:rFonts w:ascii="Arial" w:cs="Arial" w:eastAsia="Arial" w:hAnsi="Arial"/>
                <w:sz w:val="16"/>
                <w:szCs w:val="16"/>
                <w:color w:val="auto"/>
              </w:rPr>
              <w:t>266,039</w:t>
            </w:r>
          </w:p>
        </w:tc>
      </w:tr>
      <w:tr>
        <w:trPr>
          <w:trHeight w:val="250"/>
        </w:trPr>
        <w:tc>
          <w:tcPr>
            <w:tcW w:w="4060" w:type="dxa"/>
            <w:vAlign w:val="bottom"/>
            <w:shd w:val="clear" w:color="auto" w:fill="F0F1F8"/>
          </w:tcPr>
          <w:p>
            <w:pPr>
              <w:ind w:left="60"/>
              <w:spacing w:after="0"/>
              <w:rPr>
                <w:sz w:val="20"/>
                <w:szCs w:val="20"/>
                <w:color w:val="auto"/>
              </w:rPr>
            </w:pPr>
            <w:r>
              <w:rPr>
                <w:rFonts w:ascii="Arial" w:cs="Arial" w:eastAsia="Arial" w:hAnsi="Arial"/>
                <w:sz w:val="16"/>
                <w:szCs w:val="16"/>
                <w:b w:val="1"/>
                <w:bCs w:val="1"/>
                <w:color w:val="auto"/>
              </w:rPr>
              <w:t>Linda H. Riefler</w:t>
            </w:r>
          </w:p>
        </w:tc>
        <w:tc>
          <w:tcPr>
            <w:tcW w:w="3740" w:type="dxa"/>
            <w:vAlign w:val="bottom"/>
            <w:shd w:val="clear" w:color="auto" w:fill="F0F1F8"/>
          </w:tcPr>
          <w:p>
            <w:pPr>
              <w:jc w:val="right"/>
              <w:ind w:right="162"/>
              <w:spacing w:after="0"/>
              <w:rPr>
                <w:sz w:val="20"/>
                <w:szCs w:val="20"/>
                <w:color w:val="auto"/>
              </w:rPr>
            </w:pPr>
            <w:r>
              <w:rPr>
                <w:rFonts w:ascii="Arial" w:cs="Arial" w:eastAsia="Arial" w:hAnsi="Arial"/>
                <w:sz w:val="16"/>
                <w:szCs w:val="16"/>
                <w:color w:val="auto"/>
              </w:rPr>
              <w:t>115,000</w:t>
            </w:r>
          </w:p>
        </w:tc>
        <w:tc>
          <w:tcPr>
            <w:tcW w:w="1260" w:type="dxa"/>
            <w:vAlign w:val="bottom"/>
            <w:shd w:val="clear" w:color="auto" w:fill="F0F1F8"/>
          </w:tcPr>
          <w:p>
            <w:pPr>
              <w:jc w:val="right"/>
              <w:ind w:right="122"/>
              <w:spacing w:after="0"/>
              <w:rPr>
                <w:sz w:val="20"/>
                <w:szCs w:val="20"/>
                <w:color w:val="auto"/>
              </w:rPr>
            </w:pPr>
            <w:r>
              <w:rPr>
                <w:rFonts w:ascii="Arial" w:cs="Arial" w:eastAsia="Arial" w:hAnsi="Arial"/>
                <w:sz w:val="16"/>
                <w:szCs w:val="16"/>
                <w:color w:val="auto"/>
              </w:rPr>
              <w:t>164,676</w:t>
            </w:r>
          </w:p>
        </w:tc>
        <w:tc>
          <w:tcPr>
            <w:tcW w:w="1440" w:type="dxa"/>
            <w:vAlign w:val="bottom"/>
            <w:shd w:val="clear" w:color="auto" w:fill="F0F1F8"/>
          </w:tcPr>
          <w:p>
            <w:pPr>
              <w:jc w:val="right"/>
              <w:ind w:right="22"/>
              <w:spacing w:after="0"/>
              <w:rPr>
                <w:sz w:val="20"/>
                <w:szCs w:val="20"/>
                <w:color w:val="auto"/>
              </w:rPr>
            </w:pPr>
            <w:r>
              <w:rPr>
                <w:rFonts w:ascii="Arial" w:cs="Arial" w:eastAsia="Arial" w:hAnsi="Arial"/>
                <w:sz w:val="16"/>
                <w:szCs w:val="16"/>
                <w:color w:val="auto"/>
              </w:rPr>
              <w:t>1,363</w:t>
            </w:r>
          </w:p>
        </w:tc>
        <w:tc>
          <w:tcPr>
            <w:tcW w:w="740" w:type="dxa"/>
            <w:vAlign w:val="bottom"/>
            <w:shd w:val="clear" w:color="auto" w:fill="F0F1F8"/>
          </w:tcPr>
          <w:p>
            <w:pPr>
              <w:jc w:val="right"/>
              <w:spacing w:after="0"/>
              <w:rPr>
                <w:sz w:val="20"/>
                <w:szCs w:val="20"/>
                <w:color w:val="auto"/>
              </w:rPr>
            </w:pPr>
            <w:r>
              <w:rPr>
                <w:rFonts w:ascii="Arial" w:cs="Arial" w:eastAsia="Arial" w:hAnsi="Arial"/>
                <w:sz w:val="16"/>
                <w:szCs w:val="16"/>
                <w:color w:val="auto"/>
              </w:rPr>
              <w:t>281,039</w:t>
            </w:r>
          </w:p>
        </w:tc>
      </w:tr>
      <w:tr>
        <w:trPr>
          <w:trHeight w:val="232"/>
        </w:trPr>
        <w:tc>
          <w:tcPr>
            <w:tcW w:w="4060" w:type="dxa"/>
            <w:vAlign w:val="bottom"/>
          </w:tcPr>
          <w:p>
            <w:pPr>
              <w:ind w:left="60"/>
              <w:spacing w:after="0"/>
              <w:rPr>
                <w:sz w:val="20"/>
                <w:szCs w:val="20"/>
                <w:color w:val="auto"/>
              </w:rPr>
            </w:pPr>
            <w:r>
              <w:rPr>
                <w:rFonts w:ascii="Arial" w:cs="Arial" w:eastAsia="Arial" w:hAnsi="Arial"/>
                <w:sz w:val="16"/>
                <w:szCs w:val="16"/>
                <w:b w:val="1"/>
                <w:bCs w:val="1"/>
                <w:color w:val="auto"/>
              </w:rPr>
              <w:t>Marcus L. Smith</w:t>
            </w:r>
          </w:p>
        </w:tc>
        <w:tc>
          <w:tcPr>
            <w:tcW w:w="3740" w:type="dxa"/>
            <w:vAlign w:val="bottom"/>
          </w:tcPr>
          <w:p>
            <w:pPr>
              <w:jc w:val="right"/>
              <w:ind w:right="162"/>
              <w:spacing w:after="0"/>
              <w:rPr>
                <w:sz w:val="20"/>
                <w:szCs w:val="20"/>
                <w:color w:val="auto"/>
              </w:rPr>
            </w:pPr>
            <w:r>
              <w:rPr>
                <w:rFonts w:ascii="Arial" w:cs="Arial" w:eastAsia="Arial" w:hAnsi="Arial"/>
                <w:sz w:val="16"/>
                <w:szCs w:val="16"/>
                <w:color w:val="auto"/>
              </w:rPr>
              <w:t>100,000</w:t>
            </w:r>
          </w:p>
        </w:tc>
        <w:tc>
          <w:tcPr>
            <w:tcW w:w="1260" w:type="dxa"/>
            <w:vAlign w:val="bottom"/>
          </w:tcPr>
          <w:p>
            <w:pPr>
              <w:jc w:val="right"/>
              <w:ind w:right="122"/>
              <w:spacing w:after="0"/>
              <w:rPr>
                <w:sz w:val="20"/>
                <w:szCs w:val="20"/>
                <w:color w:val="auto"/>
              </w:rPr>
            </w:pPr>
            <w:r>
              <w:rPr>
                <w:rFonts w:ascii="Arial" w:cs="Arial" w:eastAsia="Arial" w:hAnsi="Arial"/>
                <w:sz w:val="16"/>
                <w:szCs w:val="16"/>
                <w:color w:val="auto"/>
              </w:rPr>
              <w:t>164,676</w:t>
            </w:r>
          </w:p>
        </w:tc>
        <w:tc>
          <w:tcPr>
            <w:tcW w:w="1440" w:type="dxa"/>
            <w:vAlign w:val="bottom"/>
          </w:tcPr>
          <w:p>
            <w:pPr>
              <w:jc w:val="right"/>
              <w:ind w:right="22"/>
              <w:spacing w:after="0"/>
              <w:rPr>
                <w:sz w:val="20"/>
                <w:szCs w:val="20"/>
                <w:color w:val="auto"/>
              </w:rPr>
            </w:pPr>
            <w:r>
              <w:rPr>
                <w:rFonts w:ascii="Arial" w:cs="Arial" w:eastAsia="Arial" w:hAnsi="Arial"/>
                <w:sz w:val="16"/>
                <w:szCs w:val="16"/>
                <w:color w:val="auto"/>
              </w:rPr>
              <w:t>1,363</w:t>
            </w:r>
          </w:p>
        </w:tc>
        <w:tc>
          <w:tcPr>
            <w:tcW w:w="740" w:type="dxa"/>
            <w:vAlign w:val="bottom"/>
          </w:tcPr>
          <w:p>
            <w:pPr>
              <w:jc w:val="right"/>
              <w:spacing w:after="0"/>
              <w:rPr>
                <w:sz w:val="20"/>
                <w:szCs w:val="20"/>
                <w:color w:val="auto"/>
              </w:rPr>
            </w:pPr>
            <w:r>
              <w:rPr>
                <w:rFonts w:ascii="Arial" w:cs="Arial" w:eastAsia="Arial" w:hAnsi="Arial"/>
                <w:sz w:val="16"/>
                <w:szCs w:val="16"/>
                <w:color w:val="auto"/>
              </w:rPr>
              <w:t>266,039</w:t>
            </w:r>
          </w:p>
        </w:tc>
      </w:tr>
      <w:tr>
        <w:trPr>
          <w:trHeight w:val="291"/>
        </w:trPr>
        <w:tc>
          <w:tcPr>
            <w:tcW w:w="4060" w:type="dxa"/>
            <w:vAlign w:val="bottom"/>
            <w:shd w:val="clear" w:color="auto" w:fill="F0F1F8"/>
          </w:tcPr>
          <w:p>
            <w:pPr>
              <w:ind w:left="60"/>
              <w:spacing w:after="0" w:line="291" w:lineRule="exact"/>
              <w:rPr>
                <w:sz w:val="20"/>
                <w:szCs w:val="20"/>
                <w:color w:val="auto"/>
              </w:rPr>
            </w:pPr>
            <w:r>
              <w:rPr>
                <w:rFonts w:ascii="Arial" w:cs="Arial" w:eastAsia="Arial" w:hAnsi="Arial"/>
                <w:sz w:val="16"/>
                <w:szCs w:val="16"/>
                <w:b w:val="1"/>
                <w:bCs w:val="1"/>
                <w:color w:val="auto"/>
              </w:rPr>
              <w:t>Rajat Taneja</w:t>
            </w:r>
            <w:r>
              <w:rPr>
                <w:rFonts w:ascii="Arial" w:cs="Arial" w:eastAsia="Arial" w:hAnsi="Arial"/>
                <w:sz w:val="26"/>
                <w:szCs w:val="26"/>
                <w:b w:val="1"/>
                <w:bCs w:val="1"/>
                <w:color w:val="auto"/>
                <w:vertAlign w:val="superscript"/>
              </w:rPr>
              <w:t>(7)</w:t>
            </w:r>
          </w:p>
        </w:tc>
        <w:tc>
          <w:tcPr>
            <w:tcW w:w="3740" w:type="dxa"/>
            <w:vAlign w:val="bottom"/>
            <w:shd w:val="clear" w:color="auto" w:fill="F0F1F8"/>
          </w:tcPr>
          <w:p>
            <w:pPr>
              <w:jc w:val="right"/>
              <w:ind w:right="162"/>
              <w:spacing w:after="0"/>
              <w:rPr>
                <w:sz w:val="20"/>
                <w:szCs w:val="20"/>
                <w:color w:val="auto"/>
              </w:rPr>
            </w:pPr>
            <w:r>
              <w:rPr>
                <w:rFonts w:ascii="Arial" w:cs="Arial" w:eastAsia="Arial" w:hAnsi="Arial"/>
                <w:sz w:val="16"/>
                <w:szCs w:val="16"/>
                <w:color w:val="auto"/>
              </w:rPr>
              <w:t>82,231</w:t>
            </w:r>
          </w:p>
        </w:tc>
        <w:tc>
          <w:tcPr>
            <w:tcW w:w="1260" w:type="dxa"/>
            <w:vAlign w:val="bottom"/>
            <w:shd w:val="clear" w:color="auto" w:fill="F0F1F8"/>
          </w:tcPr>
          <w:p>
            <w:pPr>
              <w:jc w:val="right"/>
              <w:ind w:right="122"/>
              <w:spacing w:after="0"/>
              <w:rPr>
                <w:sz w:val="20"/>
                <w:szCs w:val="20"/>
                <w:color w:val="auto"/>
              </w:rPr>
            </w:pPr>
            <w:r>
              <w:rPr>
                <w:rFonts w:ascii="Arial" w:cs="Arial" w:eastAsia="Arial" w:hAnsi="Arial"/>
                <w:sz w:val="16"/>
                <w:szCs w:val="16"/>
                <w:color w:val="auto"/>
              </w:rPr>
              <w:t>150,738</w:t>
            </w:r>
          </w:p>
        </w:tc>
        <w:tc>
          <w:tcPr>
            <w:tcW w:w="1440" w:type="dxa"/>
            <w:vAlign w:val="bottom"/>
            <w:shd w:val="clear" w:color="auto" w:fill="F0F1F8"/>
          </w:tcPr>
          <w:p>
            <w:pPr>
              <w:jc w:val="right"/>
              <w:ind w:right="22"/>
              <w:spacing w:after="0"/>
              <w:rPr>
                <w:sz w:val="20"/>
                <w:szCs w:val="20"/>
                <w:color w:val="auto"/>
              </w:rPr>
            </w:pPr>
            <w:r>
              <w:rPr>
                <w:rFonts w:ascii="Arial" w:cs="Arial" w:eastAsia="Arial" w:hAnsi="Arial"/>
                <w:sz w:val="16"/>
                <w:szCs w:val="16"/>
                <w:color w:val="auto"/>
              </w:rPr>
              <w:t>1,040</w:t>
            </w:r>
          </w:p>
        </w:tc>
        <w:tc>
          <w:tcPr>
            <w:tcW w:w="740" w:type="dxa"/>
            <w:vAlign w:val="bottom"/>
            <w:shd w:val="clear" w:color="auto" w:fill="F0F1F8"/>
          </w:tcPr>
          <w:p>
            <w:pPr>
              <w:jc w:val="right"/>
              <w:spacing w:after="0"/>
              <w:rPr>
                <w:sz w:val="20"/>
                <w:szCs w:val="20"/>
                <w:color w:val="auto"/>
              </w:rPr>
            </w:pPr>
            <w:r>
              <w:rPr>
                <w:rFonts w:ascii="Arial" w:cs="Arial" w:eastAsia="Arial" w:hAnsi="Arial"/>
                <w:sz w:val="16"/>
                <w:szCs w:val="16"/>
                <w:color w:val="auto"/>
              </w:rPr>
              <w:t>234,009</w:t>
            </w:r>
          </w:p>
        </w:tc>
      </w:tr>
      <w:tr>
        <w:trPr>
          <w:trHeight w:val="234"/>
        </w:trPr>
        <w:tc>
          <w:tcPr>
            <w:tcW w:w="40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Paula Volent</w:t>
            </w:r>
          </w:p>
        </w:tc>
        <w:tc>
          <w:tcPr>
            <w:tcW w:w="37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99,583</w:t>
            </w:r>
          </w:p>
        </w:tc>
        <w:tc>
          <w:tcPr>
            <w:tcW w:w="12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164,676</w:t>
            </w:r>
          </w:p>
        </w:tc>
        <w:tc>
          <w:tcPr>
            <w:tcW w:w="14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1,363</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265,622</w:t>
            </w:r>
          </w:p>
        </w:tc>
      </w:tr>
    </w:tbl>
    <w:p>
      <w:pPr>
        <w:spacing w:after="0" w:line="85" w:lineRule="exact"/>
        <w:rPr>
          <w:sz w:val="20"/>
          <w:szCs w:val="20"/>
          <w:color w:val="auto"/>
        </w:rPr>
      </w:pPr>
    </w:p>
    <w:p>
      <w:pPr>
        <w:jc w:val="both"/>
        <w:ind w:left="300" w:right="260" w:hanging="293"/>
        <w:spacing w:after="0" w:line="197" w:lineRule="auto"/>
        <w:tabs>
          <w:tab w:leader="none" w:pos="300" w:val="left"/>
        </w:tabs>
        <w:numPr>
          <w:ilvl w:val="0"/>
          <w:numId w:val="79"/>
        </w:numPr>
        <w:rPr>
          <w:rFonts w:ascii="Arial" w:cs="Arial" w:eastAsia="Arial" w:hAnsi="Arial"/>
          <w:sz w:val="24"/>
          <w:szCs w:val="24"/>
          <w:color w:val="auto"/>
          <w:vertAlign w:val="superscript"/>
        </w:rPr>
      </w:pPr>
      <w:r>
        <w:rPr>
          <w:rFonts w:ascii="Arial" w:cs="Arial" w:eastAsia="Arial" w:hAnsi="Arial"/>
          <w:sz w:val="14"/>
          <w:szCs w:val="14"/>
          <w:color w:val="auto"/>
        </w:rPr>
        <w:t>Pursuant to MSCI’s Third Amended and Restated Articles of Incorporation, directors hold office for a term expiring at the next annual meeting of shareholders. The Board term beginning on April 27, 2021 and ending on April 26, 2022 (the “2021 Board Term”) and the Board term beginning on April 28, 2020 and ending on April 27, 2021 (the “2020 Board Term”) do not coincide with MSCI’s January through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57150</wp:posOffset>
            </wp:positionV>
            <wp:extent cx="7154545" cy="209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00" w:type="dxa"/>
            <w:vAlign w:val="bottom"/>
            <w:tcBorders>
              <w:right w:val="single" w:sz="8" w:color="16479F"/>
            </w:tcBorders>
          </w:tcPr>
          <w:p>
            <w:pPr>
              <w:ind w:left="8740"/>
              <w:spacing w:after="0"/>
              <w:rPr>
                <w:sz w:val="20"/>
                <w:szCs w:val="20"/>
                <w:color w:val="auto"/>
              </w:rPr>
            </w:pPr>
            <w:r>
              <w:rPr>
                <w:rFonts w:ascii="Arial" w:cs="Arial" w:eastAsia="Arial" w:hAnsi="Arial"/>
                <w:sz w:val="14"/>
                <w:szCs w:val="14"/>
                <w:b w:val="1"/>
                <w:bCs w:val="1"/>
                <w:color w:val="16479F"/>
              </w:rPr>
              <w:t>2022 PROXY STATEMENT</w:t>
            </w:r>
          </w:p>
        </w:tc>
        <w:tc>
          <w:tcPr>
            <w:tcW w:w="640" w:type="dxa"/>
            <w:vAlign w:val="bottom"/>
          </w:tcPr>
          <w:p>
            <w:pPr>
              <w:jc w:val="right"/>
              <w:ind w:right="9"/>
              <w:spacing w:after="0"/>
              <w:rPr>
                <w:sz w:val="20"/>
                <w:szCs w:val="20"/>
                <w:color w:val="auto"/>
              </w:rPr>
            </w:pPr>
            <w:r>
              <w:rPr>
                <w:rFonts w:ascii="Arial" w:cs="Arial" w:eastAsia="Arial" w:hAnsi="Arial"/>
                <w:sz w:val="14"/>
                <w:szCs w:val="14"/>
                <w:b w:val="1"/>
                <w:bCs w:val="1"/>
                <w:color w:val="16479F"/>
              </w:rPr>
              <w:t>53</w:t>
            </w:r>
          </w:p>
        </w:tc>
      </w:tr>
      <w:tr>
        <w:trPr>
          <w:trHeight w:val="65"/>
        </w:trPr>
        <w:tc>
          <w:tcPr>
            <w:tcW w:w="10600" w:type="dxa"/>
            <w:vAlign w:val="bottom"/>
            <w:tcBorders>
              <w:bottom w:val="single" w:sz="8" w:color="16479F"/>
              <w:right w:val="single" w:sz="8" w:color="16479F"/>
            </w:tcBorders>
          </w:tcPr>
          <w:p>
            <w:pPr>
              <w:spacing w:after="0"/>
              <w:rPr>
                <w:sz w:val="5"/>
                <w:szCs w:val="5"/>
                <w:color w:val="auto"/>
              </w:rPr>
            </w:pPr>
          </w:p>
        </w:tc>
        <w:tc>
          <w:tcPr>
            <w:tcW w:w="640" w:type="dxa"/>
            <w:vAlign w:val="bottom"/>
            <w:tcBorders>
              <w:bottom w:val="single" w:sz="8" w:color="16479F"/>
            </w:tcBorders>
          </w:tcPr>
          <w:p>
            <w:pPr>
              <w:spacing w:after="0"/>
              <w:rPr>
                <w:sz w:val="5"/>
                <w:szCs w:val="5"/>
                <w:color w:val="auto"/>
              </w:rPr>
            </w:pPr>
          </w:p>
        </w:tc>
      </w:tr>
    </w:tbl>
    <w:p>
      <w:pPr>
        <w:spacing w:after="0" w:line="85" w:lineRule="exact"/>
        <w:rPr>
          <w:sz w:val="20"/>
          <w:szCs w:val="20"/>
          <w:color w:val="auto"/>
        </w:rPr>
      </w:pPr>
    </w:p>
    <w:p>
      <w:pPr>
        <w:ind w:left="300" w:right="360"/>
        <w:spacing w:after="0" w:line="254" w:lineRule="auto"/>
        <w:rPr>
          <w:sz w:val="20"/>
          <w:szCs w:val="20"/>
          <w:color w:val="auto"/>
        </w:rPr>
      </w:pPr>
      <w:r>
        <w:rPr>
          <w:rFonts w:ascii="Arial" w:cs="Arial" w:eastAsia="Arial" w:hAnsi="Arial"/>
          <w:sz w:val="14"/>
          <w:szCs w:val="14"/>
          <w:color w:val="auto"/>
        </w:rPr>
        <w:t>December fiscal year. Amounts included in the table above represent cash earned or paid, or stock awards granted, as applicable, during the year ended December 31, 2021. Because directors are paid for service from May 1 to April 30, prorated amounts are calculated from the applicable date to May 1st of the relevant Board term.</w:t>
      </w:r>
    </w:p>
    <w:p>
      <w:pPr>
        <w:spacing w:after="0" w:line="61" w:lineRule="exact"/>
        <w:rPr>
          <w:sz w:val="20"/>
          <w:szCs w:val="20"/>
          <w:color w:val="auto"/>
        </w:rPr>
      </w:pPr>
    </w:p>
    <w:p>
      <w:pPr>
        <w:ind w:left="300" w:hanging="293"/>
        <w:spacing w:after="0" w:line="212" w:lineRule="auto"/>
        <w:tabs>
          <w:tab w:leader="none" w:pos="300" w:val="left"/>
        </w:tabs>
        <w:numPr>
          <w:ilvl w:val="0"/>
          <w:numId w:val="80"/>
        </w:numPr>
        <w:rPr>
          <w:rFonts w:ascii="Arial" w:cs="Arial" w:eastAsia="Arial" w:hAnsi="Arial"/>
          <w:sz w:val="24"/>
          <w:szCs w:val="24"/>
          <w:color w:val="auto"/>
          <w:vertAlign w:val="superscript"/>
        </w:rPr>
      </w:pPr>
      <w:r>
        <w:rPr>
          <w:rFonts w:ascii="Arial" w:cs="Arial" w:eastAsia="Arial" w:hAnsi="Arial"/>
          <w:sz w:val="14"/>
          <w:szCs w:val="14"/>
          <w:color w:val="auto"/>
        </w:rPr>
        <w:t>Cash amounts in this column include the annual retainers and committee fees paid during the year ended December 31, 2021. Four of our directors elected to receive all or a portion of their annual cash retainers in stock as set forth below. The number of shares issued was determined by dividing the aggregate value of the elected portion of the cash retainer by the closing price of the Company’s common stock on the trading day prior to the grant date ($485.77 for Mr. Ashe and Mmes. Kinney and Volent and $461.97 for Mr. Taneja) and rounding down to the next whole share. Mr. Taneja elected to defer receipt of such shares until the earlier of June 1, 2025 and the 60th day after his “separation from service” as a director under the Deferral Plan.</w:t>
      </w:r>
    </w:p>
    <w:p>
      <w:pPr>
        <w:spacing w:after="0" w:line="46" w:lineRule="exact"/>
        <w:rPr>
          <w:sz w:val="20"/>
          <w:szCs w:val="20"/>
          <w:color w:val="auto"/>
        </w:rPr>
      </w:pPr>
    </w:p>
    <w:tbl>
      <w:tblPr>
        <w:tblLayout w:type="fixed"/>
        <w:tblInd w:w="280" w:type="dxa"/>
        <w:tblCellMar>
          <w:top w:w="0" w:type="dxa"/>
          <w:left w:w="0" w:type="dxa"/>
          <w:bottom w:w="0" w:type="dxa"/>
          <w:right w:w="0" w:type="dxa"/>
        </w:tblCellMar>
      </w:tblPr>
      <w:tr>
        <w:trPr>
          <w:trHeight w:val="154"/>
        </w:trPr>
        <w:tc>
          <w:tcPr>
            <w:tcW w:w="4320" w:type="dxa"/>
            <w:vAlign w:val="bottom"/>
            <w:tcBorders>
              <w:bottom w:val="single" w:sz="8" w:color="16479F"/>
            </w:tcBorders>
          </w:tcPr>
          <w:p>
            <w:pPr>
              <w:ind w:left="60"/>
              <w:spacing w:after="0"/>
              <w:rPr>
                <w:sz w:val="20"/>
                <w:szCs w:val="20"/>
                <w:color w:val="auto"/>
              </w:rPr>
            </w:pPr>
            <w:r>
              <w:rPr>
                <w:rFonts w:ascii="Arial" w:cs="Arial" w:eastAsia="Arial" w:hAnsi="Arial"/>
                <w:sz w:val="12"/>
                <w:szCs w:val="12"/>
                <w:b w:val="1"/>
                <w:bCs w:val="1"/>
                <w:color w:val="auto"/>
              </w:rPr>
              <w:t>Name</w:t>
            </w:r>
          </w:p>
        </w:tc>
        <w:tc>
          <w:tcPr>
            <w:tcW w:w="4340" w:type="dxa"/>
            <w:vAlign w:val="bottom"/>
            <w:tcBorders>
              <w:bottom w:val="single" w:sz="8" w:color="16479F"/>
            </w:tcBorders>
          </w:tcPr>
          <w:p>
            <w:pPr>
              <w:jc w:val="right"/>
              <w:ind w:right="470"/>
              <w:spacing w:after="0"/>
              <w:rPr>
                <w:sz w:val="20"/>
                <w:szCs w:val="20"/>
                <w:color w:val="auto"/>
              </w:rPr>
            </w:pPr>
            <w:r>
              <w:rPr>
                <w:rFonts w:ascii="Arial" w:cs="Arial" w:eastAsia="Arial" w:hAnsi="Arial"/>
                <w:sz w:val="12"/>
                <w:szCs w:val="12"/>
                <w:b w:val="1"/>
                <w:bCs w:val="1"/>
                <w:color w:val="auto"/>
              </w:rPr>
              <w:t>Cash</w:t>
            </w:r>
          </w:p>
        </w:tc>
        <w:tc>
          <w:tcPr>
            <w:tcW w:w="620" w:type="dxa"/>
            <w:vAlign w:val="bottom"/>
            <w:tcBorders>
              <w:bottom w:val="single" w:sz="8" w:color="16479F"/>
            </w:tcBorders>
          </w:tcPr>
          <w:p>
            <w:pPr>
              <w:spacing w:after="0"/>
              <w:rPr>
                <w:sz w:val="13"/>
                <w:szCs w:val="13"/>
                <w:color w:val="auto"/>
              </w:rPr>
            </w:pPr>
          </w:p>
        </w:tc>
        <w:tc>
          <w:tcPr>
            <w:tcW w:w="740" w:type="dxa"/>
            <w:vAlign w:val="bottom"/>
            <w:tcBorders>
              <w:bottom w:val="single" w:sz="8" w:color="16479F"/>
            </w:tcBorders>
          </w:tcPr>
          <w:p>
            <w:pPr>
              <w:spacing w:after="0"/>
              <w:rPr>
                <w:sz w:val="13"/>
                <w:szCs w:val="13"/>
                <w:color w:val="auto"/>
              </w:rPr>
            </w:pPr>
          </w:p>
        </w:tc>
        <w:tc>
          <w:tcPr>
            <w:tcW w:w="880" w:type="dxa"/>
            <w:vAlign w:val="bottom"/>
            <w:tcBorders>
              <w:bottom w:val="single" w:sz="8" w:color="16479F"/>
            </w:tcBorders>
          </w:tcPr>
          <w:p>
            <w:pPr>
              <w:jc w:val="right"/>
              <w:spacing w:after="0"/>
              <w:rPr>
                <w:sz w:val="20"/>
                <w:szCs w:val="20"/>
                <w:color w:val="auto"/>
              </w:rPr>
            </w:pPr>
            <w:r>
              <w:rPr>
                <w:rFonts w:ascii="Arial" w:cs="Arial" w:eastAsia="Arial" w:hAnsi="Arial"/>
                <w:sz w:val="12"/>
                <w:szCs w:val="12"/>
                <w:b w:val="1"/>
                <w:bCs w:val="1"/>
                <w:color w:val="auto"/>
              </w:rPr>
              <w:t>Stock</w:t>
            </w:r>
          </w:p>
        </w:tc>
      </w:tr>
      <w:tr>
        <w:trPr>
          <w:trHeight w:val="208"/>
        </w:trPr>
        <w:tc>
          <w:tcPr>
            <w:tcW w:w="4320" w:type="dxa"/>
            <w:vAlign w:val="bottom"/>
            <w:shd w:val="clear" w:color="auto" w:fill="F0F1F8"/>
          </w:tcPr>
          <w:p>
            <w:pPr>
              <w:ind w:left="60"/>
              <w:spacing w:after="0"/>
              <w:rPr>
                <w:sz w:val="20"/>
                <w:szCs w:val="20"/>
                <w:color w:val="auto"/>
              </w:rPr>
            </w:pPr>
            <w:r>
              <w:rPr>
                <w:rFonts w:ascii="Arial" w:cs="Arial" w:eastAsia="Arial" w:hAnsi="Arial"/>
                <w:sz w:val="14"/>
                <w:szCs w:val="14"/>
                <w:b w:val="1"/>
                <w:bCs w:val="1"/>
                <w:color w:val="auto"/>
              </w:rPr>
              <w:t>Mr. Ashe</w:t>
            </w:r>
          </w:p>
        </w:tc>
        <w:tc>
          <w:tcPr>
            <w:tcW w:w="4340" w:type="dxa"/>
            <w:vAlign w:val="bottom"/>
            <w:shd w:val="clear" w:color="auto" w:fill="F0F1F8"/>
          </w:tcPr>
          <w:p>
            <w:pPr>
              <w:jc w:val="right"/>
              <w:ind w:right="470"/>
              <w:spacing w:after="0"/>
              <w:rPr>
                <w:sz w:val="20"/>
                <w:szCs w:val="20"/>
                <w:color w:val="auto"/>
              </w:rPr>
            </w:pPr>
            <w:r>
              <w:rPr>
                <w:rFonts w:ascii="Arial" w:cs="Arial" w:eastAsia="Arial" w:hAnsi="Arial"/>
                <w:sz w:val="14"/>
                <w:szCs w:val="14"/>
                <w:color w:val="auto"/>
              </w:rPr>
              <w:t>—</w:t>
            </w:r>
          </w:p>
        </w:tc>
        <w:tc>
          <w:tcPr>
            <w:tcW w:w="620" w:type="dxa"/>
            <w:vAlign w:val="bottom"/>
            <w:shd w:val="clear" w:color="auto" w:fill="F0F1F8"/>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F0F1F8"/>
          </w:tcPr>
          <w:p>
            <w:pPr>
              <w:jc w:val="right"/>
              <w:spacing w:after="0"/>
              <w:rPr>
                <w:sz w:val="20"/>
                <w:szCs w:val="20"/>
                <w:color w:val="auto"/>
              </w:rPr>
            </w:pPr>
            <w:r>
              <w:rPr>
                <w:rFonts w:ascii="Arial" w:cs="Arial" w:eastAsia="Arial" w:hAnsi="Arial"/>
                <w:sz w:val="14"/>
                <w:szCs w:val="14"/>
                <w:color w:val="auto"/>
                <w:w w:val="99"/>
              </w:rPr>
              <w:t>114,641.72</w:t>
            </w:r>
          </w:p>
        </w:tc>
        <w:tc>
          <w:tcPr>
            <w:tcW w:w="880" w:type="dxa"/>
            <w:vAlign w:val="bottom"/>
            <w:shd w:val="clear" w:color="auto" w:fill="F0F1F8"/>
          </w:tcPr>
          <w:p>
            <w:pPr>
              <w:jc w:val="right"/>
              <w:spacing w:after="0"/>
              <w:rPr>
                <w:sz w:val="20"/>
                <w:szCs w:val="20"/>
                <w:color w:val="auto"/>
              </w:rPr>
            </w:pPr>
            <w:r>
              <w:rPr>
                <w:rFonts w:ascii="Arial" w:cs="Arial" w:eastAsia="Arial" w:hAnsi="Arial"/>
                <w:sz w:val="14"/>
                <w:szCs w:val="14"/>
                <w:color w:val="auto"/>
              </w:rPr>
              <w:t>(236 shares)</w:t>
            </w:r>
          </w:p>
        </w:tc>
      </w:tr>
      <w:tr>
        <w:trPr>
          <w:trHeight w:val="208"/>
        </w:trPr>
        <w:tc>
          <w:tcPr>
            <w:tcW w:w="4320" w:type="dxa"/>
            <w:vAlign w:val="bottom"/>
          </w:tcPr>
          <w:p>
            <w:pPr>
              <w:ind w:left="60"/>
              <w:spacing w:after="0"/>
              <w:rPr>
                <w:sz w:val="20"/>
                <w:szCs w:val="20"/>
                <w:color w:val="auto"/>
              </w:rPr>
            </w:pPr>
            <w:r>
              <w:rPr>
                <w:rFonts w:ascii="Arial" w:cs="Arial" w:eastAsia="Arial" w:hAnsi="Arial"/>
                <w:sz w:val="14"/>
                <w:szCs w:val="14"/>
                <w:b w:val="1"/>
                <w:bCs w:val="1"/>
                <w:color w:val="auto"/>
              </w:rPr>
              <w:t>Ms. Kinney</w:t>
            </w:r>
          </w:p>
        </w:tc>
        <w:tc>
          <w:tcPr>
            <w:tcW w:w="4340" w:type="dxa"/>
            <w:vAlign w:val="bottom"/>
          </w:tcPr>
          <w:p>
            <w:pPr>
              <w:jc w:val="right"/>
              <w:ind w:right="47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89,867.45</w:t>
            </w:r>
          </w:p>
        </w:tc>
        <w:tc>
          <w:tcPr>
            <w:tcW w:w="880" w:type="dxa"/>
            <w:vAlign w:val="bottom"/>
          </w:tcPr>
          <w:p>
            <w:pPr>
              <w:jc w:val="right"/>
              <w:spacing w:after="0"/>
              <w:rPr>
                <w:sz w:val="20"/>
                <w:szCs w:val="20"/>
                <w:color w:val="auto"/>
              </w:rPr>
            </w:pPr>
            <w:r>
              <w:rPr>
                <w:rFonts w:ascii="Arial" w:cs="Arial" w:eastAsia="Arial" w:hAnsi="Arial"/>
                <w:sz w:val="14"/>
                <w:szCs w:val="14"/>
                <w:color w:val="auto"/>
              </w:rPr>
              <w:t>(185 shares)</w:t>
            </w:r>
          </w:p>
        </w:tc>
      </w:tr>
      <w:tr>
        <w:trPr>
          <w:trHeight w:val="220"/>
        </w:trPr>
        <w:tc>
          <w:tcPr>
            <w:tcW w:w="4320" w:type="dxa"/>
            <w:vAlign w:val="bottom"/>
            <w:shd w:val="clear" w:color="auto" w:fill="F0F1F8"/>
          </w:tcPr>
          <w:p>
            <w:pPr>
              <w:ind w:left="60"/>
              <w:spacing w:after="0"/>
              <w:rPr>
                <w:sz w:val="20"/>
                <w:szCs w:val="20"/>
                <w:color w:val="auto"/>
              </w:rPr>
            </w:pPr>
            <w:r>
              <w:rPr>
                <w:rFonts w:ascii="Arial" w:cs="Arial" w:eastAsia="Arial" w:hAnsi="Arial"/>
                <w:sz w:val="14"/>
                <w:szCs w:val="14"/>
                <w:b w:val="1"/>
                <w:bCs w:val="1"/>
                <w:color w:val="auto"/>
              </w:rPr>
              <w:t>Mr. Taneja</w:t>
            </w:r>
          </w:p>
        </w:tc>
        <w:tc>
          <w:tcPr>
            <w:tcW w:w="4340" w:type="dxa"/>
            <w:vAlign w:val="bottom"/>
            <w:shd w:val="clear" w:color="auto" w:fill="F0F1F8"/>
          </w:tcPr>
          <w:p>
            <w:pPr>
              <w:jc w:val="right"/>
              <w:ind w:right="470"/>
              <w:spacing w:after="0"/>
              <w:rPr>
                <w:sz w:val="20"/>
                <w:szCs w:val="20"/>
                <w:color w:val="auto"/>
              </w:rPr>
            </w:pPr>
            <w:r>
              <w:rPr>
                <w:rFonts w:ascii="Arial" w:cs="Arial" w:eastAsia="Arial" w:hAnsi="Arial"/>
                <w:sz w:val="14"/>
                <w:szCs w:val="14"/>
                <w:color w:val="auto"/>
              </w:rPr>
              <w:t>—</w:t>
            </w:r>
          </w:p>
        </w:tc>
        <w:tc>
          <w:tcPr>
            <w:tcW w:w="620" w:type="dxa"/>
            <w:vAlign w:val="bottom"/>
            <w:shd w:val="clear" w:color="auto" w:fill="F0F1F8"/>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F0F1F8"/>
          </w:tcPr>
          <w:p>
            <w:pPr>
              <w:jc w:val="right"/>
              <w:spacing w:after="0"/>
              <w:rPr>
                <w:sz w:val="20"/>
                <w:szCs w:val="20"/>
                <w:color w:val="auto"/>
              </w:rPr>
            </w:pPr>
            <w:r>
              <w:rPr>
                <w:rFonts w:ascii="Arial" w:cs="Arial" w:eastAsia="Arial" w:hAnsi="Arial"/>
                <w:sz w:val="14"/>
                <w:szCs w:val="14"/>
                <w:color w:val="auto"/>
              </w:rPr>
              <w:t>82,230.66</w:t>
            </w:r>
          </w:p>
        </w:tc>
        <w:tc>
          <w:tcPr>
            <w:tcW w:w="880" w:type="dxa"/>
            <w:vAlign w:val="bottom"/>
            <w:shd w:val="clear" w:color="auto" w:fill="F0F1F8"/>
          </w:tcPr>
          <w:p>
            <w:pPr>
              <w:jc w:val="right"/>
              <w:spacing w:after="0"/>
              <w:rPr>
                <w:sz w:val="20"/>
                <w:szCs w:val="20"/>
                <w:color w:val="auto"/>
              </w:rPr>
            </w:pPr>
            <w:r>
              <w:rPr>
                <w:rFonts w:ascii="Arial" w:cs="Arial" w:eastAsia="Arial" w:hAnsi="Arial"/>
                <w:sz w:val="14"/>
                <w:szCs w:val="14"/>
                <w:color w:val="auto"/>
              </w:rPr>
              <w:t>(178 shares)</w:t>
            </w:r>
          </w:p>
        </w:tc>
      </w:tr>
      <w:tr>
        <w:trPr>
          <w:trHeight w:val="208"/>
        </w:trPr>
        <w:tc>
          <w:tcPr>
            <w:tcW w:w="43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Ms. Volent</w:t>
            </w:r>
          </w:p>
        </w:tc>
        <w:tc>
          <w:tcPr>
            <w:tcW w:w="4340" w:type="dxa"/>
            <w:vAlign w:val="bottom"/>
            <w:tcBorders>
              <w:bottom w:val="single" w:sz="8" w:color="auto"/>
            </w:tcBorders>
          </w:tcPr>
          <w:p>
            <w:pPr>
              <w:jc w:val="right"/>
              <w:ind w:right="47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99,582.85</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 shares)</w:t>
            </w:r>
          </w:p>
        </w:tc>
      </w:tr>
    </w:tbl>
    <w:p>
      <w:pPr>
        <w:spacing w:after="0" w:line="85" w:lineRule="exact"/>
        <w:rPr>
          <w:sz w:val="20"/>
          <w:szCs w:val="20"/>
          <w:color w:val="auto"/>
        </w:rPr>
      </w:pPr>
    </w:p>
    <w:p>
      <w:pPr>
        <w:ind w:left="300" w:right="40" w:hanging="293"/>
        <w:spacing w:after="0" w:line="225" w:lineRule="auto"/>
        <w:tabs>
          <w:tab w:leader="none" w:pos="300" w:val="left"/>
        </w:tabs>
        <w:numPr>
          <w:ilvl w:val="0"/>
          <w:numId w:val="81"/>
        </w:numPr>
        <w:rPr>
          <w:rFonts w:ascii="Arial" w:cs="Arial" w:eastAsia="Arial" w:hAnsi="Arial"/>
          <w:sz w:val="24"/>
          <w:szCs w:val="24"/>
          <w:color w:val="auto"/>
          <w:vertAlign w:val="superscript"/>
        </w:rPr>
      </w:pPr>
      <w:r>
        <w:rPr>
          <w:rFonts w:ascii="Arial" w:cs="Arial" w:eastAsia="Arial" w:hAnsi="Arial"/>
          <w:sz w:val="14"/>
          <w:szCs w:val="14"/>
          <w:color w:val="auto"/>
        </w:rPr>
        <w:t>Represents the aggregate grant date fair value of RSUs granted in 2021 in accordance with FASB ASC Subtopic 718-10. The fair value is calculated by multiplying the closing price of our common stock on the date prior to the grant date by the number of units awarded. For assumptions regarding these calculations, please see notes 1 and 11 to the consolidated financial statements included in our 2021 Annual Report on Form 10-K filed with the SEC on February 11, 2022. However, the values in this column may not correspond to the actual value that will be realized by the non-employee directors at the time the RSUs vest. The number of RSUs awarded is determined by dividing the aggregate value of the RSU award by the closing price of the Company’s common stock on the trading day prior to the grant date ($485.77 for Messrs. Ashe, Edmunds, Perold, Rattray and Smith and Mmes. Kinney, Riefler and Volent and $468.13 for Mr. Taneja) and rounding down to the next whole RSU. For the 2021 Board term, each of Messrs. Edmunds, Perold, Rattray and Smith and Mmes. Kinney, Riefler and Volent received 339 RSUs, Mr. Taneja received 322 RSUs, and Mr. Ashe received 442 RSUs. These RSUs will vest on May 1, 2022. Ms. Riefler elected to defer receipt of such shares issuable upon vesting until the 60th day after her “separation from service” as a director under the Deferral Plan. Mr. Taneja elected to defer receipt of such shares until the earlier of June 1, 2025 and the 60th day after his “separation from service” as a director under the Deferral Plan.</w:t>
      </w:r>
    </w:p>
    <w:p>
      <w:pPr>
        <w:spacing w:after="0" w:line="69" w:lineRule="exact"/>
        <w:rPr>
          <w:rFonts w:ascii="Arial" w:cs="Arial" w:eastAsia="Arial" w:hAnsi="Arial"/>
          <w:sz w:val="24"/>
          <w:szCs w:val="24"/>
          <w:color w:val="auto"/>
          <w:vertAlign w:val="superscript"/>
        </w:rPr>
      </w:pPr>
    </w:p>
    <w:p>
      <w:pPr>
        <w:ind w:left="300" w:right="20" w:hanging="293"/>
        <w:spacing w:after="0" w:line="182" w:lineRule="auto"/>
        <w:tabs>
          <w:tab w:leader="none" w:pos="300" w:val="left"/>
        </w:tabs>
        <w:numPr>
          <w:ilvl w:val="0"/>
          <w:numId w:val="81"/>
        </w:numPr>
        <w:rPr>
          <w:rFonts w:ascii="Arial" w:cs="Arial" w:eastAsia="Arial" w:hAnsi="Arial"/>
          <w:sz w:val="24"/>
          <w:szCs w:val="24"/>
          <w:color w:val="auto"/>
          <w:vertAlign w:val="superscript"/>
        </w:rPr>
      </w:pPr>
      <w:r>
        <w:rPr>
          <w:rFonts w:ascii="Arial" w:cs="Arial" w:eastAsia="Arial" w:hAnsi="Arial"/>
          <w:sz w:val="14"/>
          <w:szCs w:val="14"/>
          <w:color w:val="auto"/>
        </w:rPr>
        <w:t>As of December 31, 2021, each of our non-employee directors had the following outstanding stock awards in the form of RSUs: Messrs. Edmunds, Perold, Rattray and Smith and Mmes. Kinney, Riefler and Volent each had 339 RSUs outstanding, Mr. Taneja had 322 RSUs outstanding and Mr. Ashe had 442 RSUs outstanding.</w:t>
      </w:r>
    </w:p>
    <w:p>
      <w:pPr>
        <w:spacing w:after="0" w:line="70" w:lineRule="exact"/>
        <w:rPr>
          <w:rFonts w:ascii="Arial" w:cs="Arial" w:eastAsia="Arial" w:hAnsi="Arial"/>
          <w:sz w:val="24"/>
          <w:szCs w:val="24"/>
          <w:color w:val="auto"/>
          <w:vertAlign w:val="superscript"/>
        </w:rPr>
      </w:pPr>
    </w:p>
    <w:p>
      <w:pPr>
        <w:ind w:left="300" w:right="80" w:hanging="293"/>
        <w:spacing w:after="0" w:line="206" w:lineRule="auto"/>
        <w:tabs>
          <w:tab w:leader="none" w:pos="300" w:val="left"/>
        </w:tabs>
        <w:numPr>
          <w:ilvl w:val="0"/>
          <w:numId w:val="81"/>
        </w:numPr>
        <w:rPr>
          <w:rFonts w:ascii="Arial" w:cs="Arial" w:eastAsia="Arial" w:hAnsi="Arial"/>
          <w:sz w:val="24"/>
          <w:szCs w:val="24"/>
          <w:color w:val="auto"/>
          <w:vertAlign w:val="superscript"/>
        </w:rPr>
      </w:pPr>
      <w:r>
        <w:rPr>
          <w:rFonts w:ascii="Arial" w:cs="Arial" w:eastAsia="Arial" w:hAnsi="Arial"/>
          <w:sz w:val="14"/>
          <w:szCs w:val="14"/>
          <w:color w:val="auto"/>
        </w:rPr>
        <w:t>Cash amounts in this column include dividend equivalents paid during the year ended December 31, 2021 in connection with the Company’s payment of its quarterly cash dividend. Each of Messrs. duPont and Taneja and Mmes. Kinney and Riefler received shares of our common stock and a cash payment for fractional shares received as a dividend equivalent payment for outstanding RSUs and in lieu of receiving a cash dividend payment for shares, in each case subject to his or her deferral election. The table below sets forth the amounts received by each.</w:t>
      </w:r>
    </w:p>
    <w:p>
      <w:pPr>
        <w:spacing w:after="0" w:line="43" w:lineRule="exact"/>
        <w:rPr>
          <w:sz w:val="20"/>
          <w:szCs w:val="20"/>
          <w:color w:val="auto"/>
        </w:rPr>
      </w:pPr>
    </w:p>
    <w:tbl>
      <w:tblPr>
        <w:tblLayout w:type="fixed"/>
        <w:tblInd w:w="280" w:type="dxa"/>
        <w:tblCellMar>
          <w:top w:w="0" w:type="dxa"/>
          <w:left w:w="0" w:type="dxa"/>
          <w:bottom w:w="0" w:type="dxa"/>
          <w:right w:w="0" w:type="dxa"/>
        </w:tblCellMar>
      </w:tblPr>
      <w:tr>
        <w:trPr>
          <w:trHeight w:val="138"/>
        </w:trPr>
        <w:tc>
          <w:tcPr>
            <w:tcW w:w="41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360" w:type="dxa"/>
            <w:vAlign w:val="bottom"/>
            <w:gridSpan w:val="2"/>
          </w:tcPr>
          <w:p>
            <w:pPr>
              <w:jc w:val="right"/>
              <w:spacing w:after="0"/>
              <w:rPr>
                <w:sz w:val="20"/>
                <w:szCs w:val="20"/>
                <w:color w:val="auto"/>
              </w:rPr>
            </w:pPr>
            <w:r>
              <w:rPr>
                <w:rFonts w:ascii="Arial" w:cs="Arial" w:eastAsia="Arial" w:hAnsi="Arial"/>
                <w:sz w:val="12"/>
                <w:szCs w:val="12"/>
                <w:b w:val="1"/>
                <w:bCs w:val="1"/>
                <w:color w:val="auto"/>
              </w:rPr>
              <w:t>Cash Received for</w:t>
            </w:r>
          </w:p>
        </w:tc>
      </w:tr>
      <w:tr>
        <w:trPr>
          <w:trHeight w:val="167"/>
        </w:trPr>
        <w:tc>
          <w:tcPr>
            <w:tcW w:w="4160" w:type="dxa"/>
            <w:vAlign w:val="bottom"/>
            <w:tcBorders>
              <w:bottom w:val="single" w:sz="8" w:color="16479F"/>
            </w:tcBorders>
          </w:tcPr>
          <w:p>
            <w:pPr>
              <w:ind w:left="60"/>
              <w:spacing w:after="0"/>
              <w:rPr>
                <w:sz w:val="20"/>
                <w:szCs w:val="20"/>
                <w:color w:val="auto"/>
              </w:rPr>
            </w:pPr>
            <w:r>
              <w:rPr>
                <w:rFonts w:ascii="Arial" w:cs="Arial" w:eastAsia="Arial" w:hAnsi="Arial"/>
                <w:sz w:val="12"/>
                <w:szCs w:val="12"/>
                <w:b w:val="1"/>
                <w:bCs w:val="1"/>
                <w:color w:val="auto"/>
              </w:rPr>
              <w:t>Name</w:t>
            </w:r>
          </w:p>
        </w:tc>
        <w:tc>
          <w:tcPr>
            <w:tcW w:w="3520" w:type="dxa"/>
            <w:vAlign w:val="bottom"/>
            <w:tcBorders>
              <w:bottom w:val="single" w:sz="8" w:color="16479F"/>
            </w:tcBorders>
          </w:tcPr>
          <w:p>
            <w:pPr>
              <w:spacing w:after="0"/>
              <w:rPr>
                <w:sz w:val="14"/>
                <w:szCs w:val="14"/>
                <w:color w:val="auto"/>
              </w:rPr>
            </w:pPr>
          </w:p>
        </w:tc>
        <w:tc>
          <w:tcPr>
            <w:tcW w:w="1860" w:type="dxa"/>
            <w:vAlign w:val="bottom"/>
            <w:tcBorders>
              <w:bottom w:val="single" w:sz="8" w:color="16479F"/>
            </w:tcBorders>
          </w:tcPr>
          <w:p>
            <w:pPr>
              <w:jc w:val="right"/>
              <w:ind w:right="190"/>
              <w:spacing w:after="0"/>
              <w:rPr>
                <w:sz w:val="20"/>
                <w:szCs w:val="20"/>
                <w:color w:val="auto"/>
              </w:rPr>
            </w:pPr>
            <w:r>
              <w:rPr>
                <w:rFonts w:ascii="Arial" w:cs="Arial" w:eastAsia="Arial" w:hAnsi="Arial"/>
                <w:sz w:val="12"/>
                <w:szCs w:val="12"/>
                <w:b w:val="1"/>
                <w:bCs w:val="1"/>
                <w:color w:val="auto"/>
              </w:rPr>
              <w:t>Shares</w:t>
            </w:r>
          </w:p>
        </w:tc>
        <w:tc>
          <w:tcPr>
            <w:tcW w:w="1360" w:type="dxa"/>
            <w:vAlign w:val="bottom"/>
            <w:tcBorders>
              <w:bottom w:val="single" w:sz="8" w:color="16479F"/>
            </w:tcBorders>
            <w:gridSpan w:val="2"/>
          </w:tcPr>
          <w:p>
            <w:pPr>
              <w:jc w:val="right"/>
              <w:spacing w:after="0"/>
              <w:rPr>
                <w:sz w:val="20"/>
                <w:szCs w:val="20"/>
                <w:color w:val="auto"/>
              </w:rPr>
            </w:pPr>
            <w:r>
              <w:rPr>
                <w:rFonts w:ascii="Arial" w:cs="Arial" w:eastAsia="Arial" w:hAnsi="Arial"/>
                <w:sz w:val="12"/>
                <w:szCs w:val="12"/>
                <w:b w:val="1"/>
                <w:bCs w:val="1"/>
                <w:color w:val="auto"/>
              </w:rPr>
              <w:t>Fractional Shares</w:t>
            </w:r>
          </w:p>
        </w:tc>
      </w:tr>
      <w:tr>
        <w:trPr>
          <w:trHeight w:val="208"/>
        </w:trPr>
        <w:tc>
          <w:tcPr>
            <w:tcW w:w="4160" w:type="dxa"/>
            <w:vAlign w:val="bottom"/>
            <w:shd w:val="clear" w:color="auto" w:fill="F0F1F8"/>
          </w:tcPr>
          <w:p>
            <w:pPr>
              <w:ind w:left="60"/>
              <w:spacing w:after="0"/>
              <w:rPr>
                <w:sz w:val="20"/>
                <w:szCs w:val="20"/>
                <w:color w:val="auto"/>
              </w:rPr>
            </w:pPr>
            <w:r>
              <w:rPr>
                <w:rFonts w:ascii="Arial" w:cs="Arial" w:eastAsia="Arial" w:hAnsi="Arial"/>
                <w:sz w:val="14"/>
                <w:szCs w:val="14"/>
                <w:b w:val="1"/>
                <w:bCs w:val="1"/>
                <w:color w:val="auto"/>
              </w:rPr>
              <w:t>Mr. duPont</w:t>
            </w:r>
          </w:p>
        </w:tc>
        <w:tc>
          <w:tcPr>
            <w:tcW w:w="3520" w:type="dxa"/>
            <w:vAlign w:val="bottom"/>
            <w:shd w:val="clear" w:color="auto" w:fill="F0F1F8"/>
          </w:tcPr>
          <w:p>
            <w:pPr>
              <w:jc w:val="right"/>
              <w:ind w:right="49"/>
              <w:spacing w:after="0"/>
              <w:rPr>
                <w:sz w:val="20"/>
                <w:szCs w:val="20"/>
                <w:color w:val="auto"/>
              </w:rPr>
            </w:pPr>
            <w:r>
              <w:rPr>
                <w:rFonts w:ascii="Arial" w:cs="Arial" w:eastAsia="Arial" w:hAnsi="Arial"/>
                <w:sz w:val="14"/>
                <w:szCs w:val="14"/>
                <w:color w:val="auto"/>
              </w:rPr>
              <w:t>$</w:t>
            </w:r>
          </w:p>
        </w:tc>
        <w:tc>
          <w:tcPr>
            <w:tcW w:w="1860" w:type="dxa"/>
            <w:vAlign w:val="bottom"/>
            <w:shd w:val="clear" w:color="auto" w:fill="F0F1F8"/>
          </w:tcPr>
          <w:p>
            <w:pPr>
              <w:jc w:val="right"/>
              <w:ind w:right="190"/>
              <w:spacing w:after="0"/>
              <w:rPr>
                <w:sz w:val="20"/>
                <w:szCs w:val="20"/>
                <w:color w:val="auto"/>
              </w:rPr>
            </w:pPr>
            <w:r>
              <w:rPr>
                <w:rFonts w:ascii="Arial" w:cs="Arial" w:eastAsia="Arial" w:hAnsi="Arial"/>
                <w:sz w:val="14"/>
                <w:szCs w:val="14"/>
                <w:color w:val="auto"/>
              </w:rPr>
              <w:t>8,242.33 (19 shares)</w:t>
            </w:r>
          </w:p>
        </w:tc>
        <w:tc>
          <w:tcPr>
            <w:tcW w:w="740" w:type="dxa"/>
            <w:vAlign w:val="bottom"/>
            <w:shd w:val="clear" w:color="auto" w:fill="F0F1F8"/>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F0F1F8"/>
          </w:tcPr>
          <w:p>
            <w:pPr>
              <w:jc w:val="right"/>
              <w:spacing w:after="0"/>
              <w:rPr>
                <w:sz w:val="20"/>
                <w:szCs w:val="20"/>
                <w:color w:val="auto"/>
              </w:rPr>
            </w:pPr>
            <w:r>
              <w:rPr>
                <w:rFonts w:ascii="Arial" w:cs="Arial" w:eastAsia="Arial" w:hAnsi="Arial"/>
                <w:sz w:val="14"/>
                <w:szCs w:val="14"/>
                <w:color w:val="auto"/>
              </w:rPr>
              <w:t>916.43</w:t>
            </w:r>
          </w:p>
        </w:tc>
      </w:tr>
      <w:tr>
        <w:trPr>
          <w:trHeight w:val="208"/>
        </w:trPr>
        <w:tc>
          <w:tcPr>
            <w:tcW w:w="4160" w:type="dxa"/>
            <w:vAlign w:val="bottom"/>
          </w:tcPr>
          <w:p>
            <w:pPr>
              <w:ind w:left="60"/>
              <w:spacing w:after="0"/>
              <w:rPr>
                <w:sz w:val="20"/>
                <w:szCs w:val="20"/>
                <w:color w:val="auto"/>
              </w:rPr>
            </w:pPr>
            <w:r>
              <w:rPr>
                <w:rFonts w:ascii="Arial" w:cs="Arial" w:eastAsia="Arial" w:hAnsi="Arial"/>
                <w:sz w:val="14"/>
                <w:szCs w:val="14"/>
                <w:b w:val="1"/>
                <w:bCs w:val="1"/>
                <w:color w:val="auto"/>
              </w:rPr>
              <w:t>Ms. Kinney</w:t>
            </w:r>
          </w:p>
        </w:tc>
        <w:tc>
          <w:tcPr>
            <w:tcW w:w="35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860" w:type="dxa"/>
            <w:vAlign w:val="bottom"/>
          </w:tcPr>
          <w:p>
            <w:pPr>
              <w:jc w:val="right"/>
              <w:ind w:right="190"/>
              <w:spacing w:after="0"/>
              <w:rPr>
                <w:sz w:val="20"/>
                <w:szCs w:val="20"/>
                <w:color w:val="auto"/>
              </w:rPr>
            </w:pPr>
            <w:r>
              <w:rPr>
                <w:rFonts w:ascii="Arial" w:cs="Arial" w:eastAsia="Arial" w:hAnsi="Arial"/>
                <w:sz w:val="14"/>
                <w:szCs w:val="14"/>
                <w:color w:val="auto"/>
              </w:rPr>
              <w:t>72,951.85 (137 shares)</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99"/>
              </w:rPr>
              <w:t>1,153.87</w:t>
            </w:r>
          </w:p>
        </w:tc>
      </w:tr>
      <w:tr>
        <w:trPr>
          <w:trHeight w:val="220"/>
        </w:trPr>
        <w:tc>
          <w:tcPr>
            <w:tcW w:w="4160" w:type="dxa"/>
            <w:vAlign w:val="bottom"/>
            <w:shd w:val="clear" w:color="auto" w:fill="F0F1F8"/>
          </w:tcPr>
          <w:p>
            <w:pPr>
              <w:ind w:left="60"/>
              <w:spacing w:after="0"/>
              <w:rPr>
                <w:sz w:val="20"/>
                <w:szCs w:val="20"/>
                <w:color w:val="auto"/>
              </w:rPr>
            </w:pPr>
            <w:r>
              <w:rPr>
                <w:rFonts w:ascii="Arial" w:cs="Arial" w:eastAsia="Arial" w:hAnsi="Arial"/>
                <w:sz w:val="14"/>
                <w:szCs w:val="14"/>
                <w:b w:val="1"/>
                <w:bCs w:val="1"/>
                <w:color w:val="auto"/>
              </w:rPr>
              <w:t>Ms. Riefler</w:t>
            </w:r>
          </w:p>
        </w:tc>
        <w:tc>
          <w:tcPr>
            <w:tcW w:w="3520" w:type="dxa"/>
            <w:vAlign w:val="bottom"/>
            <w:shd w:val="clear" w:color="auto" w:fill="F0F1F8"/>
          </w:tcPr>
          <w:p>
            <w:pPr>
              <w:spacing w:after="0"/>
              <w:rPr>
                <w:sz w:val="19"/>
                <w:szCs w:val="19"/>
                <w:color w:val="auto"/>
              </w:rPr>
            </w:pPr>
          </w:p>
        </w:tc>
        <w:tc>
          <w:tcPr>
            <w:tcW w:w="1860" w:type="dxa"/>
            <w:vAlign w:val="bottom"/>
            <w:shd w:val="clear" w:color="auto" w:fill="F0F1F8"/>
          </w:tcPr>
          <w:p>
            <w:pPr>
              <w:jc w:val="right"/>
              <w:ind w:right="190"/>
              <w:spacing w:after="0"/>
              <w:rPr>
                <w:sz w:val="20"/>
                <w:szCs w:val="20"/>
                <w:color w:val="auto"/>
              </w:rPr>
            </w:pPr>
            <w:r>
              <w:rPr>
                <w:rFonts w:ascii="Arial" w:cs="Arial" w:eastAsia="Arial" w:hAnsi="Arial"/>
                <w:sz w:val="14"/>
                <w:szCs w:val="14"/>
                <w:color w:val="auto"/>
              </w:rPr>
              <w:t>—</w:t>
            </w:r>
          </w:p>
        </w:tc>
        <w:tc>
          <w:tcPr>
            <w:tcW w:w="740" w:type="dxa"/>
            <w:vAlign w:val="bottom"/>
            <w:shd w:val="clear" w:color="auto" w:fill="F0F1F8"/>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F0F1F8"/>
          </w:tcPr>
          <w:p>
            <w:pPr>
              <w:jc w:val="right"/>
              <w:spacing w:after="0"/>
              <w:rPr>
                <w:sz w:val="20"/>
                <w:szCs w:val="20"/>
                <w:color w:val="auto"/>
              </w:rPr>
            </w:pPr>
            <w:r>
              <w:rPr>
                <w:rFonts w:ascii="Arial" w:cs="Arial" w:eastAsia="Arial" w:hAnsi="Arial"/>
                <w:sz w:val="14"/>
                <w:szCs w:val="14"/>
                <w:color w:val="auto"/>
              </w:rPr>
              <w:t>969.54</w:t>
            </w:r>
          </w:p>
        </w:tc>
      </w:tr>
      <w:tr>
        <w:trPr>
          <w:trHeight w:val="208"/>
        </w:trPr>
        <w:tc>
          <w:tcPr>
            <w:tcW w:w="41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Mr. Taneja</w:t>
            </w:r>
          </w:p>
        </w:tc>
        <w:tc>
          <w:tcPr>
            <w:tcW w:w="35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1,040.00</w:t>
            </w:r>
          </w:p>
        </w:tc>
      </w:tr>
    </w:tbl>
    <w:p>
      <w:pPr>
        <w:spacing w:after="0" w:line="85" w:lineRule="exact"/>
        <w:rPr>
          <w:sz w:val="20"/>
          <w:szCs w:val="20"/>
          <w:color w:val="auto"/>
        </w:rPr>
      </w:pPr>
    </w:p>
    <w:p>
      <w:pPr>
        <w:ind w:left="300" w:right="120" w:hanging="293"/>
        <w:spacing w:after="0" w:line="182" w:lineRule="auto"/>
        <w:tabs>
          <w:tab w:leader="none" w:pos="300" w:val="left"/>
        </w:tabs>
        <w:numPr>
          <w:ilvl w:val="0"/>
          <w:numId w:val="82"/>
        </w:numPr>
        <w:rPr>
          <w:rFonts w:ascii="Arial" w:cs="Arial" w:eastAsia="Arial" w:hAnsi="Arial"/>
          <w:sz w:val="24"/>
          <w:szCs w:val="24"/>
          <w:color w:val="auto"/>
          <w:vertAlign w:val="superscript"/>
        </w:rPr>
      </w:pPr>
      <w:r>
        <w:rPr>
          <w:rFonts w:ascii="Arial" w:cs="Arial" w:eastAsia="Arial" w:hAnsi="Arial"/>
          <w:sz w:val="14"/>
          <w:szCs w:val="14"/>
          <w:color w:val="auto"/>
        </w:rPr>
        <w:t>Mr. duPont did not stand for re-election at the 2021 annual meeting of shareholders and served on the Board through April 27, 2021, and thus did not receive compensation for the 2021 Board Term.</w:t>
      </w:r>
    </w:p>
    <w:p>
      <w:pPr>
        <w:ind w:left="300" w:hanging="293"/>
        <w:spacing w:after="0" w:line="209" w:lineRule="auto"/>
        <w:tabs>
          <w:tab w:leader="none" w:pos="300" w:val="left"/>
        </w:tabs>
        <w:numPr>
          <w:ilvl w:val="0"/>
          <w:numId w:val="82"/>
        </w:numPr>
        <w:rPr>
          <w:rFonts w:ascii="Arial" w:cs="Arial" w:eastAsia="Arial" w:hAnsi="Arial"/>
          <w:sz w:val="24"/>
          <w:szCs w:val="24"/>
          <w:color w:val="auto"/>
          <w:vertAlign w:val="superscript"/>
        </w:rPr>
      </w:pPr>
      <w:r>
        <w:rPr>
          <w:rFonts w:ascii="Arial" w:cs="Arial" w:eastAsia="Arial" w:hAnsi="Arial"/>
          <w:sz w:val="14"/>
          <w:szCs w:val="14"/>
          <w:color w:val="auto"/>
        </w:rPr>
        <w:t>Mr. Taneja was appointed to the Board, effective June 1, 2021.</w:t>
      </w:r>
    </w:p>
    <w:p>
      <w:pPr>
        <w:spacing w:after="0" w:line="164"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Non-Employee Director Stock Ownership Guidelines</w:t>
      </w:r>
    </w:p>
    <w:p>
      <w:pPr>
        <w:spacing w:after="0" w:line="249"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Under the Company’s stock ownership guidelines for non-employee directors, commencing on April 28, 2016, each non-employee director has been required to own a target number of shares of stock of the Company equal to the sum of the “net shares” resulting from the vesting of the RSUs granted to such director for each of the last five years, with such aggregate share ownership to be achieved within five years of initially being elected or appointed to the Board and maintained thereafter. “Net Shares” means the number of shares that would remain if the shares underlying the equity awards are sold or withheld by the Company to (i) pay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127000</wp:posOffset>
            </wp:positionV>
            <wp:extent cx="7154545" cy="209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00" w:type="dxa"/>
            <w:vAlign w:val="bottom"/>
            <w:tcBorders>
              <w:right w:val="single" w:sz="8" w:color="16479F"/>
            </w:tcBorders>
          </w:tcPr>
          <w:p>
            <w:pPr>
              <w:jc w:val="right"/>
              <w:ind w:right="369"/>
              <w:spacing w:after="0"/>
              <w:rPr>
                <w:sz w:val="20"/>
                <w:szCs w:val="20"/>
                <w:color w:val="auto"/>
              </w:rPr>
            </w:pPr>
            <w:r>
              <w:rPr>
                <w:rFonts w:ascii="Arial" w:cs="Arial" w:eastAsia="Arial" w:hAnsi="Arial"/>
                <w:sz w:val="14"/>
                <w:szCs w:val="14"/>
                <w:b w:val="1"/>
                <w:bCs w:val="1"/>
                <w:color w:val="16479F"/>
              </w:rPr>
              <w:t>54</w:t>
            </w:r>
          </w:p>
        </w:tc>
        <w:tc>
          <w:tcPr>
            <w:tcW w:w="10540" w:type="dxa"/>
            <w:vAlign w:val="bottom"/>
          </w:tcPr>
          <w:p>
            <w:pPr>
              <w:ind w:left="100"/>
              <w:spacing w:after="0"/>
              <w:rPr>
                <w:sz w:val="20"/>
                <w:szCs w:val="20"/>
                <w:color w:val="auto"/>
              </w:rPr>
            </w:pPr>
            <w:r>
              <w:rPr>
                <w:rFonts w:ascii="Arial" w:cs="Arial" w:eastAsia="Arial" w:hAnsi="Arial"/>
                <w:sz w:val="14"/>
                <w:szCs w:val="14"/>
                <w:b w:val="1"/>
                <w:bCs w:val="1"/>
                <w:color w:val="16479F"/>
              </w:rPr>
              <w:t>MSCI  |  DIRECTOR COMPENSATION AND STOCK OWNERSHIP GUIDELINES</w:t>
            </w:r>
          </w:p>
        </w:tc>
      </w:tr>
      <w:tr>
        <w:trPr>
          <w:trHeight w:val="65"/>
        </w:trPr>
        <w:tc>
          <w:tcPr>
            <w:tcW w:w="700" w:type="dxa"/>
            <w:vAlign w:val="bottom"/>
            <w:tcBorders>
              <w:bottom w:val="single" w:sz="8" w:color="16479F"/>
              <w:right w:val="single" w:sz="8" w:color="16479F"/>
            </w:tcBorders>
          </w:tcPr>
          <w:p>
            <w:pPr>
              <w:spacing w:after="0"/>
              <w:rPr>
                <w:sz w:val="5"/>
                <w:szCs w:val="5"/>
                <w:color w:val="auto"/>
              </w:rPr>
            </w:pPr>
          </w:p>
        </w:tc>
        <w:tc>
          <w:tcPr>
            <w:tcW w:w="10540" w:type="dxa"/>
            <w:vAlign w:val="bottom"/>
            <w:tcBorders>
              <w:bottom w:val="single" w:sz="8" w:color="16479F"/>
            </w:tcBorders>
          </w:tcPr>
          <w:p>
            <w:pPr>
              <w:spacing w:after="0"/>
              <w:rPr>
                <w:sz w:val="5"/>
                <w:szCs w:val="5"/>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exercise price of a stock option, (ii) satisfy any tax withholding obligations (assuming a tax rate of 50%) or (iii) satisfy any other applicable transaction costs.</w:t>
      </w:r>
    </w:p>
    <w:p>
      <w:pPr>
        <w:spacing w:after="0" w:line="218"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auto"/>
        </w:rPr>
        <w:t>Shares that count towards satisfaction of the target level of stock ownership under the stock ownership guidelines for non-employee directors consist of the following:</w:t>
      </w:r>
    </w:p>
    <w:p>
      <w:pPr>
        <w:spacing w:after="0" w:line="197" w:lineRule="exact"/>
        <w:rPr>
          <w:sz w:val="20"/>
          <w:szCs w:val="20"/>
          <w:color w:val="auto"/>
        </w:rPr>
      </w:pPr>
    </w:p>
    <w:p>
      <w:pPr>
        <w:ind w:left="360" w:right="120" w:hanging="353"/>
        <w:spacing w:after="0" w:line="256" w:lineRule="auto"/>
        <w:tabs>
          <w:tab w:leader="none" w:pos="3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Shares beneficially owned individually, either directly or indirectly (including any shares beneficially owned as a result of an election to receive a retainer (or any portion thereof) in shares);</w:t>
      </w:r>
    </w:p>
    <w:p>
      <w:pPr>
        <w:spacing w:after="0" w:line="62" w:lineRule="exact"/>
        <w:rPr>
          <w:rFonts w:ascii="Arial" w:cs="Arial" w:eastAsia="Arial" w:hAnsi="Arial"/>
          <w:sz w:val="16"/>
          <w:szCs w:val="16"/>
          <w:color w:val="auto"/>
        </w:rPr>
      </w:pPr>
    </w:p>
    <w:p>
      <w:pPr>
        <w:ind w:left="360" w:hanging="353"/>
        <w:spacing w:after="0"/>
        <w:tabs>
          <w:tab w:leader="none" w:pos="3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Shares beneficially owned jointly with, or separately by, immediate family members residing in the same household, either directly or indirectly;</w:t>
      </w:r>
    </w:p>
    <w:p>
      <w:pPr>
        <w:spacing w:after="0" w:line="83" w:lineRule="exact"/>
        <w:rPr>
          <w:rFonts w:ascii="Arial" w:cs="Arial" w:eastAsia="Arial" w:hAnsi="Arial"/>
          <w:sz w:val="16"/>
          <w:szCs w:val="16"/>
          <w:color w:val="auto"/>
        </w:rPr>
      </w:pPr>
    </w:p>
    <w:p>
      <w:pPr>
        <w:ind w:left="360" w:hanging="353"/>
        <w:spacing w:after="0"/>
        <w:tabs>
          <w:tab w:leader="none" w:pos="3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Shares underlying vested and unvested RSUs granted under the Directors Plan; and</w:t>
      </w:r>
    </w:p>
    <w:p>
      <w:pPr>
        <w:spacing w:after="0" w:line="83" w:lineRule="exact"/>
        <w:rPr>
          <w:rFonts w:ascii="Arial" w:cs="Arial" w:eastAsia="Arial" w:hAnsi="Arial"/>
          <w:sz w:val="16"/>
          <w:szCs w:val="16"/>
          <w:color w:val="auto"/>
        </w:rPr>
      </w:pPr>
    </w:p>
    <w:p>
      <w:pPr>
        <w:ind w:left="360" w:right="80" w:hanging="353"/>
        <w:spacing w:after="0" w:line="256" w:lineRule="auto"/>
        <w:tabs>
          <w:tab w:leader="none" w:pos="3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Shares for which receipt has been deferred (including any shares held through the Deferral Plan or any other deferred compensation plan maintained by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As of the date of this Proxy Statement, all of our non-employee directors are in compliance with the Company’s 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7154545" cy="209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00" w:type="dxa"/>
            <w:vAlign w:val="bottom"/>
            <w:tcBorders>
              <w:right w:val="single" w:sz="8" w:color="16479F"/>
            </w:tcBorders>
          </w:tcPr>
          <w:p>
            <w:pPr>
              <w:ind w:left="8740"/>
              <w:spacing w:after="0"/>
              <w:rPr>
                <w:sz w:val="20"/>
                <w:szCs w:val="20"/>
                <w:color w:val="auto"/>
              </w:rPr>
            </w:pPr>
            <w:r>
              <w:rPr>
                <w:rFonts w:ascii="Arial" w:cs="Arial" w:eastAsia="Arial" w:hAnsi="Arial"/>
                <w:sz w:val="14"/>
                <w:szCs w:val="14"/>
                <w:b w:val="1"/>
                <w:bCs w:val="1"/>
                <w:color w:val="16479F"/>
              </w:rPr>
              <w:t>2022 PROXY STATEMENT</w:t>
            </w:r>
          </w:p>
        </w:tc>
        <w:tc>
          <w:tcPr>
            <w:tcW w:w="640" w:type="dxa"/>
            <w:vAlign w:val="bottom"/>
          </w:tcPr>
          <w:p>
            <w:pPr>
              <w:jc w:val="right"/>
              <w:ind w:right="9"/>
              <w:spacing w:after="0"/>
              <w:rPr>
                <w:sz w:val="20"/>
                <w:szCs w:val="20"/>
                <w:color w:val="auto"/>
              </w:rPr>
            </w:pPr>
            <w:r>
              <w:rPr>
                <w:rFonts w:ascii="Arial" w:cs="Arial" w:eastAsia="Arial" w:hAnsi="Arial"/>
                <w:sz w:val="14"/>
                <w:szCs w:val="14"/>
                <w:b w:val="1"/>
                <w:bCs w:val="1"/>
                <w:color w:val="16479F"/>
              </w:rPr>
              <w:t>55</w:t>
            </w:r>
          </w:p>
        </w:tc>
      </w:tr>
      <w:tr>
        <w:trPr>
          <w:trHeight w:val="65"/>
        </w:trPr>
        <w:tc>
          <w:tcPr>
            <w:tcW w:w="10600" w:type="dxa"/>
            <w:vAlign w:val="bottom"/>
            <w:tcBorders>
              <w:bottom w:val="single" w:sz="8" w:color="16479F"/>
              <w:right w:val="single" w:sz="8" w:color="16479F"/>
            </w:tcBorders>
          </w:tcPr>
          <w:p>
            <w:pPr>
              <w:spacing w:after="0"/>
              <w:rPr>
                <w:sz w:val="5"/>
                <w:szCs w:val="5"/>
                <w:color w:val="auto"/>
              </w:rPr>
            </w:pPr>
          </w:p>
        </w:tc>
        <w:tc>
          <w:tcPr>
            <w:tcW w:w="640" w:type="dxa"/>
            <w:vAlign w:val="bottom"/>
            <w:tcBorders>
              <w:bottom w:val="single" w:sz="8" w:color="16479F"/>
            </w:tcBorders>
          </w:tcPr>
          <w:p>
            <w:pPr>
              <w:spacing w:after="0"/>
              <w:rPr>
                <w:sz w:val="5"/>
                <w:szCs w:val="5"/>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27"/>
          <w:szCs w:val="27"/>
          <w:b w:val="1"/>
          <w:bCs w:val="1"/>
          <w:color w:val="16479F"/>
        </w:rPr>
        <w:t>Proposal No. 2</w:t>
      </w:r>
    </w:p>
    <w:p>
      <w:pPr>
        <w:spacing w:after="0" w:line="56" w:lineRule="exact"/>
        <w:rPr>
          <w:sz w:val="20"/>
          <w:szCs w:val="20"/>
          <w:color w:val="auto"/>
        </w:rPr>
      </w:pPr>
    </w:p>
    <w:p>
      <w:pPr>
        <w:ind w:right="2040"/>
        <w:spacing w:after="0" w:line="277" w:lineRule="auto"/>
        <w:rPr>
          <w:sz w:val="20"/>
          <w:szCs w:val="20"/>
          <w:color w:val="auto"/>
        </w:rPr>
      </w:pPr>
      <w:r>
        <w:rPr>
          <w:rFonts w:ascii="Arial" w:cs="Arial" w:eastAsia="Arial" w:hAnsi="Arial"/>
          <w:sz w:val="53"/>
          <w:szCs w:val="53"/>
          <w:b w:val="1"/>
          <w:bCs w:val="1"/>
          <w:color w:val="002739"/>
        </w:rPr>
        <w:t>Advisory Vote to Approve Executive Compensation (Say-on-Pay)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-82550</wp:posOffset>
            </wp:positionV>
            <wp:extent cx="6856095" cy="25507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6095" cy="2550795"/>
                    </a:xfrm>
                    <a:prstGeom prst="rect">
                      <a:avLst/>
                    </a:prstGeom>
                    <a:noFill/>
                  </pic:spPr>
                </pic:pic>
              </a:graphicData>
            </a:graphic>
          </wp:anchor>
        </w:drawing>
      </w:r>
    </w:p>
    <w:p>
      <w:pPr>
        <w:spacing w:after="0" w:line="38" w:lineRule="exact"/>
        <w:rPr>
          <w:sz w:val="20"/>
          <w:szCs w:val="20"/>
          <w:color w:val="auto"/>
        </w:rPr>
      </w:pPr>
    </w:p>
    <w:p>
      <w:pPr>
        <w:ind w:left="740" w:right="460"/>
        <w:spacing w:after="0" w:line="256" w:lineRule="auto"/>
        <w:rPr>
          <w:sz w:val="20"/>
          <w:szCs w:val="20"/>
          <w:color w:val="auto"/>
        </w:rPr>
      </w:pPr>
      <w:r>
        <w:rPr>
          <w:rFonts w:ascii="Arial" w:cs="Arial" w:eastAsia="Arial" w:hAnsi="Arial"/>
          <w:sz w:val="16"/>
          <w:szCs w:val="16"/>
          <w:color w:val="auto"/>
        </w:rPr>
        <w:t>The Dodd-Frank Act enables MSCI’s shareholders to vote to approve, on an advisory or non-binding basis, the compensation of our NEOs as disclosed in this Proxy Statement in accordance with SEC rules.</w:t>
      </w:r>
    </w:p>
    <w:p>
      <w:pPr>
        <w:spacing w:after="0" w:line="143" w:lineRule="exact"/>
        <w:rPr>
          <w:sz w:val="20"/>
          <w:szCs w:val="20"/>
          <w:color w:val="auto"/>
        </w:rPr>
      </w:pPr>
    </w:p>
    <w:p>
      <w:pPr>
        <w:ind w:left="740" w:right="300"/>
        <w:spacing w:after="0" w:line="256" w:lineRule="auto"/>
        <w:rPr>
          <w:sz w:val="20"/>
          <w:szCs w:val="20"/>
          <w:color w:val="auto"/>
        </w:rPr>
      </w:pPr>
      <w:r>
        <w:rPr>
          <w:rFonts w:ascii="Arial" w:cs="Arial" w:eastAsia="Arial" w:hAnsi="Arial"/>
          <w:sz w:val="16"/>
          <w:szCs w:val="16"/>
          <w:color w:val="auto"/>
        </w:rPr>
        <w:t>For an overview of the compensation of our NEOs and our compensation strategy, see “Compensation Matters—Compensation Discussion and Analysis—Executive Summary” below.</w:t>
      </w:r>
    </w:p>
    <w:p>
      <w:pPr>
        <w:spacing w:after="0" w:line="143" w:lineRule="exact"/>
        <w:rPr>
          <w:sz w:val="20"/>
          <w:szCs w:val="20"/>
          <w:color w:val="auto"/>
        </w:rPr>
      </w:pPr>
    </w:p>
    <w:p>
      <w:pPr>
        <w:ind w:left="740" w:right="200"/>
        <w:spacing w:after="0" w:line="248" w:lineRule="auto"/>
        <w:rPr>
          <w:sz w:val="20"/>
          <w:szCs w:val="20"/>
          <w:color w:val="auto"/>
        </w:rPr>
      </w:pPr>
      <w:r>
        <w:rPr>
          <w:rFonts w:ascii="Arial" w:cs="Arial" w:eastAsia="Arial" w:hAnsi="Arial"/>
          <w:sz w:val="16"/>
          <w:szCs w:val="16"/>
          <w:color w:val="auto"/>
        </w:rPr>
        <w:t>We are asking for shareholder approval of the compensation of our NEOs as disclosed in this Proxy Statement in accordance with SEC rules, which include the disclosures under “Compensation Matters—Compensation Discussion and Analysis,” the compensation tables included herein and the narrative following the compensation tables. This vote is not intended to address any specific item of compensation, but rather the overall compensation of our NEOs and the policies and practices described in this Proxy Statement.</w:t>
      </w:r>
    </w:p>
    <w:p>
      <w:pPr>
        <w:spacing w:after="0" w:line="150" w:lineRule="exact"/>
        <w:rPr>
          <w:sz w:val="20"/>
          <w:szCs w:val="20"/>
          <w:color w:val="auto"/>
        </w:rPr>
      </w:pPr>
    </w:p>
    <w:p>
      <w:pPr>
        <w:ind w:left="740" w:right="300"/>
        <w:spacing w:after="0" w:line="248" w:lineRule="auto"/>
        <w:rPr>
          <w:sz w:val="20"/>
          <w:szCs w:val="20"/>
          <w:color w:val="auto"/>
        </w:rPr>
      </w:pPr>
      <w:r>
        <w:rPr>
          <w:rFonts w:ascii="Arial" w:cs="Arial" w:eastAsia="Arial" w:hAnsi="Arial"/>
          <w:sz w:val="16"/>
          <w:szCs w:val="16"/>
          <w:color w:val="auto"/>
        </w:rPr>
        <w:t>This vote is advisory and therefore not binding on MSCI, the Compensation Committee or the Board. The Board and the Compensation Committee value the opinions of MSCI’s shareholders. To the extent there is any significant vote against the NEO compensation as disclosed in this Proxy Statement, we will consider those shareholders’ concerns, and the Compensation Committee will evaluate whether any actions are necessary to address those concerns. MSCI currently conducts annual advisory votes on executive compensation.</w:t>
      </w:r>
    </w:p>
    <w:p>
      <w:pPr>
        <w:spacing w:after="0" w:line="116" w:lineRule="exact"/>
        <w:rPr>
          <w:sz w:val="20"/>
          <w:szCs w:val="20"/>
          <w:color w:val="auto"/>
        </w:rPr>
      </w:pPr>
    </w:p>
    <w:p>
      <w:pPr>
        <w:ind w:left="740"/>
        <w:spacing w:after="0"/>
        <w:rPr>
          <w:sz w:val="20"/>
          <w:szCs w:val="20"/>
          <w:color w:val="auto"/>
        </w:rPr>
      </w:pPr>
      <w:r>
        <w:rPr>
          <w:rFonts w:ascii="Arial" w:cs="Arial" w:eastAsia="Arial" w:hAnsi="Arial"/>
          <w:sz w:val="21"/>
          <w:szCs w:val="21"/>
          <w:b w:val="1"/>
          <w:bCs w:val="1"/>
          <w:color w:val="16479F"/>
        </w:rPr>
        <w:t>VOTE REQUIRED AND RECOMMENDATION</w:t>
      </w:r>
    </w:p>
    <w:p>
      <w:pPr>
        <w:spacing w:after="0" w:line="195" w:lineRule="exact"/>
        <w:rPr>
          <w:sz w:val="20"/>
          <w:szCs w:val="20"/>
          <w:color w:val="auto"/>
        </w:rPr>
      </w:pPr>
    </w:p>
    <w:p>
      <w:pPr>
        <w:ind w:left="740"/>
        <w:spacing w:after="0"/>
        <w:rPr>
          <w:sz w:val="20"/>
          <w:szCs w:val="20"/>
          <w:color w:val="auto"/>
        </w:rPr>
      </w:pPr>
      <w:r>
        <w:rPr>
          <w:rFonts w:ascii="Arial" w:cs="Arial" w:eastAsia="Arial" w:hAnsi="Arial"/>
          <w:sz w:val="16"/>
          <w:szCs w:val="16"/>
          <w:color w:val="auto"/>
        </w:rPr>
        <w:t>The affirmative vote of a majority of the votes cast at our 2022 Annual Meeting, at which a quorum is present, is required to approve Proposal No.</w:t>
      </w:r>
    </w:p>
    <w:p>
      <w:pPr>
        <w:spacing w:after="0" w:line="3" w:lineRule="exact"/>
        <w:rPr>
          <w:sz w:val="20"/>
          <w:szCs w:val="20"/>
          <w:color w:val="auto"/>
        </w:rPr>
      </w:pPr>
    </w:p>
    <w:p>
      <w:pPr>
        <w:ind w:left="740"/>
        <w:spacing w:after="0"/>
        <w:rPr>
          <w:sz w:val="20"/>
          <w:szCs w:val="20"/>
          <w:color w:val="auto"/>
        </w:rPr>
      </w:pPr>
      <w:r>
        <w:rPr>
          <w:rFonts w:ascii="Arial" w:cs="Arial" w:eastAsia="Arial" w:hAnsi="Arial"/>
          <w:sz w:val="16"/>
          <w:szCs w:val="16"/>
          <w:color w:val="auto"/>
        </w:rPr>
        <w:t>2. Abstentions shall not be treated as votes 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102870</wp:posOffset>
            </wp:positionV>
            <wp:extent cx="6728460" cy="1054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728460" cy="1054100"/>
                    </a:xfrm>
                    <a:prstGeom prst="rect">
                      <a:avLst/>
                    </a:prstGeom>
                    <a:noFill/>
                  </pic:spPr>
                </pic:pic>
              </a:graphicData>
            </a:graphic>
          </wp:anchor>
        </w:drawing>
      </w:r>
    </w:p>
    <w:p>
      <w:pPr>
        <w:spacing w:after="0" w:line="297" w:lineRule="exact"/>
        <w:rPr>
          <w:sz w:val="20"/>
          <w:szCs w:val="20"/>
          <w:color w:val="auto"/>
        </w:rPr>
      </w:pPr>
    </w:p>
    <w:p>
      <w:pPr>
        <w:ind w:left="1300" w:right="260" w:hanging="401"/>
        <w:spacing w:after="0"/>
        <w:rPr>
          <w:sz w:val="20"/>
          <w:szCs w:val="20"/>
          <w:color w:val="auto"/>
        </w:rPr>
      </w:pPr>
      <w:r>
        <w:rPr>
          <w:sz w:val="1"/>
          <w:szCs w:val="1"/>
          <w:color w:val="auto"/>
        </w:rPr>
        <w:drawing>
          <wp:inline distT="0" distB="0" distL="0" distR="0">
            <wp:extent cx="212725" cy="118745"/>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12725" cy="118745"/>
                    </a:xfrm>
                    <a:prstGeom prst="rect">
                      <a:avLst/>
                    </a:prstGeom>
                    <a:noFill/>
                    <a:ln>
                      <a:noFill/>
                    </a:ln>
                  </pic:spPr>
                </pic:pic>
              </a:graphicData>
            </a:graphic>
          </wp:inline>
        </w:drawing>
      </w:r>
      <w:r>
        <w:rPr>
          <w:rFonts w:ascii="Arial" w:cs="Arial" w:eastAsia="Arial" w:hAnsi="Arial"/>
          <w:sz w:val="21"/>
          <w:szCs w:val="21"/>
          <w:b w:val="1"/>
          <w:bCs w:val="1"/>
          <w:color w:val="FFFFFF"/>
        </w:rPr>
        <w:t xml:space="preserve"> Our Board of Directors Recommends a vote </w:t>
      </w:r>
      <w:r>
        <w:rPr>
          <w:rFonts w:ascii="Arial" w:cs="Arial" w:eastAsia="Arial" w:hAnsi="Arial"/>
          <w:sz w:val="21"/>
          <w:szCs w:val="21"/>
          <w:b w:val="1"/>
          <w:bCs w:val="1"/>
          <w:color w:val="00B5AA"/>
        </w:rPr>
        <w:t>“FOR”</w:t>
      </w:r>
      <w:r>
        <w:rPr>
          <w:rFonts w:ascii="Arial" w:cs="Arial" w:eastAsia="Arial" w:hAnsi="Arial"/>
          <w:sz w:val="21"/>
          <w:szCs w:val="21"/>
          <w:b w:val="1"/>
          <w:bCs w:val="1"/>
          <w:color w:val="FFFFFF"/>
        </w:rPr>
        <w:t xml:space="preserve"> the approval of the compensation of MSCI’s Named Executive Officers as disclosed in this proxy statement pursuant to the compensation disclosure rules of the SEC.</w:t>
      </w:r>
    </w:p>
    <w:p>
      <w:pPr>
        <w:spacing w:after="0" w:line="118" w:lineRule="exact"/>
        <w:rPr>
          <w:sz w:val="20"/>
          <w:szCs w:val="20"/>
          <w:color w:val="auto"/>
        </w:rPr>
      </w:pPr>
    </w:p>
    <w:p>
      <w:pPr>
        <w:ind w:left="1300"/>
        <w:spacing w:after="0"/>
        <w:rPr>
          <w:sz w:val="20"/>
          <w:szCs w:val="20"/>
          <w:color w:val="auto"/>
        </w:rPr>
      </w:pPr>
      <w:r>
        <w:rPr>
          <w:rFonts w:ascii="Arial" w:cs="Arial" w:eastAsia="Arial" w:hAnsi="Arial"/>
          <w:sz w:val="21"/>
          <w:szCs w:val="21"/>
          <w:b w:val="1"/>
          <w:bCs w:val="1"/>
          <w:color w:val="FFFFFF"/>
        </w:rPr>
        <w:t xml:space="preserve">Proxies solicited by the Board will be voted </w:t>
      </w:r>
      <w:r>
        <w:rPr>
          <w:rFonts w:ascii="Arial" w:cs="Arial" w:eastAsia="Arial" w:hAnsi="Arial"/>
          <w:sz w:val="21"/>
          <w:szCs w:val="21"/>
          <w:b w:val="1"/>
          <w:bCs w:val="1"/>
          <w:color w:val="00B5AA"/>
        </w:rPr>
        <w:t>“FOR”</w:t>
      </w:r>
      <w:r>
        <w:rPr>
          <w:rFonts w:ascii="Arial" w:cs="Arial" w:eastAsia="Arial" w:hAnsi="Arial"/>
          <w:sz w:val="21"/>
          <w:szCs w:val="21"/>
          <w:b w:val="1"/>
          <w:bCs w:val="1"/>
          <w:color w:val="FFFFFF"/>
        </w:rPr>
        <w:t xml:space="preserve"> this approval unless otherwise instructed.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307340</wp:posOffset>
            </wp:positionV>
            <wp:extent cx="7154545" cy="209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149860</wp:posOffset>
            </wp:positionV>
            <wp:extent cx="7133590" cy="21272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3590" cy="212725"/>
                    </a:xfrm>
                    <a:prstGeom prst="rect">
                      <a:avLst/>
                    </a:prstGeom>
                    <a:noFill/>
                  </pic:spPr>
                </pic:pic>
              </a:graphicData>
            </a:graphic>
          </wp:anchor>
        </w:drawing>
      </w:r>
    </w:p>
    <w:p>
      <w:pPr>
        <w:spacing w:after="0" w:line="283"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4"/>
          <w:szCs w:val="14"/>
          <w:b w:val="1"/>
          <w:bCs w:val="1"/>
          <w:color w:val="16479F"/>
        </w:rPr>
        <w:t>56</w:t>
      </w:r>
      <w:r>
        <w:rPr>
          <w:sz w:val="20"/>
          <w:szCs w:val="20"/>
          <w:color w:val="auto"/>
        </w:rPr>
        <w:tab/>
      </w:r>
      <w:r>
        <w:rPr>
          <w:rFonts w:ascii="Arial" w:cs="Arial" w:eastAsia="Arial" w:hAnsi="Arial"/>
          <w:sz w:val="14"/>
          <w:szCs w:val="14"/>
          <w:b w:val="1"/>
          <w:bCs w:val="1"/>
          <w:color w:val="16479F"/>
        </w:rPr>
        <w:t>MSCI</w:t>
      </w:r>
    </w:p>
    <w:p>
      <w:pPr>
        <w:spacing w:after="0" w:line="197" w:lineRule="exact"/>
        <w:rPr>
          <w:sz w:val="20"/>
          <w:szCs w:val="20"/>
          <w:color w:val="auto"/>
        </w:rPr>
      </w:pPr>
    </w:p>
    <w:p>
      <w:pPr>
        <w:spacing w:after="0"/>
        <w:rPr>
          <w:sz w:val="20"/>
          <w:szCs w:val="20"/>
          <w:color w:val="auto"/>
        </w:rPr>
      </w:pPr>
      <w:r>
        <w:rPr>
          <w:rFonts w:ascii="Arial" w:cs="Arial" w:eastAsia="Arial" w:hAnsi="Arial"/>
          <w:sz w:val="54"/>
          <w:szCs w:val="54"/>
          <w:b w:val="1"/>
          <w:bCs w:val="1"/>
          <w:color w:val="002739"/>
        </w:rPr>
        <w:t>Compensation Matters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440" w:type="dxa"/>
            <w:vAlign w:val="bottom"/>
          </w:tcPr>
          <w:p>
            <w:pPr>
              <w:jc w:val="right"/>
              <w:ind w:right="122"/>
              <w:spacing w:after="0"/>
              <w:rPr>
                <w:rFonts w:ascii="Arial" w:cs="Arial" w:eastAsia="Arial" w:hAnsi="Arial"/>
                <w:sz w:val="20"/>
                <w:szCs w:val="20"/>
                <w:b w:val="1"/>
                <w:bCs w:val="1"/>
                <w:color w:val="16479F"/>
                <w:w w:val="89"/>
              </w:rPr>
            </w:pPr>
            <w:hyperlink w:anchor="page58">
              <w:r>
                <w:rPr>
                  <w:rFonts w:ascii="Arial" w:cs="Arial" w:eastAsia="Arial" w:hAnsi="Arial"/>
                  <w:sz w:val="20"/>
                  <w:szCs w:val="20"/>
                  <w:b w:val="1"/>
                  <w:bCs w:val="1"/>
                  <w:color w:val="16479F"/>
                  <w:w w:val="89"/>
                </w:rPr>
                <w:t>57</w:t>
              </w:r>
            </w:hyperlink>
          </w:p>
        </w:tc>
        <w:tc>
          <w:tcPr>
            <w:tcW w:w="4580" w:type="dxa"/>
            <w:vAlign w:val="bottom"/>
            <w:gridSpan w:val="2"/>
          </w:tcPr>
          <w:p>
            <w:pPr>
              <w:spacing w:after="0"/>
              <w:rPr>
                <w:rFonts w:ascii="Arial" w:cs="Arial" w:eastAsia="Arial" w:hAnsi="Arial"/>
                <w:sz w:val="20"/>
                <w:szCs w:val="20"/>
                <w:b w:val="1"/>
                <w:bCs w:val="1"/>
                <w:color w:val="16479F"/>
              </w:rPr>
            </w:pPr>
            <w:hyperlink w:anchor="page58">
              <w:r>
                <w:rPr>
                  <w:rFonts w:ascii="Arial" w:cs="Arial" w:eastAsia="Arial" w:hAnsi="Arial"/>
                  <w:sz w:val="20"/>
                  <w:szCs w:val="20"/>
                  <w:b w:val="1"/>
                  <w:bCs w:val="1"/>
                  <w:color w:val="16479F"/>
                </w:rPr>
                <w:t>Compensation Discussion and Analysis</w:t>
              </w:r>
            </w:hyperlink>
          </w:p>
        </w:tc>
        <w:tc>
          <w:tcPr>
            <w:tcW w:w="1260" w:type="dxa"/>
            <w:vAlign w:val="bottom"/>
          </w:tcPr>
          <w:p>
            <w:pPr>
              <w:ind w:left="820"/>
              <w:spacing w:after="0"/>
              <w:rPr>
                <w:rFonts w:ascii="Arial" w:cs="Arial" w:eastAsia="Arial" w:hAnsi="Arial"/>
                <w:sz w:val="20"/>
                <w:szCs w:val="20"/>
                <w:b w:val="1"/>
                <w:bCs w:val="1"/>
                <w:color w:val="16479F"/>
              </w:rPr>
            </w:pPr>
            <w:hyperlink w:anchor="page85">
              <w:r>
                <w:rPr>
                  <w:rFonts w:ascii="Arial" w:cs="Arial" w:eastAsia="Arial" w:hAnsi="Arial"/>
                  <w:sz w:val="20"/>
                  <w:szCs w:val="20"/>
                  <w:b w:val="1"/>
                  <w:bCs w:val="1"/>
                  <w:color w:val="16479F"/>
                </w:rPr>
                <w:t>84</w:t>
              </w:r>
            </w:hyperlink>
          </w:p>
        </w:tc>
        <w:tc>
          <w:tcPr>
            <w:tcW w:w="2720" w:type="dxa"/>
            <w:vAlign w:val="bottom"/>
            <w:gridSpan w:val="2"/>
          </w:tcPr>
          <w:p>
            <w:pPr>
              <w:ind w:left="20"/>
              <w:spacing w:after="0"/>
              <w:rPr>
                <w:rFonts w:ascii="Arial" w:cs="Arial" w:eastAsia="Arial" w:hAnsi="Arial"/>
                <w:sz w:val="20"/>
                <w:szCs w:val="20"/>
                <w:b w:val="1"/>
                <w:bCs w:val="1"/>
                <w:color w:val="16479F"/>
              </w:rPr>
            </w:pPr>
            <w:hyperlink w:anchor="page85">
              <w:r>
                <w:rPr>
                  <w:rFonts w:ascii="Arial" w:cs="Arial" w:eastAsia="Arial" w:hAnsi="Arial"/>
                  <w:sz w:val="20"/>
                  <w:szCs w:val="20"/>
                  <w:b w:val="1"/>
                  <w:bCs w:val="1"/>
                  <w:color w:val="16479F"/>
                </w:rPr>
                <w:t>Other Policies</w:t>
              </w:r>
            </w:hyperlink>
          </w:p>
        </w:tc>
        <w:tc>
          <w:tcPr>
            <w:tcW w:w="0" w:type="dxa"/>
            <w:vAlign w:val="bottom"/>
          </w:tcPr>
          <w:p>
            <w:pPr>
              <w:spacing w:after="0"/>
              <w:rPr>
                <w:sz w:val="1"/>
                <w:szCs w:val="1"/>
                <w:color w:val="auto"/>
              </w:rPr>
            </w:pPr>
          </w:p>
        </w:tc>
      </w:tr>
      <w:tr>
        <w:trPr>
          <w:trHeight w:val="109"/>
        </w:trPr>
        <w:tc>
          <w:tcPr>
            <w:tcW w:w="440" w:type="dxa"/>
            <w:vAlign w:val="bottom"/>
          </w:tcPr>
          <w:p>
            <w:pPr>
              <w:spacing w:after="0"/>
              <w:rPr>
                <w:sz w:val="9"/>
                <w:szCs w:val="9"/>
                <w:color w:val="auto"/>
              </w:rPr>
            </w:pPr>
          </w:p>
        </w:tc>
        <w:tc>
          <w:tcPr>
            <w:tcW w:w="500" w:type="dxa"/>
            <w:vAlign w:val="bottom"/>
            <w:tcBorders>
              <w:bottom w:val="single" w:sz="8" w:color="00B5AA"/>
            </w:tcBorders>
          </w:tcPr>
          <w:p>
            <w:pPr>
              <w:spacing w:after="0"/>
              <w:rPr>
                <w:sz w:val="9"/>
                <w:szCs w:val="9"/>
                <w:color w:val="auto"/>
              </w:rPr>
            </w:pPr>
          </w:p>
        </w:tc>
        <w:tc>
          <w:tcPr>
            <w:tcW w:w="40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500" w:type="dxa"/>
            <w:vAlign w:val="bottom"/>
            <w:tcBorders>
              <w:bottom w:val="single" w:sz="8" w:color="00B5AA"/>
            </w:tcBorders>
          </w:tcPr>
          <w:p>
            <w:pPr>
              <w:spacing w:after="0"/>
              <w:rPr>
                <w:sz w:val="9"/>
                <w:szCs w:val="9"/>
                <w:color w:val="auto"/>
              </w:rPr>
            </w:pPr>
          </w:p>
        </w:tc>
        <w:tc>
          <w:tcPr>
            <w:tcW w:w="2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440" w:type="dxa"/>
            <w:vAlign w:val="bottom"/>
          </w:tcPr>
          <w:p>
            <w:pPr>
              <w:jc w:val="right"/>
              <w:ind w:right="122"/>
              <w:spacing w:after="0"/>
              <w:rPr>
                <w:rFonts w:ascii="Arial" w:cs="Arial" w:eastAsia="Arial" w:hAnsi="Arial"/>
                <w:sz w:val="20"/>
                <w:szCs w:val="20"/>
                <w:b w:val="1"/>
                <w:bCs w:val="1"/>
                <w:color w:val="16479F"/>
                <w:w w:val="89"/>
              </w:rPr>
            </w:pPr>
            <w:hyperlink w:anchor="page58">
              <w:r>
                <w:rPr>
                  <w:rFonts w:ascii="Arial" w:cs="Arial" w:eastAsia="Arial" w:hAnsi="Arial"/>
                  <w:sz w:val="20"/>
                  <w:szCs w:val="20"/>
                  <w:b w:val="1"/>
                  <w:bCs w:val="1"/>
                  <w:color w:val="16479F"/>
                  <w:w w:val="89"/>
                </w:rPr>
                <w:t>57</w:t>
              </w:r>
            </w:hyperlink>
          </w:p>
        </w:tc>
        <w:tc>
          <w:tcPr>
            <w:tcW w:w="4580" w:type="dxa"/>
            <w:vAlign w:val="bottom"/>
            <w:gridSpan w:val="2"/>
          </w:tcPr>
          <w:p>
            <w:pPr>
              <w:spacing w:after="0"/>
              <w:rPr>
                <w:rFonts w:ascii="Arial" w:cs="Arial" w:eastAsia="Arial" w:hAnsi="Arial"/>
                <w:sz w:val="20"/>
                <w:szCs w:val="20"/>
                <w:b w:val="1"/>
                <w:bCs w:val="1"/>
                <w:color w:val="16479F"/>
              </w:rPr>
            </w:pPr>
            <w:hyperlink w:anchor="page58">
              <w:r>
                <w:rPr>
                  <w:rFonts w:ascii="Arial" w:cs="Arial" w:eastAsia="Arial" w:hAnsi="Arial"/>
                  <w:sz w:val="20"/>
                  <w:szCs w:val="20"/>
                  <w:b w:val="1"/>
                  <w:bCs w:val="1"/>
                  <w:color w:val="16479F"/>
                </w:rPr>
                <w:t>Highlights</w:t>
              </w:r>
            </w:hyperlink>
          </w:p>
        </w:tc>
        <w:tc>
          <w:tcPr>
            <w:tcW w:w="1260" w:type="dxa"/>
            <w:vAlign w:val="bottom"/>
          </w:tcPr>
          <w:p>
            <w:pPr>
              <w:ind w:left="820"/>
              <w:spacing w:after="0"/>
              <w:rPr>
                <w:rFonts w:ascii="Arial" w:cs="Arial" w:eastAsia="Arial" w:hAnsi="Arial"/>
                <w:sz w:val="16"/>
                <w:szCs w:val="16"/>
                <w:b w:val="1"/>
                <w:bCs w:val="1"/>
                <w:color w:val="auto"/>
              </w:rPr>
            </w:pPr>
            <w:hyperlink w:anchor="page85">
              <w:r>
                <w:rPr>
                  <w:rFonts w:ascii="Arial" w:cs="Arial" w:eastAsia="Arial" w:hAnsi="Arial"/>
                  <w:sz w:val="16"/>
                  <w:szCs w:val="16"/>
                  <w:b w:val="1"/>
                  <w:bCs w:val="1"/>
                  <w:color w:val="auto"/>
                </w:rPr>
                <w:t>84</w:t>
              </w:r>
            </w:hyperlink>
          </w:p>
        </w:tc>
        <w:tc>
          <w:tcPr>
            <w:tcW w:w="2720" w:type="dxa"/>
            <w:vAlign w:val="bottom"/>
            <w:gridSpan w:val="2"/>
          </w:tcPr>
          <w:p>
            <w:pPr>
              <w:ind w:left="20"/>
              <w:spacing w:after="0"/>
              <w:rPr>
                <w:rFonts w:ascii="Arial" w:cs="Arial" w:eastAsia="Arial" w:hAnsi="Arial"/>
                <w:sz w:val="16"/>
                <w:szCs w:val="16"/>
                <w:color w:val="auto"/>
              </w:rPr>
            </w:pPr>
            <w:hyperlink w:anchor="page85">
              <w:r>
                <w:rPr>
                  <w:rFonts w:ascii="Arial" w:cs="Arial" w:eastAsia="Arial" w:hAnsi="Arial"/>
                  <w:sz w:val="16"/>
                  <w:szCs w:val="16"/>
                  <w:color w:val="auto"/>
                </w:rPr>
                <w:t>Clawback Policy</w:t>
              </w:r>
            </w:hyperlink>
          </w:p>
        </w:tc>
        <w:tc>
          <w:tcPr>
            <w:tcW w:w="0" w:type="dxa"/>
            <w:vAlign w:val="bottom"/>
          </w:tcPr>
          <w:p>
            <w:pPr>
              <w:spacing w:after="0"/>
              <w:rPr>
                <w:sz w:val="1"/>
                <w:szCs w:val="1"/>
                <w:color w:val="auto"/>
              </w:rPr>
            </w:pPr>
          </w:p>
        </w:tc>
      </w:tr>
      <w:tr>
        <w:trPr>
          <w:trHeight w:val="119"/>
        </w:trPr>
        <w:tc>
          <w:tcPr>
            <w:tcW w:w="440" w:type="dxa"/>
            <w:vAlign w:val="bottom"/>
          </w:tcPr>
          <w:p>
            <w:pPr>
              <w:spacing w:after="0"/>
              <w:rPr>
                <w:sz w:val="10"/>
                <w:szCs w:val="10"/>
                <w:color w:val="auto"/>
              </w:rPr>
            </w:pPr>
          </w:p>
        </w:tc>
        <w:tc>
          <w:tcPr>
            <w:tcW w:w="500" w:type="dxa"/>
            <w:vAlign w:val="bottom"/>
            <w:tcBorders>
              <w:bottom w:val="single" w:sz="8" w:color="00B5AA"/>
            </w:tcBorders>
          </w:tcPr>
          <w:p>
            <w:pPr>
              <w:spacing w:after="0"/>
              <w:rPr>
                <w:sz w:val="10"/>
                <w:szCs w:val="10"/>
                <w:color w:val="auto"/>
              </w:rPr>
            </w:pPr>
          </w:p>
        </w:tc>
        <w:tc>
          <w:tcPr>
            <w:tcW w:w="4080" w:type="dxa"/>
            <w:vAlign w:val="bottom"/>
          </w:tcPr>
          <w:p>
            <w:pPr>
              <w:spacing w:after="0"/>
              <w:rPr>
                <w:sz w:val="10"/>
                <w:szCs w:val="10"/>
                <w:color w:val="auto"/>
              </w:rPr>
            </w:pPr>
          </w:p>
        </w:tc>
        <w:tc>
          <w:tcPr>
            <w:tcW w:w="1260" w:type="dxa"/>
            <w:vAlign w:val="bottom"/>
            <w:vMerge w:val="restart"/>
          </w:tcPr>
          <w:p>
            <w:pPr>
              <w:ind w:left="820"/>
              <w:spacing w:after="0"/>
              <w:rPr>
                <w:rFonts w:ascii="Arial" w:cs="Arial" w:eastAsia="Arial" w:hAnsi="Arial"/>
                <w:sz w:val="16"/>
                <w:szCs w:val="16"/>
                <w:b w:val="1"/>
                <w:bCs w:val="1"/>
                <w:color w:val="auto"/>
              </w:rPr>
            </w:pPr>
            <w:hyperlink w:anchor="page86">
              <w:r>
                <w:rPr>
                  <w:rFonts w:ascii="Arial" w:cs="Arial" w:eastAsia="Arial" w:hAnsi="Arial"/>
                  <w:sz w:val="16"/>
                  <w:szCs w:val="16"/>
                  <w:b w:val="1"/>
                  <w:bCs w:val="1"/>
                  <w:color w:val="auto"/>
                </w:rPr>
                <w:t>85</w:t>
              </w:r>
            </w:hyperlink>
          </w:p>
        </w:tc>
        <w:tc>
          <w:tcPr>
            <w:tcW w:w="2720" w:type="dxa"/>
            <w:vAlign w:val="bottom"/>
            <w:gridSpan w:val="2"/>
            <w:vMerge w:val="restart"/>
          </w:tcPr>
          <w:p>
            <w:pPr>
              <w:ind w:left="20"/>
              <w:spacing w:after="0"/>
              <w:rPr>
                <w:rFonts w:ascii="Arial" w:cs="Arial" w:eastAsia="Arial" w:hAnsi="Arial"/>
                <w:sz w:val="16"/>
                <w:szCs w:val="16"/>
                <w:color w:val="auto"/>
                <w:w w:val="99"/>
              </w:rPr>
            </w:pPr>
            <w:hyperlink w:anchor="page86">
              <w:r>
                <w:rPr>
                  <w:rFonts w:ascii="Arial" w:cs="Arial" w:eastAsia="Arial" w:hAnsi="Arial"/>
                  <w:sz w:val="16"/>
                  <w:szCs w:val="16"/>
                  <w:color w:val="auto"/>
                  <w:w w:val="99"/>
                </w:rPr>
                <w:t>Anti-Hedging and Anti-Pledging Policy</w:t>
              </w:r>
            </w:hyperlink>
          </w:p>
        </w:tc>
        <w:tc>
          <w:tcPr>
            <w:tcW w:w="0" w:type="dxa"/>
            <w:vAlign w:val="bottom"/>
          </w:tcPr>
          <w:p>
            <w:pPr>
              <w:spacing w:after="0"/>
              <w:rPr>
                <w:sz w:val="1"/>
                <w:szCs w:val="1"/>
                <w:color w:val="auto"/>
              </w:rPr>
            </w:pPr>
          </w:p>
        </w:tc>
      </w:tr>
      <w:tr>
        <w:trPr>
          <w:trHeight w:val="75"/>
        </w:trPr>
        <w:tc>
          <w:tcPr>
            <w:tcW w:w="4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27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sectPr>
          <w:pgSz w:w="11900" w:h="16838" w:orient="portrait"/>
          <w:cols w:equalWidth="0" w:num="1">
            <w:col w:w="11220"/>
          </w:cols>
          <w:pgMar w:left="320" w:top="121" w:right="359" w:bottom="1440" w:gutter="0" w:footer="0" w:header="0"/>
        </w:sectPr>
      </w:pPr>
    </w:p>
    <w:p>
      <w:pPr>
        <w:ind w:left="440" w:hanging="433"/>
        <w:spacing w:after="0"/>
        <w:tabs>
          <w:tab w:leader="none" w:pos="440" w:val="left"/>
        </w:tabs>
        <w:numPr>
          <w:ilvl w:val="0"/>
          <w:numId w:val="84"/>
        </w:numPr>
        <w:rPr>
          <w:rFonts w:ascii="Arial" w:cs="Arial" w:eastAsia="Arial" w:hAnsi="Arial"/>
          <w:sz w:val="16"/>
          <w:szCs w:val="16"/>
          <w:color w:val="auto"/>
        </w:rPr>
      </w:pPr>
      <w:hyperlink w:anchor="page58">
        <w:r>
          <w:rPr>
            <w:rFonts w:ascii="Arial" w:cs="Arial" w:eastAsia="Arial" w:hAnsi="Arial"/>
            <w:sz w:val="16"/>
            <w:szCs w:val="16"/>
            <w:color w:val="auto"/>
          </w:rPr>
          <w:t>Executive Summary</w:t>
        </w:r>
      </w:hyperlink>
    </w:p>
    <w:p>
      <w:pPr>
        <w:spacing w:after="0" w:line="57" w:lineRule="exact"/>
        <w:rPr>
          <w:rFonts w:ascii="Arial" w:cs="Arial" w:eastAsia="Arial" w:hAnsi="Arial"/>
          <w:sz w:val="16"/>
          <w:szCs w:val="16"/>
          <w:color w:val="auto"/>
        </w:rPr>
      </w:pPr>
    </w:p>
    <w:p>
      <w:pPr>
        <w:ind w:left="440" w:hanging="433"/>
        <w:spacing w:after="0"/>
        <w:tabs>
          <w:tab w:leader="none" w:pos="440" w:val="left"/>
        </w:tabs>
        <w:numPr>
          <w:ilvl w:val="0"/>
          <w:numId w:val="84"/>
        </w:numPr>
        <w:rPr>
          <w:rFonts w:ascii="Arial" w:cs="Arial" w:eastAsia="Arial" w:hAnsi="Arial"/>
          <w:sz w:val="16"/>
          <w:szCs w:val="16"/>
          <w:color w:val="auto"/>
        </w:rPr>
      </w:pPr>
      <w:hyperlink w:anchor="page59">
        <w:r>
          <w:rPr>
            <w:rFonts w:ascii="Arial" w:cs="Arial" w:eastAsia="Arial" w:hAnsi="Arial"/>
            <w:sz w:val="16"/>
            <w:szCs w:val="16"/>
            <w:color w:val="auto"/>
          </w:rPr>
          <w:t>Business Strategy and Compensation</w:t>
        </w:r>
      </w:hyperlink>
    </w:p>
    <w:p>
      <w:pPr>
        <w:spacing w:after="0" w:line="57" w:lineRule="exact"/>
        <w:rPr>
          <w:rFonts w:ascii="Arial" w:cs="Arial" w:eastAsia="Arial" w:hAnsi="Arial"/>
          <w:sz w:val="16"/>
          <w:szCs w:val="16"/>
          <w:color w:val="auto"/>
        </w:rPr>
      </w:pPr>
    </w:p>
    <w:p>
      <w:pPr>
        <w:ind w:left="440" w:hanging="433"/>
        <w:spacing w:after="0"/>
        <w:tabs>
          <w:tab w:leader="none" w:pos="440" w:val="left"/>
        </w:tabs>
        <w:numPr>
          <w:ilvl w:val="0"/>
          <w:numId w:val="85"/>
        </w:numPr>
        <w:rPr>
          <w:rFonts w:ascii="Arial" w:cs="Arial" w:eastAsia="Arial" w:hAnsi="Arial"/>
          <w:sz w:val="16"/>
          <w:szCs w:val="16"/>
          <w:color w:val="auto"/>
        </w:rPr>
      </w:pPr>
      <w:hyperlink w:anchor="page59">
        <w:r>
          <w:rPr>
            <w:rFonts w:ascii="Arial" w:cs="Arial" w:eastAsia="Arial" w:hAnsi="Arial"/>
            <w:sz w:val="16"/>
            <w:szCs w:val="16"/>
            <w:color w:val="auto"/>
          </w:rPr>
          <w:t>2021 Business Highlights</w:t>
        </w:r>
      </w:hyperlink>
    </w:p>
    <w:p>
      <w:pPr>
        <w:spacing w:after="0" w:line="57" w:lineRule="exact"/>
        <w:rPr>
          <w:rFonts w:ascii="Arial" w:cs="Arial" w:eastAsia="Arial" w:hAnsi="Arial"/>
          <w:sz w:val="16"/>
          <w:szCs w:val="16"/>
          <w:color w:val="auto"/>
        </w:rPr>
      </w:pPr>
    </w:p>
    <w:p>
      <w:pPr>
        <w:ind w:left="440" w:hanging="433"/>
        <w:spacing w:after="0"/>
        <w:tabs>
          <w:tab w:leader="none" w:pos="440" w:val="left"/>
        </w:tabs>
        <w:numPr>
          <w:ilvl w:val="0"/>
          <w:numId w:val="86"/>
        </w:numPr>
        <w:rPr>
          <w:rFonts w:ascii="Arial" w:cs="Arial" w:eastAsia="Arial" w:hAnsi="Arial"/>
          <w:sz w:val="16"/>
          <w:szCs w:val="16"/>
          <w:color w:val="auto"/>
        </w:rPr>
      </w:pPr>
      <w:hyperlink w:anchor="page61">
        <w:r>
          <w:rPr>
            <w:rFonts w:ascii="Arial" w:cs="Arial" w:eastAsia="Arial" w:hAnsi="Arial"/>
            <w:sz w:val="16"/>
            <w:szCs w:val="16"/>
            <w:color w:val="auto"/>
          </w:rPr>
          <w:t>Key 2021 Compensation Decisions</w:t>
        </w:r>
      </w:hyperlink>
    </w:p>
    <w:p>
      <w:pPr>
        <w:spacing w:after="0" w:line="57" w:lineRule="exact"/>
        <w:rPr>
          <w:rFonts w:ascii="Arial" w:cs="Arial" w:eastAsia="Arial" w:hAnsi="Arial"/>
          <w:sz w:val="16"/>
          <w:szCs w:val="16"/>
          <w:color w:val="auto"/>
        </w:rPr>
      </w:pPr>
    </w:p>
    <w:p>
      <w:pPr>
        <w:ind w:left="440" w:hanging="433"/>
        <w:spacing w:after="0"/>
        <w:tabs>
          <w:tab w:leader="none" w:pos="440" w:val="left"/>
        </w:tabs>
        <w:numPr>
          <w:ilvl w:val="0"/>
          <w:numId w:val="86"/>
        </w:numPr>
        <w:rPr>
          <w:rFonts w:ascii="Arial" w:cs="Arial" w:eastAsia="Arial" w:hAnsi="Arial"/>
          <w:sz w:val="16"/>
          <w:szCs w:val="16"/>
          <w:color w:val="auto"/>
        </w:rPr>
      </w:pPr>
      <w:hyperlink w:anchor="page62">
        <w:r>
          <w:rPr>
            <w:rFonts w:ascii="Arial" w:cs="Arial" w:eastAsia="Arial" w:hAnsi="Arial"/>
            <w:sz w:val="16"/>
            <w:szCs w:val="16"/>
            <w:color w:val="auto"/>
          </w:rPr>
          <w:t>Key 2022 Compensation Decisions</w:t>
        </w:r>
      </w:hyperlink>
    </w:p>
    <w:p>
      <w:pPr>
        <w:spacing w:after="0" w:line="81" w:lineRule="exact"/>
        <w:rPr>
          <w:rFonts w:ascii="Arial" w:cs="Arial" w:eastAsia="Arial" w:hAnsi="Arial"/>
          <w:sz w:val="16"/>
          <w:szCs w:val="16"/>
          <w:b w:val="1"/>
          <w:bCs w:val="1"/>
          <w:color w:val="auto"/>
        </w:rPr>
      </w:pPr>
    </w:p>
    <w:p>
      <w:pPr>
        <w:spacing w:after="0"/>
        <w:tabs>
          <w:tab w:leader="none" w:pos="420" w:val="left"/>
        </w:tabs>
        <w:rPr>
          <w:rFonts w:ascii="Arial" w:cs="Arial" w:eastAsia="Arial" w:hAnsi="Arial"/>
          <w:sz w:val="20"/>
          <w:szCs w:val="20"/>
          <w:b w:val="1"/>
          <w:bCs w:val="1"/>
          <w:color w:val="16479F"/>
        </w:rPr>
      </w:pPr>
      <w:r>
        <w:rPr>
          <w:rFonts w:ascii="Arial" w:cs="Arial" w:eastAsia="Arial" w:hAnsi="Arial"/>
          <w:sz w:val="20"/>
          <w:szCs w:val="20"/>
          <w:b w:val="1"/>
          <w:bCs w:val="1"/>
          <w:color w:val="16479F"/>
        </w:rPr>
        <w:t>63</w:t>
        <w:tab/>
      </w:r>
      <w:hyperlink w:anchor="page64">
        <w:r>
          <w:rPr>
            <w:rFonts w:ascii="Arial" w:cs="Arial" w:eastAsia="Arial" w:hAnsi="Arial"/>
            <w:sz w:val="20"/>
            <w:szCs w:val="20"/>
            <w:b w:val="1"/>
            <w:bCs w:val="1"/>
            <w:color w:val="16479F"/>
          </w:rPr>
          <w:t>Governance and Administration</w:t>
        </w:r>
      </w:hyperlink>
    </w:p>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285115</wp:posOffset>
            </wp:positionH>
            <wp:positionV relativeFrom="paragraph">
              <wp:posOffset>67310</wp:posOffset>
            </wp:positionV>
            <wp:extent cx="314325" cy="342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14325" cy="34290"/>
                    </a:xfrm>
                    <a:prstGeom prst="rect">
                      <a:avLst/>
                    </a:prstGeom>
                    <a:noFill/>
                  </pic:spPr>
                </pic:pic>
              </a:graphicData>
            </a:graphic>
          </wp:anchor>
        </w:drawing>
      </w:r>
    </w:p>
    <w:p>
      <w:pPr>
        <w:spacing w:after="0" w:line="248" w:lineRule="exact"/>
        <w:rPr>
          <w:rFonts w:ascii="Arial" w:cs="Arial" w:eastAsia="Arial" w:hAnsi="Arial"/>
          <w:sz w:val="16"/>
          <w:szCs w:val="16"/>
          <w:b w:val="1"/>
          <w:bCs w:val="1"/>
          <w:color w:val="auto"/>
        </w:rPr>
      </w:pPr>
    </w:p>
    <w:p>
      <w:pPr>
        <w:ind w:left="440" w:hanging="433"/>
        <w:spacing w:after="0"/>
        <w:tabs>
          <w:tab w:leader="none" w:pos="440" w:val="left"/>
        </w:tabs>
        <w:numPr>
          <w:ilvl w:val="0"/>
          <w:numId w:val="87"/>
        </w:numPr>
        <w:rPr>
          <w:rFonts w:ascii="Arial" w:cs="Arial" w:eastAsia="Arial" w:hAnsi="Arial"/>
          <w:sz w:val="16"/>
          <w:szCs w:val="16"/>
          <w:color w:val="auto"/>
        </w:rPr>
      </w:pPr>
      <w:hyperlink w:anchor="page64">
        <w:r>
          <w:rPr>
            <w:rFonts w:ascii="Arial" w:cs="Arial" w:eastAsia="Arial" w:hAnsi="Arial"/>
            <w:sz w:val="16"/>
            <w:szCs w:val="16"/>
            <w:color w:val="auto"/>
          </w:rPr>
          <w:t>Executive Compensation Philosophy and Goals</w:t>
        </w:r>
      </w:hyperlink>
    </w:p>
    <w:p>
      <w:pPr>
        <w:spacing w:after="0" w:line="57" w:lineRule="exact"/>
        <w:rPr>
          <w:rFonts w:ascii="Arial" w:cs="Arial" w:eastAsia="Arial" w:hAnsi="Arial"/>
          <w:sz w:val="16"/>
          <w:szCs w:val="16"/>
          <w:color w:val="auto"/>
        </w:rPr>
      </w:pPr>
    </w:p>
    <w:p>
      <w:pPr>
        <w:ind w:left="440" w:hanging="433"/>
        <w:spacing w:after="0"/>
        <w:tabs>
          <w:tab w:leader="none" w:pos="440" w:val="left"/>
        </w:tabs>
        <w:numPr>
          <w:ilvl w:val="0"/>
          <w:numId w:val="87"/>
        </w:numPr>
        <w:rPr>
          <w:rFonts w:ascii="Arial" w:cs="Arial" w:eastAsia="Arial" w:hAnsi="Arial"/>
          <w:sz w:val="16"/>
          <w:szCs w:val="16"/>
          <w:color w:val="auto"/>
        </w:rPr>
      </w:pPr>
      <w:hyperlink w:anchor="page65">
        <w:r>
          <w:rPr>
            <w:rFonts w:ascii="Arial" w:cs="Arial" w:eastAsia="Arial" w:hAnsi="Arial"/>
            <w:sz w:val="16"/>
            <w:szCs w:val="16"/>
            <w:color w:val="auto"/>
          </w:rPr>
          <w:t>Executive Compensation Practices</w:t>
        </w:r>
      </w:hyperlink>
    </w:p>
    <w:p>
      <w:pPr>
        <w:spacing w:after="0" w:line="57" w:lineRule="exact"/>
        <w:rPr>
          <w:rFonts w:ascii="Arial" w:cs="Arial" w:eastAsia="Arial" w:hAnsi="Arial"/>
          <w:sz w:val="16"/>
          <w:szCs w:val="16"/>
          <w:color w:val="auto"/>
        </w:rPr>
      </w:pPr>
    </w:p>
    <w:p>
      <w:pPr>
        <w:ind w:left="440" w:hanging="433"/>
        <w:spacing w:after="0"/>
        <w:tabs>
          <w:tab w:leader="none" w:pos="440" w:val="left"/>
        </w:tabs>
        <w:numPr>
          <w:ilvl w:val="0"/>
          <w:numId w:val="87"/>
        </w:numPr>
        <w:rPr>
          <w:rFonts w:ascii="Arial" w:cs="Arial" w:eastAsia="Arial" w:hAnsi="Arial"/>
          <w:sz w:val="16"/>
          <w:szCs w:val="16"/>
          <w:color w:val="auto"/>
        </w:rPr>
      </w:pPr>
      <w:hyperlink w:anchor="page66">
        <w:r>
          <w:rPr>
            <w:rFonts w:ascii="Arial" w:cs="Arial" w:eastAsia="Arial" w:hAnsi="Arial"/>
            <w:sz w:val="16"/>
            <w:szCs w:val="16"/>
            <w:color w:val="auto"/>
          </w:rPr>
          <w:t>Executive Compensation Process</w:t>
        </w:r>
      </w:hyperlink>
    </w:p>
    <w:p>
      <w:pPr>
        <w:spacing w:after="0" w:line="57" w:lineRule="exact"/>
        <w:rPr>
          <w:rFonts w:ascii="Arial" w:cs="Arial" w:eastAsia="Arial" w:hAnsi="Arial"/>
          <w:sz w:val="16"/>
          <w:szCs w:val="16"/>
          <w:color w:val="auto"/>
        </w:rPr>
      </w:pPr>
    </w:p>
    <w:p>
      <w:pPr>
        <w:ind w:left="440" w:hanging="433"/>
        <w:spacing w:after="0"/>
        <w:tabs>
          <w:tab w:leader="none" w:pos="440" w:val="left"/>
        </w:tabs>
        <w:numPr>
          <w:ilvl w:val="0"/>
          <w:numId w:val="87"/>
        </w:numPr>
        <w:rPr>
          <w:rFonts w:ascii="Arial" w:cs="Arial" w:eastAsia="Arial" w:hAnsi="Arial"/>
          <w:sz w:val="16"/>
          <w:szCs w:val="16"/>
          <w:color w:val="auto"/>
        </w:rPr>
      </w:pPr>
      <w:hyperlink w:anchor="page67">
        <w:r>
          <w:rPr>
            <w:rFonts w:ascii="Arial" w:cs="Arial" w:eastAsia="Arial" w:hAnsi="Arial"/>
            <w:sz w:val="16"/>
            <w:szCs w:val="16"/>
            <w:color w:val="auto"/>
          </w:rPr>
          <w:t>Executive Compensation Considerations</w:t>
        </w:r>
      </w:hyperlink>
    </w:p>
    <w:p>
      <w:pPr>
        <w:spacing w:after="0" w:line="81" w:lineRule="exact"/>
        <w:rPr>
          <w:rFonts w:ascii="Arial" w:cs="Arial" w:eastAsia="Arial" w:hAnsi="Arial"/>
          <w:sz w:val="16"/>
          <w:szCs w:val="16"/>
          <w:b w:val="1"/>
          <w:bCs w:val="1"/>
          <w:color w:val="auto"/>
        </w:rPr>
      </w:pPr>
    </w:p>
    <w:p>
      <w:pPr>
        <w:spacing w:after="0"/>
        <w:tabs>
          <w:tab w:leader="none" w:pos="420" w:val="left"/>
        </w:tabs>
        <w:rPr>
          <w:rFonts w:ascii="Arial" w:cs="Arial" w:eastAsia="Arial" w:hAnsi="Arial"/>
          <w:sz w:val="20"/>
          <w:szCs w:val="20"/>
          <w:b w:val="1"/>
          <w:bCs w:val="1"/>
          <w:color w:val="16479F"/>
        </w:rPr>
      </w:pPr>
      <w:r>
        <w:rPr>
          <w:rFonts w:ascii="Arial" w:cs="Arial" w:eastAsia="Arial" w:hAnsi="Arial"/>
          <w:sz w:val="20"/>
          <w:szCs w:val="20"/>
          <w:b w:val="1"/>
          <w:bCs w:val="1"/>
          <w:color w:val="16479F"/>
        </w:rPr>
        <w:t>69</w:t>
        <w:tab/>
      </w:r>
      <w:hyperlink w:anchor="page70">
        <w:r>
          <w:rPr>
            <w:rFonts w:ascii="Arial" w:cs="Arial" w:eastAsia="Arial" w:hAnsi="Arial"/>
            <w:sz w:val="20"/>
            <w:szCs w:val="20"/>
            <w:b w:val="1"/>
            <w:bCs w:val="1"/>
            <w:color w:val="16479F"/>
          </w:rPr>
          <w:t>Review of Our Programs</w:t>
        </w:r>
      </w:hyperlink>
    </w:p>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285115</wp:posOffset>
            </wp:positionH>
            <wp:positionV relativeFrom="paragraph">
              <wp:posOffset>67310</wp:posOffset>
            </wp:positionV>
            <wp:extent cx="314325" cy="342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14325" cy="34290"/>
                    </a:xfrm>
                    <a:prstGeom prst="rect">
                      <a:avLst/>
                    </a:prstGeom>
                    <a:noFill/>
                  </pic:spPr>
                </pic:pic>
              </a:graphicData>
            </a:graphic>
          </wp:anchor>
        </w:drawing>
      </w:r>
    </w:p>
    <w:p>
      <w:pPr>
        <w:spacing w:after="0" w:line="248" w:lineRule="exact"/>
        <w:rPr>
          <w:rFonts w:ascii="Arial" w:cs="Arial" w:eastAsia="Arial" w:hAnsi="Arial"/>
          <w:sz w:val="16"/>
          <w:szCs w:val="16"/>
          <w:b w:val="1"/>
          <w:bCs w:val="1"/>
          <w:color w:val="auto"/>
        </w:rPr>
      </w:pPr>
    </w:p>
    <w:p>
      <w:pPr>
        <w:ind w:left="440" w:hanging="433"/>
        <w:spacing w:after="0"/>
        <w:tabs>
          <w:tab w:leader="none" w:pos="440" w:val="left"/>
        </w:tabs>
        <w:numPr>
          <w:ilvl w:val="0"/>
          <w:numId w:val="88"/>
        </w:numPr>
        <w:rPr>
          <w:rFonts w:ascii="Arial" w:cs="Arial" w:eastAsia="Arial" w:hAnsi="Arial"/>
          <w:sz w:val="16"/>
          <w:szCs w:val="16"/>
          <w:color w:val="auto"/>
        </w:rPr>
      </w:pPr>
      <w:hyperlink w:anchor="page70">
        <w:r>
          <w:rPr>
            <w:rFonts w:ascii="Arial" w:cs="Arial" w:eastAsia="Arial" w:hAnsi="Arial"/>
            <w:sz w:val="16"/>
            <w:szCs w:val="16"/>
            <w:color w:val="auto"/>
          </w:rPr>
          <w:t>Elements of Executive Compensation</w:t>
        </w:r>
      </w:hyperlink>
    </w:p>
    <w:p>
      <w:pPr>
        <w:spacing w:after="0" w:line="57" w:lineRule="exact"/>
        <w:rPr>
          <w:rFonts w:ascii="Arial" w:cs="Arial" w:eastAsia="Arial" w:hAnsi="Arial"/>
          <w:sz w:val="16"/>
          <w:szCs w:val="16"/>
          <w:color w:val="auto"/>
        </w:rPr>
      </w:pPr>
    </w:p>
    <w:p>
      <w:pPr>
        <w:ind w:left="440" w:hanging="433"/>
        <w:spacing w:after="0"/>
        <w:tabs>
          <w:tab w:leader="none" w:pos="440" w:val="left"/>
        </w:tabs>
        <w:numPr>
          <w:ilvl w:val="0"/>
          <w:numId w:val="88"/>
        </w:numPr>
        <w:rPr>
          <w:rFonts w:ascii="Arial" w:cs="Arial" w:eastAsia="Arial" w:hAnsi="Arial"/>
          <w:sz w:val="16"/>
          <w:szCs w:val="16"/>
          <w:color w:val="auto"/>
        </w:rPr>
      </w:pPr>
      <w:hyperlink w:anchor="page71">
        <w:r>
          <w:rPr>
            <w:rFonts w:ascii="Arial" w:cs="Arial" w:eastAsia="Arial" w:hAnsi="Arial"/>
            <w:sz w:val="16"/>
            <w:szCs w:val="16"/>
            <w:color w:val="auto"/>
          </w:rPr>
          <w:t>Fixed Compensation</w:t>
        </w:r>
      </w:hyperlink>
    </w:p>
    <w:p>
      <w:pPr>
        <w:spacing w:after="0" w:line="57" w:lineRule="exact"/>
        <w:rPr>
          <w:rFonts w:ascii="Arial" w:cs="Arial" w:eastAsia="Arial" w:hAnsi="Arial"/>
          <w:sz w:val="16"/>
          <w:szCs w:val="16"/>
          <w:b w:val="1"/>
          <w:bCs w:val="1"/>
          <w:color w:val="auto"/>
        </w:rPr>
      </w:pPr>
    </w:p>
    <w:p>
      <w:pPr>
        <w:ind w:left="440" w:hanging="433"/>
        <w:spacing w:after="0"/>
        <w:tabs>
          <w:tab w:leader="none" w:pos="440" w:val="left"/>
        </w:tabs>
        <w:numPr>
          <w:ilvl w:val="0"/>
          <w:numId w:val="89"/>
        </w:numPr>
        <w:rPr>
          <w:rFonts w:ascii="Arial" w:cs="Arial" w:eastAsia="Arial" w:hAnsi="Arial"/>
          <w:sz w:val="16"/>
          <w:szCs w:val="16"/>
          <w:color w:val="auto"/>
        </w:rPr>
      </w:pPr>
      <w:hyperlink w:anchor="page71">
        <w:r>
          <w:rPr>
            <w:rFonts w:ascii="Arial" w:cs="Arial" w:eastAsia="Arial" w:hAnsi="Arial"/>
            <w:sz w:val="16"/>
            <w:szCs w:val="16"/>
            <w:color w:val="auto"/>
          </w:rPr>
          <w:t>Variable Compensation</w:t>
        </w:r>
      </w:hyperlink>
    </w:p>
    <w:p>
      <w:pPr>
        <w:spacing w:after="0" w:line="57" w:lineRule="exact"/>
        <w:rPr>
          <w:rFonts w:ascii="Arial" w:cs="Arial" w:eastAsia="Arial" w:hAnsi="Arial"/>
          <w:sz w:val="16"/>
          <w:szCs w:val="16"/>
          <w:b w:val="1"/>
          <w:bCs w:val="1"/>
          <w:color w:val="auto"/>
        </w:rPr>
      </w:pPr>
    </w:p>
    <w:p>
      <w:pPr>
        <w:ind w:left="440" w:hanging="433"/>
        <w:spacing w:after="0"/>
        <w:tabs>
          <w:tab w:leader="none" w:pos="440" w:val="left"/>
        </w:tabs>
        <w:numPr>
          <w:ilvl w:val="0"/>
          <w:numId w:val="90"/>
        </w:numPr>
        <w:rPr>
          <w:rFonts w:ascii="Arial" w:cs="Arial" w:eastAsia="Arial" w:hAnsi="Arial"/>
          <w:sz w:val="16"/>
          <w:szCs w:val="16"/>
          <w:color w:val="auto"/>
        </w:rPr>
      </w:pPr>
      <w:hyperlink w:anchor="page84">
        <w:r>
          <w:rPr>
            <w:rFonts w:ascii="Arial" w:cs="Arial" w:eastAsia="Arial" w:hAnsi="Arial"/>
            <w:sz w:val="16"/>
            <w:szCs w:val="16"/>
            <w:color w:val="auto"/>
          </w:rPr>
          <w:t>Stock Ownership Guidelines</w:t>
        </w:r>
      </w:hyperlink>
    </w:p>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br w:type="column"/>
      </w:r>
    </w:p>
    <w:p>
      <w:pPr>
        <w:spacing w:after="0" w:line="18" w:lineRule="exact"/>
        <w:rPr>
          <w:rFonts w:ascii="Arial" w:cs="Arial" w:eastAsia="Arial" w:hAnsi="Arial"/>
          <w:sz w:val="16"/>
          <w:szCs w:val="16"/>
          <w:b w:val="1"/>
          <w:bCs w:val="1"/>
          <w:color w:val="auto"/>
        </w:rPr>
      </w:pPr>
    </w:p>
    <w:p>
      <w:pPr>
        <w:spacing w:after="0"/>
        <w:tabs>
          <w:tab w:leader="none" w:pos="440" w:val="left"/>
        </w:tabs>
        <w:rPr>
          <w:rFonts w:ascii="Arial" w:cs="Arial" w:eastAsia="Arial" w:hAnsi="Arial"/>
          <w:sz w:val="20"/>
          <w:szCs w:val="20"/>
          <w:b w:val="1"/>
          <w:bCs w:val="1"/>
          <w:color w:val="16479F"/>
        </w:rPr>
      </w:pPr>
      <w:r>
        <w:rPr>
          <w:rFonts w:ascii="Arial" w:cs="Arial" w:eastAsia="Arial" w:hAnsi="Arial"/>
          <w:sz w:val="20"/>
          <w:szCs w:val="20"/>
          <w:b w:val="1"/>
          <w:bCs w:val="1"/>
          <w:color w:val="16479F"/>
        </w:rPr>
        <w:t>85</w:t>
        <w:tab/>
      </w:r>
      <w:hyperlink w:anchor="page86">
        <w:r>
          <w:rPr>
            <w:rFonts w:ascii="Arial" w:cs="Arial" w:eastAsia="Arial" w:hAnsi="Arial"/>
            <w:sz w:val="20"/>
            <w:szCs w:val="20"/>
            <w:b w:val="1"/>
            <w:bCs w:val="1"/>
            <w:color w:val="16479F"/>
          </w:rPr>
          <w:t>Tax Considerations</w:t>
        </w:r>
      </w:hyperlink>
    </w:p>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283845</wp:posOffset>
            </wp:positionH>
            <wp:positionV relativeFrom="paragraph">
              <wp:posOffset>67310</wp:posOffset>
            </wp:positionV>
            <wp:extent cx="314325" cy="342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14325" cy="34290"/>
                    </a:xfrm>
                    <a:prstGeom prst="rect">
                      <a:avLst/>
                    </a:prstGeom>
                    <a:noFill/>
                  </pic:spPr>
                </pic:pic>
              </a:graphicData>
            </a:graphic>
          </wp:anchor>
        </w:drawing>
      </w:r>
    </w:p>
    <w:p>
      <w:pPr>
        <w:spacing w:after="0" w:line="192" w:lineRule="exact"/>
        <w:rPr>
          <w:rFonts w:ascii="Arial" w:cs="Arial" w:eastAsia="Arial" w:hAnsi="Arial"/>
          <w:sz w:val="16"/>
          <w:szCs w:val="16"/>
          <w:b w:val="1"/>
          <w:bCs w:val="1"/>
          <w:color w:val="auto"/>
        </w:rPr>
      </w:pPr>
    </w:p>
    <w:p>
      <w:pPr>
        <w:ind w:left="460" w:hanging="451"/>
        <w:spacing w:after="0"/>
        <w:tabs>
          <w:tab w:leader="none" w:pos="460" w:val="left"/>
        </w:tabs>
        <w:numPr>
          <w:ilvl w:val="0"/>
          <w:numId w:val="91"/>
        </w:numPr>
        <w:rPr>
          <w:rFonts w:ascii="Arial" w:cs="Arial" w:eastAsia="Arial" w:hAnsi="Arial"/>
          <w:sz w:val="20"/>
          <w:szCs w:val="20"/>
          <w:b w:val="1"/>
          <w:bCs w:val="1"/>
          <w:color w:val="16479F"/>
        </w:rPr>
      </w:pPr>
      <w:hyperlink w:anchor="page86">
        <w:r>
          <w:rPr>
            <w:rFonts w:ascii="Arial" w:cs="Arial" w:eastAsia="Arial" w:hAnsi="Arial"/>
            <w:sz w:val="20"/>
            <w:szCs w:val="20"/>
            <w:b w:val="1"/>
            <w:bCs w:val="1"/>
            <w:color w:val="16479F"/>
          </w:rPr>
          <w:t>Compensation Risk Assessment</w:t>
        </w:r>
      </w:hyperlink>
    </w:p>
    <w:p>
      <w:pPr>
        <w:spacing w:after="0" w:line="211" w:lineRule="exact"/>
        <w:rPr>
          <w:rFonts w:ascii="Arial" w:cs="Arial" w:eastAsia="Arial" w:hAnsi="Arial"/>
          <w:sz w:val="20"/>
          <w:szCs w:val="20"/>
          <w:b w:val="1"/>
          <w:bCs w:val="1"/>
          <w:color w:val="16479F"/>
        </w:rPr>
      </w:pPr>
    </w:p>
    <w:p>
      <w:pPr>
        <w:ind w:left="460" w:hanging="451"/>
        <w:spacing w:after="0"/>
        <w:tabs>
          <w:tab w:leader="none" w:pos="460" w:val="left"/>
        </w:tabs>
        <w:numPr>
          <w:ilvl w:val="0"/>
          <w:numId w:val="91"/>
        </w:numPr>
        <w:rPr>
          <w:rFonts w:ascii="Arial" w:cs="Arial" w:eastAsia="Arial" w:hAnsi="Arial"/>
          <w:sz w:val="19"/>
          <w:szCs w:val="19"/>
          <w:b w:val="1"/>
          <w:bCs w:val="1"/>
          <w:color w:val="16479F"/>
        </w:rPr>
      </w:pPr>
      <w:hyperlink w:anchor="page87">
        <w:r>
          <w:rPr>
            <w:rFonts w:ascii="Arial" w:cs="Arial" w:eastAsia="Arial" w:hAnsi="Arial"/>
            <w:sz w:val="19"/>
            <w:szCs w:val="19"/>
            <w:b w:val="1"/>
            <w:bCs w:val="1"/>
            <w:color w:val="16479F"/>
          </w:rPr>
          <w:t>Compensation, Talent and Culture Committee Report</w:t>
        </w:r>
      </w:hyperlink>
    </w:p>
    <w:p>
      <w:pPr>
        <w:spacing w:after="0" w:line="223" w:lineRule="exact"/>
        <w:rPr>
          <w:rFonts w:ascii="Arial" w:cs="Arial" w:eastAsia="Arial" w:hAnsi="Arial"/>
          <w:sz w:val="19"/>
          <w:szCs w:val="19"/>
          <w:b w:val="1"/>
          <w:bCs w:val="1"/>
          <w:color w:val="16479F"/>
        </w:rPr>
      </w:pPr>
    </w:p>
    <w:p>
      <w:pPr>
        <w:ind w:left="460" w:hanging="451"/>
        <w:spacing w:after="0"/>
        <w:tabs>
          <w:tab w:leader="none" w:pos="460" w:val="left"/>
        </w:tabs>
        <w:numPr>
          <w:ilvl w:val="0"/>
          <w:numId w:val="91"/>
        </w:numPr>
        <w:rPr>
          <w:rFonts w:ascii="Arial" w:cs="Arial" w:eastAsia="Arial" w:hAnsi="Arial"/>
          <w:sz w:val="20"/>
          <w:szCs w:val="20"/>
          <w:b w:val="1"/>
          <w:bCs w:val="1"/>
          <w:color w:val="16479F"/>
        </w:rPr>
      </w:pPr>
      <w:hyperlink w:anchor="page88">
        <w:r>
          <w:rPr>
            <w:rFonts w:ascii="Arial" w:cs="Arial" w:eastAsia="Arial" w:hAnsi="Arial"/>
            <w:sz w:val="20"/>
            <w:szCs w:val="20"/>
            <w:b w:val="1"/>
            <w:bCs w:val="1"/>
            <w:color w:val="16479F"/>
          </w:rPr>
          <w:t>Executive Compensation Tables</w:t>
        </w:r>
      </w:hyperlink>
    </w:p>
    <w:p>
      <w:pPr>
        <w:spacing w:after="0" w:line="20" w:lineRule="exact"/>
        <w:rPr>
          <w:rFonts w:ascii="Arial" w:cs="Arial" w:eastAsia="Arial" w:hAnsi="Arial"/>
          <w:sz w:val="19"/>
          <w:szCs w:val="19"/>
          <w:b w:val="1"/>
          <w:bCs w:val="1"/>
          <w:color w:val="16479F"/>
        </w:rPr>
      </w:pPr>
      <w:r>
        <w:rPr>
          <w:rFonts w:ascii="Arial" w:cs="Arial" w:eastAsia="Arial" w:hAnsi="Arial"/>
          <w:sz w:val="19"/>
          <w:szCs w:val="19"/>
          <w:b w:val="1"/>
          <w:bCs w:val="1"/>
          <w:color w:val="16479F"/>
        </w:rPr>
        <w:drawing>
          <wp:anchor simplePos="0" relativeHeight="251657728" behindDoc="1" locked="0" layoutInCell="0" allowOverlap="1">
            <wp:simplePos x="0" y="0"/>
            <wp:positionH relativeFrom="column">
              <wp:posOffset>283845</wp:posOffset>
            </wp:positionH>
            <wp:positionV relativeFrom="paragraph">
              <wp:posOffset>-493395</wp:posOffset>
            </wp:positionV>
            <wp:extent cx="314325" cy="342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14325" cy="34290"/>
                    </a:xfrm>
                    <a:prstGeom prst="rect">
                      <a:avLst/>
                    </a:prstGeom>
                    <a:noFill/>
                  </pic:spPr>
                </pic:pic>
              </a:graphicData>
            </a:graphic>
          </wp:anchor>
        </w:drawing>
        <w:drawing>
          <wp:anchor simplePos="0" relativeHeight="251657728" behindDoc="1" locked="0" layoutInCell="0" allowOverlap="1">
            <wp:simplePos x="0" y="0"/>
            <wp:positionH relativeFrom="column">
              <wp:posOffset>283845</wp:posOffset>
            </wp:positionH>
            <wp:positionV relativeFrom="paragraph">
              <wp:posOffset>-212725</wp:posOffset>
            </wp:positionV>
            <wp:extent cx="314325" cy="342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14325" cy="34290"/>
                    </a:xfrm>
                    <a:prstGeom prst="rect">
                      <a:avLst/>
                    </a:prstGeom>
                    <a:noFill/>
                  </pic:spPr>
                </pic:pic>
              </a:graphicData>
            </a:graphic>
          </wp:anchor>
        </w:drawing>
        <w:drawing>
          <wp:anchor simplePos="0" relativeHeight="251657728" behindDoc="1" locked="0" layoutInCell="0" allowOverlap="1">
            <wp:simplePos x="0" y="0"/>
            <wp:positionH relativeFrom="column">
              <wp:posOffset>283845</wp:posOffset>
            </wp:positionH>
            <wp:positionV relativeFrom="paragraph">
              <wp:posOffset>67310</wp:posOffset>
            </wp:positionV>
            <wp:extent cx="314325" cy="342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14325" cy="34290"/>
                    </a:xfrm>
                    <a:prstGeom prst="rect">
                      <a:avLst/>
                    </a:prstGeom>
                    <a:noFill/>
                  </pic:spPr>
                </pic:pic>
              </a:graphicData>
            </a:graphic>
          </wp:anchor>
        </w:drawing>
      </w:r>
    </w:p>
    <w:p>
      <w:pPr>
        <w:spacing w:after="0" w:line="221" w:lineRule="exact"/>
        <w:rPr>
          <w:rFonts w:ascii="Arial" w:cs="Arial" w:eastAsia="Arial" w:hAnsi="Arial"/>
          <w:sz w:val="19"/>
          <w:szCs w:val="19"/>
          <w:b w:val="1"/>
          <w:bCs w:val="1"/>
          <w:color w:val="16479F"/>
        </w:rPr>
      </w:pPr>
    </w:p>
    <w:p>
      <w:pPr>
        <w:ind w:left="460" w:hanging="451"/>
        <w:spacing w:after="0"/>
        <w:tabs>
          <w:tab w:leader="none" w:pos="460" w:val="left"/>
        </w:tabs>
        <w:numPr>
          <w:ilvl w:val="0"/>
          <w:numId w:val="92"/>
        </w:numPr>
        <w:rPr>
          <w:rFonts w:ascii="Arial" w:cs="Arial" w:eastAsia="Arial" w:hAnsi="Arial"/>
          <w:sz w:val="16"/>
          <w:szCs w:val="16"/>
          <w:color w:val="auto"/>
        </w:rPr>
      </w:pPr>
      <w:hyperlink w:anchor="page88">
        <w:r>
          <w:rPr>
            <w:rFonts w:ascii="Arial" w:cs="Arial" w:eastAsia="Arial" w:hAnsi="Arial"/>
            <w:sz w:val="16"/>
            <w:szCs w:val="16"/>
            <w:color w:val="auto"/>
          </w:rPr>
          <w:t>Summary Compensation Table</w:t>
        </w:r>
      </w:hyperlink>
    </w:p>
    <w:p>
      <w:pPr>
        <w:spacing w:after="0" w:line="57" w:lineRule="exact"/>
        <w:rPr>
          <w:rFonts w:ascii="Arial" w:cs="Arial" w:eastAsia="Arial" w:hAnsi="Arial"/>
          <w:sz w:val="16"/>
          <w:szCs w:val="16"/>
          <w:color w:val="auto"/>
        </w:rPr>
      </w:pPr>
    </w:p>
    <w:p>
      <w:pPr>
        <w:ind w:left="460" w:hanging="451"/>
        <w:spacing w:after="0"/>
        <w:tabs>
          <w:tab w:leader="none" w:pos="460" w:val="left"/>
        </w:tabs>
        <w:numPr>
          <w:ilvl w:val="0"/>
          <w:numId w:val="92"/>
        </w:numPr>
        <w:rPr>
          <w:rFonts w:ascii="Arial" w:cs="Arial" w:eastAsia="Arial" w:hAnsi="Arial"/>
          <w:sz w:val="16"/>
          <w:szCs w:val="16"/>
          <w:color w:val="auto"/>
        </w:rPr>
      </w:pPr>
      <w:hyperlink w:anchor="page89">
        <w:r>
          <w:rPr>
            <w:rFonts w:ascii="Arial" w:cs="Arial" w:eastAsia="Arial" w:hAnsi="Arial"/>
            <w:sz w:val="16"/>
            <w:szCs w:val="16"/>
            <w:color w:val="auto"/>
          </w:rPr>
          <w:t>Grants of Plan-Based Awards</w:t>
        </w:r>
      </w:hyperlink>
    </w:p>
    <w:p>
      <w:pPr>
        <w:spacing w:after="0" w:line="57" w:lineRule="exact"/>
        <w:rPr>
          <w:rFonts w:ascii="Arial" w:cs="Arial" w:eastAsia="Arial" w:hAnsi="Arial"/>
          <w:sz w:val="16"/>
          <w:szCs w:val="16"/>
          <w:color w:val="auto"/>
        </w:rPr>
      </w:pPr>
    </w:p>
    <w:p>
      <w:pPr>
        <w:ind w:left="460" w:hanging="451"/>
        <w:spacing w:after="0"/>
        <w:tabs>
          <w:tab w:leader="none" w:pos="460" w:val="left"/>
        </w:tabs>
        <w:numPr>
          <w:ilvl w:val="0"/>
          <w:numId w:val="92"/>
        </w:numPr>
        <w:rPr>
          <w:rFonts w:ascii="Arial" w:cs="Arial" w:eastAsia="Arial" w:hAnsi="Arial"/>
          <w:sz w:val="16"/>
          <w:szCs w:val="16"/>
          <w:color w:val="auto"/>
        </w:rPr>
      </w:pPr>
      <w:hyperlink w:anchor="page90">
        <w:r>
          <w:rPr>
            <w:rFonts w:ascii="Arial" w:cs="Arial" w:eastAsia="Arial" w:hAnsi="Arial"/>
            <w:sz w:val="16"/>
            <w:szCs w:val="16"/>
            <w:color w:val="auto"/>
          </w:rPr>
          <w:t>Outstanding Equity Awards at Fiscal Year-End</w:t>
        </w:r>
      </w:hyperlink>
    </w:p>
    <w:p>
      <w:pPr>
        <w:spacing w:after="0" w:line="57" w:lineRule="exact"/>
        <w:rPr>
          <w:rFonts w:ascii="Arial" w:cs="Arial" w:eastAsia="Arial" w:hAnsi="Arial"/>
          <w:sz w:val="16"/>
          <w:szCs w:val="16"/>
          <w:color w:val="auto"/>
        </w:rPr>
      </w:pPr>
    </w:p>
    <w:p>
      <w:pPr>
        <w:ind w:left="460" w:hanging="451"/>
        <w:spacing w:after="0"/>
        <w:tabs>
          <w:tab w:leader="none" w:pos="460" w:val="left"/>
        </w:tabs>
        <w:numPr>
          <w:ilvl w:val="0"/>
          <w:numId w:val="93"/>
        </w:numPr>
        <w:rPr>
          <w:rFonts w:ascii="Arial" w:cs="Arial" w:eastAsia="Arial" w:hAnsi="Arial"/>
          <w:sz w:val="16"/>
          <w:szCs w:val="16"/>
          <w:color w:val="auto"/>
        </w:rPr>
      </w:pPr>
      <w:hyperlink w:anchor="page92">
        <w:r>
          <w:rPr>
            <w:rFonts w:ascii="Arial" w:cs="Arial" w:eastAsia="Arial" w:hAnsi="Arial"/>
            <w:sz w:val="16"/>
            <w:szCs w:val="16"/>
            <w:color w:val="auto"/>
          </w:rPr>
          <w:t>Option Exercises and Stock Vested</w:t>
        </w:r>
      </w:hyperlink>
    </w:p>
    <w:p>
      <w:pPr>
        <w:spacing w:after="0" w:line="57" w:lineRule="exact"/>
        <w:rPr>
          <w:rFonts w:ascii="Arial" w:cs="Arial" w:eastAsia="Arial" w:hAnsi="Arial"/>
          <w:sz w:val="16"/>
          <w:szCs w:val="16"/>
          <w:color w:val="auto"/>
        </w:rPr>
      </w:pPr>
    </w:p>
    <w:p>
      <w:pPr>
        <w:ind w:left="460" w:hanging="451"/>
        <w:spacing w:after="0"/>
        <w:tabs>
          <w:tab w:leader="none" w:pos="460" w:val="left"/>
        </w:tabs>
        <w:numPr>
          <w:ilvl w:val="0"/>
          <w:numId w:val="94"/>
        </w:numPr>
        <w:rPr>
          <w:rFonts w:ascii="Arial" w:cs="Arial" w:eastAsia="Arial" w:hAnsi="Arial"/>
          <w:sz w:val="16"/>
          <w:szCs w:val="16"/>
          <w:color w:val="auto"/>
        </w:rPr>
      </w:pPr>
      <w:hyperlink w:anchor="page92">
        <w:r>
          <w:rPr>
            <w:rFonts w:ascii="Arial" w:cs="Arial" w:eastAsia="Arial" w:hAnsi="Arial"/>
            <w:sz w:val="16"/>
            <w:szCs w:val="16"/>
            <w:color w:val="auto"/>
          </w:rPr>
          <w:t>Potential Payments Upon Termination or Change in Control</w:t>
        </w:r>
      </w:hyperlink>
    </w:p>
    <w:p>
      <w:pPr>
        <w:spacing w:after="0" w:line="57" w:lineRule="exact"/>
        <w:rPr>
          <w:rFonts w:ascii="Arial" w:cs="Arial" w:eastAsia="Arial" w:hAnsi="Arial"/>
          <w:sz w:val="16"/>
          <w:szCs w:val="16"/>
          <w:color w:val="auto"/>
        </w:rPr>
      </w:pPr>
    </w:p>
    <w:p>
      <w:pPr>
        <w:ind w:left="460" w:hanging="451"/>
        <w:spacing w:after="0"/>
        <w:tabs>
          <w:tab w:leader="none" w:pos="460" w:val="left"/>
        </w:tabs>
        <w:numPr>
          <w:ilvl w:val="0"/>
          <w:numId w:val="95"/>
        </w:numPr>
        <w:rPr>
          <w:rFonts w:ascii="Arial" w:cs="Arial" w:eastAsia="Arial" w:hAnsi="Arial"/>
          <w:sz w:val="16"/>
          <w:szCs w:val="16"/>
          <w:color w:val="auto"/>
        </w:rPr>
      </w:pPr>
      <w:hyperlink w:anchor="page95">
        <w:r>
          <w:rPr>
            <w:rFonts w:ascii="Arial" w:cs="Arial" w:eastAsia="Arial" w:hAnsi="Arial"/>
            <w:sz w:val="16"/>
            <w:szCs w:val="16"/>
            <w:color w:val="auto"/>
          </w:rPr>
          <w:t>Termination or Change in Control</w:t>
        </w:r>
      </w:hyperlink>
    </w:p>
    <w:p>
      <w:pPr>
        <w:spacing w:after="0" w:line="57" w:lineRule="exact"/>
        <w:rPr>
          <w:rFonts w:ascii="Arial" w:cs="Arial" w:eastAsia="Arial" w:hAnsi="Arial"/>
          <w:sz w:val="16"/>
          <w:szCs w:val="16"/>
          <w:color w:val="auto"/>
        </w:rPr>
      </w:pPr>
    </w:p>
    <w:p>
      <w:pPr>
        <w:ind w:left="460" w:hanging="451"/>
        <w:spacing w:after="0"/>
        <w:tabs>
          <w:tab w:leader="none" w:pos="460" w:val="left"/>
        </w:tabs>
        <w:numPr>
          <w:ilvl w:val="0"/>
          <w:numId w:val="95"/>
        </w:numPr>
        <w:rPr>
          <w:rFonts w:ascii="Arial" w:cs="Arial" w:eastAsia="Arial" w:hAnsi="Arial"/>
          <w:sz w:val="16"/>
          <w:szCs w:val="16"/>
          <w:color w:val="auto"/>
        </w:rPr>
      </w:pPr>
      <w:hyperlink w:anchor="page96">
        <w:r>
          <w:rPr>
            <w:rFonts w:ascii="Arial" w:cs="Arial" w:eastAsia="Arial" w:hAnsi="Arial"/>
            <w:sz w:val="16"/>
            <w:szCs w:val="16"/>
            <w:color w:val="auto"/>
          </w:rPr>
          <w:t>2021 Pay Ratio</w:t>
        </w:r>
      </w:hyperlink>
    </w:p>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-3705225</wp:posOffset>
            </wp:positionH>
            <wp:positionV relativeFrom="paragraph">
              <wp:posOffset>653415</wp:posOffset>
            </wp:positionV>
            <wp:extent cx="7154545" cy="209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2">
            <w:col w:w="5120" w:space="720"/>
            <w:col w:w="5380"/>
          </w:cols>
          <w:pgMar w:left="320" w:top="121" w:right="359" w:bottom="1440" w:gutter="0" w:footer="0" w:header="0"/>
          <w:type w:val="continuous"/>
        </w:sectPr>
      </w:pPr>
    </w:p>
    <w:bookmarkStart w:id="57" w:name="page58"/>
    <w:bookmarkEnd w:id="57"/>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00" w:type="dxa"/>
            <w:vAlign w:val="bottom"/>
            <w:tcBorders>
              <w:right w:val="single" w:sz="8" w:color="16479F"/>
            </w:tcBorders>
          </w:tcPr>
          <w:p>
            <w:pPr>
              <w:ind w:left="8700"/>
              <w:spacing w:after="0"/>
              <w:rPr>
                <w:sz w:val="20"/>
                <w:szCs w:val="20"/>
                <w:color w:val="auto"/>
              </w:rPr>
            </w:pPr>
            <w:r>
              <w:rPr>
                <w:rFonts w:ascii="Arial" w:cs="Arial" w:eastAsia="Arial" w:hAnsi="Arial"/>
                <w:sz w:val="14"/>
                <w:szCs w:val="14"/>
                <w:b w:val="1"/>
                <w:bCs w:val="1"/>
                <w:color w:val="16479F"/>
              </w:rPr>
              <w:t>2022 PROXY STATEMENT</w:t>
            </w:r>
          </w:p>
        </w:tc>
        <w:tc>
          <w:tcPr>
            <w:tcW w:w="640" w:type="dxa"/>
            <w:vAlign w:val="bottom"/>
          </w:tcPr>
          <w:p>
            <w:pPr>
              <w:jc w:val="right"/>
              <w:ind w:right="9"/>
              <w:spacing w:after="0"/>
              <w:rPr>
                <w:sz w:val="20"/>
                <w:szCs w:val="20"/>
                <w:color w:val="auto"/>
              </w:rPr>
            </w:pPr>
            <w:r>
              <w:rPr>
                <w:rFonts w:ascii="Arial" w:cs="Arial" w:eastAsia="Arial" w:hAnsi="Arial"/>
                <w:sz w:val="14"/>
                <w:szCs w:val="14"/>
                <w:b w:val="1"/>
                <w:bCs w:val="1"/>
                <w:color w:val="16479F"/>
              </w:rPr>
              <w:t>57</w:t>
            </w:r>
          </w:p>
        </w:tc>
      </w:tr>
      <w:tr>
        <w:trPr>
          <w:trHeight w:val="65"/>
        </w:trPr>
        <w:tc>
          <w:tcPr>
            <w:tcW w:w="10600" w:type="dxa"/>
            <w:vAlign w:val="bottom"/>
            <w:tcBorders>
              <w:bottom w:val="single" w:sz="8" w:color="16479F"/>
              <w:right w:val="single" w:sz="8" w:color="16479F"/>
            </w:tcBorders>
          </w:tcPr>
          <w:p>
            <w:pPr>
              <w:spacing w:after="0"/>
              <w:rPr>
                <w:sz w:val="5"/>
                <w:szCs w:val="5"/>
                <w:color w:val="auto"/>
              </w:rPr>
            </w:pPr>
          </w:p>
        </w:tc>
        <w:tc>
          <w:tcPr>
            <w:tcW w:w="640" w:type="dxa"/>
            <w:vAlign w:val="bottom"/>
            <w:tcBorders>
              <w:bottom w:val="single" w:sz="8" w:color="16479F"/>
            </w:tcBorders>
          </w:tcPr>
          <w:p>
            <w:pPr>
              <w:spacing w:after="0"/>
              <w:rPr>
                <w:sz w:val="5"/>
                <w:szCs w:val="5"/>
                <w:color w:val="auto"/>
              </w:rPr>
            </w:pPr>
          </w:p>
        </w:tc>
      </w:tr>
    </w:tbl>
    <w:p>
      <w:pPr>
        <w:spacing w:after="0" w:line="124" w:lineRule="exact"/>
        <w:rPr>
          <w:sz w:val="20"/>
          <w:szCs w:val="20"/>
          <w:color w:val="auto"/>
        </w:rPr>
      </w:pPr>
    </w:p>
    <w:p>
      <w:pPr>
        <w:spacing w:after="0"/>
        <w:rPr>
          <w:sz w:val="20"/>
          <w:szCs w:val="20"/>
          <w:color w:val="auto"/>
        </w:rPr>
      </w:pPr>
      <w:r>
        <w:rPr>
          <w:rFonts w:ascii="Arial" w:cs="Arial" w:eastAsia="Arial" w:hAnsi="Arial"/>
          <w:sz w:val="32"/>
          <w:szCs w:val="32"/>
          <w:b w:val="1"/>
          <w:bCs w:val="1"/>
          <w:color w:val="16479F"/>
        </w:rPr>
        <w:t>Compensation Discussion and Analysis</w:t>
      </w:r>
    </w:p>
    <w:p>
      <w:pPr>
        <w:spacing w:after="0" w:line="206" w:lineRule="exact"/>
        <w:rPr>
          <w:sz w:val="20"/>
          <w:szCs w:val="20"/>
          <w:color w:val="auto"/>
        </w:rPr>
      </w:pPr>
    </w:p>
    <w:p>
      <w:pPr>
        <w:ind w:right="60"/>
        <w:spacing w:after="0" w:line="246" w:lineRule="auto"/>
        <w:rPr>
          <w:sz w:val="20"/>
          <w:szCs w:val="20"/>
          <w:color w:val="auto"/>
        </w:rPr>
      </w:pPr>
      <w:r>
        <w:rPr>
          <w:rFonts w:ascii="Arial" w:cs="Arial" w:eastAsia="Arial" w:hAnsi="Arial"/>
          <w:sz w:val="16"/>
          <w:szCs w:val="16"/>
          <w:color w:val="auto"/>
        </w:rPr>
        <w:t>This Compensation Discussion and Analysis (referred to as the “CD&amp;A”) section summarizes our general philosophy with regard to the compensation of our Chief Executive Officer (“CEO”), our Chief Financial Officer (“CFO”) and Treasurer, and our three next most highly paid executive officers in 2021 (collectively referred to as “named executive officers” or “NEOs”). The CD&amp;A provides context for the executive compensation disclosures presented below in both tabular and narrative form. Under its charter, the Compensation Committee reviews the Company’s compensation strategy and reviews and approves executive officer compensation as well as the Company’s compensation and benefits program generally. The Compensation Committee approved the compensation structure and amounts for each of our NEOs for 2021 and also approved enhancements to the long-term equity incentive component of our executive compensation program that became effective for equity grants in 2021 following feedback we received from our shareholders.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NEOS FOR 2021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124460</wp:posOffset>
            </wp:positionV>
            <wp:extent cx="6742430" cy="9353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742430" cy="935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100" w:type="dxa"/>
            <w:vAlign w:val="bottom"/>
          </w:tcPr>
          <w:p>
            <w:pPr>
              <w:spacing w:after="0"/>
              <w:rPr>
                <w:sz w:val="20"/>
                <w:szCs w:val="20"/>
                <w:color w:val="auto"/>
              </w:rPr>
            </w:pPr>
            <w:r>
              <w:rPr>
                <w:rFonts w:ascii="Arial" w:cs="Arial" w:eastAsia="Arial" w:hAnsi="Arial"/>
                <w:sz w:val="16"/>
                <w:szCs w:val="16"/>
                <w:b w:val="1"/>
                <w:bCs w:val="1"/>
                <w:color w:val="auto"/>
              </w:rPr>
              <w:t>HENRY A.</w:t>
            </w:r>
          </w:p>
        </w:tc>
        <w:tc>
          <w:tcPr>
            <w:tcW w:w="2200" w:type="dxa"/>
            <w:vAlign w:val="bottom"/>
          </w:tcPr>
          <w:p>
            <w:pPr>
              <w:ind w:left="180"/>
              <w:spacing w:after="0"/>
              <w:rPr>
                <w:sz w:val="20"/>
                <w:szCs w:val="20"/>
                <w:color w:val="auto"/>
              </w:rPr>
            </w:pPr>
            <w:r>
              <w:rPr>
                <w:rFonts w:ascii="Arial" w:cs="Arial" w:eastAsia="Arial" w:hAnsi="Arial"/>
                <w:sz w:val="16"/>
                <w:szCs w:val="16"/>
                <w:b w:val="1"/>
                <w:bCs w:val="1"/>
                <w:color w:val="auto"/>
              </w:rPr>
              <w:t>ANDREW C.</w:t>
            </w:r>
          </w:p>
        </w:tc>
        <w:tc>
          <w:tcPr>
            <w:tcW w:w="2480" w:type="dxa"/>
            <w:vAlign w:val="bottom"/>
          </w:tcPr>
          <w:p>
            <w:pPr>
              <w:ind w:left="340"/>
              <w:spacing w:after="0"/>
              <w:rPr>
                <w:sz w:val="20"/>
                <w:szCs w:val="20"/>
                <w:color w:val="auto"/>
              </w:rPr>
            </w:pPr>
            <w:r>
              <w:rPr>
                <w:rFonts w:ascii="Arial" w:cs="Arial" w:eastAsia="Arial" w:hAnsi="Arial"/>
                <w:sz w:val="16"/>
                <w:szCs w:val="16"/>
                <w:b w:val="1"/>
                <w:bCs w:val="1"/>
                <w:color w:val="auto"/>
              </w:rPr>
              <w:t>C. D. BAER</w:t>
            </w:r>
          </w:p>
        </w:tc>
        <w:tc>
          <w:tcPr>
            <w:tcW w:w="2320" w:type="dxa"/>
            <w:vAlign w:val="bottom"/>
          </w:tcPr>
          <w:p>
            <w:pPr>
              <w:ind w:left="200"/>
              <w:spacing w:after="0"/>
              <w:rPr>
                <w:sz w:val="20"/>
                <w:szCs w:val="20"/>
                <w:color w:val="auto"/>
              </w:rPr>
            </w:pPr>
            <w:r>
              <w:rPr>
                <w:rFonts w:ascii="Arial" w:cs="Arial" w:eastAsia="Arial" w:hAnsi="Arial"/>
                <w:sz w:val="16"/>
                <w:szCs w:val="16"/>
                <w:b w:val="1"/>
                <w:bCs w:val="1"/>
                <w:color w:val="auto"/>
              </w:rPr>
              <w:t>SCOTT A.</w:t>
            </w:r>
          </w:p>
        </w:tc>
        <w:tc>
          <w:tcPr>
            <w:tcW w:w="1180" w:type="dxa"/>
            <w:vAlign w:val="bottom"/>
          </w:tcPr>
          <w:p>
            <w:pPr>
              <w:ind w:left="120"/>
              <w:spacing w:after="0"/>
              <w:rPr>
                <w:sz w:val="20"/>
                <w:szCs w:val="20"/>
                <w:color w:val="auto"/>
              </w:rPr>
            </w:pPr>
            <w:r>
              <w:rPr>
                <w:rFonts w:ascii="Arial" w:cs="Arial" w:eastAsia="Arial" w:hAnsi="Arial"/>
                <w:sz w:val="16"/>
                <w:szCs w:val="16"/>
                <w:b w:val="1"/>
                <w:bCs w:val="1"/>
                <w:color w:val="auto"/>
              </w:rPr>
              <w:t>ROBERT J.</w:t>
            </w:r>
          </w:p>
        </w:tc>
      </w:tr>
      <w:tr>
        <w:trPr>
          <w:trHeight w:val="213"/>
        </w:trPr>
        <w:tc>
          <w:tcPr>
            <w:tcW w:w="2100" w:type="dxa"/>
            <w:vAlign w:val="bottom"/>
          </w:tcPr>
          <w:p>
            <w:pPr>
              <w:spacing w:after="0"/>
              <w:rPr>
                <w:sz w:val="20"/>
                <w:szCs w:val="20"/>
                <w:color w:val="auto"/>
              </w:rPr>
            </w:pPr>
            <w:r>
              <w:rPr>
                <w:rFonts w:ascii="Arial" w:cs="Arial" w:eastAsia="Arial" w:hAnsi="Arial"/>
                <w:sz w:val="16"/>
                <w:szCs w:val="16"/>
                <w:b w:val="1"/>
                <w:bCs w:val="1"/>
                <w:color w:val="auto"/>
              </w:rPr>
              <w:t>FERNANDEZ</w:t>
            </w:r>
          </w:p>
        </w:tc>
        <w:tc>
          <w:tcPr>
            <w:tcW w:w="2200" w:type="dxa"/>
            <w:vAlign w:val="bottom"/>
          </w:tcPr>
          <w:p>
            <w:pPr>
              <w:ind w:left="180"/>
              <w:spacing w:after="0"/>
              <w:rPr>
                <w:sz w:val="20"/>
                <w:szCs w:val="20"/>
                <w:color w:val="auto"/>
              </w:rPr>
            </w:pPr>
            <w:r>
              <w:rPr>
                <w:rFonts w:ascii="Arial" w:cs="Arial" w:eastAsia="Arial" w:hAnsi="Arial"/>
                <w:sz w:val="16"/>
                <w:szCs w:val="16"/>
                <w:b w:val="1"/>
                <w:bCs w:val="1"/>
                <w:color w:val="auto"/>
              </w:rPr>
              <w:t>WIECHMANN</w:t>
            </w:r>
          </w:p>
        </w:tc>
        <w:tc>
          <w:tcPr>
            <w:tcW w:w="2480" w:type="dxa"/>
            <w:vAlign w:val="bottom"/>
          </w:tcPr>
          <w:p>
            <w:pPr>
              <w:ind w:left="340"/>
              <w:spacing w:after="0"/>
              <w:rPr>
                <w:sz w:val="20"/>
                <w:szCs w:val="20"/>
                <w:color w:val="auto"/>
              </w:rPr>
            </w:pPr>
            <w:r>
              <w:rPr>
                <w:rFonts w:ascii="Arial" w:cs="Arial" w:eastAsia="Arial" w:hAnsi="Arial"/>
                <w:sz w:val="16"/>
                <w:szCs w:val="16"/>
                <w:b w:val="1"/>
                <w:bCs w:val="1"/>
                <w:color w:val="auto"/>
              </w:rPr>
              <w:t>PETTIT</w:t>
            </w:r>
          </w:p>
        </w:tc>
        <w:tc>
          <w:tcPr>
            <w:tcW w:w="2320" w:type="dxa"/>
            <w:vAlign w:val="bottom"/>
          </w:tcPr>
          <w:p>
            <w:pPr>
              <w:ind w:left="200"/>
              <w:spacing w:after="0"/>
              <w:rPr>
                <w:sz w:val="20"/>
                <w:szCs w:val="20"/>
                <w:color w:val="auto"/>
              </w:rPr>
            </w:pPr>
            <w:r>
              <w:rPr>
                <w:rFonts w:ascii="Arial" w:cs="Arial" w:eastAsia="Arial" w:hAnsi="Arial"/>
                <w:sz w:val="16"/>
                <w:szCs w:val="16"/>
                <w:b w:val="1"/>
                <w:bCs w:val="1"/>
                <w:color w:val="auto"/>
              </w:rPr>
              <w:t>CRUM</w:t>
            </w:r>
          </w:p>
        </w:tc>
        <w:tc>
          <w:tcPr>
            <w:tcW w:w="1180" w:type="dxa"/>
            <w:vAlign w:val="bottom"/>
          </w:tcPr>
          <w:p>
            <w:pPr>
              <w:ind w:left="120"/>
              <w:spacing w:after="0"/>
              <w:rPr>
                <w:sz w:val="20"/>
                <w:szCs w:val="20"/>
                <w:color w:val="auto"/>
              </w:rPr>
            </w:pPr>
            <w:r>
              <w:rPr>
                <w:rFonts w:ascii="Arial" w:cs="Arial" w:eastAsia="Arial" w:hAnsi="Arial"/>
                <w:sz w:val="16"/>
                <w:szCs w:val="16"/>
                <w:b w:val="1"/>
                <w:bCs w:val="1"/>
                <w:color w:val="auto"/>
              </w:rPr>
              <w:t>GUTOWSKI</w:t>
            </w:r>
          </w:p>
        </w:tc>
      </w:tr>
      <w:tr>
        <w:trPr>
          <w:trHeight w:val="211"/>
        </w:trPr>
        <w:tc>
          <w:tcPr>
            <w:tcW w:w="2100" w:type="dxa"/>
            <w:vAlign w:val="bottom"/>
          </w:tcPr>
          <w:p>
            <w:pPr>
              <w:spacing w:after="0"/>
              <w:rPr>
                <w:sz w:val="20"/>
                <w:szCs w:val="20"/>
                <w:color w:val="auto"/>
              </w:rPr>
            </w:pPr>
            <w:r>
              <w:rPr>
                <w:rFonts w:ascii="Arial" w:cs="Arial" w:eastAsia="Arial" w:hAnsi="Arial"/>
                <w:sz w:val="14"/>
                <w:szCs w:val="14"/>
                <w:color w:val="auto"/>
              </w:rPr>
              <w:t>Chairman and Chief Executive</w:t>
            </w:r>
          </w:p>
        </w:tc>
        <w:tc>
          <w:tcPr>
            <w:tcW w:w="2200" w:type="dxa"/>
            <w:vAlign w:val="bottom"/>
          </w:tcPr>
          <w:p>
            <w:pPr>
              <w:ind w:left="180"/>
              <w:spacing w:after="0"/>
              <w:rPr>
                <w:sz w:val="20"/>
                <w:szCs w:val="20"/>
                <w:color w:val="auto"/>
              </w:rPr>
            </w:pPr>
            <w:r>
              <w:rPr>
                <w:rFonts w:ascii="Arial" w:cs="Arial" w:eastAsia="Arial" w:hAnsi="Arial"/>
                <w:sz w:val="14"/>
                <w:szCs w:val="14"/>
                <w:color w:val="auto"/>
              </w:rPr>
              <w:t>Chief Financial Officer and</w:t>
            </w:r>
          </w:p>
        </w:tc>
        <w:tc>
          <w:tcPr>
            <w:tcW w:w="2480" w:type="dxa"/>
            <w:vAlign w:val="bottom"/>
          </w:tcPr>
          <w:p>
            <w:pPr>
              <w:ind w:left="340"/>
              <w:spacing w:after="0"/>
              <w:rPr>
                <w:sz w:val="20"/>
                <w:szCs w:val="20"/>
                <w:color w:val="auto"/>
              </w:rPr>
            </w:pPr>
            <w:r>
              <w:rPr>
                <w:rFonts w:ascii="Arial" w:cs="Arial" w:eastAsia="Arial" w:hAnsi="Arial"/>
                <w:sz w:val="14"/>
                <w:szCs w:val="14"/>
                <w:color w:val="auto"/>
              </w:rPr>
              <w:t>President and Chief Operating</w:t>
            </w:r>
          </w:p>
        </w:tc>
        <w:tc>
          <w:tcPr>
            <w:tcW w:w="2320" w:type="dxa"/>
            <w:vAlign w:val="bottom"/>
          </w:tcPr>
          <w:p>
            <w:pPr>
              <w:ind w:left="200"/>
              <w:spacing w:after="0"/>
              <w:rPr>
                <w:sz w:val="20"/>
                <w:szCs w:val="20"/>
                <w:color w:val="auto"/>
              </w:rPr>
            </w:pPr>
            <w:r>
              <w:rPr>
                <w:rFonts w:ascii="Arial" w:cs="Arial" w:eastAsia="Arial" w:hAnsi="Arial"/>
                <w:sz w:val="14"/>
                <w:szCs w:val="14"/>
                <w:color w:val="auto"/>
              </w:rPr>
              <w:t>Chief Human Resources Officer</w:t>
            </w:r>
          </w:p>
        </w:tc>
        <w:tc>
          <w:tcPr>
            <w:tcW w:w="1180" w:type="dxa"/>
            <w:vAlign w:val="bottom"/>
          </w:tcPr>
          <w:p>
            <w:pPr>
              <w:ind w:left="120"/>
              <w:spacing w:after="0"/>
              <w:rPr>
                <w:sz w:val="20"/>
                <w:szCs w:val="20"/>
                <w:color w:val="auto"/>
              </w:rPr>
            </w:pPr>
            <w:r>
              <w:rPr>
                <w:rFonts w:ascii="Arial" w:cs="Arial" w:eastAsia="Arial" w:hAnsi="Arial"/>
                <w:sz w:val="14"/>
                <w:szCs w:val="14"/>
                <w:color w:val="auto"/>
                <w:w w:val="98"/>
              </w:rPr>
              <w:t>General Counsel</w:t>
            </w:r>
          </w:p>
        </w:tc>
      </w:tr>
      <w:tr>
        <w:trPr>
          <w:trHeight w:val="171"/>
        </w:trPr>
        <w:tc>
          <w:tcPr>
            <w:tcW w:w="2100" w:type="dxa"/>
            <w:vAlign w:val="bottom"/>
          </w:tcPr>
          <w:p>
            <w:pPr>
              <w:spacing w:after="0"/>
              <w:rPr>
                <w:sz w:val="20"/>
                <w:szCs w:val="20"/>
                <w:color w:val="auto"/>
              </w:rPr>
            </w:pPr>
            <w:r>
              <w:rPr>
                <w:rFonts w:ascii="Arial" w:cs="Arial" w:eastAsia="Arial" w:hAnsi="Arial"/>
                <w:sz w:val="14"/>
                <w:szCs w:val="14"/>
                <w:color w:val="auto"/>
              </w:rPr>
              <w:t>Officer</w:t>
            </w:r>
          </w:p>
        </w:tc>
        <w:tc>
          <w:tcPr>
            <w:tcW w:w="2200" w:type="dxa"/>
            <w:vAlign w:val="bottom"/>
          </w:tcPr>
          <w:p>
            <w:pPr>
              <w:ind w:left="180"/>
              <w:spacing w:after="0"/>
              <w:rPr>
                <w:sz w:val="20"/>
                <w:szCs w:val="20"/>
                <w:color w:val="auto"/>
              </w:rPr>
            </w:pPr>
            <w:r>
              <w:rPr>
                <w:rFonts w:ascii="Arial" w:cs="Arial" w:eastAsia="Arial" w:hAnsi="Arial"/>
                <w:sz w:val="14"/>
                <w:szCs w:val="14"/>
                <w:color w:val="auto"/>
              </w:rPr>
              <w:t>Treasurer</w:t>
            </w:r>
          </w:p>
        </w:tc>
        <w:tc>
          <w:tcPr>
            <w:tcW w:w="2480" w:type="dxa"/>
            <w:vAlign w:val="bottom"/>
          </w:tcPr>
          <w:p>
            <w:pPr>
              <w:ind w:left="340"/>
              <w:spacing w:after="0"/>
              <w:rPr>
                <w:sz w:val="20"/>
                <w:szCs w:val="20"/>
                <w:color w:val="auto"/>
              </w:rPr>
            </w:pPr>
            <w:r>
              <w:rPr>
                <w:rFonts w:ascii="Arial" w:cs="Arial" w:eastAsia="Arial" w:hAnsi="Arial"/>
                <w:sz w:val="14"/>
                <w:szCs w:val="14"/>
                <w:color w:val="auto"/>
              </w:rPr>
              <w:t>Officer</w:t>
            </w:r>
          </w:p>
        </w:tc>
        <w:tc>
          <w:tcPr>
            <w:tcW w:w="2320" w:type="dxa"/>
            <w:vAlign w:val="bottom"/>
          </w:tcPr>
          <w:p>
            <w:pPr>
              <w:spacing w:after="0"/>
              <w:rPr>
                <w:sz w:val="14"/>
                <w:szCs w:val="14"/>
                <w:color w:val="auto"/>
              </w:rPr>
            </w:pPr>
          </w:p>
        </w:tc>
        <w:tc>
          <w:tcPr>
            <w:tcW w:w="1180" w:type="dxa"/>
            <w:vAlign w:val="bottom"/>
          </w:tcPr>
          <w:p>
            <w:pPr>
              <w:spacing w:after="0"/>
              <w:rPr>
                <w:sz w:val="14"/>
                <w:szCs w:val="14"/>
                <w:color w:val="auto"/>
              </w:rPr>
            </w:pPr>
          </w:p>
        </w:tc>
      </w:tr>
    </w:tbl>
    <w:p>
      <w:pPr>
        <w:spacing w:after="0" w:line="109" w:lineRule="exact"/>
        <w:rPr>
          <w:sz w:val="20"/>
          <w:szCs w:val="20"/>
          <w:color w:val="auto"/>
        </w:rPr>
      </w:pPr>
    </w:p>
    <w:p>
      <w:pPr>
        <w:spacing w:after="0"/>
        <w:rPr>
          <w:sz w:val="20"/>
          <w:szCs w:val="20"/>
          <w:color w:val="auto"/>
        </w:rPr>
      </w:pPr>
      <w:r>
        <w:rPr>
          <w:rFonts w:ascii="Arial" w:cs="Arial" w:eastAsia="Arial" w:hAnsi="Arial"/>
          <w:sz w:val="32"/>
          <w:szCs w:val="32"/>
          <w:b w:val="1"/>
          <w:bCs w:val="1"/>
          <w:color w:val="16479F"/>
        </w:rPr>
        <w:t>Highlights</w:t>
      </w:r>
    </w:p>
    <w:p>
      <w:pPr>
        <w:spacing w:after="0" w:line="169"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Executive Summary</w:t>
      </w:r>
    </w:p>
    <w:p>
      <w:pPr>
        <w:spacing w:after="0" w:line="195" w:lineRule="exact"/>
        <w:rPr>
          <w:sz w:val="20"/>
          <w:szCs w:val="20"/>
          <w:color w:val="auto"/>
        </w:rPr>
      </w:pPr>
    </w:p>
    <w:p>
      <w:pPr>
        <w:ind w:right="240"/>
        <w:spacing w:after="0" w:line="248" w:lineRule="auto"/>
        <w:rPr>
          <w:sz w:val="20"/>
          <w:szCs w:val="20"/>
          <w:color w:val="auto"/>
        </w:rPr>
      </w:pPr>
      <w:r>
        <w:rPr>
          <w:rFonts w:ascii="Arial" w:cs="Arial" w:eastAsia="Arial" w:hAnsi="Arial"/>
          <w:sz w:val="16"/>
          <w:szCs w:val="16"/>
          <w:color w:val="auto"/>
        </w:rPr>
        <w:t>Our executive compensation program is designed to link pay to performance, encourage prudent decision-making and risk management, and create a balanced focus on short-term and long-term performance that fuels shareholder value creation. In the dynamic and competitive environment in which we operate, it is imperative that we maintain a responsible executive compensation program that encourages and rewards our leaders for achieving short-term and long-term results.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key components of our target-based compensation program in effect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514350</wp:posOffset>
            </wp:positionH>
            <wp:positionV relativeFrom="paragraph">
              <wp:posOffset>102870</wp:posOffset>
            </wp:positionV>
            <wp:extent cx="6121400" cy="24657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121400" cy="2465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940"/>
        <w:spacing w:after="0"/>
        <w:rPr>
          <w:sz w:val="20"/>
          <w:szCs w:val="20"/>
          <w:color w:val="auto"/>
        </w:rPr>
      </w:pPr>
      <w:r>
        <w:rPr>
          <w:rFonts w:ascii="Arial" w:cs="Arial" w:eastAsia="Arial" w:hAnsi="Arial"/>
          <w:sz w:val="16"/>
          <w:szCs w:val="16"/>
          <w:b w:val="1"/>
          <w:bCs w:val="1"/>
          <w:color w:val="16479F"/>
        </w:rPr>
        <w:t>PHILOSOPHY</w:t>
      </w:r>
    </w:p>
    <w:p>
      <w:pPr>
        <w:spacing w:after="0" w:line="184" w:lineRule="exact"/>
        <w:rPr>
          <w:sz w:val="20"/>
          <w:szCs w:val="20"/>
          <w:color w:val="auto"/>
        </w:rPr>
      </w:pPr>
    </w:p>
    <w:p>
      <w:pPr>
        <w:ind w:left="940" w:right="1120"/>
        <w:spacing w:after="0" w:line="248" w:lineRule="auto"/>
        <w:rPr>
          <w:sz w:val="20"/>
          <w:szCs w:val="20"/>
          <w:color w:val="auto"/>
        </w:rPr>
      </w:pPr>
      <w:r>
        <w:rPr>
          <w:rFonts w:ascii="Arial" w:cs="Arial" w:eastAsia="Arial" w:hAnsi="Arial"/>
          <w:sz w:val="16"/>
          <w:szCs w:val="16"/>
          <w:color w:val="16479F"/>
        </w:rPr>
        <w:t>Each of the three components has a different purpose. The sum of the base salary, target annual cash incentive and target equity incentive creates a target total compensation. Actual cash incentive and equity incentive payouts are dependent upon the achievement of the relevant AIP and LTIP goals tied directly to the performance of the Company, the product/functional unit and the individual.</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auto"/>
        </w:rPr>
        <w:t>We believe that this target-based incentive structure fosters a culture of high performance and accountability and promotes shareholder interests by closely aligning executive compensation with objectively measured Company performance and strategic goal attainment as further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87630</wp:posOffset>
            </wp:positionV>
            <wp:extent cx="7154545" cy="209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149860</wp:posOffset>
            </wp:positionV>
            <wp:extent cx="7133590" cy="21272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3590" cy="212725"/>
                    </a:xfrm>
                    <a:prstGeom prst="rect">
                      <a:avLst/>
                    </a:prstGeom>
                    <a:noFill/>
                  </pic:spPr>
                </pic:pic>
              </a:graphicData>
            </a:graphic>
          </wp:anchor>
        </w:drawing>
      </w:r>
    </w:p>
    <w:p>
      <w:pPr>
        <w:spacing w:after="0" w:line="283"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4"/>
          <w:szCs w:val="14"/>
          <w:b w:val="1"/>
          <w:bCs w:val="1"/>
          <w:color w:val="16479F"/>
        </w:rPr>
        <w:t>58</w:t>
      </w:r>
      <w:r>
        <w:rPr>
          <w:sz w:val="20"/>
          <w:szCs w:val="20"/>
          <w:color w:val="auto"/>
        </w:rPr>
        <w:tab/>
      </w:r>
      <w:r>
        <w:rPr>
          <w:rFonts w:ascii="Arial" w:cs="Arial" w:eastAsia="Arial" w:hAnsi="Arial"/>
          <w:sz w:val="14"/>
          <w:szCs w:val="14"/>
          <w:b w:val="1"/>
          <w:bCs w:val="1"/>
          <w:color w:val="16479F"/>
        </w:rPr>
        <w:t>MSCI  |  COMPENSATION MATTERS</w:t>
      </w:r>
    </w:p>
    <w:p>
      <w:pPr>
        <w:spacing w:after="0" w:line="235" w:lineRule="exact"/>
        <w:rPr>
          <w:sz w:val="20"/>
          <w:szCs w:val="20"/>
          <w:color w:val="auto"/>
        </w:rPr>
      </w:pPr>
    </w:p>
    <w:p>
      <w:pPr>
        <w:spacing w:after="0"/>
        <w:rPr>
          <w:sz w:val="20"/>
          <w:szCs w:val="20"/>
          <w:color w:val="auto"/>
        </w:rPr>
      </w:pPr>
      <w:r>
        <w:rPr>
          <w:rFonts w:ascii="Arial" w:cs="Arial" w:eastAsia="Arial" w:hAnsi="Arial"/>
          <w:sz w:val="21"/>
          <w:szCs w:val="21"/>
          <w:b w:val="1"/>
          <w:bCs w:val="1"/>
          <w:color w:val="16479F"/>
        </w:rPr>
        <w:t>Business Strategy and Compensation</w:t>
      </w:r>
    </w:p>
    <w:p>
      <w:pPr>
        <w:spacing w:after="0" w:line="195"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The diagram below illustrates how our executive compensation program aligns the strategic initiatives underlying our corporate mission to generate long-term shareholder value creation. The metrics included in our compensation program are aligned with our strategic initiatives and are designed to measure the achievement of objectives that not only deliver short- and medium-term returns, but also help to build the foundation for long-term shareholder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92710</wp:posOffset>
            </wp:positionV>
            <wp:extent cx="6852920" cy="9436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2920" cy="943610"/>
                    </a:xfrm>
                    <a:prstGeom prst="rect">
                      <a:avLst/>
                    </a:prstGeom>
                    <a:noFill/>
                  </pic:spPr>
                </pic:pic>
              </a:graphicData>
            </a:graphic>
          </wp:anchor>
        </w:drawing>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7"/>
          <w:szCs w:val="27"/>
          <w:b w:val="1"/>
          <w:bCs w:val="1"/>
          <w:color w:val="00B5AA"/>
        </w:rPr>
        <w:t xml:space="preserve">Mission: </w:t>
      </w:r>
      <w:r>
        <w:rPr>
          <w:rFonts w:ascii="Arial" w:cs="Arial" w:eastAsia="Arial" w:hAnsi="Arial"/>
          <w:sz w:val="27"/>
          <w:szCs w:val="27"/>
          <w:b w:val="1"/>
          <w:bCs w:val="1"/>
          <w:color w:val="FFFFFF"/>
        </w:rPr>
        <w:t>to enable investors to build better</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27"/>
          <w:szCs w:val="27"/>
          <w:b w:val="1"/>
          <w:bCs w:val="1"/>
          <w:color w:val="FFFFFF"/>
        </w:rPr>
        <w:t>portfolios for a better world.</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27"/>
          <w:szCs w:val="27"/>
          <w:b w:val="1"/>
          <w:bCs w:val="1"/>
          <w:color w:val="FFFFFF"/>
        </w:rPr>
        <w:t>Strategic Pillars of Growth</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363"/>
        </w:trPr>
        <w:tc>
          <w:tcPr>
            <w:tcW w:w="240" w:type="dxa"/>
            <w:vAlign w:val="bottom"/>
            <w:shd w:val="clear" w:color="auto" w:fill="F0F1F8"/>
          </w:tcPr>
          <w:p>
            <w:pPr>
              <w:spacing w:after="0"/>
              <w:rPr>
                <w:sz w:val="24"/>
                <w:szCs w:val="24"/>
                <w:color w:val="auto"/>
              </w:rPr>
            </w:pPr>
          </w:p>
        </w:tc>
        <w:tc>
          <w:tcPr>
            <w:tcW w:w="3040" w:type="dxa"/>
            <w:vAlign w:val="bottom"/>
            <w:shd w:val="clear" w:color="auto" w:fill="F0F1F8"/>
          </w:tcPr>
          <w:p>
            <w:pPr>
              <w:jc w:val="center"/>
              <w:ind w:left="381"/>
              <w:spacing w:after="0"/>
              <w:rPr>
                <w:sz w:val="20"/>
                <w:szCs w:val="20"/>
                <w:color w:val="auto"/>
              </w:rPr>
            </w:pPr>
            <w:r>
              <w:rPr>
                <w:rFonts w:ascii="Arial" w:cs="Arial" w:eastAsia="Arial" w:hAnsi="Arial"/>
                <w:sz w:val="16"/>
                <w:szCs w:val="16"/>
                <w:color w:val="auto"/>
              </w:rPr>
              <w:t>Extend leadership in research-</w:t>
            </w:r>
          </w:p>
        </w:tc>
        <w:tc>
          <w:tcPr>
            <w:tcW w:w="480" w:type="dxa"/>
            <w:vAlign w:val="bottom"/>
            <w:shd w:val="clear" w:color="auto" w:fill="F0F1F8"/>
          </w:tcPr>
          <w:p>
            <w:pPr>
              <w:spacing w:after="0"/>
              <w:rPr>
                <w:sz w:val="24"/>
                <w:szCs w:val="24"/>
                <w:color w:val="auto"/>
              </w:rPr>
            </w:pPr>
          </w:p>
        </w:tc>
        <w:tc>
          <w:tcPr>
            <w:tcW w:w="160" w:type="dxa"/>
            <w:vAlign w:val="bottom"/>
            <w:shd w:val="clear" w:color="auto" w:fill="002539"/>
          </w:tcPr>
          <w:p>
            <w:pPr>
              <w:spacing w:after="0"/>
              <w:rPr>
                <w:sz w:val="24"/>
                <w:szCs w:val="24"/>
                <w:color w:val="auto"/>
              </w:rPr>
            </w:pPr>
          </w:p>
        </w:tc>
        <w:tc>
          <w:tcPr>
            <w:tcW w:w="3440" w:type="dxa"/>
            <w:vAlign w:val="bottom"/>
            <w:gridSpan w:val="3"/>
            <w:vMerge w:val="restart"/>
            <w:shd w:val="clear" w:color="auto" w:fill="F0F1F8"/>
          </w:tcPr>
          <w:p>
            <w:pPr>
              <w:jc w:val="center"/>
              <w:spacing w:after="0"/>
              <w:rPr>
                <w:sz w:val="20"/>
                <w:szCs w:val="20"/>
                <w:color w:val="auto"/>
              </w:rPr>
            </w:pPr>
            <w:r>
              <w:rPr>
                <w:rFonts w:ascii="Arial" w:cs="Arial" w:eastAsia="Arial" w:hAnsi="Arial"/>
                <w:sz w:val="16"/>
                <w:szCs w:val="16"/>
                <w:color w:val="auto"/>
              </w:rPr>
              <w:t>Lead the enablement of ESG and climate</w:t>
            </w:r>
          </w:p>
        </w:tc>
        <w:tc>
          <w:tcPr>
            <w:tcW w:w="160" w:type="dxa"/>
            <w:vAlign w:val="bottom"/>
            <w:shd w:val="clear" w:color="auto" w:fill="002539"/>
          </w:tcPr>
          <w:p>
            <w:pPr>
              <w:spacing w:after="0"/>
              <w:rPr>
                <w:sz w:val="24"/>
                <w:szCs w:val="24"/>
                <w:color w:val="auto"/>
              </w:rPr>
            </w:pPr>
          </w:p>
        </w:tc>
        <w:tc>
          <w:tcPr>
            <w:tcW w:w="420" w:type="dxa"/>
            <w:vAlign w:val="bottom"/>
            <w:shd w:val="clear" w:color="auto" w:fill="F0F1F8"/>
          </w:tcPr>
          <w:p>
            <w:pPr>
              <w:spacing w:after="0"/>
              <w:rPr>
                <w:sz w:val="24"/>
                <w:szCs w:val="24"/>
                <w:color w:val="auto"/>
              </w:rPr>
            </w:pPr>
          </w:p>
        </w:tc>
        <w:tc>
          <w:tcPr>
            <w:tcW w:w="3300" w:type="dxa"/>
            <w:vAlign w:val="bottom"/>
            <w:gridSpan w:val="2"/>
            <w:vMerge w:val="restart"/>
            <w:shd w:val="clear" w:color="auto" w:fill="F0F1F8"/>
          </w:tcPr>
          <w:p>
            <w:pPr>
              <w:jc w:val="center"/>
              <w:ind w:right="640"/>
              <w:spacing w:after="0"/>
              <w:rPr>
                <w:sz w:val="20"/>
                <w:szCs w:val="20"/>
                <w:color w:val="auto"/>
              </w:rPr>
            </w:pPr>
            <w:r>
              <w:rPr>
                <w:rFonts w:ascii="Arial" w:cs="Arial" w:eastAsia="Arial" w:hAnsi="Arial"/>
                <w:sz w:val="16"/>
                <w:szCs w:val="16"/>
                <w:color w:val="auto"/>
                <w:w w:val="99"/>
              </w:rPr>
              <w:t>Enhance distribution and content-</w:t>
            </w:r>
          </w:p>
        </w:tc>
        <w:tc>
          <w:tcPr>
            <w:tcW w:w="0" w:type="dxa"/>
            <w:vAlign w:val="bottom"/>
          </w:tcPr>
          <w:p>
            <w:pPr>
              <w:spacing w:after="0"/>
              <w:rPr>
                <w:sz w:val="1"/>
                <w:szCs w:val="1"/>
                <w:color w:val="auto"/>
              </w:rPr>
            </w:pPr>
          </w:p>
        </w:tc>
      </w:tr>
      <w:tr>
        <w:trPr>
          <w:trHeight w:val="94"/>
        </w:trPr>
        <w:tc>
          <w:tcPr>
            <w:tcW w:w="240" w:type="dxa"/>
            <w:vAlign w:val="bottom"/>
            <w:shd w:val="clear" w:color="auto" w:fill="F0F1F8"/>
          </w:tcPr>
          <w:p>
            <w:pPr>
              <w:spacing w:after="0"/>
              <w:rPr>
                <w:sz w:val="8"/>
                <w:szCs w:val="8"/>
                <w:color w:val="auto"/>
              </w:rPr>
            </w:pPr>
          </w:p>
        </w:tc>
        <w:tc>
          <w:tcPr>
            <w:tcW w:w="3040" w:type="dxa"/>
            <w:vAlign w:val="bottom"/>
            <w:vMerge w:val="restart"/>
            <w:shd w:val="clear" w:color="auto" w:fill="F0F1F8"/>
          </w:tcPr>
          <w:p>
            <w:pPr>
              <w:jc w:val="center"/>
              <w:ind w:left="401"/>
              <w:spacing w:after="0"/>
              <w:rPr>
                <w:sz w:val="20"/>
                <w:szCs w:val="20"/>
                <w:color w:val="auto"/>
              </w:rPr>
            </w:pPr>
            <w:r>
              <w:rPr>
                <w:rFonts w:ascii="Arial" w:cs="Arial" w:eastAsia="Arial" w:hAnsi="Arial"/>
                <w:sz w:val="16"/>
                <w:szCs w:val="16"/>
                <w:color w:val="auto"/>
              </w:rPr>
              <w:t>enhanced content across</w:t>
            </w:r>
          </w:p>
        </w:tc>
        <w:tc>
          <w:tcPr>
            <w:tcW w:w="480" w:type="dxa"/>
            <w:vAlign w:val="bottom"/>
            <w:shd w:val="clear" w:color="auto" w:fill="F0F1F8"/>
          </w:tcPr>
          <w:p>
            <w:pPr>
              <w:spacing w:after="0"/>
              <w:rPr>
                <w:sz w:val="8"/>
                <w:szCs w:val="8"/>
                <w:color w:val="auto"/>
              </w:rPr>
            </w:pPr>
          </w:p>
        </w:tc>
        <w:tc>
          <w:tcPr>
            <w:tcW w:w="160" w:type="dxa"/>
            <w:vAlign w:val="bottom"/>
            <w:shd w:val="clear" w:color="auto" w:fill="002539"/>
          </w:tcPr>
          <w:p>
            <w:pPr>
              <w:spacing w:after="0"/>
              <w:rPr>
                <w:sz w:val="8"/>
                <w:szCs w:val="8"/>
                <w:color w:val="auto"/>
              </w:rPr>
            </w:pPr>
          </w:p>
        </w:tc>
        <w:tc>
          <w:tcPr>
            <w:tcW w:w="3440" w:type="dxa"/>
            <w:vAlign w:val="bottom"/>
            <w:gridSpan w:val="3"/>
            <w:vMerge w:val="continue"/>
            <w:shd w:val="clear" w:color="auto" w:fill="F0F1F8"/>
          </w:tcPr>
          <w:p>
            <w:pPr>
              <w:spacing w:after="0"/>
              <w:rPr>
                <w:sz w:val="8"/>
                <w:szCs w:val="8"/>
                <w:color w:val="auto"/>
              </w:rPr>
            </w:pPr>
          </w:p>
        </w:tc>
        <w:tc>
          <w:tcPr>
            <w:tcW w:w="160" w:type="dxa"/>
            <w:vAlign w:val="bottom"/>
            <w:shd w:val="clear" w:color="auto" w:fill="002539"/>
          </w:tcPr>
          <w:p>
            <w:pPr>
              <w:spacing w:after="0"/>
              <w:rPr>
                <w:sz w:val="8"/>
                <w:szCs w:val="8"/>
                <w:color w:val="auto"/>
              </w:rPr>
            </w:pPr>
          </w:p>
        </w:tc>
        <w:tc>
          <w:tcPr>
            <w:tcW w:w="420" w:type="dxa"/>
            <w:vAlign w:val="bottom"/>
            <w:shd w:val="clear" w:color="auto" w:fill="F0F1F8"/>
          </w:tcPr>
          <w:p>
            <w:pPr>
              <w:spacing w:after="0"/>
              <w:rPr>
                <w:sz w:val="8"/>
                <w:szCs w:val="8"/>
                <w:color w:val="auto"/>
              </w:rPr>
            </w:pPr>
          </w:p>
        </w:tc>
        <w:tc>
          <w:tcPr>
            <w:tcW w:w="3300" w:type="dxa"/>
            <w:vAlign w:val="bottom"/>
            <w:gridSpan w:val="2"/>
            <w:vMerge w:val="continue"/>
            <w:shd w:val="clear" w:color="auto" w:fill="F0F1F8"/>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40" w:type="dxa"/>
            <w:vAlign w:val="bottom"/>
            <w:shd w:val="clear" w:color="auto" w:fill="F0F1F8"/>
          </w:tcPr>
          <w:p>
            <w:pPr>
              <w:spacing w:after="0"/>
              <w:rPr>
                <w:sz w:val="8"/>
                <w:szCs w:val="8"/>
                <w:color w:val="auto"/>
              </w:rPr>
            </w:pPr>
          </w:p>
        </w:tc>
        <w:tc>
          <w:tcPr>
            <w:tcW w:w="3040" w:type="dxa"/>
            <w:vAlign w:val="bottom"/>
            <w:vMerge w:val="continue"/>
            <w:shd w:val="clear" w:color="auto" w:fill="F0F1F8"/>
          </w:tcPr>
          <w:p>
            <w:pPr>
              <w:spacing w:after="0"/>
              <w:rPr>
                <w:sz w:val="8"/>
                <w:szCs w:val="8"/>
                <w:color w:val="auto"/>
              </w:rPr>
            </w:pPr>
          </w:p>
        </w:tc>
        <w:tc>
          <w:tcPr>
            <w:tcW w:w="480" w:type="dxa"/>
            <w:vAlign w:val="bottom"/>
            <w:shd w:val="clear" w:color="auto" w:fill="F0F1F8"/>
          </w:tcPr>
          <w:p>
            <w:pPr>
              <w:spacing w:after="0"/>
              <w:rPr>
                <w:sz w:val="8"/>
                <w:szCs w:val="8"/>
                <w:color w:val="auto"/>
              </w:rPr>
            </w:pPr>
          </w:p>
        </w:tc>
        <w:tc>
          <w:tcPr>
            <w:tcW w:w="160" w:type="dxa"/>
            <w:vAlign w:val="bottom"/>
            <w:shd w:val="clear" w:color="auto" w:fill="002539"/>
          </w:tcPr>
          <w:p>
            <w:pPr>
              <w:spacing w:after="0"/>
              <w:rPr>
                <w:sz w:val="8"/>
                <w:szCs w:val="8"/>
                <w:color w:val="auto"/>
              </w:rPr>
            </w:pPr>
          </w:p>
        </w:tc>
        <w:tc>
          <w:tcPr>
            <w:tcW w:w="3440" w:type="dxa"/>
            <w:vAlign w:val="bottom"/>
            <w:gridSpan w:val="3"/>
            <w:vMerge w:val="restart"/>
            <w:shd w:val="clear" w:color="auto" w:fill="F0F1F8"/>
          </w:tcPr>
          <w:p>
            <w:pPr>
              <w:jc w:val="center"/>
              <w:spacing w:after="0"/>
              <w:rPr>
                <w:sz w:val="20"/>
                <w:szCs w:val="20"/>
                <w:color w:val="auto"/>
              </w:rPr>
            </w:pPr>
            <w:r>
              <w:rPr>
                <w:rFonts w:ascii="Arial" w:cs="Arial" w:eastAsia="Arial" w:hAnsi="Arial"/>
                <w:sz w:val="16"/>
                <w:szCs w:val="16"/>
                <w:color w:val="auto"/>
                <w:w w:val="99"/>
              </w:rPr>
              <w:t>investment integration</w:t>
            </w:r>
          </w:p>
        </w:tc>
        <w:tc>
          <w:tcPr>
            <w:tcW w:w="160" w:type="dxa"/>
            <w:vAlign w:val="bottom"/>
            <w:shd w:val="clear" w:color="auto" w:fill="002539"/>
          </w:tcPr>
          <w:p>
            <w:pPr>
              <w:spacing w:after="0"/>
              <w:rPr>
                <w:sz w:val="8"/>
                <w:szCs w:val="8"/>
                <w:color w:val="auto"/>
              </w:rPr>
            </w:pPr>
          </w:p>
        </w:tc>
        <w:tc>
          <w:tcPr>
            <w:tcW w:w="420" w:type="dxa"/>
            <w:vAlign w:val="bottom"/>
            <w:shd w:val="clear" w:color="auto" w:fill="F0F1F8"/>
          </w:tcPr>
          <w:p>
            <w:pPr>
              <w:spacing w:after="0"/>
              <w:rPr>
                <w:sz w:val="8"/>
                <w:szCs w:val="8"/>
                <w:color w:val="auto"/>
              </w:rPr>
            </w:pPr>
          </w:p>
        </w:tc>
        <w:tc>
          <w:tcPr>
            <w:tcW w:w="3300" w:type="dxa"/>
            <w:vAlign w:val="bottom"/>
            <w:gridSpan w:val="2"/>
            <w:vMerge w:val="restart"/>
            <w:shd w:val="clear" w:color="auto" w:fill="F0F1F8"/>
          </w:tcPr>
          <w:p>
            <w:pPr>
              <w:jc w:val="center"/>
              <w:ind w:right="640"/>
              <w:spacing w:after="0"/>
              <w:rPr>
                <w:sz w:val="20"/>
                <w:szCs w:val="20"/>
                <w:color w:val="auto"/>
              </w:rPr>
            </w:pPr>
            <w:r>
              <w:rPr>
                <w:rFonts w:ascii="Arial" w:cs="Arial" w:eastAsia="Arial" w:hAnsi="Arial"/>
                <w:sz w:val="16"/>
                <w:szCs w:val="16"/>
                <w:color w:val="auto"/>
                <w:w w:val="99"/>
              </w:rPr>
              <w:t>enabling technology</w:t>
            </w:r>
          </w:p>
        </w:tc>
        <w:tc>
          <w:tcPr>
            <w:tcW w:w="0" w:type="dxa"/>
            <w:vAlign w:val="bottom"/>
          </w:tcPr>
          <w:p>
            <w:pPr>
              <w:spacing w:after="0"/>
              <w:rPr>
                <w:sz w:val="1"/>
                <w:szCs w:val="1"/>
                <w:color w:val="auto"/>
              </w:rPr>
            </w:pPr>
          </w:p>
        </w:tc>
      </w:tr>
      <w:tr>
        <w:trPr>
          <w:trHeight w:val="100"/>
        </w:trPr>
        <w:tc>
          <w:tcPr>
            <w:tcW w:w="240" w:type="dxa"/>
            <w:vAlign w:val="bottom"/>
            <w:shd w:val="clear" w:color="auto" w:fill="F0F1F8"/>
          </w:tcPr>
          <w:p>
            <w:pPr>
              <w:spacing w:after="0"/>
              <w:rPr>
                <w:sz w:val="8"/>
                <w:szCs w:val="8"/>
                <w:color w:val="auto"/>
              </w:rPr>
            </w:pPr>
          </w:p>
        </w:tc>
        <w:tc>
          <w:tcPr>
            <w:tcW w:w="3040" w:type="dxa"/>
            <w:vAlign w:val="bottom"/>
            <w:vMerge w:val="restart"/>
            <w:shd w:val="clear" w:color="auto" w:fill="F0F1F8"/>
          </w:tcPr>
          <w:p>
            <w:pPr>
              <w:jc w:val="center"/>
              <w:ind w:left="401"/>
              <w:spacing w:after="0"/>
              <w:rPr>
                <w:sz w:val="20"/>
                <w:szCs w:val="20"/>
                <w:color w:val="auto"/>
              </w:rPr>
            </w:pPr>
            <w:r>
              <w:rPr>
                <w:rFonts w:ascii="Arial" w:cs="Arial" w:eastAsia="Arial" w:hAnsi="Arial"/>
                <w:sz w:val="16"/>
                <w:szCs w:val="16"/>
                <w:color w:val="auto"/>
                <w:w w:val="99"/>
              </w:rPr>
              <w:t>asset classes</w:t>
            </w:r>
          </w:p>
        </w:tc>
        <w:tc>
          <w:tcPr>
            <w:tcW w:w="480" w:type="dxa"/>
            <w:vAlign w:val="bottom"/>
            <w:shd w:val="clear" w:color="auto" w:fill="F0F1F8"/>
          </w:tcPr>
          <w:p>
            <w:pPr>
              <w:spacing w:after="0"/>
              <w:rPr>
                <w:sz w:val="8"/>
                <w:szCs w:val="8"/>
                <w:color w:val="auto"/>
              </w:rPr>
            </w:pPr>
          </w:p>
        </w:tc>
        <w:tc>
          <w:tcPr>
            <w:tcW w:w="160" w:type="dxa"/>
            <w:vAlign w:val="bottom"/>
            <w:shd w:val="clear" w:color="auto" w:fill="002539"/>
          </w:tcPr>
          <w:p>
            <w:pPr>
              <w:spacing w:after="0"/>
              <w:rPr>
                <w:sz w:val="8"/>
                <w:szCs w:val="8"/>
                <w:color w:val="auto"/>
              </w:rPr>
            </w:pPr>
          </w:p>
        </w:tc>
        <w:tc>
          <w:tcPr>
            <w:tcW w:w="3440" w:type="dxa"/>
            <w:vAlign w:val="bottom"/>
            <w:gridSpan w:val="3"/>
            <w:vMerge w:val="continue"/>
            <w:shd w:val="clear" w:color="auto" w:fill="F0F1F8"/>
          </w:tcPr>
          <w:p>
            <w:pPr>
              <w:spacing w:after="0"/>
              <w:rPr>
                <w:sz w:val="8"/>
                <w:szCs w:val="8"/>
                <w:color w:val="auto"/>
              </w:rPr>
            </w:pPr>
          </w:p>
        </w:tc>
        <w:tc>
          <w:tcPr>
            <w:tcW w:w="160" w:type="dxa"/>
            <w:vAlign w:val="bottom"/>
            <w:shd w:val="clear" w:color="auto" w:fill="002539"/>
          </w:tcPr>
          <w:p>
            <w:pPr>
              <w:spacing w:after="0"/>
              <w:rPr>
                <w:sz w:val="8"/>
                <w:szCs w:val="8"/>
                <w:color w:val="auto"/>
              </w:rPr>
            </w:pPr>
          </w:p>
        </w:tc>
        <w:tc>
          <w:tcPr>
            <w:tcW w:w="420" w:type="dxa"/>
            <w:vAlign w:val="bottom"/>
            <w:shd w:val="clear" w:color="auto" w:fill="F0F1F8"/>
          </w:tcPr>
          <w:p>
            <w:pPr>
              <w:spacing w:after="0"/>
              <w:rPr>
                <w:sz w:val="8"/>
                <w:szCs w:val="8"/>
                <w:color w:val="auto"/>
              </w:rPr>
            </w:pPr>
          </w:p>
        </w:tc>
        <w:tc>
          <w:tcPr>
            <w:tcW w:w="3300" w:type="dxa"/>
            <w:vAlign w:val="bottom"/>
            <w:gridSpan w:val="2"/>
            <w:vMerge w:val="continue"/>
            <w:shd w:val="clear" w:color="auto" w:fill="F0F1F8"/>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40" w:type="dxa"/>
            <w:vAlign w:val="bottom"/>
            <w:shd w:val="clear" w:color="auto" w:fill="F0F1F8"/>
          </w:tcPr>
          <w:p>
            <w:pPr>
              <w:spacing w:after="0"/>
              <w:rPr>
                <w:sz w:val="8"/>
                <w:szCs w:val="8"/>
                <w:color w:val="auto"/>
              </w:rPr>
            </w:pPr>
          </w:p>
        </w:tc>
        <w:tc>
          <w:tcPr>
            <w:tcW w:w="3040" w:type="dxa"/>
            <w:vAlign w:val="bottom"/>
            <w:vMerge w:val="continue"/>
            <w:shd w:val="clear" w:color="auto" w:fill="F0F1F8"/>
          </w:tcPr>
          <w:p>
            <w:pPr>
              <w:spacing w:after="0"/>
              <w:rPr>
                <w:sz w:val="8"/>
                <w:szCs w:val="8"/>
                <w:color w:val="auto"/>
              </w:rPr>
            </w:pPr>
          </w:p>
        </w:tc>
        <w:tc>
          <w:tcPr>
            <w:tcW w:w="480" w:type="dxa"/>
            <w:vAlign w:val="bottom"/>
            <w:shd w:val="clear" w:color="auto" w:fill="F0F1F8"/>
          </w:tcPr>
          <w:p>
            <w:pPr>
              <w:spacing w:after="0"/>
              <w:rPr>
                <w:sz w:val="8"/>
                <w:szCs w:val="8"/>
                <w:color w:val="auto"/>
              </w:rPr>
            </w:pPr>
          </w:p>
        </w:tc>
        <w:tc>
          <w:tcPr>
            <w:tcW w:w="160" w:type="dxa"/>
            <w:vAlign w:val="bottom"/>
            <w:shd w:val="clear" w:color="auto" w:fill="002539"/>
          </w:tcPr>
          <w:p>
            <w:pPr>
              <w:spacing w:after="0"/>
              <w:rPr>
                <w:sz w:val="8"/>
                <w:szCs w:val="8"/>
                <w:color w:val="auto"/>
              </w:rPr>
            </w:pPr>
          </w:p>
        </w:tc>
        <w:tc>
          <w:tcPr>
            <w:tcW w:w="1260" w:type="dxa"/>
            <w:vAlign w:val="bottom"/>
            <w:shd w:val="clear" w:color="auto" w:fill="F0F1F8"/>
          </w:tcPr>
          <w:p>
            <w:pPr>
              <w:spacing w:after="0"/>
              <w:rPr>
                <w:sz w:val="8"/>
                <w:szCs w:val="8"/>
                <w:color w:val="auto"/>
              </w:rPr>
            </w:pPr>
          </w:p>
        </w:tc>
        <w:tc>
          <w:tcPr>
            <w:tcW w:w="580" w:type="dxa"/>
            <w:vAlign w:val="bottom"/>
            <w:shd w:val="clear" w:color="auto" w:fill="F0F1F8"/>
          </w:tcPr>
          <w:p>
            <w:pPr>
              <w:spacing w:after="0"/>
              <w:rPr>
                <w:sz w:val="8"/>
                <w:szCs w:val="8"/>
                <w:color w:val="auto"/>
              </w:rPr>
            </w:pPr>
          </w:p>
        </w:tc>
        <w:tc>
          <w:tcPr>
            <w:tcW w:w="1600" w:type="dxa"/>
            <w:vAlign w:val="bottom"/>
            <w:shd w:val="clear" w:color="auto" w:fill="F0F1F8"/>
          </w:tcPr>
          <w:p>
            <w:pPr>
              <w:spacing w:after="0"/>
              <w:rPr>
                <w:sz w:val="8"/>
                <w:szCs w:val="8"/>
                <w:color w:val="auto"/>
              </w:rPr>
            </w:pPr>
          </w:p>
        </w:tc>
        <w:tc>
          <w:tcPr>
            <w:tcW w:w="160" w:type="dxa"/>
            <w:vAlign w:val="bottom"/>
            <w:shd w:val="clear" w:color="auto" w:fill="002539"/>
          </w:tcPr>
          <w:p>
            <w:pPr>
              <w:spacing w:after="0"/>
              <w:rPr>
                <w:sz w:val="8"/>
                <w:szCs w:val="8"/>
                <w:color w:val="auto"/>
              </w:rPr>
            </w:pPr>
          </w:p>
        </w:tc>
        <w:tc>
          <w:tcPr>
            <w:tcW w:w="420" w:type="dxa"/>
            <w:vAlign w:val="bottom"/>
            <w:shd w:val="clear" w:color="auto" w:fill="F0F1F8"/>
          </w:tcPr>
          <w:p>
            <w:pPr>
              <w:spacing w:after="0"/>
              <w:rPr>
                <w:sz w:val="8"/>
                <w:szCs w:val="8"/>
                <w:color w:val="auto"/>
              </w:rPr>
            </w:pPr>
          </w:p>
        </w:tc>
        <w:tc>
          <w:tcPr>
            <w:tcW w:w="3080" w:type="dxa"/>
            <w:vAlign w:val="bottom"/>
            <w:shd w:val="clear" w:color="auto" w:fill="F0F1F8"/>
          </w:tcPr>
          <w:p>
            <w:pPr>
              <w:spacing w:after="0"/>
              <w:rPr>
                <w:sz w:val="8"/>
                <w:szCs w:val="8"/>
                <w:color w:val="auto"/>
              </w:rPr>
            </w:pPr>
          </w:p>
        </w:tc>
        <w:tc>
          <w:tcPr>
            <w:tcW w:w="220" w:type="dxa"/>
            <w:vAlign w:val="bottom"/>
            <w:shd w:val="clear" w:color="auto" w:fill="F0F1F8"/>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240" w:type="dxa"/>
            <w:vAlign w:val="bottom"/>
            <w:shd w:val="clear" w:color="auto" w:fill="F0F1F8"/>
          </w:tcPr>
          <w:p>
            <w:pPr>
              <w:spacing w:after="0"/>
              <w:rPr>
                <w:sz w:val="14"/>
                <w:szCs w:val="14"/>
                <w:color w:val="auto"/>
              </w:rPr>
            </w:pPr>
          </w:p>
        </w:tc>
        <w:tc>
          <w:tcPr>
            <w:tcW w:w="3040" w:type="dxa"/>
            <w:vAlign w:val="bottom"/>
            <w:shd w:val="clear" w:color="auto" w:fill="F0F1F8"/>
          </w:tcPr>
          <w:p>
            <w:pPr>
              <w:spacing w:after="0"/>
              <w:rPr>
                <w:sz w:val="14"/>
                <w:szCs w:val="14"/>
                <w:color w:val="auto"/>
              </w:rPr>
            </w:pPr>
          </w:p>
        </w:tc>
        <w:tc>
          <w:tcPr>
            <w:tcW w:w="480" w:type="dxa"/>
            <w:vAlign w:val="bottom"/>
            <w:shd w:val="clear" w:color="auto" w:fill="F0F1F8"/>
          </w:tcPr>
          <w:p>
            <w:pPr>
              <w:spacing w:after="0"/>
              <w:rPr>
                <w:sz w:val="14"/>
                <w:szCs w:val="14"/>
                <w:color w:val="auto"/>
              </w:rPr>
            </w:pPr>
          </w:p>
        </w:tc>
        <w:tc>
          <w:tcPr>
            <w:tcW w:w="160" w:type="dxa"/>
            <w:vAlign w:val="bottom"/>
            <w:shd w:val="clear" w:color="auto" w:fill="002539"/>
          </w:tcPr>
          <w:p>
            <w:pPr>
              <w:spacing w:after="0"/>
              <w:rPr>
                <w:sz w:val="14"/>
                <w:szCs w:val="14"/>
                <w:color w:val="auto"/>
              </w:rPr>
            </w:pPr>
          </w:p>
        </w:tc>
        <w:tc>
          <w:tcPr>
            <w:tcW w:w="1260" w:type="dxa"/>
            <w:vAlign w:val="bottom"/>
            <w:shd w:val="clear" w:color="auto" w:fill="F0F1F8"/>
          </w:tcPr>
          <w:p>
            <w:pPr>
              <w:spacing w:after="0"/>
              <w:rPr>
                <w:sz w:val="14"/>
                <w:szCs w:val="14"/>
                <w:color w:val="auto"/>
              </w:rPr>
            </w:pPr>
          </w:p>
        </w:tc>
        <w:tc>
          <w:tcPr>
            <w:tcW w:w="580" w:type="dxa"/>
            <w:vAlign w:val="bottom"/>
            <w:shd w:val="clear" w:color="auto" w:fill="F0F1F8"/>
          </w:tcPr>
          <w:p>
            <w:pPr>
              <w:spacing w:after="0"/>
              <w:rPr>
                <w:sz w:val="14"/>
                <w:szCs w:val="14"/>
                <w:color w:val="auto"/>
              </w:rPr>
            </w:pPr>
          </w:p>
        </w:tc>
        <w:tc>
          <w:tcPr>
            <w:tcW w:w="1600" w:type="dxa"/>
            <w:vAlign w:val="bottom"/>
            <w:shd w:val="clear" w:color="auto" w:fill="F0F1F8"/>
          </w:tcPr>
          <w:p>
            <w:pPr>
              <w:spacing w:after="0"/>
              <w:rPr>
                <w:sz w:val="14"/>
                <w:szCs w:val="14"/>
                <w:color w:val="auto"/>
              </w:rPr>
            </w:pPr>
          </w:p>
        </w:tc>
        <w:tc>
          <w:tcPr>
            <w:tcW w:w="160" w:type="dxa"/>
            <w:vAlign w:val="bottom"/>
            <w:shd w:val="clear" w:color="auto" w:fill="002539"/>
          </w:tcPr>
          <w:p>
            <w:pPr>
              <w:spacing w:after="0"/>
              <w:rPr>
                <w:sz w:val="14"/>
                <w:szCs w:val="14"/>
                <w:color w:val="auto"/>
              </w:rPr>
            </w:pPr>
          </w:p>
        </w:tc>
        <w:tc>
          <w:tcPr>
            <w:tcW w:w="420" w:type="dxa"/>
            <w:vAlign w:val="bottom"/>
            <w:shd w:val="clear" w:color="auto" w:fill="F0F1F8"/>
          </w:tcPr>
          <w:p>
            <w:pPr>
              <w:spacing w:after="0"/>
              <w:rPr>
                <w:sz w:val="14"/>
                <w:szCs w:val="14"/>
                <w:color w:val="auto"/>
              </w:rPr>
            </w:pPr>
          </w:p>
        </w:tc>
        <w:tc>
          <w:tcPr>
            <w:tcW w:w="3080" w:type="dxa"/>
            <w:vAlign w:val="bottom"/>
            <w:shd w:val="clear" w:color="auto" w:fill="F0F1F8"/>
          </w:tcPr>
          <w:p>
            <w:pPr>
              <w:spacing w:after="0"/>
              <w:rPr>
                <w:sz w:val="14"/>
                <w:szCs w:val="14"/>
                <w:color w:val="auto"/>
              </w:rPr>
            </w:pPr>
          </w:p>
        </w:tc>
        <w:tc>
          <w:tcPr>
            <w:tcW w:w="220" w:type="dxa"/>
            <w:vAlign w:val="bottom"/>
            <w:shd w:val="clear" w:color="auto" w:fill="F0F1F8"/>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40" w:type="dxa"/>
            <w:vAlign w:val="bottom"/>
          </w:tcPr>
          <w:p>
            <w:pPr>
              <w:spacing w:after="0"/>
              <w:rPr>
                <w:sz w:val="16"/>
                <w:szCs w:val="16"/>
                <w:color w:val="auto"/>
              </w:rPr>
            </w:pPr>
          </w:p>
        </w:tc>
        <w:tc>
          <w:tcPr>
            <w:tcW w:w="3040" w:type="dxa"/>
            <w:vAlign w:val="bottom"/>
            <w:shd w:val="clear" w:color="auto" w:fill="002739"/>
          </w:tcPr>
          <w:p>
            <w:pPr>
              <w:spacing w:after="0"/>
              <w:rPr>
                <w:sz w:val="16"/>
                <w:szCs w:val="16"/>
                <w:color w:val="auto"/>
              </w:rPr>
            </w:pPr>
          </w:p>
        </w:tc>
        <w:tc>
          <w:tcPr>
            <w:tcW w:w="480" w:type="dxa"/>
            <w:vAlign w:val="bottom"/>
            <w:shd w:val="clear" w:color="auto" w:fill="002739"/>
          </w:tcPr>
          <w:p>
            <w:pPr>
              <w:spacing w:after="0"/>
              <w:rPr>
                <w:sz w:val="16"/>
                <w:szCs w:val="16"/>
                <w:color w:val="auto"/>
              </w:rPr>
            </w:pPr>
          </w:p>
        </w:tc>
        <w:tc>
          <w:tcPr>
            <w:tcW w:w="160" w:type="dxa"/>
            <w:vAlign w:val="bottom"/>
            <w:shd w:val="clear" w:color="auto" w:fill="002739"/>
          </w:tcPr>
          <w:p>
            <w:pPr>
              <w:spacing w:after="0"/>
              <w:rPr>
                <w:sz w:val="16"/>
                <w:szCs w:val="16"/>
                <w:color w:val="auto"/>
              </w:rPr>
            </w:pPr>
          </w:p>
        </w:tc>
        <w:tc>
          <w:tcPr>
            <w:tcW w:w="1260" w:type="dxa"/>
            <w:vAlign w:val="bottom"/>
            <w:shd w:val="clear" w:color="auto" w:fill="002739"/>
          </w:tcPr>
          <w:p>
            <w:pPr>
              <w:spacing w:after="0"/>
              <w:rPr>
                <w:sz w:val="16"/>
                <w:szCs w:val="16"/>
                <w:color w:val="auto"/>
              </w:rPr>
            </w:pPr>
          </w:p>
        </w:tc>
        <w:tc>
          <w:tcPr>
            <w:tcW w:w="580" w:type="dxa"/>
            <w:vAlign w:val="bottom"/>
            <w:shd w:val="clear" w:color="auto" w:fill="002739"/>
          </w:tcPr>
          <w:p>
            <w:pPr>
              <w:spacing w:after="0"/>
              <w:rPr>
                <w:sz w:val="16"/>
                <w:szCs w:val="16"/>
                <w:color w:val="auto"/>
              </w:rPr>
            </w:pPr>
          </w:p>
        </w:tc>
        <w:tc>
          <w:tcPr>
            <w:tcW w:w="1600" w:type="dxa"/>
            <w:vAlign w:val="bottom"/>
            <w:shd w:val="clear" w:color="auto" w:fill="002739"/>
          </w:tcPr>
          <w:p>
            <w:pPr>
              <w:spacing w:after="0"/>
              <w:rPr>
                <w:sz w:val="16"/>
                <w:szCs w:val="16"/>
                <w:color w:val="auto"/>
              </w:rPr>
            </w:pPr>
          </w:p>
        </w:tc>
        <w:tc>
          <w:tcPr>
            <w:tcW w:w="160" w:type="dxa"/>
            <w:vAlign w:val="bottom"/>
            <w:shd w:val="clear" w:color="auto" w:fill="002739"/>
          </w:tcPr>
          <w:p>
            <w:pPr>
              <w:spacing w:after="0"/>
              <w:rPr>
                <w:sz w:val="16"/>
                <w:szCs w:val="16"/>
                <w:color w:val="auto"/>
              </w:rPr>
            </w:pPr>
          </w:p>
        </w:tc>
        <w:tc>
          <w:tcPr>
            <w:tcW w:w="420" w:type="dxa"/>
            <w:vAlign w:val="bottom"/>
            <w:shd w:val="clear" w:color="auto" w:fill="002739"/>
          </w:tcPr>
          <w:p>
            <w:pPr>
              <w:spacing w:after="0"/>
              <w:rPr>
                <w:sz w:val="16"/>
                <w:szCs w:val="16"/>
                <w:color w:val="auto"/>
              </w:rPr>
            </w:pPr>
          </w:p>
        </w:tc>
        <w:tc>
          <w:tcPr>
            <w:tcW w:w="3080" w:type="dxa"/>
            <w:vAlign w:val="bottom"/>
            <w:shd w:val="clear" w:color="auto" w:fill="002739"/>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3"/>
        </w:trPr>
        <w:tc>
          <w:tcPr>
            <w:tcW w:w="240" w:type="dxa"/>
            <w:vAlign w:val="bottom"/>
            <w:shd w:val="clear" w:color="auto" w:fill="F0F1F8"/>
          </w:tcPr>
          <w:p>
            <w:pPr>
              <w:spacing w:after="0"/>
              <w:rPr>
                <w:sz w:val="24"/>
                <w:szCs w:val="24"/>
                <w:color w:val="auto"/>
              </w:rPr>
            </w:pPr>
          </w:p>
        </w:tc>
        <w:tc>
          <w:tcPr>
            <w:tcW w:w="3040" w:type="dxa"/>
            <w:vAlign w:val="bottom"/>
            <w:vMerge w:val="restart"/>
            <w:shd w:val="clear" w:color="auto" w:fill="F0F1F8"/>
          </w:tcPr>
          <w:p>
            <w:pPr>
              <w:jc w:val="center"/>
              <w:ind w:left="401"/>
              <w:spacing w:after="0"/>
              <w:rPr>
                <w:sz w:val="20"/>
                <w:szCs w:val="20"/>
                <w:color w:val="auto"/>
              </w:rPr>
            </w:pPr>
            <w:r>
              <w:rPr>
                <w:rFonts w:ascii="Arial" w:cs="Arial" w:eastAsia="Arial" w:hAnsi="Arial"/>
                <w:sz w:val="16"/>
                <w:szCs w:val="16"/>
                <w:color w:val="auto"/>
              </w:rPr>
              <w:t>Expand solutions that empower</w:t>
            </w:r>
          </w:p>
        </w:tc>
        <w:tc>
          <w:tcPr>
            <w:tcW w:w="480" w:type="dxa"/>
            <w:vAlign w:val="bottom"/>
            <w:shd w:val="clear" w:color="auto" w:fill="F0F1F8"/>
          </w:tcPr>
          <w:p>
            <w:pPr>
              <w:spacing w:after="0"/>
              <w:rPr>
                <w:sz w:val="24"/>
                <w:szCs w:val="24"/>
                <w:color w:val="auto"/>
              </w:rPr>
            </w:pPr>
          </w:p>
        </w:tc>
        <w:tc>
          <w:tcPr>
            <w:tcW w:w="160" w:type="dxa"/>
            <w:vAlign w:val="bottom"/>
            <w:shd w:val="clear" w:color="auto" w:fill="002539"/>
          </w:tcPr>
          <w:p>
            <w:pPr>
              <w:spacing w:after="0"/>
              <w:rPr>
                <w:sz w:val="24"/>
                <w:szCs w:val="24"/>
                <w:color w:val="auto"/>
              </w:rPr>
            </w:pPr>
          </w:p>
        </w:tc>
        <w:tc>
          <w:tcPr>
            <w:tcW w:w="3440" w:type="dxa"/>
            <w:vAlign w:val="bottom"/>
            <w:gridSpan w:val="3"/>
            <w:shd w:val="clear" w:color="auto" w:fill="F0F1F8"/>
          </w:tcPr>
          <w:p>
            <w:pPr>
              <w:jc w:val="center"/>
              <w:spacing w:after="0"/>
              <w:rPr>
                <w:sz w:val="20"/>
                <w:szCs w:val="20"/>
                <w:color w:val="auto"/>
              </w:rPr>
            </w:pPr>
            <w:r>
              <w:rPr>
                <w:rFonts w:ascii="Arial" w:cs="Arial" w:eastAsia="Arial" w:hAnsi="Arial"/>
                <w:sz w:val="16"/>
                <w:szCs w:val="16"/>
                <w:color w:val="auto"/>
              </w:rPr>
              <w:t>Strengthen client relationships</w:t>
            </w:r>
          </w:p>
        </w:tc>
        <w:tc>
          <w:tcPr>
            <w:tcW w:w="160" w:type="dxa"/>
            <w:vAlign w:val="bottom"/>
            <w:shd w:val="clear" w:color="auto" w:fill="002539"/>
          </w:tcPr>
          <w:p>
            <w:pPr>
              <w:spacing w:after="0"/>
              <w:rPr>
                <w:sz w:val="24"/>
                <w:szCs w:val="24"/>
                <w:color w:val="auto"/>
              </w:rPr>
            </w:pPr>
          </w:p>
        </w:tc>
        <w:tc>
          <w:tcPr>
            <w:tcW w:w="420" w:type="dxa"/>
            <w:vAlign w:val="bottom"/>
            <w:shd w:val="clear" w:color="auto" w:fill="F0F1F8"/>
          </w:tcPr>
          <w:p>
            <w:pPr>
              <w:spacing w:after="0"/>
              <w:rPr>
                <w:sz w:val="24"/>
                <w:szCs w:val="24"/>
                <w:color w:val="auto"/>
              </w:rPr>
            </w:pPr>
          </w:p>
        </w:tc>
        <w:tc>
          <w:tcPr>
            <w:tcW w:w="3300" w:type="dxa"/>
            <w:vAlign w:val="bottom"/>
            <w:gridSpan w:val="2"/>
            <w:shd w:val="clear" w:color="auto" w:fill="F0F1F8"/>
          </w:tcPr>
          <w:p>
            <w:pPr>
              <w:jc w:val="center"/>
              <w:ind w:right="640"/>
              <w:spacing w:after="0"/>
              <w:rPr>
                <w:sz w:val="20"/>
                <w:szCs w:val="20"/>
                <w:color w:val="auto"/>
              </w:rPr>
            </w:pPr>
            <w:r>
              <w:rPr>
                <w:rFonts w:ascii="Arial" w:cs="Arial" w:eastAsia="Arial" w:hAnsi="Arial"/>
                <w:sz w:val="16"/>
                <w:szCs w:val="16"/>
                <w:color w:val="auto"/>
              </w:rPr>
              <w:t>Execute strategic relationships and</w:t>
            </w:r>
          </w:p>
        </w:tc>
        <w:tc>
          <w:tcPr>
            <w:tcW w:w="0" w:type="dxa"/>
            <w:vAlign w:val="bottom"/>
          </w:tcPr>
          <w:p>
            <w:pPr>
              <w:spacing w:after="0"/>
              <w:rPr>
                <w:sz w:val="1"/>
                <w:szCs w:val="1"/>
                <w:color w:val="auto"/>
              </w:rPr>
            </w:pPr>
          </w:p>
        </w:tc>
      </w:tr>
      <w:tr>
        <w:trPr>
          <w:trHeight w:val="94"/>
        </w:trPr>
        <w:tc>
          <w:tcPr>
            <w:tcW w:w="240" w:type="dxa"/>
            <w:vAlign w:val="bottom"/>
            <w:shd w:val="clear" w:color="auto" w:fill="F0F1F8"/>
          </w:tcPr>
          <w:p>
            <w:pPr>
              <w:spacing w:after="0"/>
              <w:rPr>
                <w:sz w:val="8"/>
                <w:szCs w:val="8"/>
                <w:color w:val="auto"/>
              </w:rPr>
            </w:pPr>
          </w:p>
        </w:tc>
        <w:tc>
          <w:tcPr>
            <w:tcW w:w="3040" w:type="dxa"/>
            <w:vAlign w:val="bottom"/>
            <w:vMerge w:val="continue"/>
            <w:shd w:val="clear" w:color="auto" w:fill="F0F1F8"/>
          </w:tcPr>
          <w:p>
            <w:pPr>
              <w:spacing w:after="0"/>
              <w:rPr>
                <w:sz w:val="8"/>
                <w:szCs w:val="8"/>
                <w:color w:val="auto"/>
              </w:rPr>
            </w:pPr>
          </w:p>
        </w:tc>
        <w:tc>
          <w:tcPr>
            <w:tcW w:w="480" w:type="dxa"/>
            <w:vAlign w:val="bottom"/>
            <w:shd w:val="clear" w:color="auto" w:fill="F0F1F8"/>
          </w:tcPr>
          <w:p>
            <w:pPr>
              <w:spacing w:after="0"/>
              <w:rPr>
                <w:sz w:val="8"/>
                <w:szCs w:val="8"/>
                <w:color w:val="auto"/>
              </w:rPr>
            </w:pPr>
          </w:p>
        </w:tc>
        <w:tc>
          <w:tcPr>
            <w:tcW w:w="160" w:type="dxa"/>
            <w:vAlign w:val="bottom"/>
            <w:shd w:val="clear" w:color="auto" w:fill="002539"/>
          </w:tcPr>
          <w:p>
            <w:pPr>
              <w:spacing w:after="0"/>
              <w:rPr>
                <w:sz w:val="8"/>
                <w:szCs w:val="8"/>
                <w:color w:val="auto"/>
              </w:rPr>
            </w:pPr>
          </w:p>
        </w:tc>
        <w:tc>
          <w:tcPr>
            <w:tcW w:w="3440" w:type="dxa"/>
            <w:vAlign w:val="bottom"/>
            <w:gridSpan w:val="3"/>
            <w:vMerge w:val="restart"/>
            <w:shd w:val="clear" w:color="auto" w:fill="F0F1F8"/>
          </w:tcPr>
          <w:p>
            <w:pPr>
              <w:jc w:val="center"/>
              <w:spacing w:after="0"/>
              <w:rPr>
                <w:sz w:val="20"/>
                <w:szCs w:val="20"/>
                <w:color w:val="auto"/>
              </w:rPr>
            </w:pPr>
            <w:r>
              <w:rPr>
                <w:rFonts w:ascii="Arial" w:cs="Arial" w:eastAsia="Arial" w:hAnsi="Arial"/>
                <w:sz w:val="16"/>
                <w:szCs w:val="16"/>
                <w:color w:val="auto"/>
              </w:rPr>
              <w:t>and grow into strategic</w:t>
            </w:r>
          </w:p>
        </w:tc>
        <w:tc>
          <w:tcPr>
            <w:tcW w:w="160" w:type="dxa"/>
            <w:vAlign w:val="bottom"/>
            <w:shd w:val="clear" w:color="auto" w:fill="002539"/>
          </w:tcPr>
          <w:p>
            <w:pPr>
              <w:spacing w:after="0"/>
              <w:rPr>
                <w:sz w:val="8"/>
                <w:szCs w:val="8"/>
                <w:color w:val="auto"/>
              </w:rPr>
            </w:pPr>
          </w:p>
        </w:tc>
        <w:tc>
          <w:tcPr>
            <w:tcW w:w="420" w:type="dxa"/>
            <w:vAlign w:val="bottom"/>
            <w:shd w:val="clear" w:color="auto" w:fill="F0F1F8"/>
          </w:tcPr>
          <w:p>
            <w:pPr>
              <w:spacing w:after="0"/>
              <w:rPr>
                <w:sz w:val="8"/>
                <w:szCs w:val="8"/>
                <w:color w:val="auto"/>
              </w:rPr>
            </w:pPr>
          </w:p>
        </w:tc>
        <w:tc>
          <w:tcPr>
            <w:tcW w:w="3300" w:type="dxa"/>
            <w:vAlign w:val="bottom"/>
            <w:gridSpan w:val="2"/>
            <w:vMerge w:val="restart"/>
            <w:shd w:val="clear" w:color="auto" w:fill="F0F1F8"/>
          </w:tcPr>
          <w:p>
            <w:pPr>
              <w:jc w:val="center"/>
              <w:ind w:right="640"/>
              <w:spacing w:after="0"/>
              <w:rPr>
                <w:sz w:val="20"/>
                <w:szCs w:val="20"/>
                <w:color w:val="auto"/>
              </w:rPr>
            </w:pPr>
            <w:r>
              <w:rPr>
                <w:rFonts w:ascii="Arial" w:cs="Arial" w:eastAsia="Arial" w:hAnsi="Arial"/>
                <w:sz w:val="16"/>
                <w:szCs w:val="16"/>
                <w:color w:val="auto"/>
                <w:w w:val="99"/>
              </w:rPr>
              <w:t>acquisitions with complementary</w:t>
            </w:r>
          </w:p>
        </w:tc>
        <w:tc>
          <w:tcPr>
            <w:tcW w:w="0" w:type="dxa"/>
            <w:vAlign w:val="bottom"/>
          </w:tcPr>
          <w:p>
            <w:pPr>
              <w:spacing w:after="0"/>
              <w:rPr>
                <w:sz w:val="1"/>
                <w:szCs w:val="1"/>
                <w:color w:val="auto"/>
              </w:rPr>
            </w:pPr>
          </w:p>
        </w:tc>
      </w:tr>
      <w:tr>
        <w:trPr>
          <w:trHeight w:val="94"/>
        </w:trPr>
        <w:tc>
          <w:tcPr>
            <w:tcW w:w="240" w:type="dxa"/>
            <w:vAlign w:val="bottom"/>
            <w:shd w:val="clear" w:color="auto" w:fill="F0F1F8"/>
          </w:tcPr>
          <w:p>
            <w:pPr>
              <w:spacing w:after="0"/>
              <w:rPr>
                <w:sz w:val="8"/>
                <w:szCs w:val="8"/>
                <w:color w:val="auto"/>
              </w:rPr>
            </w:pPr>
          </w:p>
        </w:tc>
        <w:tc>
          <w:tcPr>
            <w:tcW w:w="3040" w:type="dxa"/>
            <w:vAlign w:val="bottom"/>
            <w:vMerge w:val="restart"/>
            <w:shd w:val="clear" w:color="auto" w:fill="F0F1F8"/>
          </w:tcPr>
          <w:p>
            <w:pPr>
              <w:jc w:val="center"/>
              <w:ind w:left="401"/>
              <w:spacing w:after="0"/>
              <w:rPr>
                <w:sz w:val="20"/>
                <w:szCs w:val="20"/>
                <w:color w:val="auto"/>
              </w:rPr>
            </w:pPr>
            <w:r>
              <w:rPr>
                <w:rFonts w:ascii="Arial" w:cs="Arial" w:eastAsia="Arial" w:hAnsi="Arial"/>
                <w:sz w:val="16"/>
                <w:szCs w:val="16"/>
                <w:color w:val="auto"/>
              </w:rPr>
              <w:t>client customization</w:t>
            </w:r>
          </w:p>
        </w:tc>
        <w:tc>
          <w:tcPr>
            <w:tcW w:w="480" w:type="dxa"/>
            <w:vAlign w:val="bottom"/>
            <w:shd w:val="clear" w:color="auto" w:fill="F0F1F8"/>
          </w:tcPr>
          <w:p>
            <w:pPr>
              <w:spacing w:after="0"/>
              <w:rPr>
                <w:sz w:val="8"/>
                <w:szCs w:val="8"/>
                <w:color w:val="auto"/>
              </w:rPr>
            </w:pPr>
          </w:p>
        </w:tc>
        <w:tc>
          <w:tcPr>
            <w:tcW w:w="160" w:type="dxa"/>
            <w:vAlign w:val="bottom"/>
            <w:shd w:val="clear" w:color="auto" w:fill="002539"/>
          </w:tcPr>
          <w:p>
            <w:pPr>
              <w:spacing w:after="0"/>
              <w:rPr>
                <w:sz w:val="8"/>
                <w:szCs w:val="8"/>
                <w:color w:val="auto"/>
              </w:rPr>
            </w:pPr>
          </w:p>
        </w:tc>
        <w:tc>
          <w:tcPr>
            <w:tcW w:w="3440" w:type="dxa"/>
            <w:vAlign w:val="bottom"/>
            <w:gridSpan w:val="3"/>
            <w:vMerge w:val="continue"/>
            <w:shd w:val="clear" w:color="auto" w:fill="F0F1F8"/>
          </w:tcPr>
          <w:p>
            <w:pPr>
              <w:spacing w:after="0"/>
              <w:rPr>
                <w:sz w:val="8"/>
                <w:szCs w:val="8"/>
                <w:color w:val="auto"/>
              </w:rPr>
            </w:pPr>
          </w:p>
        </w:tc>
        <w:tc>
          <w:tcPr>
            <w:tcW w:w="160" w:type="dxa"/>
            <w:vAlign w:val="bottom"/>
            <w:shd w:val="clear" w:color="auto" w:fill="002539"/>
          </w:tcPr>
          <w:p>
            <w:pPr>
              <w:spacing w:after="0"/>
              <w:rPr>
                <w:sz w:val="8"/>
                <w:szCs w:val="8"/>
                <w:color w:val="auto"/>
              </w:rPr>
            </w:pPr>
          </w:p>
        </w:tc>
        <w:tc>
          <w:tcPr>
            <w:tcW w:w="420" w:type="dxa"/>
            <w:vAlign w:val="bottom"/>
            <w:shd w:val="clear" w:color="auto" w:fill="F0F1F8"/>
          </w:tcPr>
          <w:p>
            <w:pPr>
              <w:spacing w:after="0"/>
              <w:rPr>
                <w:sz w:val="8"/>
                <w:szCs w:val="8"/>
                <w:color w:val="auto"/>
              </w:rPr>
            </w:pPr>
          </w:p>
        </w:tc>
        <w:tc>
          <w:tcPr>
            <w:tcW w:w="3300" w:type="dxa"/>
            <w:vAlign w:val="bottom"/>
            <w:gridSpan w:val="2"/>
            <w:vMerge w:val="continue"/>
            <w:shd w:val="clear" w:color="auto" w:fill="F0F1F8"/>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40" w:type="dxa"/>
            <w:vAlign w:val="bottom"/>
            <w:shd w:val="clear" w:color="auto" w:fill="F0F1F8"/>
          </w:tcPr>
          <w:p>
            <w:pPr>
              <w:spacing w:after="0"/>
              <w:rPr>
                <w:sz w:val="8"/>
                <w:szCs w:val="8"/>
                <w:color w:val="auto"/>
              </w:rPr>
            </w:pPr>
          </w:p>
        </w:tc>
        <w:tc>
          <w:tcPr>
            <w:tcW w:w="3040" w:type="dxa"/>
            <w:vAlign w:val="bottom"/>
            <w:vMerge w:val="continue"/>
            <w:shd w:val="clear" w:color="auto" w:fill="F0F1F8"/>
          </w:tcPr>
          <w:p>
            <w:pPr>
              <w:spacing w:after="0"/>
              <w:rPr>
                <w:sz w:val="8"/>
                <w:szCs w:val="8"/>
                <w:color w:val="auto"/>
              </w:rPr>
            </w:pPr>
          </w:p>
        </w:tc>
        <w:tc>
          <w:tcPr>
            <w:tcW w:w="480" w:type="dxa"/>
            <w:vAlign w:val="bottom"/>
            <w:shd w:val="clear" w:color="auto" w:fill="F0F1F8"/>
          </w:tcPr>
          <w:p>
            <w:pPr>
              <w:spacing w:after="0"/>
              <w:rPr>
                <w:sz w:val="8"/>
                <w:szCs w:val="8"/>
                <w:color w:val="auto"/>
              </w:rPr>
            </w:pPr>
          </w:p>
        </w:tc>
        <w:tc>
          <w:tcPr>
            <w:tcW w:w="160" w:type="dxa"/>
            <w:vAlign w:val="bottom"/>
            <w:shd w:val="clear" w:color="auto" w:fill="002539"/>
          </w:tcPr>
          <w:p>
            <w:pPr>
              <w:spacing w:after="0"/>
              <w:rPr>
                <w:sz w:val="8"/>
                <w:szCs w:val="8"/>
                <w:color w:val="auto"/>
              </w:rPr>
            </w:pPr>
          </w:p>
        </w:tc>
        <w:tc>
          <w:tcPr>
            <w:tcW w:w="3440" w:type="dxa"/>
            <w:vAlign w:val="bottom"/>
            <w:gridSpan w:val="3"/>
            <w:vMerge w:val="restart"/>
            <w:shd w:val="clear" w:color="auto" w:fill="F0F1F8"/>
          </w:tcPr>
          <w:p>
            <w:pPr>
              <w:jc w:val="center"/>
              <w:spacing w:after="0"/>
              <w:rPr>
                <w:sz w:val="20"/>
                <w:szCs w:val="20"/>
                <w:color w:val="auto"/>
              </w:rPr>
            </w:pPr>
            <w:r>
              <w:rPr>
                <w:rFonts w:ascii="Arial" w:cs="Arial" w:eastAsia="Arial" w:hAnsi="Arial"/>
                <w:sz w:val="16"/>
                <w:szCs w:val="16"/>
                <w:color w:val="auto"/>
              </w:rPr>
              <w:t>partnerships with clients</w:t>
            </w:r>
          </w:p>
        </w:tc>
        <w:tc>
          <w:tcPr>
            <w:tcW w:w="160" w:type="dxa"/>
            <w:vAlign w:val="bottom"/>
            <w:shd w:val="clear" w:color="auto" w:fill="002539"/>
          </w:tcPr>
          <w:p>
            <w:pPr>
              <w:spacing w:after="0"/>
              <w:rPr>
                <w:sz w:val="8"/>
                <w:szCs w:val="8"/>
                <w:color w:val="auto"/>
              </w:rPr>
            </w:pPr>
          </w:p>
        </w:tc>
        <w:tc>
          <w:tcPr>
            <w:tcW w:w="420" w:type="dxa"/>
            <w:vAlign w:val="bottom"/>
            <w:shd w:val="clear" w:color="auto" w:fill="F0F1F8"/>
          </w:tcPr>
          <w:p>
            <w:pPr>
              <w:spacing w:after="0"/>
              <w:rPr>
                <w:sz w:val="8"/>
                <w:szCs w:val="8"/>
                <w:color w:val="auto"/>
              </w:rPr>
            </w:pPr>
          </w:p>
        </w:tc>
        <w:tc>
          <w:tcPr>
            <w:tcW w:w="3300" w:type="dxa"/>
            <w:vAlign w:val="bottom"/>
            <w:gridSpan w:val="2"/>
            <w:vMerge w:val="restart"/>
            <w:shd w:val="clear" w:color="auto" w:fill="F0F1F8"/>
          </w:tcPr>
          <w:p>
            <w:pPr>
              <w:jc w:val="center"/>
              <w:ind w:right="620"/>
              <w:spacing w:after="0"/>
              <w:rPr>
                <w:sz w:val="20"/>
                <w:szCs w:val="20"/>
                <w:color w:val="auto"/>
              </w:rPr>
            </w:pPr>
            <w:r>
              <w:rPr>
                <w:rFonts w:ascii="Arial" w:cs="Arial" w:eastAsia="Arial" w:hAnsi="Arial"/>
                <w:sz w:val="16"/>
                <w:szCs w:val="16"/>
                <w:color w:val="auto"/>
              </w:rPr>
              <w:t>content and technology companies</w:t>
            </w:r>
          </w:p>
        </w:tc>
        <w:tc>
          <w:tcPr>
            <w:tcW w:w="0" w:type="dxa"/>
            <w:vAlign w:val="bottom"/>
          </w:tcPr>
          <w:p>
            <w:pPr>
              <w:spacing w:after="0"/>
              <w:rPr>
                <w:sz w:val="1"/>
                <w:szCs w:val="1"/>
                <w:color w:val="auto"/>
              </w:rPr>
            </w:pPr>
          </w:p>
        </w:tc>
      </w:tr>
      <w:tr>
        <w:trPr>
          <w:trHeight w:val="94"/>
        </w:trPr>
        <w:tc>
          <w:tcPr>
            <w:tcW w:w="240" w:type="dxa"/>
            <w:vAlign w:val="bottom"/>
            <w:shd w:val="clear" w:color="auto" w:fill="F0F1F8"/>
          </w:tcPr>
          <w:p>
            <w:pPr>
              <w:spacing w:after="0"/>
              <w:rPr>
                <w:sz w:val="8"/>
                <w:szCs w:val="8"/>
                <w:color w:val="auto"/>
              </w:rPr>
            </w:pPr>
          </w:p>
        </w:tc>
        <w:tc>
          <w:tcPr>
            <w:tcW w:w="3040" w:type="dxa"/>
            <w:vAlign w:val="bottom"/>
            <w:shd w:val="clear" w:color="auto" w:fill="F0F1F8"/>
          </w:tcPr>
          <w:p>
            <w:pPr>
              <w:spacing w:after="0"/>
              <w:rPr>
                <w:sz w:val="8"/>
                <w:szCs w:val="8"/>
                <w:color w:val="auto"/>
              </w:rPr>
            </w:pPr>
          </w:p>
        </w:tc>
        <w:tc>
          <w:tcPr>
            <w:tcW w:w="480" w:type="dxa"/>
            <w:vAlign w:val="bottom"/>
            <w:shd w:val="clear" w:color="auto" w:fill="F0F1F8"/>
          </w:tcPr>
          <w:p>
            <w:pPr>
              <w:spacing w:after="0"/>
              <w:rPr>
                <w:sz w:val="8"/>
                <w:szCs w:val="8"/>
                <w:color w:val="auto"/>
              </w:rPr>
            </w:pPr>
          </w:p>
        </w:tc>
        <w:tc>
          <w:tcPr>
            <w:tcW w:w="160" w:type="dxa"/>
            <w:vAlign w:val="bottom"/>
            <w:shd w:val="clear" w:color="auto" w:fill="002539"/>
          </w:tcPr>
          <w:p>
            <w:pPr>
              <w:spacing w:after="0"/>
              <w:rPr>
                <w:sz w:val="8"/>
                <w:szCs w:val="8"/>
                <w:color w:val="auto"/>
              </w:rPr>
            </w:pPr>
          </w:p>
        </w:tc>
        <w:tc>
          <w:tcPr>
            <w:tcW w:w="3440" w:type="dxa"/>
            <w:vAlign w:val="bottom"/>
            <w:gridSpan w:val="3"/>
            <w:vMerge w:val="continue"/>
            <w:shd w:val="clear" w:color="auto" w:fill="F0F1F8"/>
          </w:tcPr>
          <w:p>
            <w:pPr>
              <w:spacing w:after="0"/>
              <w:rPr>
                <w:sz w:val="8"/>
                <w:szCs w:val="8"/>
                <w:color w:val="auto"/>
              </w:rPr>
            </w:pPr>
          </w:p>
        </w:tc>
        <w:tc>
          <w:tcPr>
            <w:tcW w:w="160" w:type="dxa"/>
            <w:vAlign w:val="bottom"/>
            <w:shd w:val="clear" w:color="auto" w:fill="002539"/>
          </w:tcPr>
          <w:p>
            <w:pPr>
              <w:spacing w:after="0"/>
              <w:rPr>
                <w:sz w:val="8"/>
                <w:szCs w:val="8"/>
                <w:color w:val="auto"/>
              </w:rPr>
            </w:pPr>
          </w:p>
        </w:tc>
        <w:tc>
          <w:tcPr>
            <w:tcW w:w="420" w:type="dxa"/>
            <w:vAlign w:val="bottom"/>
            <w:shd w:val="clear" w:color="auto" w:fill="F0F1F8"/>
          </w:tcPr>
          <w:p>
            <w:pPr>
              <w:spacing w:after="0"/>
              <w:rPr>
                <w:sz w:val="8"/>
                <w:szCs w:val="8"/>
                <w:color w:val="auto"/>
              </w:rPr>
            </w:pPr>
          </w:p>
        </w:tc>
        <w:tc>
          <w:tcPr>
            <w:tcW w:w="3300" w:type="dxa"/>
            <w:vAlign w:val="bottom"/>
            <w:gridSpan w:val="2"/>
            <w:vMerge w:val="continue"/>
            <w:shd w:val="clear" w:color="auto" w:fill="F0F1F8"/>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240" w:type="dxa"/>
            <w:vAlign w:val="bottom"/>
            <w:shd w:val="clear" w:color="auto" w:fill="F0F1F8"/>
          </w:tcPr>
          <w:p>
            <w:pPr>
              <w:spacing w:after="0"/>
              <w:rPr>
                <w:sz w:val="14"/>
                <w:szCs w:val="14"/>
                <w:color w:val="auto"/>
              </w:rPr>
            </w:pPr>
          </w:p>
        </w:tc>
        <w:tc>
          <w:tcPr>
            <w:tcW w:w="3040" w:type="dxa"/>
            <w:vAlign w:val="bottom"/>
            <w:shd w:val="clear" w:color="auto" w:fill="F0F1F8"/>
          </w:tcPr>
          <w:p>
            <w:pPr>
              <w:spacing w:after="0"/>
              <w:rPr>
                <w:sz w:val="14"/>
                <w:szCs w:val="14"/>
                <w:color w:val="auto"/>
              </w:rPr>
            </w:pPr>
          </w:p>
        </w:tc>
        <w:tc>
          <w:tcPr>
            <w:tcW w:w="480" w:type="dxa"/>
            <w:vAlign w:val="bottom"/>
            <w:shd w:val="clear" w:color="auto" w:fill="F0F1F8"/>
          </w:tcPr>
          <w:p>
            <w:pPr>
              <w:spacing w:after="0"/>
              <w:rPr>
                <w:sz w:val="14"/>
                <w:szCs w:val="14"/>
                <w:color w:val="auto"/>
              </w:rPr>
            </w:pPr>
          </w:p>
        </w:tc>
        <w:tc>
          <w:tcPr>
            <w:tcW w:w="160" w:type="dxa"/>
            <w:vAlign w:val="bottom"/>
            <w:shd w:val="clear" w:color="auto" w:fill="002539"/>
          </w:tcPr>
          <w:p>
            <w:pPr>
              <w:spacing w:after="0"/>
              <w:rPr>
                <w:sz w:val="14"/>
                <w:szCs w:val="14"/>
                <w:color w:val="auto"/>
              </w:rPr>
            </w:pPr>
          </w:p>
        </w:tc>
        <w:tc>
          <w:tcPr>
            <w:tcW w:w="1260" w:type="dxa"/>
            <w:vAlign w:val="bottom"/>
            <w:shd w:val="clear" w:color="auto" w:fill="F0F1F8"/>
          </w:tcPr>
          <w:p>
            <w:pPr>
              <w:spacing w:after="0"/>
              <w:rPr>
                <w:sz w:val="14"/>
                <w:szCs w:val="14"/>
                <w:color w:val="auto"/>
              </w:rPr>
            </w:pPr>
          </w:p>
        </w:tc>
        <w:tc>
          <w:tcPr>
            <w:tcW w:w="580" w:type="dxa"/>
            <w:vAlign w:val="bottom"/>
            <w:shd w:val="clear" w:color="auto" w:fill="F0F1F8"/>
          </w:tcPr>
          <w:p>
            <w:pPr>
              <w:spacing w:after="0"/>
              <w:rPr>
                <w:sz w:val="14"/>
                <w:szCs w:val="14"/>
                <w:color w:val="auto"/>
              </w:rPr>
            </w:pPr>
          </w:p>
        </w:tc>
        <w:tc>
          <w:tcPr>
            <w:tcW w:w="1600" w:type="dxa"/>
            <w:vAlign w:val="bottom"/>
            <w:shd w:val="clear" w:color="auto" w:fill="F0F1F8"/>
          </w:tcPr>
          <w:p>
            <w:pPr>
              <w:spacing w:after="0"/>
              <w:rPr>
                <w:sz w:val="14"/>
                <w:szCs w:val="14"/>
                <w:color w:val="auto"/>
              </w:rPr>
            </w:pPr>
          </w:p>
        </w:tc>
        <w:tc>
          <w:tcPr>
            <w:tcW w:w="160" w:type="dxa"/>
            <w:vAlign w:val="bottom"/>
            <w:shd w:val="clear" w:color="auto" w:fill="002539"/>
          </w:tcPr>
          <w:p>
            <w:pPr>
              <w:spacing w:after="0"/>
              <w:rPr>
                <w:sz w:val="14"/>
                <w:szCs w:val="14"/>
                <w:color w:val="auto"/>
              </w:rPr>
            </w:pPr>
          </w:p>
        </w:tc>
        <w:tc>
          <w:tcPr>
            <w:tcW w:w="420" w:type="dxa"/>
            <w:vAlign w:val="bottom"/>
            <w:shd w:val="clear" w:color="auto" w:fill="F0F1F8"/>
          </w:tcPr>
          <w:p>
            <w:pPr>
              <w:spacing w:after="0"/>
              <w:rPr>
                <w:sz w:val="14"/>
                <w:szCs w:val="14"/>
                <w:color w:val="auto"/>
              </w:rPr>
            </w:pPr>
          </w:p>
        </w:tc>
        <w:tc>
          <w:tcPr>
            <w:tcW w:w="3080" w:type="dxa"/>
            <w:vAlign w:val="bottom"/>
            <w:shd w:val="clear" w:color="auto" w:fill="F0F1F8"/>
          </w:tcPr>
          <w:p>
            <w:pPr>
              <w:spacing w:after="0"/>
              <w:rPr>
                <w:sz w:val="14"/>
                <w:szCs w:val="14"/>
                <w:color w:val="auto"/>
              </w:rPr>
            </w:pPr>
          </w:p>
        </w:tc>
        <w:tc>
          <w:tcPr>
            <w:tcW w:w="220" w:type="dxa"/>
            <w:vAlign w:val="bottom"/>
            <w:shd w:val="clear" w:color="auto" w:fill="F0F1F8"/>
          </w:tcPr>
          <w:p>
            <w:pPr>
              <w:spacing w:after="0"/>
              <w:rPr>
                <w:sz w:val="14"/>
                <w:szCs w:val="14"/>
                <w:color w:val="auto"/>
              </w:rPr>
            </w:pPr>
          </w:p>
        </w:tc>
        <w:tc>
          <w:tcPr>
            <w:tcW w:w="0" w:type="dxa"/>
            <w:vAlign w:val="bottom"/>
          </w:tcPr>
          <w:p>
            <w:pPr>
              <w:spacing w:after="0"/>
              <w:rPr>
                <w:sz w:val="1"/>
                <w:szCs w:val="1"/>
                <w:color w:val="auto"/>
              </w:rPr>
            </w:pPr>
          </w:p>
        </w:tc>
      </w:tr>
      <w:tr>
        <w:trPr>
          <w:trHeight w:val="495"/>
        </w:trPr>
        <w:tc>
          <w:tcPr>
            <w:tcW w:w="240" w:type="dxa"/>
            <w:vAlign w:val="bottom"/>
            <w:shd w:val="clear" w:color="auto" w:fill="000000"/>
          </w:tcPr>
          <w:p>
            <w:pPr>
              <w:spacing w:after="0"/>
              <w:rPr>
                <w:sz w:val="24"/>
                <w:szCs w:val="24"/>
                <w:color w:val="auto"/>
              </w:rPr>
            </w:pPr>
          </w:p>
        </w:tc>
        <w:tc>
          <w:tcPr>
            <w:tcW w:w="3040" w:type="dxa"/>
            <w:vAlign w:val="bottom"/>
            <w:shd w:val="clear" w:color="auto" w:fill="002739"/>
          </w:tcPr>
          <w:p>
            <w:pPr>
              <w:spacing w:after="0"/>
              <w:rPr>
                <w:sz w:val="24"/>
                <w:szCs w:val="24"/>
                <w:color w:val="auto"/>
              </w:rPr>
            </w:pPr>
          </w:p>
        </w:tc>
        <w:tc>
          <w:tcPr>
            <w:tcW w:w="4660" w:type="dxa"/>
            <w:vAlign w:val="bottom"/>
            <w:gridSpan w:val="7"/>
            <w:shd w:val="clear" w:color="auto" w:fill="002739"/>
          </w:tcPr>
          <w:p>
            <w:pPr>
              <w:jc w:val="center"/>
              <w:spacing w:after="0"/>
              <w:rPr>
                <w:sz w:val="20"/>
                <w:szCs w:val="20"/>
                <w:color w:val="auto"/>
              </w:rPr>
            </w:pPr>
            <w:r>
              <w:rPr>
                <w:rFonts w:ascii="Arial" w:cs="Arial" w:eastAsia="Arial" w:hAnsi="Arial"/>
                <w:sz w:val="27"/>
                <w:szCs w:val="27"/>
                <w:b w:val="1"/>
                <w:bCs w:val="1"/>
                <w:color w:val="FFFFFF"/>
                <w:w w:val="99"/>
              </w:rPr>
              <w:t>Performance-Based Compensation</w:t>
            </w:r>
          </w:p>
        </w:tc>
        <w:tc>
          <w:tcPr>
            <w:tcW w:w="3080" w:type="dxa"/>
            <w:vAlign w:val="bottom"/>
            <w:shd w:val="clear" w:color="auto" w:fill="002739"/>
          </w:tcPr>
          <w:p>
            <w:pPr>
              <w:spacing w:after="0"/>
              <w:rPr>
                <w:sz w:val="24"/>
                <w:szCs w:val="24"/>
                <w:color w:val="auto"/>
              </w:rPr>
            </w:pPr>
          </w:p>
        </w:tc>
        <w:tc>
          <w:tcPr>
            <w:tcW w:w="2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240" w:type="dxa"/>
            <w:vAlign w:val="bottom"/>
            <w:shd w:val="clear" w:color="auto" w:fill="000000"/>
          </w:tcPr>
          <w:p>
            <w:pPr>
              <w:spacing w:after="0"/>
              <w:rPr>
                <w:sz w:val="5"/>
                <w:szCs w:val="5"/>
                <w:color w:val="auto"/>
              </w:rPr>
            </w:pPr>
          </w:p>
        </w:tc>
        <w:tc>
          <w:tcPr>
            <w:tcW w:w="3040" w:type="dxa"/>
            <w:vAlign w:val="bottom"/>
            <w:shd w:val="clear" w:color="auto" w:fill="002739"/>
          </w:tcPr>
          <w:p>
            <w:pPr>
              <w:spacing w:after="0"/>
              <w:rPr>
                <w:sz w:val="5"/>
                <w:szCs w:val="5"/>
                <w:color w:val="auto"/>
              </w:rPr>
            </w:pPr>
          </w:p>
        </w:tc>
        <w:tc>
          <w:tcPr>
            <w:tcW w:w="480" w:type="dxa"/>
            <w:vAlign w:val="bottom"/>
            <w:shd w:val="clear" w:color="auto" w:fill="002739"/>
          </w:tcPr>
          <w:p>
            <w:pPr>
              <w:spacing w:after="0"/>
              <w:rPr>
                <w:sz w:val="5"/>
                <w:szCs w:val="5"/>
                <w:color w:val="auto"/>
              </w:rPr>
            </w:pPr>
          </w:p>
        </w:tc>
        <w:tc>
          <w:tcPr>
            <w:tcW w:w="160" w:type="dxa"/>
            <w:vAlign w:val="bottom"/>
            <w:shd w:val="clear" w:color="auto" w:fill="002739"/>
          </w:tcPr>
          <w:p>
            <w:pPr>
              <w:spacing w:after="0"/>
              <w:rPr>
                <w:sz w:val="5"/>
                <w:szCs w:val="5"/>
                <w:color w:val="auto"/>
              </w:rPr>
            </w:pPr>
          </w:p>
        </w:tc>
        <w:tc>
          <w:tcPr>
            <w:tcW w:w="1260" w:type="dxa"/>
            <w:vAlign w:val="bottom"/>
            <w:shd w:val="clear" w:color="auto" w:fill="002739"/>
          </w:tcPr>
          <w:p>
            <w:pPr>
              <w:spacing w:after="0"/>
              <w:rPr>
                <w:sz w:val="5"/>
                <w:szCs w:val="5"/>
                <w:color w:val="auto"/>
              </w:rPr>
            </w:pPr>
          </w:p>
        </w:tc>
        <w:tc>
          <w:tcPr>
            <w:tcW w:w="580" w:type="dxa"/>
            <w:vAlign w:val="bottom"/>
            <w:shd w:val="clear" w:color="auto" w:fill="002739"/>
          </w:tcPr>
          <w:p>
            <w:pPr>
              <w:spacing w:after="0"/>
              <w:rPr>
                <w:sz w:val="5"/>
                <w:szCs w:val="5"/>
                <w:color w:val="auto"/>
              </w:rPr>
            </w:pPr>
          </w:p>
        </w:tc>
        <w:tc>
          <w:tcPr>
            <w:tcW w:w="2180" w:type="dxa"/>
            <w:vAlign w:val="bottom"/>
            <w:gridSpan w:val="3"/>
            <w:shd w:val="clear" w:color="auto" w:fill="002739"/>
          </w:tcPr>
          <w:p>
            <w:pPr>
              <w:spacing w:after="0"/>
              <w:rPr>
                <w:sz w:val="5"/>
                <w:szCs w:val="5"/>
                <w:color w:val="auto"/>
              </w:rPr>
            </w:pPr>
          </w:p>
        </w:tc>
        <w:tc>
          <w:tcPr>
            <w:tcW w:w="3080" w:type="dxa"/>
            <w:vAlign w:val="bottom"/>
            <w:shd w:val="clear" w:color="auto" w:fill="002739"/>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348"/>
        </w:trPr>
        <w:tc>
          <w:tcPr>
            <w:tcW w:w="240" w:type="dxa"/>
            <w:vAlign w:val="bottom"/>
            <w:shd w:val="clear" w:color="auto" w:fill="E8F5F3"/>
          </w:tcPr>
          <w:p>
            <w:pPr>
              <w:spacing w:after="0"/>
              <w:rPr>
                <w:sz w:val="24"/>
                <w:szCs w:val="24"/>
                <w:color w:val="auto"/>
              </w:rPr>
            </w:pPr>
          </w:p>
        </w:tc>
        <w:tc>
          <w:tcPr>
            <w:tcW w:w="3040" w:type="dxa"/>
            <w:vAlign w:val="bottom"/>
            <w:shd w:val="clear" w:color="auto" w:fill="E8F5F3"/>
          </w:tcPr>
          <w:p>
            <w:pPr>
              <w:spacing w:after="0"/>
              <w:rPr>
                <w:sz w:val="20"/>
                <w:szCs w:val="20"/>
                <w:color w:val="auto"/>
              </w:rPr>
            </w:pPr>
            <w:r>
              <w:rPr>
                <w:rFonts w:ascii="Arial" w:cs="Arial" w:eastAsia="Arial" w:hAnsi="Arial"/>
                <w:sz w:val="16"/>
                <w:szCs w:val="16"/>
                <w:b w:val="1"/>
                <w:bCs w:val="1"/>
                <w:color w:val="auto"/>
              </w:rPr>
              <w:t>SHORT-TERM</w:t>
            </w:r>
          </w:p>
        </w:tc>
        <w:tc>
          <w:tcPr>
            <w:tcW w:w="480" w:type="dxa"/>
            <w:vAlign w:val="bottom"/>
            <w:shd w:val="clear" w:color="auto" w:fill="E8F5F3"/>
          </w:tcPr>
          <w:p>
            <w:pPr>
              <w:spacing w:after="0"/>
              <w:rPr>
                <w:sz w:val="24"/>
                <w:szCs w:val="24"/>
                <w:color w:val="auto"/>
              </w:rPr>
            </w:pPr>
          </w:p>
        </w:tc>
        <w:tc>
          <w:tcPr>
            <w:tcW w:w="160" w:type="dxa"/>
            <w:vAlign w:val="bottom"/>
            <w:shd w:val="clear" w:color="auto" w:fill="E8F5F3"/>
          </w:tcPr>
          <w:p>
            <w:pPr>
              <w:spacing w:after="0"/>
              <w:rPr>
                <w:sz w:val="24"/>
                <w:szCs w:val="24"/>
                <w:color w:val="auto"/>
              </w:rPr>
            </w:pPr>
          </w:p>
        </w:tc>
        <w:tc>
          <w:tcPr>
            <w:tcW w:w="1260" w:type="dxa"/>
            <w:vAlign w:val="bottom"/>
            <w:shd w:val="clear" w:color="auto" w:fill="E8F5F3"/>
          </w:tcPr>
          <w:p>
            <w:pPr>
              <w:spacing w:after="0"/>
              <w:rPr>
                <w:sz w:val="24"/>
                <w:szCs w:val="24"/>
                <w:color w:val="auto"/>
              </w:rPr>
            </w:pPr>
          </w:p>
        </w:tc>
        <w:tc>
          <w:tcPr>
            <w:tcW w:w="580" w:type="dxa"/>
            <w:vAlign w:val="bottom"/>
            <w:shd w:val="clear" w:color="auto" w:fill="E8F5F3"/>
          </w:tcPr>
          <w:p>
            <w:pPr>
              <w:spacing w:after="0"/>
              <w:rPr>
                <w:sz w:val="24"/>
                <w:szCs w:val="24"/>
                <w:color w:val="auto"/>
              </w:rPr>
            </w:pPr>
          </w:p>
        </w:tc>
        <w:tc>
          <w:tcPr>
            <w:tcW w:w="2180" w:type="dxa"/>
            <w:vAlign w:val="bottom"/>
            <w:gridSpan w:val="3"/>
            <w:shd w:val="clear" w:color="auto" w:fill="E8F5F3"/>
          </w:tcPr>
          <w:p>
            <w:pPr>
              <w:spacing w:after="0"/>
              <w:rPr>
                <w:sz w:val="20"/>
                <w:szCs w:val="20"/>
                <w:color w:val="auto"/>
              </w:rPr>
            </w:pPr>
            <w:r>
              <w:rPr>
                <w:rFonts w:ascii="Arial" w:cs="Arial" w:eastAsia="Arial" w:hAnsi="Arial"/>
                <w:sz w:val="16"/>
                <w:szCs w:val="16"/>
                <w:b w:val="1"/>
                <w:bCs w:val="1"/>
                <w:color w:val="auto"/>
              </w:rPr>
              <w:t>LONG-TERM</w:t>
            </w:r>
          </w:p>
        </w:tc>
        <w:tc>
          <w:tcPr>
            <w:tcW w:w="3080" w:type="dxa"/>
            <w:vAlign w:val="bottom"/>
            <w:shd w:val="clear" w:color="auto" w:fill="E8F5F3"/>
          </w:tcPr>
          <w:p>
            <w:pPr>
              <w:spacing w:after="0"/>
              <w:rPr>
                <w:sz w:val="24"/>
                <w:szCs w:val="24"/>
                <w:color w:val="auto"/>
              </w:rPr>
            </w:pPr>
          </w:p>
        </w:tc>
        <w:tc>
          <w:tcPr>
            <w:tcW w:w="220" w:type="dxa"/>
            <w:vAlign w:val="bottom"/>
            <w:shd w:val="clear" w:color="auto" w:fill="E8F5F3"/>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40" w:type="dxa"/>
            <w:vAlign w:val="bottom"/>
            <w:shd w:val="clear" w:color="auto" w:fill="E8F5F3"/>
          </w:tcPr>
          <w:p>
            <w:pPr>
              <w:spacing w:after="0"/>
              <w:rPr>
                <w:sz w:val="15"/>
                <w:szCs w:val="15"/>
                <w:color w:val="auto"/>
              </w:rPr>
            </w:pPr>
          </w:p>
        </w:tc>
        <w:tc>
          <w:tcPr>
            <w:tcW w:w="3040" w:type="dxa"/>
            <w:vAlign w:val="bottom"/>
            <w:tcBorders>
              <w:bottom w:val="single" w:sz="8" w:color="auto"/>
            </w:tcBorders>
            <w:shd w:val="clear" w:color="auto" w:fill="E8F5F3"/>
          </w:tcPr>
          <w:p>
            <w:pPr>
              <w:spacing w:after="0"/>
              <w:rPr>
                <w:sz w:val="20"/>
                <w:szCs w:val="20"/>
                <w:color w:val="auto"/>
              </w:rPr>
            </w:pPr>
            <w:r>
              <w:rPr>
                <w:rFonts w:ascii="Arial" w:cs="Arial" w:eastAsia="Arial" w:hAnsi="Arial"/>
                <w:sz w:val="14"/>
                <w:szCs w:val="14"/>
                <w:b w:val="1"/>
                <w:bCs w:val="1"/>
                <w:color w:val="auto"/>
              </w:rPr>
              <w:t>(ANNUAL INCENTIVE PLAN CASH BONUS)</w:t>
            </w:r>
          </w:p>
        </w:tc>
        <w:tc>
          <w:tcPr>
            <w:tcW w:w="480" w:type="dxa"/>
            <w:vAlign w:val="bottom"/>
            <w:tcBorders>
              <w:bottom w:val="single" w:sz="8" w:color="auto"/>
            </w:tcBorders>
            <w:shd w:val="clear" w:color="auto" w:fill="E8F5F3"/>
          </w:tcPr>
          <w:p>
            <w:pPr>
              <w:spacing w:after="0"/>
              <w:rPr>
                <w:sz w:val="15"/>
                <w:szCs w:val="15"/>
                <w:color w:val="auto"/>
              </w:rPr>
            </w:pPr>
          </w:p>
        </w:tc>
        <w:tc>
          <w:tcPr>
            <w:tcW w:w="160" w:type="dxa"/>
            <w:vAlign w:val="bottom"/>
            <w:tcBorders>
              <w:bottom w:val="single" w:sz="8" w:color="auto"/>
            </w:tcBorders>
            <w:shd w:val="clear" w:color="auto" w:fill="E8F5F3"/>
          </w:tcPr>
          <w:p>
            <w:pPr>
              <w:spacing w:after="0"/>
              <w:rPr>
                <w:sz w:val="15"/>
                <w:szCs w:val="15"/>
                <w:color w:val="auto"/>
              </w:rPr>
            </w:pPr>
          </w:p>
        </w:tc>
        <w:tc>
          <w:tcPr>
            <w:tcW w:w="1260" w:type="dxa"/>
            <w:vAlign w:val="bottom"/>
            <w:tcBorders>
              <w:bottom w:val="single" w:sz="8" w:color="auto"/>
            </w:tcBorders>
            <w:shd w:val="clear" w:color="auto" w:fill="E8F5F3"/>
          </w:tcPr>
          <w:p>
            <w:pPr>
              <w:spacing w:after="0"/>
              <w:rPr>
                <w:sz w:val="15"/>
                <w:szCs w:val="15"/>
                <w:color w:val="auto"/>
              </w:rPr>
            </w:pPr>
          </w:p>
        </w:tc>
        <w:tc>
          <w:tcPr>
            <w:tcW w:w="580" w:type="dxa"/>
            <w:vAlign w:val="bottom"/>
            <w:shd w:val="clear" w:color="auto" w:fill="E8F5F3"/>
          </w:tcPr>
          <w:p>
            <w:pPr>
              <w:spacing w:after="0"/>
              <w:rPr>
                <w:sz w:val="15"/>
                <w:szCs w:val="15"/>
                <w:color w:val="auto"/>
              </w:rPr>
            </w:pPr>
          </w:p>
        </w:tc>
        <w:tc>
          <w:tcPr>
            <w:tcW w:w="2180" w:type="dxa"/>
            <w:vAlign w:val="bottom"/>
            <w:tcBorders>
              <w:bottom w:val="single" w:sz="8" w:color="auto"/>
            </w:tcBorders>
            <w:gridSpan w:val="3"/>
            <w:shd w:val="clear" w:color="auto" w:fill="E8F5F3"/>
          </w:tcPr>
          <w:p>
            <w:pPr>
              <w:spacing w:after="0"/>
              <w:rPr>
                <w:sz w:val="20"/>
                <w:szCs w:val="20"/>
                <w:color w:val="auto"/>
              </w:rPr>
            </w:pPr>
            <w:r>
              <w:rPr>
                <w:rFonts w:ascii="Arial" w:cs="Arial" w:eastAsia="Arial" w:hAnsi="Arial"/>
                <w:sz w:val="14"/>
                <w:szCs w:val="14"/>
                <w:b w:val="1"/>
                <w:bCs w:val="1"/>
                <w:color w:val="auto"/>
              </w:rPr>
              <w:t>(EQUITY GRANTS)</w:t>
            </w:r>
          </w:p>
        </w:tc>
        <w:tc>
          <w:tcPr>
            <w:tcW w:w="3080" w:type="dxa"/>
            <w:vAlign w:val="bottom"/>
            <w:tcBorders>
              <w:bottom w:val="single" w:sz="8" w:color="auto"/>
            </w:tcBorders>
            <w:shd w:val="clear" w:color="auto" w:fill="E8F5F3"/>
          </w:tcPr>
          <w:p>
            <w:pPr>
              <w:spacing w:after="0"/>
              <w:rPr>
                <w:sz w:val="15"/>
                <w:szCs w:val="15"/>
                <w:color w:val="auto"/>
              </w:rPr>
            </w:pPr>
          </w:p>
        </w:tc>
        <w:tc>
          <w:tcPr>
            <w:tcW w:w="220" w:type="dxa"/>
            <w:vAlign w:val="bottom"/>
            <w:shd w:val="clear" w:color="auto" w:fill="E8F5F3"/>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-696595</wp:posOffset>
            </wp:positionV>
            <wp:extent cx="7133590" cy="190436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3590" cy="1904365"/>
                    </a:xfrm>
                    <a:prstGeom prst="rect">
                      <a:avLst/>
                    </a:prstGeom>
                    <a:noFill/>
                  </pic:spPr>
                </pic:pic>
              </a:graphicData>
            </a:graphic>
          </wp:anchor>
        </w:drawing>
      </w:r>
    </w:p>
    <w:p>
      <w:pPr>
        <w:spacing w:after="0" w:line="136" w:lineRule="exact"/>
        <w:rPr>
          <w:sz w:val="20"/>
          <w:szCs w:val="20"/>
          <w:color w:val="auto"/>
        </w:rPr>
      </w:pPr>
    </w:p>
    <w:p>
      <w:pPr>
        <w:ind w:left="6020" w:right="360" w:hanging="177"/>
        <w:spacing w:after="0" w:line="282" w:lineRule="auto"/>
        <w:rPr>
          <w:sz w:val="20"/>
          <w:szCs w:val="20"/>
          <w:color w:val="auto"/>
        </w:rPr>
      </w:pPr>
      <w:r>
        <w:rPr>
          <w:rFonts w:ascii="Arial" w:cs="Arial" w:eastAsia="Arial" w:hAnsi="Arial"/>
          <w:sz w:val="16"/>
          <w:szCs w:val="16"/>
          <w:b w:val="1"/>
          <w:bCs w:val="1"/>
          <w:color w:val="16479F"/>
        </w:rPr>
        <w:t xml:space="preserve">● </w:t>
      </w:r>
      <w:r>
        <w:rPr>
          <w:rFonts w:ascii="Arial" w:cs="Arial" w:eastAsia="Arial" w:hAnsi="Arial"/>
          <w:sz w:val="16"/>
          <w:szCs w:val="16"/>
          <w:color w:val="000000"/>
        </w:rPr>
        <w:t>Restricted Stock Units (for 2021, ratable vest, and for 2022, cliff-vest</w:t>
      </w:r>
      <w:r>
        <w:rPr>
          <w:rFonts w:ascii="Arial" w:cs="Arial" w:eastAsia="Arial" w:hAnsi="Arial"/>
          <w:sz w:val="16"/>
          <w:szCs w:val="16"/>
          <w:b w:val="1"/>
          <w:bCs w:val="1"/>
          <w:color w:val="16479F"/>
        </w:rPr>
        <w:t xml:space="preserve"> </w:t>
      </w:r>
      <w:r>
        <w:rPr>
          <w:rFonts w:ascii="Arial" w:cs="Arial" w:eastAsia="Arial" w:hAnsi="Arial"/>
          <w:sz w:val="16"/>
          <w:szCs w:val="16"/>
          <w:color w:val="000000"/>
        </w:rPr>
        <w:t>after a three-year service period)</w:t>
      </w:r>
    </w:p>
    <w:p>
      <w:pPr>
        <w:spacing w:after="0" w:line="103" w:lineRule="exact"/>
        <w:rPr>
          <w:sz w:val="20"/>
          <w:szCs w:val="20"/>
          <w:color w:val="auto"/>
        </w:rPr>
      </w:pPr>
    </w:p>
    <w:p>
      <w:pPr>
        <w:ind w:left="6020" w:right="220" w:hanging="177"/>
        <w:spacing w:after="0" w:line="282" w:lineRule="auto"/>
        <w:rPr>
          <w:sz w:val="20"/>
          <w:szCs w:val="20"/>
          <w:color w:val="auto"/>
        </w:rPr>
      </w:pPr>
      <w:r>
        <w:rPr>
          <w:rFonts w:ascii="Arial" w:cs="Arial" w:eastAsia="Arial" w:hAnsi="Arial"/>
          <w:sz w:val="16"/>
          <w:szCs w:val="16"/>
          <w:b w:val="1"/>
          <w:bCs w:val="1"/>
          <w:color w:val="16479F"/>
        </w:rPr>
        <w:t xml:space="preserve">● </w:t>
      </w:r>
      <w:r>
        <w:rPr>
          <w:rFonts w:ascii="Arial" w:cs="Arial" w:eastAsia="Arial" w:hAnsi="Arial"/>
          <w:sz w:val="16"/>
          <w:szCs w:val="16"/>
          <w:color w:val="000000"/>
        </w:rPr>
        <w:t>Performance Stock Units (earned based on absolute TSR CAGR) with</w:t>
      </w:r>
      <w:r>
        <w:rPr>
          <w:rFonts w:ascii="Arial" w:cs="Arial" w:eastAsia="Arial" w:hAnsi="Arial"/>
          <w:sz w:val="16"/>
          <w:szCs w:val="16"/>
          <w:b w:val="1"/>
          <w:bCs w:val="1"/>
          <w:color w:val="16479F"/>
        </w:rPr>
        <w:t xml:space="preserve"> </w:t>
      </w:r>
      <w:r>
        <w:rPr>
          <w:rFonts w:ascii="Arial" w:cs="Arial" w:eastAsia="Arial" w:hAnsi="Arial"/>
          <w:sz w:val="16"/>
          <w:szCs w:val="16"/>
          <w:color w:val="000000"/>
        </w:rPr>
        <w:t>a 1-year post vesting mandatory holding period for 3-Year PSUs</w:t>
      </w:r>
    </w:p>
    <w:p>
      <w:pPr>
        <w:spacing w:after="0" w:line="103" w:lineRule="exact"/>
        <w:rPr>
          <w:sz w:val="20"/>
          <w:szCs w:val="20"/>
          <w:color w:val="auto"/>
        </w:rPr>
      </w:pPr>
    </w:p>
    <w:p>
      <w:pPr>
        <w:ind w:left="6020" w:right="500" w:hanging="177"/>
        <w:spacing w:after="0" w:line="282" w:lineRule="auto"/>
        <w:rPr>
          <w:sz w:val="20"/>
          <w:szCs w:val="20"/>
          <w:color w:val="auto"/>
        </w:rPr>
      </w:pPr>
      <w:r>
        <w:rPr>
          <w:rFonts w:ascii="Arial" w:cs="Arial" w:eastAsia="Arial" w:hAnsi="Arial"/>
          <w:sz w:val="16"/>
          <w:szCs w:val="16"/>
          <w:b w:val="1"/>
          <w:bCs w:val="1"/>
          <w:color w:val="16479F"/>
        </w:rPr>
        <w:t xml:space="preserve">● </w:t>
      </w:r>
      <w:r>
        <w:rPr>
          <w:rFonts w:ascii="Arial" w:cs="Arial" w:eastAsia="Arial" w:hAnsi="Arial"/>
          <w:sz w:val="16"/>
          <w:szCs w:val="16"/>
          <w:color w:val="000000"/>
        </w:rPr>
        <w:t>Performance Stock Options (earned based on cumulative revenue</w:t>
      </w:r>
      <w:r>
        <w:rPr>
          <w:rFonts w:ascii="Arial" w:cs="Arial" w:eastAsia="Arial" w:hAnsi="Arial"/>
          <w:sz w:val="16"/>
          <w:szCs w:val="16"/>
          <w:b w:val="1"/>
          <w:bCs w:val="1"/>
          <w:color w:val="16479F"/>
        </w:rPr>
        <w:t xml:space="preserve"> </w:t>
      </w:r>
      <w:r>
        <w:rPr>
          <w:rFonts w:ascii="Arial" w:cs="Arial" w:eastAsia="Arial" w:hAnsi="Arial"/>
          <w:sz w:val="16"/>
          <w:szCs w:val="16"/>
          <w:color w:val="000000"/>
        </w:rPr>
        <w:t>and cumulative Adjusted EPS) (new for 2022)</w:t>
      </w:r>
    </w:p>
    <w:p>
      <w:pPr>
        <w:spacing w:after="0" w:line="367"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2021 Business Highlights</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color w:val="16479F"/>
        </w:rPr>
        <w:t>Execution on Strategic Priorities</w:t>
      </w:r>
    </w:p>
    <w:p>
      <w:pPr>
        <w:spacing w:after="0" w:line="195"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Despite the economic uncertainties and social disruptions that continued throughout 2021, we delivered another year of strong results. In fact, MSCI set a new bar for performance across a number of key financial and operating metrics in 2021. Our intense client-centricity has enabled us to continue to serve as a go-to partner for our clients, and we believe that our performance in 2021 demonstrates the strength of our execution and the results of our key long-term investments. We achieved these results in 2021 while our employees continued to deliver exceptional performance in a largely remote-work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7154545" cy="209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00" w:type="dxa"/>
            <w:vAlign w:val="bottom"/>
            <w:tcBorders>
              <w:right w:val="single" w:sz="8" w:color="16479F"/>
            </w:tcBorders>
          </w:tcPr>
          <w:p>
            <w:pPr>
              <w:ind w:left="8700"/>
              <w:spacing w:after="0"/>
              <w:rPr>
                <w:sz w:val="20"/>
                <w:szCs w:val="20"/>
                <w:color w:val="auto"/>
              </w:rPr>
            </w:pPr>
            <w:r>
              <w:rPr>
                <w:rFonts w:ascii="Arial" w:cs="Arial" w:eastAsia="Arial" w:hAnsi="Arial"/>
                <w:sz w:val="14"/>
                <w:szCs w:val="14"/>
                <w:b w:val="1"/>
                <w:bCs w:val="1"/>
                <w:color w:val="16479F"/>
              </w:rPr>
              <w:t>2022 PROXY STATEMENT</w:t>
            </w:r>
          </w:p>
        </w:tc>
        <w:tc>
          <w:tcPr>
            <w:tcW w:w="640" w:type="dxa"/>
            <w:vAlign w:val="bottom"/>
          </w:tcPr>
          <w:p>
            <w:pPr>
              <w:jc w:val="right"/>
              <w:ind w:right="9"/>
              <w:spacing w:after="0"/>
              <w:rPr>
                <w:sz w:val="20"/>
                <w:szCs w:val="20"/>
                <w:color w:val="auto"/>
              </w:rPr>
            </w:pPr>
            <w:r>
              <w:rPr>
                <w:rFonts w:ascii="Arial" w:cs="Arial" w:eastAsia="Arial" w:hAnsi="Arial"/>
                <w:sz w:val="14"/>
                <w:szCs w:val="14"/>
                <w:b w:val="1"/>
                <w:bCs w:val="1"/>
                <w:color w:val="16479F"/>
              </w:rPr>
              <w:t>59</w:t>
            </w:r>
          </w:p>
        </w:tc>
      </w:tr>
      <w:tr>
        <w:trPr>
          <w:trHeight w:val="65"/>
        </w:trPr>
        <w:tc>
          <w:tcPr>
            <w:tcW w:w="10600" w:type="dxa"/>
            <w:vAlign w:val="bottom"/>
            <w:tcBorders>
              <w:bottom w:val="single" w:sz="8" w:color="16479F"/>
              <w:right w:val="single" w:sz="8" w:color="16479F"/>
            </w:tcBorders>
          </w:tcPr>
          <w:p>
            <w:pPr>
              <w:spacing w:after="0"/>
              <w:rPr>
                <w:sz w:val="5"/>
                <w:szCs w:val="5"/>
                <w:color w:val="auto"/>
              </w:rPr>
            </w:pPr>
          </w:p>
        </w:tc>
        <w:tc>
          <w:tcPr>
            <w:tcW w:w="640" w:type="dxa"/>
            <w:vAlign w:val="bottom"/>
            <w:tcBorders>
              <w:bottom w:val="single" w:sz="8" w:color="16479F"/>
            </w:tcBorders>
          </w:tcPr>
          <w:p>
            <w:pPr>
              <w:spacing w:after="0"/>
              <w:rPr>
                <w:sz w:val="5"/>
                <w:szCs w:val="5"/>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16479F"/>
        </w:rPr>
        <w:t>Strong Financial Performance</w:t>
      </w:r>
    </w:p>
    <w:p>
      <w:pPr>
        <w:spacing w:after="0" w:line="177" w:lineRule="exact"/>
        <w:rPr>
          <w:sz w:val="20"/>
          <w:szCs w:val="20"/>
          <w:color w:val="auto"/>
        </w:rPr>
      </w:pPr>
    </w:p>
    <w:p>
      <w:pPr>
        <w:ind w:left="5740"/>
        <w:spacing w:after="0"/>
        <w:rPr>
          <w:sz w:val="20"/>
          <w:szCs w:val="20"/>
          <w:color w:val="auto"/>
        </w:rPr>
      </w:pPr>
      <w:r>
        <w:rPr>
          <w:rFonts w:ascii="Arial" w:cs="Arial" w:eastAsia="Arial" w:hAnsi="Arial"/>
          <w:sz w:val="16"/>
          <w:szCs w:val="16"/>
          <w:b w:val="1"/>
          <w:bCs w:val="1"/>
          <w:color w:val="auto"/>
        </w:rPr>
        <w:t>DILUTED EPS / ADJUSTED EPS</w:t>
      </w:r>
      <w:r>
        <w:rPr>
          <w:rFonts w:ascii="Arial" w:cs="Arial" w:eastAsia="Arial" w:hAnsi="Arial"/>
          <w:sz w:val="26"/>
          <w:szCs w:val="26"/>
          <w:b w:val="1"/>
          <w:bCs w:val="1"/>
          <w:color w:val="auto"/>
          <w:vertAlign w:val="superscript"/>
        </w:rPr>
        <w:t>(1)</w:t>
      </w:r>
    </w:p>
    <w:p>
      <w:pPr>
        <w:spacing w:after="0"/>
        <w:tabs>
          <w:tab w:leader="none" w:pos="5720" w:val="left"/>
        </w:tabs>
        <w:rPr>
          <w:sz w:val="20"/>
          <w:szCs w:val="20"/>
          <w:color w:val="auto"/>
        </w:rPr>
      </w:pPr>
      <w:r>
        <w:rPr>
          <w:rFonts w:ascii="Arial" w:cs="Arial" w:eastAsia="Arial" w:hAnsi="Arial"/>
          <w:sz w:val="16"/>
          <w:szCs w:val="16"/>
          <w:b w:val="1"/>
          <w:bCs w:val="1"/>
          <w:color w:val="auto"/>
        </w:rPr>
        <w:t>OPERATING REVENUES</w:t>
      </w:r>
      <w:r>
        <w:rPr>
          <w:sz w:val="20"/>
          <w:szCs w:val="20"/>
          <w:color w:val="auto"/>
        </w:rPr>
        <w:tab/>
      </w: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3590" cy="19983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3590" cy="199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40" w:type="dxa"/>
            <w:vAlign w:val="bottom"/>
            <w:gridSpan w:val="2"/>
          </w:tcPr>
          <w:p>
            <w:pPr>
              <w:spacing w:after="0"/>
              <w:rPr>
                <w:sz w:val="20"/>
                <w:szCs w:val="20"/>
                <w:color w:val="auto"/>
              </w:rPr>
            </w:pPr>
            <w:r>
              <w:rPr>
                <w:rFonts w:ascii="Arial" w:cs="Arial" w:eastAsia="Arial" w:hAnsi="Arial"/>
                <w:sz w:val="16"/>
                <w:szCs w:val="16"/>
                <w:b w:val="1"/>
                <w:bCs w:val="1"/>
                <w:color w:val="auto"/>
              </w:rPr>
              <w:t>NET CASH PROVIDED BY OPERATING</w:t>
            </w:r>
          </w:p>
        </w:tc>
        <w:tc>
          <w:tcPr>
            <w:tcW w:w="5500" w:type="dxa"/>
            <w:vAlign w:val="bottom"/>
          </w:tcPr>
          <w:p>
            <w:pPr>
              <w:spacing w:after="0"/>
              <w:rPr>
                <w:sz w:val="16"/>
                <w:szCs w:val="16"/>
                <w:color w:val="auto"/>
              </w:rPr>
            </w:pPr>
          </w:p>
        </w:tc>
      </w:tr>
      <w:tr>
        <w:trPr>
          <w:trHeight w:val="231"/>
        </w:trPr>
        <w:tc>
          <w:tcPr>
            <w:tcW w:w="5740" w:type="dxa"/>
            <w:vAlign w:val="bottom"/>
            <w:gridSpan w:val="2"/>
          </w:tcPr>
          <w:p>
            <w:pPr>
              <w:spacing w:after="0" w:line="231" w:lineRule="exact"/>
              <w:rPr>
                <w:sz w:val="20"/>
                <w:szCs w:val="20"/>
                <w:color w:val="auto"/>
              </w:rPr>
            </w:pPr>
            <w:r>
              <w:rPr>
                <w:rFonts w:ascii="Arial" w:cs="Arial" w:eastAsia="Arial" w:hAnsi="Arial"/>
                <w:sz w:val="16"/>
                <w:szCs w:val="16"/>
                <w:b w:val="1"/>
                <w:bCs w:val="1"/>
                <w:color w:val="auto"/>
              </w:rPr>
              <w:t>ACTIVITY / FREE CASH FLOW</w:t>
            </w:r>
            <w:r>
              <w:rPr>
                <w:rFonts w:ascii="Arial" w:cs="Arial" w:eastAsia="Arial" w:hAnsi="Arial"/>
                <w:sz w:val="26"/>
                <w:szCs w:val="26"/>
                <w:b w:val="1"/>
                <w:bCs w:val="1"/>
                <w:color w:val="auto"/>
                <w:vertAlign w:val="superscript"/>
              </w:rPr>
              <w:t>(1)</w:t>
            </w:r>
          </w:p>
        </w:tc>
        <w:tc>
          <w:tcPr>
            <w:tcW w:w="5500" w:type="dxa"/>
            <w:vAlign w:val="bottom"/>
          </w:tcPr>
          <w:p>
            <w:pPr>
              <w:spacing w:after="0" w:line="231" w:lineRule="exact"/>
              <w:rPr>
                <w:sz w:val="20"/>
                <w:szCs w:val="20"/>
                <w:color w:val="auto"/>
              </w:rPr>
            </w:pPr>
            <w:r>
              <w:rPr>
                <w:rFonts w:ascii="Arial" w:cs="Arial" w:eastAsia="Arial" w:hAnsi="Arial"/>
                <w:sz w:val="16"/>
                <w:szCs w:val="16"/>
                <w:b w:val="1"/>
                <w:bCs w:val="1"/>
                <w:color w:val="auto"/>
              </w:rPr>
              <w:t>NET NEW SALES</w:t>
            </w:r>
            <w:r>
              <w:rPr>
                <w:rFonts w:ascii="Arial" w:cs="Arial" w:eastAsia="Arial" w:hAnsi="Arial"/>
                <w:sz w:val="26"/>
                <w:szCs w:val="26"/>
                <w:b w:val="1"/>
                <w:bCs w:val="1"/>
                <w:color w:val="auto"/>
                <w:vertAlign w:val="superscript"/>
              </w:rPr>
              <w:t>(2)</w:t>
            </w:r>
          </w:p>
        </w:tc>
      </w:tr>
      <w:tr>
        <w:trPr>
          <w:trHeight w:val="195"/>
        </w:trPr>
        <w:tc>
          <w:tcPr>
            <w:tcW w:w="5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6"/>
                <w:szCs w:val="16"/>
                <w:color w:val="auto"/>
              </w:rPr>
            </w:pPr>
          </w:p>
        </w:tc>
        <w:tc>
          <w:tcPr>
            <w:tcW w:w="5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(Unaudited)</w:t>
            </w:r>
          </w:p>
        </w:tc>
      </w:tr>
      <w:tr>
        <w:trPr>
          <w:trHeight w:val="215"/>
        </w:trPr>
        <w:tc>
          <w:tcPr>
            <w:tcW w:w="57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5500" w:type="dxa"/>
            <w:vAlign w:val="bottom"/>
          </w:tcPr>
          <w:p>
            <w:pPr>
              <w:spacing w:after="0"/>
              <w:rPr>
                <w:sz w:val="20"/>
                <w:szCs w:val="20"/>
                <w:color w:val="auto"/>
              </w:rPr>
            </w:pPr>
            <w:r>
              <w:rPr>
                <w:rFonts w:ascii="Arial" w:cs="Arial" w:eastAsia="Arial" w:hAnsi="Arial"/>
                <w:sz w:val="14"/>
                <w:szCs w:val="14"/>
                <w:b w:val="1"/>
                <w:bCs w:val="1"/>
                <w:color w:val="auto"/>
              </w:rPr>
              <w:t>(in thousands)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58420</wp:posOffset>
            </wp:positionV>
            <wp:extent cx="6189980" cy="15303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189980" cy="1530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80" w:right="460" w:hanging="273"/>
        <w:spacing w:after="0" w:line="182" w:lineRule="auto"/>
        <w:tabs>
          <w:tab w:leader="none" w:pos="280" w:val="left"/>
        </w:tabs>
        <w:numPr>
          <w:ilvl w:val="0"/>
          <w:numId w:val="96"/>
        </w:numPr>
        <w:rPr>
          <w:rFonts w:ascii="Arial" w:cs="Arial" w:eastAsia="Arial" w:hAnsi="Arial"/>
          <w:sz w:val="24"/>
          <w:szCs w:val="24"/>
          <w:color w:val="auto"/>
          <w:vertAlign w:val="superscript"/>
        </w:rPr>
      </w:pPr>
      <w:r>
        <w:rPr>
          <w:rFonts w:ascii="Arial" w:cs="Arial" w:eastAsia="Arial" w:hAnsi="Arial"/>
          <w:sz w:val="14"/>
          <w:szCs w:val="14"/>
          <w:color w:val="auto"/>
        </w:rPr>
        <w:t>“Adjusted EPS” and “free cash flow” are non-GAAP financial measures. See Annex B for definitions and reconciliations of all non-GAAP financial measures referenced herein.</w:t>
      </w:r>
    </w:p>
    <w:p>
      <w:pPr>
        <w:ind w:left="280" w:hanging="273"/>
        <w:spacing w:after="0" w:line="221" w:lineRule="auto"/>
        <w:tabs>
          <w:tab w:leader="none" w:pos="280" w:val="left"/>
        </w:tabs>
        <w:numPr>
          <w:ilvl w:val="0"/>
          <w:numId w:val="96"/>
        </w:numPr>
        <w:rPr>
          <w:rFonts w:ascii="Arial" w:cs="Arial" w:eastAsia="Arial" w:hAnsi="Arial"/>
          <w:sz w:val="24"/>
          <w:szCs w:val="24"/>
          <w:color w:val="auto"/>
          <w:vertAlign w:val="superscript"/>
        </w:rPr>
      </w:pPr>
      <w:r>
        <w:rPr>
          <w:rFonts w:ascii="Arial" w:cs="Arial" w:eastAsia="Arial" w:hAnsi="Arial"/>
          <w:sz w:val="14"/>
          <w:szCs w:val="14"/>
          <w:color w:val="auto"/>
        </w:rPr>
        <w:t>Net New Sales is defined as gross sales (new recurring subscription sales plus non-recurring sales) less subscription cancellations.</w:t>
      </w:r>
    </w:p>
    <w:p>
      <w:pPr>
        <w:spacing w:after="0" w:line="148" w:lineRule="exact"/>
        <w:rPr>
          <w:sz w:val="20"/>
          <w:szCs w:val="20"/>
          <w:color w:val="auto"/>
        </w:rPr>
      </w:pPr>
    </w:p>
    <w:p>
      <w:pPr>
        <w:ind w:right="440"/>
        <w:spacing w:after="0" w:line="256" w:lineRule="auto"/>
        <w:rPr>
          <w:sz w:val="20"/>
          <w:szCs w:val="20"/>
          <w:color w:val="auto"/>
        </w:rPr>
      </w:pPr>
      <w:r>
        <w:rPr>
          <w:rFonts w:ascii="Arial" w:cs="Arial" w:eastAsia="Arial" w:hAnsi="Arial"/>
          <w:sz w:val="16"/>
          <w:szCs w:val="16"/>
          <w:color w:val="auto"/>
        </w:rPr>
        <w:t>For additional information about key strategic developments and milestones during 2021, please see the details under “KPI Component and DE&amp;I Goals Component” on page 72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87630</wp:posOffset>
            </wp:positionV>
            <wp:extent cx="7154545" cy="209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149860</wp:posOffset>
            </wp:positionV>
            <wp:extent cx="7133590" cy="21272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3590" cy="212725"/>
                    </a:xfrm>
                    <a:prstGeom prst="rect">
                      <a:avLst/>
                    </a:prstGeom>
                    <a:noFill/>
                  </pic:spPr>
                </pic:pic>
              </a:graphicData>
            </a:graphic>
          </wp:anchor>
        </w:drawing>
      </w:r>
    </w:p>
    <w:p>
      <w:pPr>
        <w:spacing w:after="0" w:line="283"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4"/>
          <w:szCs w:val="14"/>
          <w:b w:val="1"/>
          <w:bCs w:val="1"/>
          <w:color w:val="16479F"/>
        </w:rPr>
        <w:t>60</w:t>
      </w:r>
      <w:r>
        <w:rPr>
          <w:sz w:val="20"/>
          <w:szCs w:val="20"/>
          <w:color w:val="auto"/>
        </w:rPr>
        <w:tab/>
      </w:r>
      <w:r>
        <w:rPr>
          <w:rFonts w:ascii="Arial" w:cs="Arial" w:eastAsia="Arial" w:hAnsi="Arial"/>
          <w:sz w:val="14"/>
          <w:szCs w:val="14"/>
          <w:b w:val="1"/>
          <w:bCs w:val="1"/>
          <w:color w:val="16479F"/>
        </w:rPr>
        <w:t>MSCI  |  COMPENSATION MATTERS</w:t>
      </w:r>
    </w:p>
    <w:p>
      <w:pPr>
        <w:spacing w:after="0" w:line="232"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Key 2021 Compensation Decisions</w:t>
      </w:r>
    </w:p>
    <w:p>
      <w:pPr>
        <w:spacing w:after="0" w:line="195"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In 2021, despite the continuing complex and challenging operating environment resulting from the ongoing COVID-19 pandemic, our employees continued to display their resilience and dedication to our business, which was fundamental to the strong performance we achieved in 2021. The Company remained committed to nurturing and fostering an “owner-operator,” performance-based culture among employees that aligns compensation with the shareholder experience.</w:t>
      </w:r>
    </w:p>
    <w:p>
      <w:pPr>
        <w:spacing w:after="0" w:line="150"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Specifically, in 2021, we granted a significant portion of our NEOs’ compensation in the form of “at-risk” variable compensation under the LTIP and the AIP. The 2021 LTIP awards granted to our NEOs consist of a mix of grants of annual RSUs and PSUs (including 3-Year PSUs and 5-Year PSUs) that varies based on the executive’s position, as further detailed on page 80 of this Proxy Statement. Consistent with our historical practice, Mr. Fernandez received 100% of his equity compensation in the form of PSUs, with 60% granted in the form of 5-Year PSUs and 40% granted in the form of 3-Year PSUs. In addition, for 2021, the Compensation Committee:</w:t>
      </w:r>
    </w:p>
    <w:p>
      <w:pPr>
        <w:spacing w:after="0" w:line="151" w:lineRule="exact"/>
        <w:rPr>
          <w:sz w:val="20"/>
          <w:szCs w:val="20"/>
          <w:color w:val="auto"/>
        </w:rPr>
      </w:pPr>
    </w:p>
    <w:p>
      <w:pPr>
        <w:ind w:left="240" w:right="480" w:hanging="233"/>
        <w:spacing w:after="0" w:line="256" w:lineRule="auto"/>
        <w:tabs>
          <w:tab w:leader="none" w:pos="240" w:val="left"/>
        </w:tabs>
        <w:numPr>
          <w:ilvl w:val="0"/>
          <w:numId w:val="97"/>
        </w:numPr>
        <w:rPr>
          <w:rFonts w:ascii="Arial" w:cs="Arial" w:eastAsia="Arial" w:hAnsi="Arial"/>
          <w:sz w:val="16"/>
          <w:szCs w:val="16"/>
          <w:b w:val="1"/>
          <w:bCs w:val="1"/>
          <w:color w:val="16479F"/>
        </w:rPr>
      </w:pPr>
      <w:r>
        <w:rPr>
          <w:rFonts w:ascii="Arial" w:cs="Arial" w:eastAsia="Arial" w:hAnsi="Arial"/>
          <w:sz w:val="16"/>
          <w:szCs w:val="16"/>
          <w:color w:val="auto"/>
        </w:rPr>
        <w:t>Increased the proportion of Mr. Pettit’s 5-Year PSUs from 50% to 60% of his overall equity incentive compensation for 2021 (with the remaining 40% granted in the form of 3-Year PSUs), commensurate with Mr. Fernandez;</w:t>
      </w:r>
    </w:p>
    <w:p>
      <w:pPr>
        <w:spacing w:after="0" w:line="62" w:lineRule="exact"/>
        <w:rPr>
          <w:rFonts w:ascii="Arial" w:cs="Arial" w:eastAsia="Arial" w:hAnsi="Arial"/>
          <w:sz w:val="16"/>
          <w:szCs w:val="16"/>
          <w:b w:val="1"/>
          <w:bCs w:val="1"/>
          <w:color w:val="16479F"/>
        </w:rPr>
      </w:pPr>
    </w:p>
    <w:p>
      <w:pPr>
        <w:ind w:left="240" w:right="520" w:hanging="233"/>
        <w:spacing w:after="0" w:line="256" w:lineRule="auto"/>
        <w:tabs>
          <w:tab w:leader="none" w:pos="240" w:val="left"/>
        </w:tabs>
        <w:numPr>
          <w:ilvl w:val="0"/>
          <w:numId w:val="97"/>
        </w:numPr>
        <w:rPr>
          <w:rFonts w:ascii="Arial" w:cs="Arial" w:eastAsia="Arial" w:hAnsi="Arial"/>
          <w:sz w:val="16"/>
          <w:szCs w:val="16"/>
          <w:b w:val="1"/>
          <w:bCs w:val="1"/>
          <w:color w:val="16479F"/>
        </w:rPr>
      </w:pPr>
      <w:r>
        <w:rPr>
          <w:rFonts w:ascii="Arial" w:cs="Arial" w:eastAsia="Arial" w:hAnsi="Arial"/>
          <w:sz w:val="16"/>
          <w:szCs w:val="16"/>
          <w:color w:val="auto"/>
        </w:rPr>
        <w:t>Added a one-year post-vest mandatory holding period to the 3-Year PSUs that were granted to our NEOs in 2021, where such shares, or rights with respect to such shares, may not be transferred until the expiration of such holding period; and</w:t>
      </w:r>
    </w:p>
    <w:p>
      <w:pPr>
        <w:spacing w:after="0" w:line="62" w:lineRule="exact"/>
        <w:rPr>
          <w:rFonts w:ascii="Arial" w:cs="Arial" w:eastAsia="Arial" w:hAnsi="Arial"/>
          <w:sz w:val="16"/>
          <w:szCs w:val="16"/>
          <w:b w:val="1"/>
          <w:bCs w:val="1"/>
          <w:color w:val="16479F"/>
        </w:rPr>
      </w:pPr>
    </w:p>
    <w:p>
      <w:pPr>
        <w:ind w:left="240" w:hanging="233"/>
        <w:spacing w:after="0"/>
        <w:tabs>
          <w:tab w:leader="none" w:pos="240" w:val="left"/>
        </w:tabs>
        <w:numPr>
          <w:ilvl w:val="0"/>
          <w:numId w:val="97"/>
        </w:numPr>
        <w:rPr>
          <w:rFonts w:ascii="Arial" w:cs="Arial" w:eastAsia="Arial" w:hAnsi="Arial"/>
          <w:sz w:val="16"/>
          <w:szCs w:val="16"/>
          <w:b w:val="1"/>
          <w:bCs w:val="1"/>
          <w:color w:val="16479F"/>
        </w:rPr>
      </w:pPr>
      <w:r>
        <w:rPr>
          <w:rFonts w:ascii="Arial" w:cs="Arial" w:eastAsia="Arial" w:hAnsi="Arial"/>
          <w:sz w:val="16"/>
          <w:szCs w:val="16"/>
          <w:color w:val="auto"/>
        </w:rPr>
        <w:t>Under the AIP, introduced DE&amp;I Goals for our senior leaders, linked to 10% of target annual cash bonus.</w:t>
      </w:r>
    </w:p>
    <w:p>
      <w:pPr>
        <w:spacing w:after="0" w:line="164"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The Compensation Committee believes that the complimentary performance metrics and associated performance cycles utilized under the AIP and LTIP collectively encourage our senior executives to manage our business with an “owner-operator” mindset that focuses on the long-term health of our business and the interests of our shareholders. Specifically, we believe that PSUs encourage a longer-term orientation to managing our business, while at the same time, the AIP serves as meaningful check and balance to ensure that our executive compensation program continues to measure and reward for performance against core financial, operational and strategic milestones in the near-term to fuel the long-term growth of shareholder value.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key features of the 2021 RSUs and PSUs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133590" cy="18732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3590" cy="187325"/>
                    </a:xfrm>
                    <a:prstGeom prst="rect">
                      <a:avLst/>
                    </a:prstGeom>
                    <a:noFill/>
                  </pic:spPr>
                </pic:pic>
              </a:graphicData>
            </a:graphic>
          </wp:anchor>
        </w:drawing>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FFFFFF"/>
        </w:rPr>
        <w:t>RSUs:</w:t>
      </w:r>
    </w:p>
    <w:p>
      <w:pPr>
        <w:spacing w:after="0" w:line="264" w:lineRule="exact"/>
        <w:rPr>
          <w:sz w:val="20"/>
          <w:szCs w:val="20"/>
          <w:color w:val="auto"/>
        </w:rPr>
      </w:pPr>
    </w:p>
    <w:p>
      <w:pPr>
        <w:ind w:left="440" w:hanging="245"/>
        <w:spacing w:after="0"/>
        <w:tabs>
          <w:tab w:leader="none" w:pos="440" w:val="left"/>
        </w:tabs>
        <w:numPr>
          <w:ilvl w:val="0"/>
          <w:numId w:val="98"/>
        </w:numPr>
        <w:rPr>
          <w:rFonts w:ascii="Arial" w:cs="Arial" w:eastAsia="Arial" w:hAnsi="Arial"/>
          <w:sz w:val="16"/>
          <w:szCs w:val="16"/>
          <w:b w:val="1"/>
          <w:bCs w:val="1"/>
          <w:color w:val="16479F"/>
        </w:rPr>
      </w:pPr>
      <w:r>
        <w:rPr>
          <w:rFonts w:ascii="Arial" w:cs="Arial" w:eastAsia="Arial" w:hAnsi="Arial"/>
          <w:sz w:val="16"/>
          <w:szCs w:val="16"/>
          <w:color w:val="16479F"/>
        </w:rPr>
        <w:t>Granted to NEOs other than the CEO and President &amp; COO</w:t>
      </w:r>
    </w:p>
    <w:p>
      <w:pPr>
        <w:spacing w:after="0" w:line="83" w:lineRule="exact"/>
        <w:rPr>
          <w:rFonts w:ascii="Arial" w:cs="Arial" w:eastAsia="Arial" w:hAnsi="Arial"/>
          <w:sz w:val="16"/>
          <w:szCs w:val="16"/>
          <w:b w:val="1"/>
          <w:bCs w:val="1"/>
          <w:color w:val="16479F"/>
        </w:rPr>
      </w:pPr>
    </w:p>
    <w:p>
      <w:pPr>
        <w:ind w:left="440" w:hanging="245"/>
        <w:spacing w:after="0"/>
        <w:tabs>
          <w:tab w:leader="none" w:pos="440" w:val="left"/>
        </w:tabs>
        <w:numPr>
          <w:ilvl w:val="0"/>
          <w:numId w:val="98"/>
        </w:numPr>
        <w:rPr>
          <w:rFonts w:ascii="Arial" w:cs="Arial" w:eastAsia="Arial" w:hAnsi="Arial"/>
          <w:sz w:val="16"/>
          <w:szCs w:val="16"/>
          <w:b w:val="1"/>
          <w:bCs w:val="1"/>
          <w:color w:val="16479F"/>
        </w:rPr>
      </w:pPr>
      <w:r>
        <w:rPr>
          <w:rFonts w:ascii="Arial" w:cs="Arial" w:eastAsia="Arial" w:hAnsi="Arial"/>
          <w:sz w:val="16"/>
          <w:szCs w:val="16"/>
          <w:color w:val="16479F"/>
        </w:rPr>
        <w:t>Service-vest in three equal installments in each of 2022, 2023 and 2024</w:t>
      </w:r>
    </w:p>
    <w:p>
      <w:pPr>
        <w:spacing w:after="0" w:line="83" w:lineRule="exact"/>
        <w:rPr>
          <w:rFonts w:ascii="Arial" w:cs="Arial" w:eastAsia="Arial" w:hAnsi="Arial"/>
          <w:sz w:val="16"/>
          <w:szCs w:val="16"/>
          <w:b w:val="1"/>
          <w:bCs w:val="1"/>
          <w:color w:val="16479F"/>
        </w:rPr>
      </w:pPr>
    </w:p>
    <w:p>
      <w:pPr>
        <w:ind w:left="440" w:hanging="245"/>
        <w:spacing w:after="0"/>
        <w:tabs>
          <w:tab w:leader="none" w:pos="440" w:val="left"/>
        </w:tabs>
        <w:numPr>
          <w:ilvl w:val="0"/>
          <w:numId w:val="98"/>
        </w:numPr>
        <w:rPr>
          <w:rFonts w:ascii="Arial" w:cs="Arial" w:eastAsia="Arial" w:hAnsi="Arial"/>
          <w:sz w:val="16"/>
          <w:szCs w:val="16"/>
          <w:b w:val="1"/>
          <w:bCs w:val="1"/>
          <w:color w:val="16479F"/>
        </w:rPr>
      </w:pPr>
      <w:r>
        <w:rPr>
          <w:rFonts w:ascii="Arial" w:cs="Arial" w:eastAsia="Arial" w:hAnsi="Arial"/>
          <w:sz w:val="16"/>
          <w:szCs w:val="16"/>
          <w:color w:val="16479F"/>
        </w:rPr>
        <w:t>Structure of this component was unchanged from prior years</w:t>
      </w:r>
    </w:p>
    <w:p>
      <w:pPr>
        <w:spacing w:after="0" w:line="83" w:lineRule="exact"/>
        <w:rPr>
          <w:rFonts w:ascii="Arial" w:cs="Arial" w:eastAsia="Arial" w:hAnsi="Arial"/>
          <w:sz w:val="16"/>
          <w:szCs w:val="16"/>
          <w:b w:val="1"/>
          <w:bCs w:val="1"/>
          <w:color w:val="16479F"/>
        </w:rPr>
      </w:pPr>
    </w:p>
    <w:p>
      <w:pPr>
        <w:ind w:left="440" w:hanging="245"/>
        <w:spacing w:after="0"/>
        <w:tabs>
          <w:tab w:leader="none" w:pos="440" w:val="left"/>
        </w:tabs>
        <w:numPr>
          <w:ilvl w:val="0"/>
          <w:numId w:val="98"/>
        </w:numPr>
        <w:rPr>
          <w:rFonts w:ascii="Arial" w:cs="Arial" w:eastAsia="Arial" w:hAnsi="Arial"/>
          <w:sz w:val="16"/>
          <w:szCs w:val="16"/>
          <w:b w:val="1"/>
          <w:bCs w:val="1"/>
          <w:color w:val="16479F"/>
        </w:rPr>
      </w:pPr>
      <w:r>
        <w:rPr>
          <w:rFonts w:ascii="Arial" w:cs="Arial" w:eastAsia="Arial" w:hAnsi="Arial"/>
          <w:sz w:val="16"/>
          <w:szCs w:val="16"/>
          <w:color w:val="16479F"/>
        </w:rPr>
        <w:t>Long-term value of underlying stock tied to share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111760</wp:posOffset>
            </wp:positionV>
            <wp:extent cx="7133590" cy="13944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3590" cy="1394460"/>
                    </a:xfrm>
                    <a:prstGeom prst="rect">
                      <a:avLst/>
                    </a:prstGeom>
                    <a:noFill/>
                  </pic:spPr>
                </pic:pic>
              </a:graphicData>
            </a:graphic>
          </wp:anchor>
        </w:drawing>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16479F"/>
        </w:rPr>
        <w:t>3-YEAR TSR PSUs:</w:t>
      </w:r>
    </w:p>
    <w:p>
      <w:pPr>
        <w:spacing w:after="0" w:line="157" w:lineRule="exact"/>
        <w:rPr>
          <w:sz w:val="20"/>
          <w:szCs w:val="20"/>
          <w:color w:val="auto"/>
        </w:rPr>
      </w:pPr>
    </w:p>
    <w:p>
      <w:pPr>
        <w:ind w:left="440" w:hanging="245"/>
        <w:spacing w:after="0"/>
        <w:tabs>
          <w:tab w:leader="none" w:pos="440" w:val="left"/>
        </w:tabs>
        <w:numPr>
          <w:ilvl w:val="0"/>
          <w:numId w:val="99"/>
        </w:numPr>
        <w:rPr>
          <w:rFonts w:ascii="Arial" w:cs="Arial" w:eastAsia="Arial" w:hAnsi="Arial"/>
          <w:sz w:val="16"/>
          <w:szCs w:val="16"/>
          <w:b w:val="1"/>
          <w:bCs w:val="1"/>
          <w:color w:val="16479F"/>
        </w:rPr>
      </w:pPr>
      <w:r>
        <w:rPr>
          <w:rFonts w:ascii="Arial" w:cs="Arial" w:eastAsia="Arial" w:hAnsi="Arial"/>
          <w:sz w:val="16"/>
          <w:szCs w:val="16"/>
          <w:color w:val="auto"/>
        </w:rPr>
        <w:t>Granted to all NEOs to facilitate an “owner-operator” mindset</w:t>
      </w:r>
    </w:p>
    <w:p>
      <w:pPr>
        <w:spacing w:after="0" w:line="83" w:lineRule="exact"/>
        <w:rPr>
          <w:rFonts w:ascii="Arial" w:cs="Arial" w:eastAsia="Arial" w:hAnsi="Arial"/>
          <w:sz w:val="16"/>
          <w:szCs w:val="16"/>
          <w:b w:val="1"/>
          <w:bCs w:val="1"/>
          <w:color w:val="16479F"/>
        </w:rPr>
      </w:pPr>
    </w:p>
    <w:p>
      <w:pPr>
        <w:ind w:left="440" w:right="360" w:hanging="245"/>
        <w:spacing w:after="0" w:line="256" w:lineRule="auto"/>
        <w:tabs>
          <w:tab w:leader="none" w:pos="440" w:val="left"/>
        </w:tabs>
        <w:numPr>
          <w:ilvl w:val="0"/>
          <w:numId w:val="99"/>
        </w:numPr>
        <w:rPr>
          <w:rFonts w:ascii="Arial" w:cs="Arial" w:eastAsia="Arial" w:hAnsi="Arial"/>
          <w:sz w:val="16"/>
          <w:szCs w:val="16"/>
          <w:b w:val="1"/>
          <w:bCs w:val="1"/>
          <w:color w:val="16479F"/>
        </w:rPr>
      </w:pPr>
      <w:r>
        <w:rPr>
          <w:rFonts w:ascii="Arial" w:cs="Arial" w:eastAsia="Arial" w:hAnsi="Arial"/>
          <w:sz w:val="16"/>
          <w:szCs w:val="16"/>
          <w:color w:val="auto"/>
        </w:rPr>
        <w:t>Cliff-vest at the end of a three-year performance cycle from February 3, 2021 to February 2, 2024, based on achievement of rigorous absolute TSR CAGR performance metrics</w:t>
      </w:r>
    </w:p>
    <w:p>
      <w:pPr>
        <w:spacing w:after="0" w:line="62" w:lineRule="exact"/>
        <w:rPr>
          <w:rFonts w:ascii="Arial" w:cs="Arial" w:eastAsia="Arial" w:hAnsi="Arial"/>
          <w:sz w:val="16"/>
          <w:szCs w:val="16"/>
          <w:b w:val="1"/>
          <w:bCs w:val="1"/>
          <w:color w:val="16479F"/>
        </w:rPr>
      </w:pPr>
    </w:p>
    <w:p>
      <w:pPr>
        <w:ind w:left="440" w:hanging="245"/>
        <w:spacing w:after="0" w:line="256" w:lineRule="auto"/>
        <w:tabs>
          <w:tab w:leader="none" w:pos="440" w:val="left"/>
        </w:tabs>
        <w:numPr>
          <w:ilvl w:val="0"/>
          <w:numId w:val="99"/>
        </w:numPr>
        <w:rPr>
          <w:rFonts w:ascii="Arial" w:cs="Arial" w:eastAsia="Arial" w:hAnsi="Arial"/>
          <w:sz w:val="16"/>
          <w:szCs w:val="16"/>
          <w:b w:val="1"/>
          <w:bCs w:val="1"/>
          <w:color w:val="16479F"/>
        </w:rPr>
      </w:pPr>
      <w:r>
        <w:rPr>
          <w:rFonts w:ascii="Arial" w:cs="Arial" w:eastAsia="Arial" w:hAnsi="Arial"/>
          <w:sz w:val="16"/>
          <w:szCs w:val="16"/>
          <w:color w:val="auto"/>
        </w:rPr>
        <w:t>Reflect the right to receive between 0% and 300% of the target number of shares based on achievement of the TSR CAGR performance metric over the applicable performance period</w:t>
      </w:r>
    </w:p>
    <w:p>
      <w:pPr>
        <w:spacing w:after="0" w:line="62" w:lineRule="exact"/>
        <w:rPr>
          <w:rFonts w:ascii="Arial" w:cs="Arial" w:eastAsia="Arial" w:hAnsi="Arial"/>
          <w:sz w:val="16"/>
          <w:szCs w:val="16"/>
          <w:b w:val="1"/>
          <w:bCs w:val="1"/>
          <w:color w:val="16479F"/>
        </w:rPr>
      </w:pPr>
    </w:p>
    <w:p>
      <w:pPr>
        <w:ind w:left="440" w:hanging="245"/>
        <w:spacing w:after="0"/>
        <w:tabs>
          <w:tab w:leader="none" w:pos="440" w:val="left"/>
        </w:tabs>
        <w:numPr>
          <w:ilvl w:val="0"/>
          <w:numId w:val="99"/>
        </w:numPr>
        <w:rPr>
          <w:rFonts w:ascii="Arial" w:cs="Arial" w:eastAsia="Arial" w:hAnsi="Arial"/>
          <w:sz w:val="16"/>
          <w:szCs w:val="16"/>
          <w:b w:val="1"/>
          <w:bCs w:val="1"/>
          <w:color w:val="16479F"/>
        </w:rPr>
      </w:pPr>
      <w:r>
        <w:rPr>
          <w:rFonts w:ascii="Arial" w:cs="Arial" w:eastAsia="Arial" w:hAnsi="Arial"/>
          <w:sz w:val="16"/>
          <w:szCs w:val="16"/>
          <w:color w:val="auto"/>
        </w:rPr>
        <w:t>Realize meaningful value only to the extent that shareholders also realize value</w:t>
      </w:r>
    </w:p>
    <w:p>
      <w:pPr>
        <w:spacing w:after="0" w:line="83" w:lineRule="exact"/>
        <w:rPr>
          <w:rFonts w:ascii="Arial" w:cs="Arial" w:eastAsia="Arial" w:hAnsi="Arial"/>
          <w:sz w:val="16"/>
          <w:szCs w:val="16"/>
          <w:b w:val="1"/>
          <w:bCs w:val="1"/>
          <w:color w:val="16479F"/>
        </w:rPr>
      </w:pPr>
    </w:p>
    <w:p>
      <w:pPr>
        <w:ind w:left="440" w:right="500" w:hanging="245"/>
        <w:spacing w:after="0" w:line="256" w:lineRule="auto"/>
        <w:tabs>
          <w:tab w:leader="none" w:pos="440" w:val="left"/>
        </w:tabs>
        <w:numPr>
          <w:ilvl w:val="0"/>
          <w:numId w:val="99"/>
        </w:numPr>
        <w:rPr>
          <w:rFonts w:ascii="Arial" w:cs="Arial" w:eastAsia="Arial" w:hAnsi="Arial"/>
          <w:sz w:val="16"/>
          <w:szCs w:val="16"/>
          <w:b w:val="1"/>
          <w:bCs w:val="1"/>
          <w:color w:val="16479F"/>
        </w:rPr>
      </w:pPr>
      <w:r>
        <w:rPr>
          <w:rFonts w:ascii="Arial" w:cs="Arial" w:eastAsia="Arial" w:hAnsi="Arial"/>
          <w:sz w:val="16"/>
          <w:szCs w:val="16"/>
          <w:color w:val="auto"/>
        </w:rPr>
        <w:t>Include a one-year post-vest mandatory holding period, where such shares, or rights with respect to such shares, may not be transferred until the expiration of such holding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7154545" cy="209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00" w:type="dxa"/>
            <w:vAlign w:val="bottom"/>
          </w:tcPr>
          <w:p>
            <w:pPr>
              <w:spacing w:after="0"/>
              <w:rPr>
                <w:sz w:val="22"/>
                <w:szCs w:val="22"/>
                <w:color w:val="auto"/>
              </w:rPr>
            </w:pPr>
          </w:p>
        </w:tc>
        <w:tc>
          <w:tcPr>
            <w:tcW w:w="10400" w:type="dxa"/>
            <w:vAlign w:val="bottom"/>
            <w:tcBorders>
              <w:right w:val="single" w:sz="8" w:color="16479F"/>
            </w:tcBorders>
          </w:tcPr>
          <w:p>
            <w:pPr>
              <w:ind w:left="8500"/>
              <w:spacing w:after="0"/>
              <w:rPr>
                <w:sz w:val="20"/>
                <w:szCs w:val="20"/>
                <w:color w:val="auto"/>
              </w:rPr>
            </w:pPr>
            <w:r>
              <w:rPr>
                <w:rFonts w:ascii="Arial" w:cs="Arial" w:eastAsia="Arial" w:hAnsi="Arial"/>
                <w:sz w:val="14"/>
                <w:szCs w:val="14"/>
                <w:b w:val="1"/>
                <w:bCs w:val="1"/>
                <w:color w:val="16479F"/>
              </w:rPr>
              <w:t>2022 PROXY STATEMENT</w:t>
            </w:r>
          </w:p>
        </w:tc>
        <w:tc>
          <w:tcPr>
            <w:tcW w:w="640" w:type="dxa"/>
            <w:vAlign w:val="bottom"/>
          </w:tcPr>
          <w:p>
            <w:pPr>
              <w:jc w:val="right"/>
              <w:ind w:right="9"/>
              <w:spacing w:after="0"/>
              <w:rPr>
                <w:sz w:val="20"/>
                <w:szCs w:val="20"/>
                <w:color w:val="auto"/>
              </w:rPr>
            </w:pPr>
            <w:r>
              <w:rPr>
                <w:rFonts w:ascii="Arial" w:cs="Arial" w:eastAsia="Arial" w:hAnsi="Arial"/>
                <w:sz w:val="14"/>
                <w:szCs w:val="14"/>
                <w:b w:val="1"/>
                <w:bCs w:val="1"/>
                <w:color w:val="16479F"/>
              </w:rPr>
              <w:t>61</w:t>
            </w:r>
          </w:p>
        </w:tc>
      </w:tr>
      <w:tr>
        <w:trPr>
          <w:trHeight w:val="65"/>
        </w:trPr>
        <w:tc>
          <w:tcPr>
            <w:tcW w:w="200" w:type="dxa"/>
            <w:vAlign w:val="bottom"/>
            <w:tcBorders>
              <w:bottom w:val="single" w:sz="8" w:color="16479F"/>
            </w:tcBorders>
          </w:tcPr>
          <w:p>
            <w:pPr>
              <w:spacing w:after="0"/>
              <w:rPr>
                <w:sz w:val="5"/>
                <w:szCs w:val="5"/>
                <w:color w:val="auto"/>
              </w:rPr>
            </w:pPr>
          </w:p>
        </w:tc>
        <w:tc>
          <w:tcPr>
            <w:tcW w:w="10400" w:type="dxa"/>
            <w:vAlign w:val="bottom"/>
            <w:tcBorders>
              <w:bottom w:val="single" w:sz="8" w:color="16479F"/>
              <w:right w:val="single" w:sz="8" w:color="16479F"/>
            </w:tcBorders>
          </w:tcPr>
          <w:p>
            <w:pPr>
              <w:spacing w:after="0"/>
              <w:rPr>
                <w:sz w:val="5"/>
                <w:szCs w:val="5"/>
                <w:color w:val="auto"/>
              </w:rPr>
            </w:pPr>
          </w:p>
        </w:tc>
        <w:tc>
          <w:tcPr>
            <w:tcW w:w="640" w:type="dxa"/>
            <w:vAlign w:val="bottom"/>
            <w:tcBorders>
              <w:bottom w:val="single" w:sz="8" w:color="16479F"/>
            </w:tcBorders>
          </w:tcPr>
          <w:p>
            <w:pPr>
              <w:spacing w:after="0"/>
              <w:rPr>
                <w:sz w:val="5"/>
                <w:szCs w:val="5"/>
                <w:color w:val="auto"/>
              </w:rPr>
            </w:pPr>
          </w:p>
        </w:tc>
      </w:tr>
      <w:tr>
        <w:trPr>
          <w:trHeight w:val="181"/>
        </w:trPr>
        <w:tc>
          <w:tcPr>
            <w:tcW w:w="200" w:type="dxa"/>
            <w:vAlign w:val="bottom"/>
          </w:tcPr>
          <w:p>
            <w:pPr>
              <w:spacing w:after="0"/>
              <w:rPr>
                <w:sz w:val="15"/>
                <w:szCs w:val="15"/>
                <w:color w:val="auto"/>
              </w:rPr>
            </w:pPr>
          </w:p>
        </w:tc>
        <w:tc>
          <w:tcPr>
            <w:tcW w:w="104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7133590" cy="128397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3590" cy="1283970"/>
                    </a:xfrm>
                    <a:prstGeom prst="rect">
                      <a:avLst/>
                    </a:prstGeom>
                    <a:noFill/>
                  </pic:spPr>
                </pic:pic>
              </a:graphicData>
            </a:graphic>
          </wp:anchor>
        </w:drawing>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16479F"/>
        </w:rPr>
        <w:t>5-YEAR TSR PSUs:</w:t>
      </w:r>
    </w:p>
    <w:p>
      <w:pPr>
        <w:spacing w:after="0" w:line="157" w:lineRule="exact"/>
        <w:rPr>
          <w:sz w:val="20"/>
          <w:szCs w:val="20"/>
          <w:color w:val="auto"/>
        </w:rPr>
      </w:pPr>
    </w:p>
    <w:p>
      <w:pPr>
        <w:ind w:left="440" w:hanging="245"/>
        <w:spacing w:after="0"/>
        <w:tabs>
          <w:tab w:leader="none" w:pos="440" w:val="left"/>
        </w:tabs>
        <w:numPr>
          <w:ilvl w:val="0"/>
          <w:numId w:val="100"/>
        </w:numPr>
        <w:rPr>
          <w:rFonts w:ascii="Arial" w:cs="Arial" w:eastAsia="Arial" w:hAnsi="Arial"/>
          <w:sz w:val="16"/>
          <w:szCs w:val="16"/>
          <w:b w:val="1"/>
          <w:bCs w:val="1"/>
          <w:color w:val="16479F"/>
        </w:rPr>
      </w:pPr>
      <w:r>
        <w:rPr>
          <w:rFonts w:ascii="Arial" w:cs="Arial" w:eastAsia="Arial" w:hAnsi="Arial"/>
          <w:sz w:val="16"/>
          <w:szCs w:val="16"/>
          <w:color w:val="auto"/>
        </w:rPr>
        <w:t>Granted to all NEOs to facilitate an “owner-operator” mindset</w:t>
      </w:r>
    </w:p>
    <w:p>
      <w:pPr>
        <w:spacing w:after="0" w:line="83" w:lineRule="exact"/>
        <w:rPr>
          <w:rFonts w:ascii="Arial" w:cs="Arial" w:eastAsia="Arial" w:hAnsi="Arial"/>
          <w:sz w:val="16"/>
          <w:szCs w:val="16"/>
          <w:b w:val="1"/>
          <w:bCs w:val="1"/>
          <w:color w:val="16479F"/>
        </w:rPr>
      </w:pPr>
    </w:p>
    <w:p>
      <w:pPr>
        <w:ind w:left="440" w:right="480" w:hanging="245"/>
        <w:spacing w:after="0" w:line="256" w:lineRule="auto"/>
        <w:tabs>
          <w:tab w:leader="none" w:pos="440" w:val="left"/>
        </w:tabs>
        <w:numPr>
          <w:ilvl w:val="0"/>
          <w:numId w:val="100"/>
        </w:numPr>
        <w:rPr>
          <w:rFonts w:ascii="Arial" w:cs="Arial" w:eastAsia="Arial" w:hAnsi="Arial"/>
          <w:sz w:val="16"/>
          <w:szCs w:val="16"/>
          <w:b w:val="1"/>
          <w:bCs w:val="1"/>
          <w:color w:val="16479F"/>
        </w:rPr>
      </w:pPr>
      <w:r>
        <w:rPr>
          <w:rFonts w:ascii="Arial" w:cs="Arial" w:eastAsia="Arial" w:hAnsi="Arial"/>
          <w:sz w:val="16"/>
          <w:szCs w:val="16"/>
          <w:color w:val="auto"/>
        </w:rPr>
        <w:t>Cliff-vest at the end of a five-year performance cycle from February 3, 2021 to February 2, 2026, based on achievement of rigorous absolute TSR CAGR performance metrics</w:t>
      </w:r>
    </w:p>
    <w:p>
      <w:pPr>
        <w:spacing w:after="0" w:line="62" w:lineRule="exact"/>
        <w:rPr>
          <w:rFonts w:ascii="Arial" w:cs="Arial" w:eastAsia="Arial" w:hAnsi="Arial"/>
          <w:sz w:val="16"/>
          <w:szCs w:val="16"/>
          <w:b w:val="1"/>
          <w:bCs w:val="1"/>
          <w:color w:val="16479F"/>
        </w:rPr>
      </w:pPr>
    </w:p>
    <w:p>
      <w:pPr>
        <w:ind w:left="440" w:hanging="245"/>
        <w:spacing w:after="0" w:line="256" w:lineRule="auto"/>
        <w:tabs>
          <w:tab w:leader="none" w:pos="440" w:val="left"/>
        </w:tabs>
        <w:numPr>
          <w:ilvl w:val="0"/>
          <w:numId w:val="100"/>
        </w:numPr>
        <w:rPr>
          <w:rFonts w:ascii="Arial" w:cs="Arial" w:eastAsia="Arial" w:hAnsi="Arial"/>
          <w:sz w:val="16"/>
          <w:szCs w:val="16"/>
          <w:b w:val="1"/>
          <w:bCs w:val="1"/>
          <w:color w:val="16479F"/>
        </w:rPr>
      </w:pPr>
      <w:r>
        <w:rPr>
          <w:rFonts w:ascii="Arial" w:cs="Arial" w:eastAsia="Arial" w:hAnsi="Arial"/>
          <w:sz w:val="16"/>
          <w:szCs w:val="16"/>
          <w:color w:val="auto"/>
        </w:rPr>
        <w:t>Reflect the right to receive between 0% and 200% of the target number of shares based on achievement of the TSR CAGR performance metric over the applicable performance period</w:t>
      </w:r>
    </w:p>
    <w:p>
      <w:pPr>
        <w:spacing w:after="0" w:line="62" w:lineRule="exact"/>
        <w:rPr>
          <w:rFonts w:ascii="Arial" w:cs="Arial" w:eastAsia="Arial" w:hAnsi="Arial"/>
          <w:sz w:val="16"/>
          <w:szCs w:val="16"/>
          <w:b w:val="1"/>
          <w:bCs w:val="1"/>
          <w:color w:val="16479F"/>
        </w:rPr>
      </w:pPr>
    </w:p>
    <w:p>
      <w:pPr>
        <w:ind w:left="440" w:hanging="245"/>
        <w:spacing w:after="0"/>
        <w:tabs>
          <w:tab w:leader="none" w:pos="440" w:val="left"/>
        </w:tabs>
        <w:numPr>
          <w:ilvl w:val="0"/>
          <w:numId w:val="100"/>
        </w:numPr>
        <w:rPr>
          <w:rFonts w:ascii="Arial" w:cs="Arial" w:eastAsia="Arial" w:hAnsi="Arial"/>
          <w:sz w:val="16"/>
          <w:szCs w:val="16"/>
          <w:b w:val="1"/>
          <w:bCs w:val="1"/>
          <w:color w:val="16479F"/>
        </w:rPr>
      </w:pPr>
      <w:r>
        <w:rPr>
          <w:rFonts w:ascii="Arial" w:cs="Arial" w:eastAsia="Arial" w:hAnsi="Arial"/>
          <w:sz w:val="16"/>
          <w:szCs w:val="16"/>
          <w:color w:val="auto"/>
        </w:rPr>
        <w:t>Provide “stretch” opportunity to reward for exceptional long-term value creation over a longer-than-typical performance period</w:t>
      </w:r>
    </w:p>
    <w:p>
      <w:pPr>
        <w:spacing w:after="0" w:line="314"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Key 2022 Compensation Decisions</w:t>
      </w:r>
    </w:p>
    <w:p>
      <w:pPr>
        <w:spacing w:after="0" w:line="195" w:lineRule="exact"/>
        <w:rPr>
          <w:sz w:val="20"/>
          <w:szCs w:val="20"/>
          <w:color w:val="auto"/>
        </w:rPr>
      </w:pPr>
    </w:p>
    <w:p>
      <w:pPr>
        <w:ind w:right="80"/>
        <w:spacing w:after="0" w:line="247" w:lineRule="auto"/>
        <w:rPr>
          <w:sz w:val="20"/>
          <w:szCs w:val="20"/>
          <w:color w:val="auto"/>
        </w:rPr>
      </w:pPr>
      <w:r>
        <w:rPr>
          <w:rFonts w:ascii="Arial" w:cs="Arial" w:eastAsia="Arial" w:hAnsi="Arial"/>
          <w:sz w:val="16"/>
          <w:szCs w:val="16"/>
          <w:color w:val="auto"/>
        </w:rPr>
        <w:t>In 2021, with the help of its external independent compensation consultant, Semler Brossy, the Compensation Committee undertook a comprehensive process to research and evaluate an appropriate design for our 2022 LTIP that applies across MSCI, including to our NEOs, to ensure continued alignment of the LTIP with MSCI’s go-forward strategic objectives. As part of this review, the Compensation Committee evaluated our current LTIP design against the LTIP practices of our peers and broader industry LTIP practices. In particular, the Compensation Committee considered the following feedback from external and internal reviews, including the views of our shareholders:</w:t>
      </w:r>
    </w:p>
    <w:p>
      <w:pPr>
        <w:spacing w:after="0" w:line="151" w:lineRule="exact"/>
        <w:rPr>
          <w:sz w:val="20"/>
          <w:szCs w:val="20"/>
          <w:color w:val="auto"/>
        </w:rPr>
      </w:pPr>
    </w:p>
    <w:p>
      <w:pPr>
        <w:ind w:left="240" w:hanging="233"/>
        <w:spacing w:after="0"/>
        <w:tabs>
          <w:tab w:leader="none" w:pos="240" w:val="left"/>
        </w:tabs>
        <w:numPr>
          <w:ilvl w:val="0"/>
          <w:numId w:val="101"/>
        </w:numPr>
        <w:rPr>
          <w:rFonts w:ascii="Arial" w:cs="Arial" w:eastAsia="Arial" w:hAnsi="Arial"/>
          <w:sz w:val="16"/>
          <w:szCs w:val="16"/>
          <w:b w:val="1"/>
          <w:bCs w:val="1"/>
          <w:color w:val="16479F"/>
        </w:rPr>
      </w:pPr>
      <w:r>
        <w:rPr>
          <w:rFonts w:ascii="Arial" w:cs="Arial" w:eastAsia="Arial" w:hAnsi="Arial"/>
          <w:sz w:val="16"/>
          <w:szCs w:val="16"/>
          <w:color w:val="auto"/>
        </w:rPr>
        <w:t>there was strong continued support for MSCI’s “owner-operator” culture that is advanced by the LTIP;</w:t>
      </w:r>
    </w:p>
    <w:p>
      <w:pPr>
        <w:spacing w:after="0" w:line="83" w:lineRule="exact"/>
        <w:rPr>
          <w:rFonts w:ascii="Arial" w:cs="Arial" w:eastAsia="Arial" w:hAnsi="Arial"/>
          <w:sz w:val="16"/>
          <w:szCs w:val="16"/>
          <w:b w:val="1"/>
          <w:bCs w:val="1"/>
          <w:color w:val="16479F"/>
        </w:rPr>
      </w:pPr>
    </w:p>
    <w:p>
      <w:pPr>
        <w:ind w:left="240" w:right="40" w:hanging="233"/>
        <w:spacing w:after="0" w:line="256" w:lineRule="auto"/>
        <w:tabs>
          <w:tab w:leader="none" w:pos="240" w:val="left"/>
        </w:tabs>
        <w:numPr>
          <w:ilvl w:val="0"/>
          <w:numId w:val="101"/>
        </w:numPr>
        <w:rPr>
          <w:rFonts w:ascii="Arial" w:cs="Arial" w:eastAsia="Arial" w:hAnsi="Arial"/>
          <w:sz w:val="16"/>
          <w:szCs w:val="16"/>
          <w:b w:val="1"/>
          <w:bCs w:val="1"/>
          <w:color w:val="16479F"/>
        </w:rPr>
      </w:pPr>
      <w:r>
        <w:rPr>
          <w:rFonts w:ascii="Arial" w:cs="Arial" w:eastAsia="Arial" w:hAnsi="Arial"/>
          <w:sz w:val="16"/>
          <w:szCs w:val="16"/>
          <w:color w:val="auto"/>
        </w:rPr>
        <w:t>the LTIP should focus on a three-year performance period, which is more compelling because it is aligned with the timeframe of MSCI’s strategic planning; and</w:t>
      </w:r>
    </w:p>
    <w:p>
      <w:pPr>
        <w:spacing w:after="0" w:line="62" w:lineRule="exact"/>
        <w:rPr>
          <w:rFonts w:ascii="Arial" w:cs="Arial" w:eastAsia="Arial" w:hAnsi="Arial"/>
          <w:sz w:val="16"/>
          <w:szCs w:val="16"/>
          <w:b w:val="1"/>
          <w:bCs w:val="1"/>
          <w:color w:val="16479F"/>
        </w:rPr>
      </w:pPr>
    </w:p>
    <w:p>
      <w:pPr>
        <w:ind w:left="240" w:right="40" w:hanging="233"/>
        <w:spacing w:after="0" w:line="250" w:lineRule="auto"/>
        <w:tabs>
          <w:tab w:leader="none" w:pos="240" w:val="left"/>
        </w:tabs>
        <w:numPr>
          <w:ilvl w:val="0"/>
          <w:numId w:val="101"/>
        </w:numPr>
        <w:rPr>
          <w:rFonts w:ascii="Arial" w:cs="Arial" w:eastAsia="Arial" w:hAnsi="Arial"/>
          <w:sz w:val="16"/>
          <w:szCs w:val="16"/>
          <w:b w:val="1"/>
          <w:bCs w:val="1"/>
          <w:color w:val="16479F"/>
        </w:rPr>
      </w:pPr>
      <w:r>
        <w:rPr>
          <w:rFonts w:ascii="Arial" w:cs="Arial" w:eastAsia="Arial" w:hAnsi="Arial"/>
          <w:sz w:val="16"/>
          <w:szCs w:val="16"/>
          <w:color w:val="auto"/>
        </w:rPr>
        <w:t>the Company should consider complementing the absolute TSR CAGR performance metric in the PSUs with financial metrics that are directly linked to the Company’s strategic plan. In particular, feedback to the Compensation Committee was that a focus on revenue and earnings provided the strongest links to MSCI’s go-forward strategy.</w:t>
      </w:r>
    </w:p>
    <w:p>
      <w:pPr>
        <w:spacing w:after="0" w:line="148"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After a thorough review and evaluation process, the Compensation Committee designed the 2022 LTIP to further enhance our pay-for-performance culture by incorporating the above described feedback and reviews and positioning the 2022 LTIP to support the Company’s strategic plan and the need to incentivize continued stock price appreciation. Specifically, the Compensation Committee made the following enhancements for 2022:</w:t>
      </w:r>
    </w:p>
    <w:p>
      <w:pPr>
        <w:spacing w:after="0" w:line="148" w:lineRule="exact"/>
        <w:rPr>
          <w:sz w:val="20"/>
          <w:szCs w:val="20"/>
          <w:color w:val="auto"/>
        </w:rPr>
      </w:pPr>
    </w:p>
    <w:p>
      <w:pPr>
        <w:ind w:left="240" w:right="200" w:hanging="233"/>
        <w:spacing w:after="0" w:line="250" w:lineRule="auto"/>
        <w:tabs>
          <w:tab w:leader="none" w:pos="240" w:val="left"/>
        </w:tabs>
        <w:numPr>
          <w:ilvl w:val="0"/>
          <w:numId w:val="102"/>
        </w:numPr>
        <w:rPr>
          <w:rFonts w:ascii="Arial" w:cs="Arial" w:eastAsia="Arial" w:hAnsi="Arial"/>
          <w:sz w:val="16"/>
          <w:szCs w:val="16"/>
          <w:b w:val="1"/>
          <w:bCs w:val="1"/>
          <w:color w:val="16479F"/>
        </w:rPr>
      </w:pPr>
      <w:r>
        <w:rPr>
          <w:rFonts w:ascii="Arial" w:cs="Arial" w:eastAsia="Arial" w:hAnsi="Arial"/>
          <w:sz w:val="16"/>
          <w:szCs w:val="16"/>
          <w:color w:val="auto"/>
        </w:rPr>
        <w:t>introduced PSOs that are earned and vest based on achievement of two equally-weighted performance metrics that are directly linked to the Company’s strategic plan—cumulative revenue and cumulative adjusted EPS—each measured over a cumulative three-year performance period. The grant of the PSOs in 2022 replaced the 5-Year PSU component of our 2021 LTIP;</w:t>
      </w:r>
    </w:p>
    <w:p>
      <w:pPr>
        <w:spacing w:after="0" w:line="67" w:lineRule="exact"/>
        <w:rPr>
          <w:rFonts w:ascii="Arial" w:cs="Arial" w:eastAsia="Arial" w:hAnsi="Arial"/>
          <w:sz w:val="16"/>
          <w:szCs w:val="16"/>
          <w:b w:val="1"/>
          <w:bCs w:val="1"/>
          <w:color w:val="16479F"/>
        </w:rPr>
      </w:pPr>
    </w:p>
    <w:p>
      <w:pPr>
        <w:ind w:left="240" w:right="260" w:hanging="233"/>
        <w:spacing w:after="0" w:line="256" w:lineRule="auto"/>
        <w:tabs>
          <w:tab w:leader="none" w:pos="240" w:val="left"/>
        </w:tabs>
        <w:numPr>
          <w:ilvl w:val="0"/>
          <w:numId w:val="102"/>
        </w:numPr>
        <w:rPr>
          <w:rFonts w:ascii="Arial" w:cs="Arial" w:eastAsia="Arial" w:hAnsi="Arial"/>
          <w:sz w:val="16"/>
          <w:szCs w:val="16"/>
          <w:b w:val="1"/>
          <w:bCs w:val="1"/>
          <w:color w:val="16479F"/>
        </w:rPr>
      </w:pPr>
      <w:r>
        <w:rPr>
          <w:rFonts w:ascii="Arial" w:cs="Arial" w:eastAsia="Arial" w:hAnsi="Arial"/>
          <w:sz w:val="16"/>
          <w:szCs w:val="16"/>
          <w:color w:val="auto"/>
        </w:rPr>
        <w:t>revised the vesting structure of annual RSU grants to cliff-vest 100% at the end of a three-year service period (rather than annual ratable vesting over a three-year period); and</w:t>
      </w:r>
    </w:p>
    <w:p>
      <w:pPr>
        <w:spacing w:after="0" w:line="62" w:lineRule="exact"/>
        <w:rPr>
          <w:rFonts w:ascii="Arial" w:cs="Arial" w:eastAsia="Arial" w:hAnsi="Arial"/>
          <w:sz w:val="16"/>
          <w:szCs w:val="16"/>
          <w:b w:val="1"/>
          <w:bCs w:val="1"/>
          <w:color w:val="16479F"/>
        </w:rPr>
      </w:pPr>
    </w:p>
    <w:p>
      <w:pPr>
        <w:ind w:left="240" w:hanging="233"/>
        <w:spacing w:after="0"/>
        <w:tabs>
          <w:tab w:leader="none" w:pos="240" w:val="left"/>
        </w:tabs>
        <w:numPr>
          <w:ilvl w:val="0"/>
          <w:numId w:val="102"/>
        </w:numPr>
        <w:rPr>
          <w:rFonts w:ascii="Arial" w:cs="Arial" w:eastAsia="Arial" w:hAnsi="Arial"/>
          <w:sz w:val="16"/>
          <w:szCs w:val="16"/>
          <w:b w:val="1"/>
          <w:bCs w:val="1"/>
          <w:color w:val="16479F"/>
        </w:rPr>
      </w:pPr>
      <w:r>
        <w:rPr>
          <w:rFonts w:ascii="Arial" w:cs="Arial" w:eastAsia="Arial" w:hAnsi="Arial"/>
          <w:sz w:val="16"/>
          <w:szCs w:val="16"/>
          <w:color w:val="auto"/>
        </w:rPr>
        <w:t>updated the Company’s share ownership and retention guidelines to provide for even more rigorous requirements.</w:t>
      </w:r>
    </w:p>
    <w:p>
      <w:pPr>
        <w:spacing w:after="0" w:line="164"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As a result of these changes, and as discussed in more detail below, the Company’s 2022 LTIP consists of grants of annual RSUs, 3-year PSUs and PSOs, with the mix amongst the awards based on the executive’s level. The LTIP mix is tiered to align according to level, with our CEO and President &amp; COO having the highest “at-risk” mix, by receiving 100% of their LTIP awards in the form of performance-based awards of PSUs and PSOs.</w:t>
      </w:r>
    </w:p>
    <w:p>
      <w:pPr>
        <w:spacing w:after="0" w:line="148" w:lineRule="exact"/>
        <w:rPr>
          <w:sz w:val="20"/>
          <w:szCs w:val="20"/>
          <w:color w:val="auto"/>
        </w:rPr>
      </w:pPr>
    </w:p>
    <w:p>
      <w:pPr>
        <w:ind w:right="120"/>
        <w:spacing w:after="0" w:line="247" w:lineRule="auto"/>
        <w:rPr>
          <w:sz w:val="20"/>
          <w:szCs w:val="20"/>
          <w:color w:val="auto"/>
        </w:rPr>
      </w:pPr>
      <w:r>
        <w:rPr>
          <w:rFonts w:ascii="Arial" w:cs="Arial" w:eastAsia="Arial" w:hAnsi="Arial"/>
          <w:sz w:val="16"/>
          <w:szCs w:val="16"/>
          <w:color w:val="auto"/>
        </w:rPr>
        <w:t>The 2022 PSOs were designed such that the Company’s senior leaders, including the NEOs, will only realize value from an award if our cumulative revenue and cumulative Adjusted EPS performance over the cumulative three-year period is above threshold and if increases in our stock price are sustained above the exercise price. As a result, the Compensation Committee believes that the PSOs will further align our executives’ interests with those of our shareholders by helping to drive performance and by complementing the TSR-based performance metrics applicable to the 3-Year PSUs, which will continue to reward participants for sustained exceptional growth in the Company’s 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92710</wp:posOffset>
            </wp:positionV>
            <wp:extent cx="7154545" cy="209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149860</wp:posOffset>
            </wp:positionV>
            <wp:extent cx="7133590" cy="21272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3590" cy="212725"/>
                    </a:xfrm>
                    <a:prstGeom prst="rect">
                      <a:avLst/>
                    </a:prstGeom>
                    <a:noFill/>
                  </pic:spPr>
                </pic:pic>
              </a:graphicData>
            </a:graphic>
          </wp:anchor>
        </w:drawing>
      </w:r>
    </w:p>
    <w:p>
      <w:pPr>
        <w:spacing w:after="0" w:line="283"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4"/>
          <w:szCs w:val="14"/>
          <w:b w:val="1"/>
          <w:bCs w:val="1"/>
          <w:color w:val="16479F"/>
        </w:rPr>
        <w:t>62</w:t>
      </w:r>
      <w:r>
        <w:rPr>
          <w:sz w:val="20"/>
          <w:szCs w:val="20"/>
          <w:color w:val="auto"/>
        </w:rPr>
        <w:tab/>
      </w:r>
      <w:r>
        <w:rPr>
          <w:rFonts w:ascii="Arial" w:cs="Arial" w:eastAsia="Arial" w:hAnsi="Arial"/>
          <w:sz w:val="14"/>
          <w:szCs w:val="14"/>
          <w:b w:val="1"/>
          <w:bCs w:val="1"/>
          <w:color w:val="16479F"/>
        </w:rPr>
        <w:t>MSCI  |  COMPENSATION MATTERS</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The key features of the 2022 RSUs, PSUs and PSOs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133590" cy="18732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3590" cy="187325"/>
                    </a:xfrm>
                    <a:prstGeom prst="rect">
                      <a:avLst/>
                    </a:prstGeom>
                    <a:noFill/>
                  </pic:spPr>
                </pic:pic>
              </a:graphicData>
            </a:graphic>
          </wp:anchor>
        </w:drawing>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FFFFFF"/>
        </w:rPr>
        <w:t>RSUs:</w:t>
      </w:r>
    </w:p>
    <w:p>
      <w:pPr>
        <w:spacing w:after="0" w:line="264" w:lineRule="exact"/>
        <w:rPr>
          <w:sz w:val="20"/>
          <w:szCs w:val="20"/>
          <w:color w:val="auto"/>
        </w:rPr>
      </w:pPr>
    </w:p>
    <w:p>
      <w:pPr>
        <w:ind w:left="440" w:hanging="245"/>
        <w:spacing w:after="0"/>
        <w:tabs>
          <w:tab w:leader="none" w:pos="440" w:val="left"/>
        </w:tabs>
        <w:numPr>
          <w:ilvl w:val="0"/>
          <w:numId w:val="103"/>
        </w:numPr>
        <w:rPr>
          <w:rFonts w:ascii="Arial" w:cs="Arial" w:eastAsia="Arial" w:hAnsi="Arial"/>
          <w:sz w:val="16"/>
          <w:szCs w:val="16"/>
          <w:b w:val="1"/>
          <w:bCs w:val="1"/>
          <w:color w:val="16479F"/>
        </w:rPr>
      </w:pPr>
      <w:r>
        <w:rPr>
          <w:rFonts w:ascii="Arial" w:cs="Arial" w:eastAsia="Arial" w:hAnsi="Arial"/>
          <w:sz w:val="16"/>
          <w:szCs w:val="16"/>
          <w:color w:val="16479F"/>
        </w:rPr>
        <w:t>Granted to NEOs other than the CEO and President &amp; COO</w:t>
      </w:r>
    </w:p>
    <w:p>
      <w:pPr>
        <w:spacing w:after="0" w:line="83" w:lineRule="exact"/>
        <w:rPr>
          <w:rFonts w:ascii="Arial" w:cs="Arial" w:eastAsia="Arial" w:hAnsi="Arial"/>
          <w:sz w:val="16"/>
          <w:szCs w:val="16"/>
          <w:b w:val="1"/>
          <w:bCs w:val="1"/>
          <w:color w:val="16479F"/>
        </w:rPr>
      </w:pPr>
    </w:p>
    <w:p>
      <w:pPr>
        <w:ind w:left="440" w:hanging="245"/>
        <w:spacing w:after="0"/>
        <w:tabs>
          <w:tab w:leader="none" w:pos="440" w:val="left"/>
        </w:tabs>
        <w:numPr>
          <w:ilvl w:val="0"/>
          <w:numId w:val="103"/>
        </w:numPr>
        <w:rPr>
          <w:rFonts w:ascii="Arial" w:cs="Arial" w:eastAsia="Arial" w:hAnsi="Arial"/>
          <w:sz w:val="16"/>
          <w:szCs w:val="16"/>
          <w:b w:val="1"/>
          <w:bCs w:val="1"/>
          <w:color w:val="16479F"/>
        </w:rPr>
      </w:pPr>
      <w:r>
        <w:rPr>
          <w:rFonts w:ascii="Arial" w:cs="Arial" w:eastAsia="Arial" w:hAnsi="Arial"/>
          <w:sz w:val="16"/>
          <w:szCs w:val="16"/>
          <w:color w:val="16479F"/>
        </w:rPr>
        <w:t>Cliff-vest at the end of a three-year vesting period (reflects a change from our historical practice of annual ratable vesting)</w:t>
      </w:r>
    </w:p>
    <w:p>
      <w:pPr>
        <w:spacing w:after="0" w:line="83" w:lineRule="exact"/>
        <w:rPr>
          <w:rFonts w:ascii="Arial" w:cs="Arial" w:eastAsia="Arial" w:hAnsi="Arial"/>
          <w:sz w:val="16"/>
          <w:szCs w:val="16"/>
          <w:b w:val="1"/>
          <w:bCs w:val="1"/>
          <w:color w:val="16479F"/>
        </w:rPr>
      </w:pPr>
    </w:p>
    <w:p>
      <w:pPr>
        <w:ind w:left="440" w:hanging="245"/>
        <w:spacing w:after="0"/>
        <w:tabs>
          <w:tab w:leader="none" w:pos="440" w:val="left"/>
        </w:tabs>
        <w:numPr>
          <w:ilvl w:val="0"/>
          <w:numId w:val="103"/>
        </w:numPr>
        <w:rPr>
          <w:rFonts w:ascii="Arial" w:cs="Arial" w:eastAsia="Arial" w:hAnsi="Arial"/>
          <w:sz w:val="16"/>
          <w:szCs w:val="16"/>
          <w:b w:val="1"/>
          <w:bCs w:val="1"/>
          <w:color w:val="16479F"/>
        </w:rPr>
      </w:pPr>
      <w:r>
        <w:rPr>
          <w:rFonts w:ascii="Arial" w:cs="Arial" w:eastAsia="Arial" w:hAnsi="Arial"/>
          <w:sz w:val="16"/>
          <w:szCs w:val="16"/>
          <w:color w:val="16479F"/>
        </w:rPr>
        <w:t>Long-term value of underlying stock tied to share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7133590" cy="26784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3590" cy="2678430"/>
                    </a:xfrm>
                    <a:prstGeom prst="rect">
                      <a:avLst/>
                    </a:prstGeom>
                    <a:noFill/>
                  </pic:spPr>
                </pic:pic>
              </a:graphicData>
            </a:graphic>
          </wp:anchor>
        </w:drawing>
      </w:r>
    </w:p>
    <w:p>
      <w:pPr>
        <w:spacing w:after="0" w:line="11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16479F"/>
        </w:rPr>
        <w:t>3-YEAR TSR PSUs:</w:t>
      </w:r>
    </w:p>
    <w:p>
      <w:pPr>
        <w:spacing w:after="0" w:line="157" w:lineRule="exact"/>
        <w:rPr>
          <w:sz w:val="20"/>
          <w:szCs w:val="20"/>
          <w:color w:val="auto"/>
        </w:rPr>
      </w:pPr>
    </w:p>
    <w:p>
      <w:pPr>
        <w:ind w:left="440" w:hanging="245"/>
        <w:spacing w:after="0"/>
        <w:tabs>
          <w:tab w:leader="none" w:pos="440" w:val="left"/>
        </w:tabs>
        <w:numPr>
          <w:ilvl w:val="0"/>
          <w:numId w:val="104"/>
        </w:numPr>
        <w:rPr>
          <w:rFonts w:ascii="Arial" w:cs="Arial" w:eastAsia="Arial" w:hAnsi="Arial"/>
          <w:sz w:val="16"/>
          <w:szCs w:val="16"/>
          <w:b w:val="1"/>
          <w:bCs w:val="1"/>
          <w:color w:val="16479F"/>
        </w:rPr>
      </w:pPr>
      <w:r>
        <w:rPr>
          <w:rFonts w:ascii="Arial" w:cs="Arial" w:eastAsia="Arial" w:hAnsi="Arial"/>
          <w:sz w:val="16"/>
          <w:szCs w:val="16"/>
          <w:color w:val="auto"/>
        </w:rPr>
        <w:t>Granted to all NEOs</w:t>
      </w:r>
    </w:p>
    <w:p>
      <w:pPr>
        <w:spacing w:after="0" w:line="83" w:lineRule="exact"/>
        <w:rPr>
          <w:rFonts w:ascii="Arial" w:cs="Arial" w:eastAsia="Arial" w:hAnsi="Arial"/>
          <w:sz w:val="16"/>
          <w:szCs w:val="16"/>
          <w:b w:val="1"/>
          <w:bCs w:val="1"/>
          <w:color w:val="16479F"/>
        </w:rPr>
      </w:pPr>
    </w:p>
    <w:p>
      <w:pPr>
        <w:ind w:left="440" w:right="280" w:hanging="245"/>
        <w:spacing w:after="0" w:line="256" w:lineRule="auto"/>
        <w:tabs>
          <w:tab w:leader="none" w:pos="440" w:val="left"/>
        </w:tabs>
        <w:numPr>
          <w:ilvl w:val="0"/>
          <w:numId w:val="104"/>
        </w:numPr>
        <w:rPr>
          <w:rFonts w:ascii="Arial" w:cs="Arial" w:eastAsia="Arial" w:hAnsi="Arial"/>
          <w:sz w:val="16"/>
          <w:szCs w:val="16"/>
          <w:b w:val="1"/>
          <w:bCs w:val="1"/>
          <w:color w:val="16479F"/>
        </w:rPr>
      </w:pPr>
      <w:r>
        <w:rPr>
          <w:rFonts w:ascii="Arial" w:cs="Arial" w:eastAsia="Arial" w:hAnsi="Arial"/>
          <w:sz w:val="16"/>
          <w:szCs w:val="16"/>
          <w:color w:val="auto"/>
        </w:rPr>
        <w:t>Cliff-vest at the end of a three-year performance period from February 3, 2022 to February 2, 2025, based on achievement of rigorous absolute TSR CAGR performance metrics</w:t>
      </w:r>
    </w:p>
    <w:p>
      <w:pPr>
        <w:spacing w:after="0" w:line="62" w:lineRule="exact"/>
        <w:rPr>
          <w:rFonts w:ascii="Arial" w:cs="Arial" w:eastAsia="Arial" w:hAnsi="Arial"/>
          <w:sz w:val="16"/>
          <w:szCs w:val="16"/>
          <w:b w:val="1"/>
          <w:bCs w:val="1"/>
          <w:color w:val="16479F"/>
        </w:rPr>
      </w:pPr>
    </w:p>
    <w:p>
      <w:pPr>
        <w:ind w:left="440" w:hanging="245"/>
        <w:spacing w:after="0" w:line="256" w:lineRule="auto"/>
        <w:tabs>
          <w:tab w:leader="none" w:pos="440" w:val="left"/>
        </w:tabs>
        <w:numPr>
          <w:ilvl w:val="0"/>
          <w:numId w:val="104"/>
        </w:numPr>
        <w:rPr>
          <w:rFonts w:ascii="Arial" w:cs="Arial" w:eastAsia="Arial" w:hAnsi="Arial"/>
          <w:sz w:val="16"/>
          <w:szCs w:val="16"/>
          <w:b w:val="1"/>
          <w:bCs w:val="1"/>
          <w:color w:val="16479F"/>
        </w:rPr>
      </w:pPr>
      <w:r>
        <w:rPr>
          <w:rFonts w:ascii="Arial" w:cs="Arial" w:eastAsia="Arial" w:hAnsi="Arial"/>
          <w:sz w:val="16"/>
          <w:szCs w:val="16"/>
          <w:color w:val="auto"/>
        </w:rPr>
        <w:t>Reflect the right to receive between 0% and 300% of the target number of shares based on achievement of the TSR CAGR performance metric over the applicable performance period</w:t>
      </w:r>
    </w:p>
    <w:p>
      <w:pPr>
        <w:spacing w:after="0" w:line="62" w:lineRule="exact"/>
        <w:rPr>
          <w:rFonts w:ascii="Arial" w:cs="Arial" w:eastAsia="Arial" w:hAnsi="Arial"/>
          <w:sz w:val="16"/>
          <w:szCs w:val="16"/>
          <w:b w:val="1"/>
          <w:bCs w:val="1"/>
          <w:color w:val="16479F"/>
        </w:rPr>
      </w:pPr>
    </w:p>
    <w:p>
      <w:pPr>
        <w:ind w:left="440" w:hanging="245"/>
        <w:spacing w:after="0"/>
        <w:tabs>
          <w:tab w:leader="none" w:pos="440" w:val="left"/>
        </w:tabs>
        <w:numPr>
          <w:ilvl w:val="0"/>
          <w:numId w:val="104"/>
        </w:numPr>
        <w:rPr>
          <w:rFonts w:ascii="Arial" w:cs="Arial" w:eastAsia="Arial" w:hAnsi="Arial"/>
          <w:sz w:val="16"/>
          <w:szCs w:val="16"/>
          <w:b w:val="1"/>
          <w:bCs w:val="1"/>
          <w:color w:val="16479F"/>
        </w:rPr>
      </w:pPr>
      <w:r>
        <w:rPr>
          <w:rFonts w:ascii="Arial" w:cs="Arial" w:eastAsia="Arial" w:hAnsi="Arial"/>
          <w:sz w:val="16"/>
          <w:szCs w:val="16"/>
          <w:color w:val="auto"/>
        </w:rPr>
        <w:t>Realize meaningful value only to the extent that shareholders also realize value</w:t>
      </w:r>
    </w:p>
    <w:p>
      <w:pPr>
        <w:spacing w:after="0" w:line="83" w:lineRule="exact"/>
        <w:rPr>
          <w:rFonts w:ascii="Arial" w:cs="Arial" w:eastAsia="Arial" w:hAnsi="Arial"/>
          <w:sz w:val="16"/>
          <w:szCs w:val="16"/>
          <w:b w:val="1"/>
          <w:bCs w:val="1"/>
          <w:color w:val="16479F"/>
        </w:rPr>
      </w:pPr>
    </w:p>
    <w:p>
      <w:pPr>
        <w:ind w:left="440" w:right="640" w:hanging="245"/>
        <w:spacing w:after="0" w:line="256" w:lineRule="auto"/>
        <w:tabs>
          <w:tab w:leader="none" w:pos="440" w:val="left"/>
        </w:tabs>
        <w:numPr>
          <w:ilvl w:val="0"/>
          <w:numId w:val="104"/>
        </w:numPr>
        <w:rPr>
          <w:rFonts w:ascii="Arial" w:cs="Arial" w:eastAsia="Arial" w:hAnsi="Arial"/>
          <w:sz w:val="16"/>
          <w:szCs w:val="16"/>
          <w:b w:val="1"/>
          <w:bCs w:val="1"/>
          <w:color w:val="16479F"/>
        </w:rPr>
      </w:pPr>
      <w:r>
        <w:rPr>
          <w:rFonts w:ascii="Arial" w:cs="Arial" w:eastAsia="Arial" w:hAnsi="Arial"/>
          <w:sz w:val="16"/>
          <w:szCs w:val="16"/>
          <w:color w:val="auto"/>
        </w:rPr>
        <w:t>Include one-year post-vest mandatory holding period, where such shares, or rights with respect to such shares, may not be transferred until the expiration of such holding period</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16479F"/>
        </w:rPr>
        <w:t>PSOs:</w:t>
      </w:r>
    </w:p>
    <w:p>
      <w:pPr>
        <w:spacing w:after="0" w:line="157" w:lineRule="exact"/>
        <w:rPr>
          <w:sz w:val="20"/>
          <w:szCs w:val="20"/>
          <w:color w:val="auto"/>
        </w:rPr>
      </w:pPr>
    </w:p>
    <w:p>
      <w:pPr>
        <w:ind w:left="440" w:hanging="245"/>
        <w:spacing w:after="0"/>
        <w:tabs>
          <w:tab w:leader="none" w:pos="440" w:val="left"/>
        </w:tabs>
        <w:numPr>
          <w:ilvl w:val="0"/>
          <w:numId w:val="105"/>
        </w:numPr>
        <w:rPr>
          <w:rFonts w:ascii="Arial" w:cs="Arial" w:eastAsia="Arial" w:hAnsi="Arial"/>
          <w:sz w:val="16"/>
          <w:szCs w:val="16"/>
          <w:b w:val="1"/>
          <w:bCs w:val="1"/>
          <w:color w:val="16479F"/>
        </w:rPr>
      </w:pPr>
      <w:r>
        <w:rPr>
          <w:rFonts w:ascii="Arial" w:cs="Arial" w:eastAsia="Arial" w:hAnsi="Arial"/>
          <w:sz w:val="16"/>
          <w:szCs w:val="16"/>
          <w:color w:val="auto"/>
        </w:rPr>
        <w:t>Granted to all NEOs to further facilitate an “owner-operator” mindset and focus on longer-term strategic goals</w:t>
      </w:r>
    </w:p>
    <w:p>
      <w:pPr>
        <w:spacing w:after="0" w:line="83" w:lineRule="exact"/>
        <w:rPr>
          <w:rFonts w:ascii="Arial" w:cs="Arial" w:eastAsia="Arial" w:hAnsi="Arial"/>
          <w:sz w:val="16"/>
          <w:szCs w:val="16"/>
          <w:b w:val="1"/>
          <w:bCs w:val="1"/>
          <w:color w:val="16479F"/>
        </w:rPr>
      </w:pPr>
    </w:p>
    <w:p>
      <w:pPr>
        <w:ind w:left="440" w:right="160" w:hanging="245"/>
        <w:spacing w:after="0" w:line="256" w:lineRule="auto"/>
        <w:tabs>
          <w:tab w:leader="none" w:pos="440" w:val="left"/>
        </w:tabs>
        <w:numPr>
          <w:ilvl w:val="0"/>
          <w:numId w:val="105"/>
        </w:numPr>
        <w:rPr>
          <w:rFonts w:ascii="Arial" w:cs="Arial" w:eastAsia="Arial" w:hAnsi="Arial"/>
          <w:sz w:val="16"/>
          <w:szCs w:val="16"/>
          <w:b w:val="1"/>
          <w:bCs w:val="1"/>
          <w:color w:val="16479F"/>
        </w:rPr>
      </w:pPr>
      <w:r>
        <w:rPr>
          <w:rFonts w:ascii="Arial" w:cs="Arial" w:eastAsia="Arial" w:hAnsi="Arial"/>
          <w:sz w:val="16"/>
          <w:szCs w:val="16"/>
          <w:color w:val="auto"/>
        </w:rPr>
        <w:t>Vest upon satisfaction of both a service condition and a performance condition, with the service condition satisfied on the third anniversary of the grant date</w:t>
      </w:r>
    </w:p>
    <w:p>
      <w:pPr>
        <w:spacing w:after="0" w:line="62" w:lineRule="exact"/>
        <w:rPr>
          <w:rFonts w:ascii="Arial" w:cs="Arial" w:eastAsia="Arial" w:hAnsi="Arial"/>
          <w:sz w:val="16"/>
          <w:szCs w:val="16"/>
          <w:b w:val="1"/>
          <w:bCs w:val="1"/>
          <w:color w:val="16479F"/>
        </w:rPr>
      </w:pPr>
    </w:p>
    <w:p>
      <w:pPr>
        <w:ind w:left="440" w:right="20" w:hanging="245"/>
        <w:spacing w:after="0" w:line="250" w:lineRule="auto"/>
        <w:tabs>
          <w:tab w:leader="none" w:pos="440" w:val="left"/>
        </w:tabs>
        <w:numPr>
          <w:ilvl w:val="0"/>
          <w:numId w:val="105"/>
        </w:numPr>
        <w:rPr>
          <w:rFonts w:ascii="Arial" w:cs="Arial" w:eastAsia="Arial" w:hAnsi="Arial"/>
          <w:sz w:val="16"/>
          <w:szCs w:val="16"/>
          <w:b w:val="1"/>
          <w:bCs w:val="1"/>
          <w:color w:val="16479F"/>
        </w:rPr>
      </w:pPr>
      <w:r>
        <w:rPr>
          <w:rFonts w:ascii="Arial" w:cs="Arial" w:eastAsia="Arial" w:hAnsi="Arial"/>
          <w:sz w:val="16"/>
          <w:szCs w:val="16"/>
          <w:color w:val="auto"/>
        </w:rPr>
        <w:t>Represent the right to exercise between 0% and 200% of the target number of shares subject to the option based on the combined level of achievement of a cumulative revenue performance goal and a cumulative adjusted EPS performance goal, each weighted at 50% and measured over a three-year performance period</w:t>
      </w:r>
    </w:p>
    <w:p>
      <w:pPr>
        <w:spacing w:after="0" w:line="336"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In addition, to further promote our “owner-operator” mindset, the Compensation Committee updated the Company’s Stock Ownership Guidelines for Executive Committee members, including our NEOs, to require that, in addition to existing requirements, our Executive Committee members must hold shares equivalent, in the aggregate, to 25% of the “Net Shares” from equity awards granted to them after January 1, 2022. The Compensation Committee also approved revisions to the minimum share ownership requirements to increase the thresholds applicable to members of our Executive Committee, including our NEOs, to be among the highest multiples of base salary in our peer group. See page 83 of this Proxy Statement for additional information with respect to our Executive Committee 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94615</wp:posOffset>
            </wp:positionV>
            <wp:extent cx="7154545" cy="209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00" w:type="dxa"/>
            <w:vAlign w:val="bottom"/>
            <w:tcBorders>
              <w:right w:val="single" w:sz="8" w:color="16479F"/>
            </w:tcBorders>
          </w:tcPr>
          <w:p>
            <w:pPr>
              <w:ind w:left="8700"/>
              <w:spacing w:after="0"/>
              <w:rPr>
                <w:sz w:val="20"/>
                <w:szCs w:val="20"/>
                <w:color w:val="auto"/>
              </w:rPr>
            </w:pPr>
            <w:r>
              <w:rPr>
                <w:rFonts w:ascii="Arial" w:cs="Arial" w:eastAsia="Arial" w:hAnsi="Arial"/>
                <w:sz w:val="14"/>
                <w:szCs w:val="14"/>
                <w:b w:val="1"/>
                <w:bCs w:val="1"/>
                <w:color w:val="16479F"/>
              </w:rPr>
              <w:t>2022 PROXY STATEMENT</w:t>
            </w:r>
          </w:p>
        </w:tc>
        <w:tc>
          <w:tcPr>
            <w:tcW w:w="640" w:type="dxa"/>
            <w:vAlign w:val="bottom"/>
          </w:tcPr>
          <w:p>
            <w:pPr>
              <w:jc w:val="right"/>
              <w:ind w:right="9"/>
              <w:spacing w:after="0"/>
              <w:rPr>
                <w:sz w:val="20"/>
                <w:szCs w:val="20"/>
                <w:color w:val="auto"/>
              </w:rPr>
            </w:pPr>
            <w:r>
              <w:rPr>
                <w:rFonts w:ascii="Arial" w:cs="Arial" w:eastAsia="Arial" w:hAnsi="Arial"/>
                <w:sz w:val="14"/>
                <w:szCs w:val="14"/>
                <w:b w:val="1"/>
                <w:bCs w:val="1"/>
                <w:color w:val="16479F"/>
              </w:rPr>
              <w:t>63</w:t>
            </w:r>
          </w:p>
        </w:tc>
      </w:tr>
      <w:tr>
        <w:trPr>
          <w:trHeight w:val="65"/>
        </w:trPr>
        <w:tc>
          <w:tcPr>
            <w:tcW w:w="10600" w:type="dxa"/>
            <w:vAlign w:val="bottom"/>
            <w:tcBorders>
              <w:bottom w:val="single" w:sz="8" w:color="16479F"/>
              <w:right w:val="single" w:sz="8" w:color="16479F"/>
            </w:tcBorders>
          </w:tcPr>
          <w:p>
            <w:pPr>
              <w:spacing w:after="0"/>
              <w:rPr>
                <w:sz w:val="5"/>
                <w:szCs w:val="5"/>
                <w:color w:val="auto"/>
              </w:rPr>
            </w:pPr>
          </w:p>
        </w:tc>
        <w:tc>
          <w:tcPr>
            <w:tcW w:w="640" w:type="dxa"/>
            <w:vAlign w:val="bottom"/>
            <w:tcBorders>
              <w:bottom w:val="single" w:sz="8" w:color="16479F"/>
            </w:tcBorders>
          </w:tcPr>
          <w:p>
            <w:pPr>
              <w:spacing w:after="0"/>
              <w:rPr>
                <w:sz w:val="5"/>
                <w:szCs w:val="5"/>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32"/>
          <w:szCs w:val="32"/>
          <w:b w:val="1"/>
          <w:bCs w:val="1"/>
          <w:color w:val="16479F"/>
        </w:rPr>
        <w:t>Governance and Administration</w:t>
      </w:r>
    </w:p>
    <w:p>
      <w:pPr>
        <w:spacing w:after="0" w:line="195"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Executive Compensation Philosophy and Goals</w:t>
      </w:r>
    </w:p>
    <w:p>
      <w:pPr>
        <w:spacing w:after="0" w:line="209" w:lineRule="exact"/>
        <w:rPr>
          <w:sz w:val="20"/>
          <w:szCs w:val="20"/>
          <w:color w:val="auto"/>
        </w:rPr>
      </w:pPr>
    </w:p>
    <w:p>
      <w:pPr>
        <w:ind w:right="360"/>
        <w:spacing w:after="0" w:line="248" w:lineRule="auto"/>
        <w:rPr>
          <w:sz w:val="20"/>
          <w:szCs w:val="20"/>
          <w:color w:val="auto"/>
        </w:rPr>
      </w:pPr>
      <w:r>
        <w:rPr>
          <w:rFonts w:ascii="Arial" w:cs="Arial" w:eastAsia="Arial" w:hAnsi="Arial"/>
          <w:sz w:val="16"/>
          <w:szCs w:val="16"/>
          <w:color w:val="auto"/>
        </w:rPr>
        <w:t>We evaluate our executive compensation structure on an annual basis to ensure alignment with our compensation philosophy and business strategy and shareholder priorities. Our compensation philosophy centers around maintaining a compensation program for our NEOs that is designed to promote the achievement of our short-term and long-term financial and strategic goals. For additional information on our strategic initiatives, see page 58 of this Proxy Statement.</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principles described in the “Executive Summary” on page 57 of this Proxy Statement, our executive compensation program is designed to:</w:t>
      </w:r>
    </w:p>
    <w:p>
      <w:pPr>
        <w:spacing w:after="0" w:line="164" w:lineRule="exact"/>
        <w:rPr>
          <w:sz w:val="20"/>
          <w:szCs w:val="20"/>
          <w:color w:val="auto"/>
        </w:rPr>
      </w:pPr>
    </w:p>
    <w:p>
      <w:pPr>
        <w:ind w:left="240" w:hanging="233"/>
        <w:spacing w:after="0"/>
        <w:tabs>
          <w:tab w:leader="none" w:pos="240" w:val="left"/>
        </w:tabs>
        <w:numPr>
          <w:ilvl w:val="0"/>
          <w:numId w:val="106"/>
        </w:numPr>
        <w:rPr>
          <w:rFonts w:ascii="Arial" w:cs="Arial" w:eastAsia="Arial" w:hAnsi="Arial"/>
          <w:sz w:val="16"/>
          <w:szCs w:val="16"/>
          <w:b w:val="1"/>
          <w:bCs w:val="1"/>
          <w:color w:val="16479F"/>
        </w:rPr>
      </w:pPr>
      <w:r>
        <w:rPr>
          <w:rFonts w:ascii="Arial" w:cs="Arial" w:eastAsia="Arial" w:hAnsi="Arial"/>
          <w:sz w:val="16"/>
          <w:szCs w:val="16"/>
          <w:color w:val="auto"/>
        </w:rPr>
        <w:t>promote achievement of the Company’s financial and strategic goals and provide alignment with the objectives of our multi-year strategic plan;</w:t>
      </w:r>
    </w:p>
    <w:p>
      <w:pPr>
        <w:spacing w:after="0" w:line="83" w:lineRule="exact"/>
        <w:rPr>
          <w:rFonts w:ascii="Arial" w:cs="Arial" w:eastAsia="Arial" w:hAnsi="Arial"/>
          <w:sz w:val="16"/>
          <w:szCs w:val="16"/>
          <w:b w:val="1"/>
          <w:bCs w:val="1"/>
          <w:color w:val="16479F"/>
        </w:rPr>
      </w:pPr>
    </w:p>
    <w:p>
      <w:pPr>
        <w:ind w:left="240" w:hanging="233"/>
        <w:spacing w:after="0"/>
        <w:tabs>
          <w:tab w:leader="none" w:pos="240" w:val="left"/>
        </w:tabs>
        <w:numPr>
          <w:ilvl w:val="0"/>
          <w:numId w:val="106"/>
        </w:numPr>
        <w:rPr>
          <w:rFonts w:ascii="Arial" w:cs="Arial" w:eastAsia="Arial" w:hAnsi="Arial"/>
          <w:sz w:val="16"/>
          <w:szCs w:val="16"/>
          <w:b w:val="1"/>
          <w:bCs w:val="1"/>
          <w:color w:val="16479F"/>
        </w:rPr>
      </w:pPr>
      <w:r>
        <w:rPr>
          <w:rFonts w:ascii="Arial" w:cs="Arial" w:eastAsia="Arial" w:hAnsi="Arial"/>
          <w:sz w:val="16"/>
          <w:szCs w:val="16"/>
          <w:color w:val="auto"/>
        </w:rPr>
        <w:t>provide a framework to advance our strategic goals and encourage our NEOs to make a long-term commitment to the Company;</w:t>
      </w:r>
    </w:p>
    <w:p>
      <w:pPr>
        <w:spacing w:after="0" w:line="83" w:lineRule="exact"/>
        <w:rPr>
          <w:rFonts w:ascii="Arial" w:cs="Arial" w:eastAsia="Arial" w:hAnsi="Arial"/>
          <w:sz w:val="16"/>
          <w:szCs w:val="16"/>
          <w:b w:val="1"/>
          <w:bCs w:val="1"/>
          <w:color w:val="16479F"/>
        </w:rPr>
      </w:pPr>
    </w:p>
    <w:p>
      <w:pPr>
        <w:ind w:left="240" w:hanging="233"/>
        <w:spacing w:after="0"/>
        <w:tabs>
          <w:tab w:leader="none" w:pos="240" w:val="left"/>
        </w:tabs>
        <w:numPr>
          <w:ilvl w:val="0"/>
          <w:numId w:val="106"/>
        </w:numPr>
        <w:rPr>
          <w:rFonts w:ascii="Arial" w:cs="Arial" w:eastAsia="Arial" w:hAnsi="Arial"/>
          <w:sz w:val="16"/>
          <w:szCs w:val="16"/>
          <w:b w:val="1"/>
          <w:bCs w:val="1"/>
          <w:color w:val="16479F"/>
        </w:rPr>
      </w:pPr>
      <w:r>
        <w:rPr>
          <w:rFonts w:ascii="Arial" w:cs="Arial" w:eastAsia="Arial" w:hAnsi="Arial"/>
          <w:sz w:val="16"/>
          <w:szCs w:val="16"/>
          <w:color w:val="auto"/>
        </w:rPr>
        <w:t>base compensation determinations on the performance of the Company, the product/functional unit and the individual;</w:t>
      </w:r>
    </w:p>
    <w:p>
      <w:pPr>
        <w:spacing w:after="0" w:line="83" w:lineRule="exact"/>
        <w:rPr>
          <w:rFonts w:ascii="Arial" w:cs="Arial" w:eastAsia="Arial" w:hAnsi="Arial"/>
          <w:sz w:val="16"/>
          <w:szCs w:val="16"/>
          <w:b w:val="1"/>
          <w:bCs w:val="1"/>
          <w:color w:val="16479F"/>
        </w:rPr>
      </w:pPr>
    </w:p>
    <w:p>
      <w:pPr>
        <w:ind w:left="240" w:right="20" w:hanging="233"/>
        <w:spacing w:after="0" w:line="256" w:lineRule="auto"/>
        <w:tabs>
          <w:tab w:leader="none" w:pos="240" w:val="left"/>
        </w:tabs>
        <w:numPr>
          <w:ilvl w:val="0"/>
          <w:numId w:val="106"/>
        </w:numPr>
        <w:rPr>
          <w:rFonts w:ascii="Arial" w:cs="Arial" w:eastAsia="Arial" w:hAnsi="Arial"/>
          <w:sz w:val="16"/>
          <w:szCs w:val="16"/>
          <w:b w:val="1"/>
          <w:bCs w:val="1"/>
          <w:color w:val="16479F"/>
        </w:rPr>
      </w:pPr>
      <w:r>
        <w:rPr>
          <w:rFonts w:ascii="Arial" w:cs="Arial" w:eastAsia="Arial" w:hAnsi="Arial"/>
          <w:sz w:val="16"/>
          <w:szCs w:val="16"/>
          <w:color w:val="auto"/>
        </w:rPr>
        <w:t>attract, retain and engage top-level talent and provide each NEO with compensation opportunities that are competitive with market practices and within our cost structure;</w:t>
      </w:r>
    </w:p>
    <w:p>
      <w:pPr>
        <w:spacing w:after="0" w:line="62" w:lineRule="exact"/>
        <w:rPr>
          <w:rFonts w:ascii="Arial" w:cs="Arial" w:eastAsia="Arial" w:hAnsi="Arial"/>
          <w:sz w:val="16"/>
          <w:szCs w:val="16"/>
          <w:b w:val="1"/>
          <w:bCs w:val="1"/>
          <w:color w:val="16479F"/>
        </w:rPr>
      </w:pPr>
    </w:p>
    <w:p>
      <w:pPr>
        <w:ind w:left="240" w:hanging="233"/>
        <w:spacing w:after="0"/>
        <w:tabs>
          <w:tab w:leader="none" w:pos="240" w:val="left"/>
        </w:tabs>
        <w:numPr>
          <w:ilvl w:val="0"/>
          <w:numId w:val="106"/>
        </w:numPr>
        <w:rPr>
          <w:rFonts w:ascii="Arial" w:cs="Arial" w:eastAsia="Arial" w:hAnsi="Arial"/>
          <w:sz w:val="16"/>
          <w:szCs w:val="16"/>
          <w:b w:val="1"/>
          <w:bCs w:val="1"/>
          <w:color w:val="16479F"/>
        </w:rPr>
      </w:pPr>
      <w:r>
        <w:rPr>
          <w:rFonts w:ascii="Arial" w:cs="Arial" w:eastAsia="Arial" w:hAnsi="Arial"/>
          <w:sz w:val="16"/>
          <w:szCs w:val="16"/>
          <w:color w:val="auto"/>
        </w:rPr>
        <w:t>appropriately manage compensation risk in light of our business strategy; and</w:t>
      </w:r>
    </w:p>
    <w:p>
      <w:pPr>
        <w:spacing w:after="0" w:line="83" w:lineRule="exact"/>
        <w:rPr>
          <w:rFonts w:ascii="Arial" w:cs="Arial" w:eastAsia="Arial" w:hAnsi="Arial"/>
          <w:sz w:val="16"/>
          <w:szCs w:val="16"/>
          <w:b w:val="1"/>
          <w:bCs w:val="1"/>
          <w:color w:val="16479F"/>
        </w:rPr>
      </w:pPr>
    </w:p>
    <w:p>
      <w:pPr>
        <w:ind w:left="240" w:right="240" w:hanging="233"/>
        <w:spacing w:after="0" w:line="256" w:lineRule="auto"/>
        <w:tabs>
          <w:tab w:leader="none" w:pos="240" w:val="left"/>
        </w:tabs>
        <w:numPr>
          <w:ilvl w:val="0"/>
          <w:numId w:val="106"/>
        </w:numPr>
        <w:rPr>
          <w:rFonts w:ascii="Arial" w:cs="Arial" w:eastAsia="Arial" w:hAnsi="Arial"/>
          <w:sz w:val="16"/>
          <w:szCs w:val="16"/>
          <w:b w:val="1"/>
          <w:bCs w:val="1"/>
          <w:color w:val="16479F"/>
        </w:rPr>
      </w:pPr>
      <w:r>
        <w:rPr>
          <w:rFonts w:ascii="Arial" w:cs="Arial" w:eastAsia="Arial" w:hAnsi="Arial"/>
          <w:sz w:val="16"/>
          <w:szCs w:val="16"/>
          <w:color w:val="auto"/>
        </w:rPr>
        <w:t>align the long-term interests of our senior executives with those of our shareholders by promoting actions that will allow for sustainable top- and bottom-line growth opportunities and capital returns to shareholders and maintain an “owner-operator” culture and strong corporate governance practices.</w:t>
      </w:r>
    </w:p>
    <w:p>
      <w:pPr>
        <w:spacing w:after="0" w:line="143" w:lineRule="exact"/>
        <w:rPr>
          <w:sz w:val="20"/>
          <w:szCs w:val="20"/>
          <w:color w:val="auto"/>
        </w:rPr>
      </w:pPr>
    </w:p>
    <w:p>
      <w:pPr>
        <w:jc w:val="both"/>
        <w:ind w:right="320"/>
        <w:spacing w:after="0" w:line="250" w:lineRule="auto"/>
        <w:rPr>
          <w:sz w:val="20"/>
          <w:szCs w:val="20"/>
          <w:color w:val="auto"/>
        </w:rPr>
      </w:pPr>
      <w:r>
        <w:rPr>
          <w:rFonts w:ascii="Arial" w:cs="Arial" w:eastAsia="Arial" w:hAnsi="Arial"/>
          <w:sz w:val="16"/>
          <w:szCs w:val="16"/>
          <w:color w:val="auto"/>
        </w:rPr>
        <w:t>Our executive compensation philosophy provides our NEOs with the opportunity to earn a significant portion of their compensation in the form of variable compensation (i.e., annual cash incentive awards under our AIP and long-term equity incentive awards under our LTIP), with the remaining portion of their total compensation as their base salary. This emphasis on variable compensation is illustrated in the following pay mix charts:</w:t>
      </w:r>
    </w:p>
    <w:p>
      <w:pPr>
        <w:spacing w:after="0" w:line="128" w:lineRule="exact"/>
        <w:rPr>
          <w:sz w:val="20"/>
          <w:szCs w:val="20"/>
          <w:color w:val="auto"/>
        </w:rPr>
      </w:pPr>
    </w:p>
    <w:p>
      <w:pPr>
        <w:ind w:left="2280"/>
        <w:spacing w:after="0"/>
        <w:tabs>
          <w:tab w:leader="none" w:pos="5400" w:val="left"/>
        </w:tabs>
        <w:rPr>
          <w:sz w:val="20"/>
          <w:szCs w:val="20"/>
          <w:color w:val="auto"/>
        </w:rPr>
      </w:pPr>
      <w:r>
        <w:rPr>
          <w:rFonts w:ascii="Arial" w:cs="Arial" w:eastAsia="Arial" w:hAnsi="Arial"/>
          <w:sz w:val="16"/>
          <w:szCs w:val="16"/>
          <w:b w:val="1"/>
          <w:bCs w:val="1"/>
          <w:color w:val="auto"/>
        </w:rPr>
        <w:t>2021 ANNUALIZED CEO</w:t>
      </w:r>
      <w:r>
        <w:rPr>
          <w:sz w:val="20"/>
          <w:szCs w:val="20"/>
          <w:color w:val="auto"/>
        </w:rPr>
        <w:tab/>
      </w:r>
      <w:r>
        <w:rPr>
          <w:rFonts w:ascii="Arial" w:cs="Arial" w:eastAsia="Arial" w:hAnsi="Arial"/>
          <w:sz w:val="16"/>
          <w:szCs w:val="16"/>
          <w:b w:val="1"/>
          <w:bCs w:val="1"/>
          <w:color w:val="auto"/>
        </w:rPr>
        <w:t>2021 AVERAGE ANNUALIZED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47625</wp:posOffset>
            </wp:positionV>
            <wp:extent cx="7154545" cy="14897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4545" cy="14897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149860</wp:posOffset>
            </wp:positionV>
            <wp:extent cx="7133590" cy="21272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3590" cy="212725"/>
                    </a:xfrm>
                    <a:prstGeom prst="rect">
                      <a:avLst/>
                    </a:prstGeom>
                    <a:noFill/>
                  </pic:spPr>
                </pic:pic>
              </a:graphicData>
            </a:graphic>
          </wp:anchor>
        </w:drawing>
      </w:r>
    </w:p>
    <w:p>
      <w:pPr>
        <w:spacing w:after="0" w:line="283"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4"/>
          <w:szCs w:val="14"/>
          <w:b w:val="1"/>
          <w:bCs w:val="1"/>
          <w:color w:val="16479F"/>
        </w:rPr>
        <w:t>64</w:t>
      </w:r>
      <w:r>
        <w:rPr>
          <w:sz w:val="20"/>
          <w:szCs w:val="20"/>
          <w:color w:val="auto"/>
        </w:rPr>
        <w:tab/>
      </w:r>
      <w:r>
        <w:rPr>
          <w:rFonts w:ascii="Arial" w:cs="Arial" w:eastAsia="Arial" w:hAnsi="Arial"/>
          <w:sz w:val="14"/>
          <w:szCs w:val="14"/>
          <w:b w:val="1"/>
          <w:bCs w:val="1"/>
          <w:color w:val="16479F"/>
        </w:rPr>
        <w:t>MSCI  |  COMPENSATION MATTERS</w:t>
      </w:r>
    </w:p>
    <w:p>
      <w:pPr>
        <w:spacing w:after="0" w:line="245"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Executive Compensation Practices</w:t>
      </w:r>
    </w:p>
    <w:p>
      <w:pPr>
        <w:spacing w:after="0" w:line="222"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Our executive compensation practices incorporate the following corporate governance best practices that protect the interests of our shareholders and are consistent with high standards of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89535</wp:posOffset>
            </wp:positionV>
            <wp:extent cx="7133590" cy="23812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3590" cy="23812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p>
      <w:pPr>
        <w:spacing w:after="0" w:line="203"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FFFFFF"/>
        </w:rPr>
        <w:t>WHAT WE DO</w:t>
      </w:r>
    </w:p>
    <w:p>
      <w:pPr>
        <w:spacing w:after="0" w:line="211" w:lineRule="exact"/>
        <w:rPr>
          <w:sz w:val="20"/>
          <w:szCs w:val="20"/>
          <w:color w:val="auto"/>
        </w:rPr>
      </w:pPr>
    </w:p>
    <w:p>
      <w:pPr>
        <w:ind w:left="380" w:hanging="194"/>
        <w:spacing w:after="0"/>
        <w:tabs>
          <w:tab w:leader="none" w:pos="380" w:val="left"/>
        </w:tabs>
        <w:numPr>
          <w:ilvl w:val="0"/>
          <w:numId w:val="107"/>
        </w:numPr>
        <w:rPr>
          <w:rFonts w:ascii="Arial" w:cs="Arial" w:eastAsia="Arial" w:hAnsi="Arial"/>
          <w:sz w:val="16"/>
          <w:szCs w:val="16"/>
          <w:b w:val="1"/>
          <w:bCs w:val="1"/>
          <w:color w:val="16479F"/>
        </w:rPr>
      </w:pPr>
      <w:r>
        <w:rPr>
          <w:rFonts w:ascii="Arial" w:cs="Arial" w:eastAsia="Arial" w:hAnsi="Arial"/>
          <w:sz w:val="16"/>
          <w:szCs w:val="16"/>
          <w:color w:val="auto"/>
        </w:rPr>
        <w:t>Emphasize variable compensation</w:t>
      </w:r>
    </w:p>
    <w:p>
      <w:pPr>
        <w:spacing w:after="0" w:line="83" w:lineRule="exact"/>
        <w:rPr>
          <w:rFonts w:ascii="Arial" w:cs="Arial" w:eastAsia="Arial" w:hAnsi="Arial"/>
          <w:sz w:val="16"/>
          <w:szCs w:val="16"/>
          <w:b w:val="1"/>
          <w:bCs w:val="1"/>
          <w:color w:val="16479F"/>
        </w:rPr>
      </w:pPr>
    </w:p>
    <w:p>
      <w:pPr>
        <w:ind w:left="380" w:hanging="194"/>
        <w:spacing w:after="0"/>
        <w:tabs>
          <w:tab w:leader="none" w:pos="380" w:val="left"/>
        </w:tabs>
        <w:numPr>
          <w:ilvl w:val="0"/>
          <w:numId w:val="107"/>
        </w:numPr>
        <w:rPr>
          <w:rFonts w:ascii="Arial" w:cs="Arial" w:eastAsia="Arial" w:hAnsi="Arial"/>
          <w:sz w:val="16"/>
          <w:szCs w:val="16"/>
          <w:b w:val="1"/>
          <w:bCs w:val="1"/>
          <w:color w:val="16479F"/>
        </w:rPr>
      </w:pPr>
      <w:r>
        <w:rPr>
          <w:rFonts w:ascii="Arial" w:cs="Arial" w:eastAsia="Arial" w:hAnsi="Arial"/>
          <w:sz w:val="16"/>
          <w:szCs w:val="16"/>
          <w:color w:val="auto"/>
        </w:rPr>
        <w:t>Provide formula-based annual cash incentive opportunities</w:t>
      </w:r>
    </w:p>
    <w:p>
      <w:pPr>
        <w:spacing w:after="0" w:line="97" w:lineRule="exact"/>
        <w:rPr>
          <w:rFonts w:ascii="Arial" w:cs="Arial" w:eastAsia="Arial" w:hAnsi="Arial"/>
          <w:sz w:val="16"/>
          <w:szCs w:val="16"/>
          <w:b w:val="1"/>
          <w:bCs w:val="1"/>
          <w:color w:val="16479F"/>
        </w:rPr>
      </w:pPr>
    </w:p>
    <w:p>
      <w:pPr>
        <w:ind w:left="380" w:right="240" w:hanging="194"/>
        <w:spacing w:after="0" w:line="256" w:lineRule="auto"/>
        <w:tabs>
          <w:tab w:leader="none" w:pos="379" w:val="left"/>
        </w:tabs>
        <w:numPr>
          <w:ilvl w:val="0"/>
          <w:numId w:val="107"/>
        </w:numPr>
        <w:rPr>
          <w:rFonts w:ascii="Arial" w:cs="Arial" w:eastAsia="Arial" w:hAnsi="Arial"/>
          <w:sz w:val="16"/>
          <w:szCs w:val="16"/>
          <w:b w:val="1"/>
          <w:bCs w:val="1"/>
          <w:color w:val="16479F"/>
        </w:rPr>
      </w:pPr>
      <w:r>
        <w:rPr>
          <w:rFonts w:ascii="Arial" w:cs="Arial" w:eastAsia="Arial" w:hAnsi="Arial"/>
          <w:sz w:val="16"/>
          <w:szCs w:val="16"/>
          <w:color w:val="auto"/>
        </w:rPr>
        <w:t>Subject equity awards to rigorous service- and performance-vesting requirements</w:t>
      </w:r>
    </w:p>
    <w:p>
      <w:pPr>
        <w:spacing w:after="0" w:line="76" w:lineRule="exact"/>
        <w:rPr>
          <w:rFonts w:ascii="Arial" w:cs="Arial" w:eastAsia="Arial" w:hAnsi="Arial"/>
          <w:sz w:val="16"/>
          <w:szCs w:val="16"/>
          <w:b w:val="1"/>
          <w:bCs w:val="1"/>
          <w:color w:val="16479F"/>
        </w:rPr>
      </w:pPr>
    </w:p>
    <w:p>
      <w:pPr>
        <w:ind w:left="380" w:right="20" w:hanging="194"/>
        <w:spacing w:after="0" w:line="250" w:lineRule="auto"/>
        <w:tabs>
          <w:tab w:leader="none" w:pos="379" w:val="left"/>
        </w:tabs>
        <w:numPr>
          <w:ilvl w:val="0"/>
          <w:numId w:val="107"/>
        </w:numPr>
        <w:rPr>
          <w:rFonts w:ascii="Arial" w:cs="Arial" w:eastAsia="Arial" w:hAnsi="Arial"/>
          <w:sz w:val="16"/>
          <w:szCs w:val="16"/>
          <w:b w:val="1"/>
          <w:bCs w:val="1"/>
          <w:color w:val="16479F"/>
        </w:rPr>
      </w:pPr>
      <w:r>
        <w:rPr>
          <w:rFonts w:ascii="Arial" w:cs="Arial" w:eastAsia="Arial" w:hAnsi="Arial"/>
          <w:sz w:val="16"/>
          <w:szCs w:val="16"/>
          <w:color w:val="auto"/>
        </w:rPr>
        <w:t>Impose rigorous stock ownership guidelines and requirements on all of our NEOs and other Executive Committee members, with guidelines among the highest multiples of base salary in our peer group</w:t>
      </w:r>
    </w:p>
    <w:p>
      <w:pPr>
        <w:spacing w:after="0" w:line="67" w:lineRule="exact"/>
        <w:rPr>
          <w:rFonts w:ascii="Arial" w:cs="Arial" w:eastAsia="Arial" w:hAnsi="Arial"/>
          <w:sz w:val="16"/>
          <w:szCs w:val="16"/>
          <w:b w:val="1"/>
          <w:bCs w:val="1"/>
          <w:color w:val="16479F"/>
        </w:rPr>
      </w:pPr>
    </w:p>
    <w:p>
      <w:pPr>
        <w:ind w:left="560" w:hanging="196"/>
        <w:spacing w:after="0"/>
        <w:tabs>
          <w:tab w:leader="none" w:pos="560" w:val="left"/>
        </w:tabs>
        <w:numPr>
          <w:ilvl w:val="1"/>
          <w:numId w:val="107"/>
        </w:numPr>
        <w:rPr>
          <w:rFonts w:ascii="Arial" w:cs="Arial" w:eastAsia="Arial" w:hAnsi="Arial"/>
          <w:sz w:val="16"/>
          <w:szCs w:val="16"/>
          <w:b w:val="1"/>
          <w:bCs w:val="1"/>
          <w:color w:val="16479F"/>
        </w:rPr>
      </w:pPr>
      <w:r>
        <w:rPr>
          <w:rFonts w:ascii="Arial" w:cs="Arial" w:eastAsia="Arial" w:hAnsi="Arial"/>
          <w:sz w:val="16"/>
          <w:szCs w:val="16"/>
          <w:color w:val="auto"/>
        </w:rPr>
        <w:t>12x annual base salary for our CEO and President &amp; COO</w:t>
      </w:r>
    </w:p>
    <w:p>
      <w:pPr>
        <w:spacing w:after="0" w:line="97" w:lineRule="exact"/>
        <w:rPr>
          <w:rFonts w:ascii="Arial" w:cs="Arial" w:eastAsia="Arial" w:hAnsi="Arial"/>
          <w:sz w:val="16"/>
          <w:szCs w:val="16"/>
          <w:b w:val="1"/>
          <w:bCs w:val="1"/>
          <w:color w:val="16479F"/>
        </w:rPr>
      </w:pPr>
    </w:p>
    <w:p>
      <w:pPr>
        <w:ind w:left="560" w:hanging="196"/>
        <w:spacing w:after="0"/>
        <w:tabs>
          <w:tab w:leader="none" w:pos="560" w:val="left"/>
        </w:tabs>
        <w:numPr>
          <w:ilvl w:val="1"/>
          <w:numId w:val="107"/>
        </w:numPr>
        <w:rPr>
          <w:rFonts w:ascii="Arial" w:cs="Arial" w:eastAsia="Arial" w:hAnsi="Arial"/>
          <w:sz w:val="16"/>
          <w:szCs w:val="16"/>
          <w:b w:val="1"/>
          <w:bCs w:val="1"/>
          <w:color w:val="16479F"/>
        </w:rPr>
      </w:pPr>
      <w:r>
        <w:rPr>
          <w:rFonts w:ascii="Arial" w:cs="Arial" w:eastAsia="Arial" w:hAnsi="Arial"/>
          <w:sz w:val="16"/>
          <w:szCs w:val="16"/>
          <w:color w:val="auto"/>
        </w:rPr>
        <w:t>8x annual base salary for our other NEOs</w:t>
      </w:r>
    </w:p>
    <w:p>
      <w:pPr>
        <w:spacing w:after="0" w:line="97" w:lineRule="exact"/>
        <w:rPr>
          <w:rFonts w:ascii="Arial" w:cs="Arial" w:eastAsia="Arial" w:hAnsi="Arial"/>
          <w:sz w:val="16"/>
          <w:szCs w:val="16"/>
          <w:b w:val="1"/>
          <w:bCs w:val="1"/>
          <w:color w:val="16479F"/>
        </w:rPr>
      </w:pPr>
    </w:p>
    <w:p>
      <w:pPr>
        <w:ind w:left="560" w:hanging="196"/>
        <w:spacing w:after="0"/>
        <w:tabs>
          <w:tab w:leader="none" w:pos="560" w:val="left"/>
        </w:tabs>
        <w:numPr>
          <w:ilvl w:val="1"/>
          <w:numId w:val="107"/>
        </w:numPr>
        <w:rPr>
          <w:rFonts w:ascii="Arial" w:cs="Arial" w:eastAsia="Arial" w:hAnsi="Arial"/>
          <w:sz w:val="16"/>
          <w:szCs w:val="16"/>
          <w:b w:val="1"/>
          <w:bCs w:val="1"/>
          <w:color w:val="16479F"/>
        </w:rPr>
      </w:pPr>
      <w:r>
        <w:rPr>
          <w:rFonts w:ascii="Arial" w:cs="Arial" w:eastAsia="Arial" w:hAnsi="Arial"/>
          <w:sz w:val="16"/>
          <w:szCs w:val="16"/>
          <w:color w:val="auto"/>
        </w:rPr>
        <w:t>4x annual base salary for other Executive Committee members</w:t>
      </w:r>
    </w:p>
    <w:p>
      <w:pPr>
        <w:spacing w:after="0" w:line="83" w:lineRule="exact"/>
        <w:rPr>
          <w:rFonts w:ascii="Arial" w:cs="Arial" w:eastAsia="Arial" w:hAnsi="Arial"/>
          <w:sz w:val="16"/>
          <w:szCs w:val="16"/>
          <w:b w:val="1"/>
          <w:bCs w:val="1"/>
          <w:color w:val="16479F"/>
        </w:rPr>
      </w:pPr>
    </w:p>
    <w:p>
      <w:pPr>
        <w:ind w:left="380" w:hanging="194"/>
        <w:spacing w:after="0" w:line="246" w:lineRule="auto"/>
        <w:tabs>
          <w:tab w:leader="none" w:pos="379" w:val="left"/>
        </w:tabs>
        <w:numPr>
          <w:ilvl w:val="0"/>
          <w:numId w:val="107"/>
        </w:numPr>
        <w:rPr>
          <w:rFonts w:ascii="Arial" w:cs="Arial" w:eastAsia="Arial" w:hAnsi="Arial"/>
          <w:sz w:val="16"/>
          <w:szCs w:val="16"/>
          <w:b w:val="1"/>
          <w:bCs w:val="1"/>
          <w:color w:val="16479F"/>
        </w:rPr>
      </w:pPr>
      <w:r>
        <w:rPr>
          <w:rFonts w:ascii="Arial" w:cs="Arial" w:eastAsia="Arial" w:hAnsi="Arial"/>
          <w:sz w:val="16"/>
          <w:szCs w:val="16"/>
          <w:color w:val="auto"/>
        </w:rPr>
        <w:t>In addition to the above, beginning with awards granted in 2022, require members of our Executive Committee, including our NEOs, to hold shares equivalent, in the aggregate, to 25% of the net shares they receive (after payment of taxes, exercise price and related costs) from equity awards until they no longer serve on the Executive Committee, reflecting MSCI’s deep commitment to an “owner-operator” mindset</w:t>
      </w:r>
    </w:p>
    <w:p>
      <w:pPr>
        <w:spacing w:after="0" w:line="86" w:lineRule="exact"/>
        <w:rPr>
          <w:rFonts w:ascii="Arial" w:cs="Arial" w:eastAsia="Arial" w:hAnsi="Arial"/>
          <w:sz w:val="16"/>
          <w:szCs w:val="16"/>
          <w:b w:val="1"/>
          <w:bCs w:val="1"/>
          <w:color w:val="16479F"/>
        </w:rPr>
      </w:pPr>
    </w:p>
    <w:p>
      <w:pPr>
        <w:ind w:left="380" w:right="260" w:hanging="194"/>
        <w:spacing w:after="0" w:line="250" w:lineRule="auto"/>
        <w:tabs>
          <w:tab w:leader="none" w:pos="379" w:val="left"/>
        </w:tabs>
        <w:numPr>
          <w:ilvl w:val="0"/>
          <w:numId w:val="107"/>
        </w:numPr>
        <w:rPr>
          <w:rFonts w:ascii="Arial" w:cs="Arial" w:eastAsia="Arial" w:hAnsi="Arial"/>
          <w:sz w:val="16"/>
          <w:szCs w:val="16"/>
          <w:b w:val="1"/>
          <w:bCs w:val="1"/>
          <w:color w:val="16479F"/>
        </w:rPr>
      </w:pPr>
      <w:r>
        <w:rPr>
          <w:rFonts w:ascii="Arial" w:cs="Arial" w:eastAsia="Arial" w:hAnsi="Arial"/>
          <w:sz w:val="16"/>
          <w:szCs w:val="16"/>
          <w:color w:val="auto"/>
        </w:rPr>
        <w:t>Maintain a clawback policy for incentive based-compensation (cash and equity) with provisions that cover a broad range of detrimental conduct and financial restatements</w:t>
      </w:r>
    </w:p>
    <w:p>
      <w:pPr>
        <w:spacing w:after="0" w:line="81" w:lineRule="exact"/>
        <w:rPr>
          <w:rFonts w:ascii="Arial" w:cs="Arial" w:eastAsia="Arial" w:hAnsi="Arial"/>
          <w:sz w:val="16"/>
          <w:szCs w:val="16"/>
          <w:b w:val="1"/>
          <w:bCs w:val="1"/>
          <w:color w:val="16479F"/>
        </w:rPr>
      </w:pPr>
    </w:p>
    <w:p>
      <w:pPr>
        <w:ind w:left="380" w:hanging="194"/>
        <w:spacing w:after="0"/>
        <w:tabs>
          <w:tab w:leader="none" w:pos="380" w:val="left"/>
        </w:tabs>
        <w:numPr>
          <w:ilvl w:val="0"/>
          <w:numId w:val="107"/>
        </w:numPr>
        <w:rPr>
          <w:rFonts w:ascii="Arial" w:cs="Arial" w:eastAsia="Arial" w:hAnsi="Arial"/>
          <w:sz w:val="16"/>
          <w:szCs w:val="16"/>
          <w:b w:val="1"/>
          <w:bCs w:val="1"/>
          <w:color w:val="16479F"/>
        </w:rPr>
      </w:pPr>
      <w:r>
        <w:rPr>
          <w:rFonts w:ascii="Arial" w:cs="Arial" w:eastAsia="Arial" w:hAnsi="Arial"/>
          <w:sz w:val="16"/>
          <w:szCs w:val="16"/>
          <w:color w:val="auto"/>
        </w:rPr>
        <w:t>Provide for double-trigger vesting upon a change in control</w:t>
      </w:r>
    </w:p>
    <w:p>
      <w:pPr>
        <w:spacing w:after="0" w:line="83" w:lineRule="exact"/>
        <w:rPr>
          <w:rFonts w:ascii="Arial" w:cs="Arial" w:eastAsia="Arial" w:hAnsi="Arial"/>
          <w:sz w:val="16"/>
          <w:szCs w:val="16"/>
          <w:b w:val="1"/>
          <w:bCs w:val="1"/>
          <w:color w:val="16479F"/>
        </w:rPr>
      </w:pPr>
    </w:p>
    <w:p>
      <w:pPr>
        <w:ind w:left="380" w:right="320" w:hanging="194"/>
        <w:spacing w:after="0" w:line="256" w:lineRule="auto"/>
        <w:tabs>
          <w:tab w:leader="none" w:pos="379" w:val="left"/>
        </w:tabs>
        <w:numPr>
          <w:ilvl w:val="0"/>
          <w:numId w:val="107"/>
        </w:numPr>
        <w:rPr>
          <w:rFonts w:ascii="Arial" w:cs="Arial" w:eastAsia="Arial" w:hAnsi="Arial"/>
          <w:sz w:val="16"/>
          <w:szCs w:val="16"/>
          <w:b w:val="1"/>
          <w:bCs w:val="1"/>
          <w:color w:val="16479F"/>
        </w:rPr>
      </w:pPr>
      <w:r>
        <w:rPr>
          <w:rFonts w:ascii="Arial" w:cs="Arial" w:eastAsia="Arial" w:hAnsi="Arial"/>
          <w:sz w:val="16"/>
          <w:szCs w:val="16"/>
          <w:color w:val="auto"/>
        </w:rPr>
        <w:t>Only pay dividend equivalents on PSUs if and when the underlying award vests</w:t>
      </w:r>
    </w:p>
    <w:p>
      <w:pPr>
        <w:spacing w:after="0" w:line="76" w:lineRule="exact"/>
        <w:rPr>
          <w:rFonts w:ascii="Arial" w:cs="Arial" w:eastAsia="Arial" w:hAnsi="Arial"/>
          <w:sz w:val="16"/>
          <w:szCs w:val="16"/>
          <w:b w:val="1"/>
          <w:bCs w:val="1"/>
          <w:color w:val="16479F"/>
        </w:rPr>
      </w:pPr>
    </w:p>
    <w:p>
      <w:pPr>
        <w:ind w:left="380" w:right="180" w:hanging="194"/>
        <w:spacing w:after="0" w:line="250" w:lineRule="auto"/>
        <w:tabs>
          <w:tab w:leader="none" w:pos="379" w:val="left"/>
        </w:tabs>
        <w:numPr>
          <w:ilvl w:val="0"/>
          <w:numId w:val="107"/>
        </w:numPr>
        <w:rPr>
          <w:rFonts w:ascii="Arial" w:cs="Arial" w:eastAsia="Arial" w:hAnsi="Arial"/>
          <w:sz w:val="16"/>
          <w:szCs w:val="16"/>
          <w:b w:val="1"/>
          <w:bCs w:val="1"/>
          <w:color w:val="16479F"/>
        </w:rPr>
      </w:pPr>
      <w:r>
        <w:rPr>
          <w:rFonts w:ascii="Arial" w:cs="Arial" w:eastAsia="Arial" w:hAnsi="Arial"/>
          <w:sz w:val="16"/>
          <w:szCs w:val="16"/>
          <w:color w:val="auto"/>
        </w:rPr>
        <w:t>Make CEO’s and President &amp; COO’s equity grant entirely in awards tied to performance metrics, to focus on long-term shareholder value creation</w:t>
      </w:r>
    </w:p>
    <w:p>
      <w:pPr>
        <w:spacing w:after="0" w:line="81" w:lineRule="exact"/>
        <w:rPr>
          <w:rFonts w:ascii="Arial" w:cs="Arial" w:eastAsia="Arial" w:hAnsi="Arial"/>
          <w:sz w:val="16"/>
          <w:szCs w:val="16"/>
          <w:b w:val="1"/>
          <w:bCs w:val="1"/>
          <w:color w:val="16479F"/>
        </w:rPr>
      </w:pPr>
    </w:p>
    <w:p>
      <w:pPr>
        <w:ind w:left="380" w:right="60" w:hanging="194"/>
        <w:spacing w:after="0" w:line="256" w:lineRule="auto"/>
        <w:tabs>
          <w:tab w:leader="none" w:pos="379" w:val="left"/>
        </w:tabs>
        <w:numPr>
          <w:ilvl w:val="0"/>
          <w:numId w:val="107"/>
        </w:numPr>
        <w:rPr>
          <w:rFonts w:ascii="Arial" w:cs="Arial" w:eastAsia="Arial" w:hAnsi="Arial"/>
          <w:sz w:val="16"/>
          <w:szCs w:val="16"/>
          <w:b w:val="1"/>
          <w:bCs w:val="1"/>
          <w:color w:val="16479F"/>
        </w:rPr>
      </w:pPr>
      <w:r>
        <w:rPr>
          <w:rFonts w:ascii="Arial" w:cs="Arial" w:eastAsia="Arial" w:hAnsi="Arial"/>
          <w:sz w:val="16"/>
          <w:szCs w:val="16"/>
          <w:color w:val="auto"/>
        </w:rPr>
        <w:t>Retain an independent compensation consultant at the direction of the Compensation Committee</w:t>
      </w:r>
    </w:p>
    <w:p>
      <w:pPr>
        <w:spacing w:after="0" w:line="62" w:lineRule="exact"/>
        <w:rPr>
          <w:rFonts w:ascii="Arial" w:cs="Arial" w:eastAsia="Arial" w:hAnsi="Arial"/>
          <w:sz w:val="16"/>
          <w:szCs w:val="16"/>
          <w:b w:val="1"/>
          <w:bCs w:val="1"/>
          <w:color w:val="16479F"/>
        </w:rPr>
      </w:pPr>
    </w:p>
    <w:p>
      <w:pPr>
        <w:ind w:left="380" w:right="440" w:hanging="194"/>
        <w:spacing w:after="0" w:line="256" w:lineRule="auto"/>
        <w:tabs>
          <w:tab w:leader="none" w:pos="379" w:val="left"/>
        </w:tabs>
        <w:numPr>
          <w:ilvl w:val="0"/>
          <w:numId w:val="107"/>
        </w:numPr>
        <w:rPr>
          <w:rFonts w:ascii="Arial" w:cs="Arial" w:eastAsia="Arial" w:hAnsi="Arial"/>
          <w:sz w:val="16"/>
          <w:szCs w:val="16"/>
          <w:b w:val="1"/>
          <w:bCs w:val="1"/>
          <w:color w:val="16479F"/>
        </w:rPr>
      </w:pPr>
      <w:r>
        <w:rPr>
          <w:rFonts w:ascii="Arial" w:cs="Arial" w:eastAsia="Arial" w:hAnsi="Arial"/>
          <w:sz w:val="16"/>
          <w:szCs w:val="16"/>
          <w:color w:val="auto"/>
        </w:rPr>
        <w:t>Incorporate DE&amp;I and climate-related considerations into our AIP program</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317"/>
        <w:spacing w:after="0"/>
        <w:rPr>
          <w:sz w:val="20"/>
          <w:szCs w:val="20"/>
          <w:color w:val="auto"/>
        </w:rPr>
      </w:pPr>
      <w:r>
        <w:rPr>
          <w:rFonts w:ascii="Arial" w:cs="Arial" w:eastAsia="Arial" w:hAnsi="Arial"/>
          <w:sz w:val="16"/>
          <w:szCs w:val="16"/>
          <w:b w:val="1"/>
          <w:bCs w:val="1"/>
          <w:color w:val="FFFFFF"/>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81915</wp:posOffset>
            </wp:positionV>
            <wp:extent cx="7133590" cy="432752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3590" cy="4327525"/>
                    </a:xfrm>
                    <a:prstGeom prst="rect">
                      <a:avLst/>
                    </a:prstGeom>
                    <a:noFill/>
                  </pic:spPr>
                </pic:pic>
              </a:graphicData>
            </a:graphic>
          </wp:anchor>
        </w:drawing>
      </w:r>
    </w:p>
    <w:p>
      <w:pPr>
        <w:spacing w:after="0" w:line="191" w:lineRule="exact"/>
        <w:rPr>
          <w:sz w:val="20"/>
          <w:szCs w:val="20"/>
          <w:color w:val="auto"/>
        </w:rPr>
      </w:pPr>
    </w:p>
    <w:p>
      <w:pPr>
        <w:ind w:left="177" w:hanging="177"/>
        <w:spacing w:after="0"/>
        <w:tabs>
          <w:tab w:leader="none" w:pos="177" w:val="left"/>
        </w:tabs>
        <w:numPr>
          <w:ilvl w:val="0"/>
          <w:numId w:val="108"/>
        </w:numPr>
        <w:rPr>
          <w:rFonts w:ascii="Arial" w:cs="Arial" w:eastAsia="Arial" w:hAnsi="Arial"/>
          <w:sz w:val="16"/>
          <w:szCs w:val="16"/>
          <w:b w:val="1"/>
          <w:bCs w:val="1"/>
          <w:color w:val="16479F"/>
        </w:rPr>
      </w:pPr>
      <w:r>
        <w:rPr>
          <w:rFonts w:ascii="Arial" w:cs="Arial" w:eastAsia="Arial" w:hAnsi="Arial"/>
          <w:sz w:val="16"/>
          <w:szCs w:val="16"/>
          <w:color w:val="auto"/>
        </w:rPr>
        <w:t>Do not provide gross-ups to cover excise taxes</w:t>
      </w:r>
    </w:p>
    <w:p>
      <w:pPr>
        <w:spacing w:after="0" w:line="83" w:lineRule="exact"/>
        <w:rPr>
          <w:rFonts w:ascii="Arial" w:cs="Arial" w:eastAsia="Arial" w:hAnsi="Arial"/>
          <w:sz w:val="16"/>
          <w:szCs w:val="16"/>
          <w:b w:val="1"/>
          <w:bCs w:val="1"/>
          <w:color w:val="16479F"/>
        </w:rPr>
      </w:pPr>
    </w:p>
    <w:p>
      <w:pPr>
        <w:ind w:left="197" w:hanging="197"/>
        <w:spacing w:after="0" w:line="247" w:lineRule="auto"/>
        <w:tabs>
          <w:tab w:leader="none" w:pos="196" w:val="left"/>
        </w:tabs>
        <w:numPr>
          <w:ilvl w:val="0"/>
          <w:numId w:val="108"/>
        </w:numPr>
        <w:rPr>
          <w:rFonts w:ascii="Arial" w:cs="Arial" w:eastAsia="Arial" w:hAnsi="Arial"/>
          <w:sz w:val="16"/>
          <w:szCs w:val="16"/>
          <w:b w:val="1"/>
          <w:bCs w:val="1"/>
          <w:color w:val="16479F"/>
        </w:rPr>
      </w:pPr>
      <w:r>
        <w:rPr>
          <w:rFonts w:ascii="Arial" w:cs="Arial" w:eastAsia="Arial" w:hAnsi="Arial"/>
          <w:sz w:val="16"/>
          <w:szCs w:val="16"/>
          <w:color w:val="auto"/>
        </w:rPr>
        <w:t>Do not allow any directors or employees, including all NEOs, to hedge or pledge the Company’s common stock, engage in short sales, purchases or sales of options, puts or calls, as well as derivatives such as swaps, forwards or futures or trade on a short-term basis in the Company’s common stock</w:t>
      </w:r>
    </w:p>
    <w:p>
      <w:pPr>
        <w:spacing w:after="0" w:line="84" w:lineRule="exact"/>
        <w:rPr>
          <w:rFonts w:ascii="Arial" w:cs="Arial" w:eastAsia="Arial" w:hAnsi="Arial"/>
          <w:sz w:val="16"/>
          <w:szCs w:val="16"/>
          <w:b w:val="1"/>
          <w:bCs w:val="1"/>
          <w:color w:val="16479F"/>
        </w:rPr>
      </w:pPr>
    </w:p>
    <w:p>
      <w:pPr>
        <w:ind w:left="197" w:right="220" w:hanging="197"/>
        <w:spacing w:after="0" w:line="256" w:lineRule="auto"/>
        <w:tabs>
          <w:tab w:leader="none" w:pos="196" w:val="left"/>
        </w:tabs>
        <w:numPr>
          <w:ilvl w:val="0"/>
          <w:numId w:val="108"/>
        </w:numPr>
        <w:rPr>
          <w:rFonts w:ascii="Arial" w:cs="Arial" w:eastAsia="Arial" w:hAnsi="Arial"/>
          <w:sz w:val="16"/>
          <w:szCs w:val="16"/>
          <w:b w:val="1"/>
          <w:bCs w:val="1"/>
          <w:color w:val="16479F"/>
        </w:rPr>
      </w:pPr>
      <w:r>
        <w:rPr>
          <w:rFonts w:ascii="Arial" w:cs="Arial" w:eastAsia="Arial" w:hAnsi="Arial"/>
          <w:sz w:val="16"/>
          <w:szCs w:val="16"/>
          <w:color w:val="auto"/>
        </w:rPr>
        <w:t>Do not allow repricing of options or stock appreciation rights awards without shareholder approval</w:t>
      </w:r>
    </w:p>
    <w:p>
      <w:pPr>
        <w:spacing w:after="0" w:line="76" w:lineRule="exact"/>
        <w:rPr>
          <w:rFonts w:ascii="Arial" w:cs="Arial" w:eastAsia="Arial" w:hAnsi="Arial"/>
          <w:sz w:val="16"/>
          <w:szCs w:val="16"/>
          <w:b w:val="1"/>
          <w:bCs w:val="1"/>
          <w:color w:val="16479F"/>
        </w:rPr>
      </w:pPr>
    </w:p>
    <w:p>
      <w:pPr>
        <w:jc w:val="both"/>
        <w:ind w:left="197" w:right="140" w:hanging="197"/>
        <w:spacing w:after="0" w:line="250" w:lineRule="auto"/>
        <w:tabs>
          <w:tab w:leader="none" w:pos="196" w:val="left"/>
        </w:tabs>
        <w:numPr>
          <w:ilvl w:val="0"/>
          <w:numId w:val="108"/>
        </w:numPr>
        <w:rPr>
          <w:rFonts w:ascii="Arial" w:cs="Arial" w:eastAsia="Arial" w:hAnsi="Arial"/>
          <w:sz w:val="16"/>
          <w:szCs w:val="16"/>
          <w:b w:val="1"/>
          <w:bCs w:val="1"/>
          <w:color w:val="16479F"/>
        </w:rPr>
      </w:pPr>
      <w:r>
        <w:rPr>
          <w:rFonts w:ascii="Arial" w:cs="Arial" w:eastAsia="Arial" w:hAnsi="Arial"/>
          <w:sz w:val="16"/>
          <w:szCs w:val="16"/>
          <w:color w:val="auto"/>
        </w:rPr>
        <w:t>Do not provide for “liberal” share recycling when shares are tendered or withheld to satisfy tax withholding obligations or as payment of an option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-3694430</wp:posOffset>
            </wp:positionH>
            <wp:positionV relativeFrom="paragraph">
              <wp:posOffset>2853690</wp:posOffset>
            </wp:positionV>
            <wp:extent cx="7154545" cy="209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2">
            <w:col w:w="5420" w:space="403"/>
            <w:col w:w="5217"/>
          </w:cols>
          <w:pgMar w:left="320" w:top="121" w:right="539" w:bottom="1440" w:gutter="0" w:footer="0" w:header="0"/>
          <w:type w:val="continuous"/>
        </w:sectPr>
      </w:pPr>
    </w:p>
    <w:bookmarkStart w:id="65" w:name="page66"/>
    <w:bookmarkEnd w:id="65"/>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00" w:type="dxa"/>
            <w:vAlign w:val="bottom"/>
            <w:tcBorders>
              <w:right w:val="single" w:sz="8" w:color="16479F"/>
            </w:tcBorders>
          </w:tcPr>
          <w:p>
            <w:pPr>
              <w:ind w:left="8700"/>
              <w:spacing w:after="0"/>
              <w:rPr>
                <w:sz w:val="20"/>
                <w:szCs w:val="20"/>
                <w:color w:val="auto"/>
              </w:rPr>
            </w:pPr>
            <w:r>
              <w:rPr>
                <w:rFonts w:ascii="Arial" w:cs="Arial" w:eastAsia="Arial" w:hAnsi="Arial"/>
                <w:sz w:val="14"/>
                <w:szCs w:val="14"/>
                <w:b w:val="1"/>
                <w:bCs w:val="1"/>
                <w:color w:val="16479F"/>
              </w:rPr>
              <w:t>2022 PROXY STATEMENT</w:t>
            </w:r>
          </w:p>
        </w:tc>
        <w:tc>
          <w:tcPr>
            <w:tcW w:w="640" w:type="dxa"/>
            <w:vAlign w:val="bottom"/>
          </w:tcPr>
          <w:p>
            <w:pPr>
              <w:jc w:val="right"/>
              <w:ind w:right="9"/>
              <w:spacing w:after="0"/>
              <w:rPr>
                <w:sz w:val="20"/>
                <w:szCs w:val="20"/>
                <w:color w:val="auto"/>
              </w:rPr>
            </w:pPr>
            <w:r>
              <w:rPr>
                <w:rFonts w:ascii="Arial" w:cs="Arial" w:eastAsia="Arial" w:hAnsi="Arial"/>
                <w:sz w:val="14"/>
                <w:szCs w:val="14"/>
                <w:b w:val="1"/>
                <w:bCs w:val="1"/>
                <w:color w:val="16479F"/>
              </w:rPr>
              <w:t>65</w:t>
            </w:r>
          </w:p>
        </w:tc>
      </w:tr>
      <w:tr>
        <w:trPr>
          <w:trHeight w:val="65"/>
        </w:trPr>
        <w:tc>
          <w:tcPr>
            <w:tcW w:w="10600" w:type="dxa"/>
            <w:vAlign w:val="bottom"/>
            <w:tcBorders>
              <w:bottom w:val="single" w:sz="8" w:color="16479F"/>
              <w:right w:val="single" w:sz="8" w:color="16479F"/>
            </w:tcBorders>
          </w:tcPr>
          <w:p>
            <w:pPr>
              <w:spacing w:after="0"/>
              <w:rPr>
                <w:sz w:val="5"/>
                <w:szCs w:val="5"/>
                <w:color w:val="auto"/>
              </w:rPr>
            </w:pPr>
          </w:p>
        </w:tc>
        <w:tc>
          <w:tcPr>
            <w:tcW w:w="640" w:type="dxa"/>
            <w:vAlign w:val="bottom"/>
            <w:tcBorders>
              <w:bottom w:val="single" w:sz="8" w:color="16479F"/>
            </w:tcBorders>
          </w:tcPr>
          <w:p>
            <w:pPr>
              <w:spacing w:after="0"/>
              <w:rPr>
                <w:sz w:val="5"/>
                <w:szCs w:val="5"/>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Executive Compensation Process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executive compensation program described in this section is the result of a year-long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133590" cy="18281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3590" cy="182816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38" w:lineRule="exact"/>
        <w:rPr>
          <w:sz w:val="20"/>
          <w:szCs w:val="20"/>
          <w:color w:val="auto"/>
        </w:rPr>
      </w:pPr>
    </w:p>
    <w:p>
      <w:pPr>
        <w:ind w:left="300" w:right="20" w:firstLine="74"/>
        <w:spacing w:after="0" w:line="317" w:lineRule="auto"/>
        <w:rPr>
          <w:sz w:val="20"/>
          <w:szCs w:val="20"/>
          <w:color w:val="auto"/>
        </w:rPr>
      </w:pPr>
      <w:r>
        <w:rPr>
          <w:rFonts w:ascii="Arial" w:cs="Arial" w:eastAsia="Arial" w:hAnsi="Arial"/>
          <w:sz w:val="15"/>
          <w:szCs w:val="15"/>
          <w:b w:val="1"/>
          <w:bCs w:val="1"/>
          <w:color w:val="auto"/>
        </w:rPr>
        <w:t>LATE JANUARY/ EARLY FEBRUARY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1499235</wp:posOffset>
            </wp:positionV>
            <wp:extent cx="1292225" cy="4673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92225" cy="467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183515</wp:posOffset>
            </wp:positionV>
            <wp:extent cx="1292225" cy="6546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92225" cy="65468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APRIL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370840</wp:posOffset>
            </wp:positionV>
            <wp:extent cx="1292225" cy="1181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92225" cy="118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JULY TO OCTOBER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905510</wp:posOffset>
            </wp:positionV>
            <wp:extent cx="1292225" cy="6546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92225" cy="6546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190" w:right="260" w:hanging="190"/>
        <w:spacing w:after="0" w:line="247" w:lineRule="auto"/>
        <w:tabs>
          <w:tab w:leader="none" w:pos="189" w:val="left"/>
        </w:tabs>
        <w:numPr>
          <w:ilvl w:val="0"/>
          <w:numId w:val="109"/>
        </w:numPr>
        <w:rPr>
          <w:rFonts w:ascii="Arial" w:cs="Arial" w:eastAsia="Arial" w:hAnsi="Arial"/>
          <w:sz w:val="16"/>
          <w:szCs w:val="16"/>
          <w:b w:val="1"/>
          <w:bCs w:val="1"/>
          <w:color w:val="16479F"/>
        </w:rPr>
      </w:pPr>
      <w:r>
        <w:rPr>
          <w:rFonts w:ascii="Arial" w:cs="Arial" w:eastAsia="Arial" w:hAnsi="Arial"/>
          <w:sz w:val="16"/>
          <w:szCs w:val="16"/>
          <w:color w:val="auto"/>
        </w:rPr>
        <w:t>Review and determine the AIP awards for prior-year performance for NEOs based on an assessment of the Company’s achievement of the financial metrics established for the prior year, as well as the executive’s achievement of his or her individual KPIs and DE&amp;I Goals for such prior year. The CEO makes recommendations to the Compensation Committee on compensation for NEOs (other than himself), and the Compensation Committee takes these recommendations into consideration in reaching its final compensation decisions.</w:t>
      </w:r>
    </w:p>
    <w:p>
      <w:pPr>
        <w:spacing w:after="0" w:line="84" w:lineRule="exact"/>
        <w:rPr>
          <w:rFonts w:ascii="Arial" w:cs="Arial" w:eastAsia="Arial" w:hAnsi="Arial"/>
          <w:sz w:val="16"/>
          <w:szCs w:val="16"/>
          <w:b w:val="1"/>
          <w:bCs w:val="1"/>
          <w:color w:val="16479F"/>
        </w:rPr>
      </w:pPr>
    </w:p>
    <w:p>
      <w:pPr>
        <w:ind w:left="190" w:right="300" w:hanging="190"/>
        <w:spacing w:after="0" w:line="256" w:lineRule="auto"/>
        <w:tabs>
          <w:tab w:leader="none" w:pos="189" w:val="left"/>
        </w:tabs>
        <w:numPr>
          <w:ilvl w:val="0"/>
          <w:numId w:val="109"/>
        </w:numPr>
        <w:rPr>
          <w:rFonts w:ascii="Arial" w:cs="Arial" w:eastAsia="Arial" w:hAnsi="Arial"/>
          <w:sz w:val="16"/>
          <w:szCs w:val="16"/>
          <w:b w:val="1"/>
          <w:bCs w:val="1"/>
          <w:color w:val="16479F"/>
        </w:rPr>
      </w:pPr>
      <w:r>
        <w:rPr>
          <w:rFonts w:ascii="Arial" w:cs="Arial" w:eastAsia="Arial" w:hAnsi="Arial"/>
          <w:sz w:val="16"/>
          <w:szCs w:val="16"/>
          <w:color w:val="auto"/>
        </w:rPr>
        <w:t>Certify achievement of TSR metrics and any other performance metrics applicable to any equity awards granted in prior years.</w:t>
      </w:r>
    </w:p>
    <w:p>
      <w:pPr>
        <w:spacing w:after="0" w:line="76" w:lineRule="exact"/>
        <w:rPr>
          <w:rFonts w:ascii="Arial" w:cs="Arial" w:eastAsia="Arial" w:hAnsi="Arial"/>
          <w:sz w:val="16"/>
          <w:szCs w:val="16"/>
          <w:b w:val="1"/>
          <w:bCs w:val="1"/>
          <w:color w:val="16479F"/>
        </w:rPr>
      </w:pPr>
    </w:p>
    <w:p>
      <w:pPr>
        <w:ind w:left="190" w:right="380" w:hanging="190"/>
        <w:spacing w:after="0" w:line="256" w:lineRule="auto"/>
        <w:tabs>
          <w:tab w:leader="none" w:pos="189" w:val="left"/>
        </w:tabs>
        <w:numPr>
          <w:ilvl w:val="0"/>
          <w:numId w:val="109"/>
        </w:numPr>
        <w:rPr>
          <w:rFonts w:ascii="Arial" w:cs="Arial" w:eastAsia="Arial" w:hAnsi="Arial"/>
          <w:sz w:val="16"/>
          <w:szCs w:val="16"/>
          <w:b w:val="1"/>
          <w:bCs w:val="1"/>
          <w:color w:val="16479F"/>
        </w:rPr>
      </w:pPr>
      <w:r>
        <w:rPr>
          <w:rFonts w:ascii="Arial" w:cs="Arial" w:eastAsia="Arial" w:hAnsi="Arial"/>
          <w:sz w:val="16"/>
          <w:szCs w:val="16"/>
          <w:color w:val="auto"/>
        </w:rPr>
        <w:t>Establish the AIP structure for the current year, including the applicable AIP financial metrics and target AIP awards for each NEO.</w:t>
      </w:r>
    </w:p>
    <w:p>
      <w:pPr>
        <w:spacing w:after="0" w:line="62" w:lineRule="exact"/>
        <w:rPr>
          <w:rFonts w:ascii="Arial" w:cs="Arial" w:eastAsia="Arial" w:hAnsi="Arial"/>
          <w:sz w:val="16"/>
          <w:szCs w:val="16"/>
          <w:b w:val="1"/>
          <w:bCs w:val="1"/>
          <w:color w:val="16479F"/>
        </w:rPr>
      </w:pPr>
    </w:p>
    <w:p>
      <w:pPr>
        <w:jc w:val="both"/>
        <w:ind w:left="190" w:right="220" w:hanging="190"/>
        <w:spacing w:after="0" w:line="250" w:lineRule="auto"/>
        <w:tabs>
          <w:tab w:leader="none" w:pos="189" w:val="left"/>
        </w:tabs>
        <w:numPr>
          <w:ilvl w:val="0"/>
          <w:numId w:val="109"/>
        </w:numPr>
        <w:rPr>
          <w:rFonts w:ascii="Arial" w:cs="Arial" w:eastAsia="Arial" w:hAnsi="Arial"/>
          <w:sz w:val="16"/>
          <w:szCs w:val="16"/>
          <w:b w:val="1"/>
          <w:bCs w:val="1"/>
          <w:color w:val="16479F"/>
        </w:rPr>
      </w:pPr>
      <w:r>
        <w:rPr>
          <w:rFonts w:ascii="Arial" w:cs="Arial" w:eastAsia="Arial" w:hAnsi="Arial"/>
          <w:sz w:val="16"/>
          <w:szCs w:val="16"/>
          <w:color w:val="auto"/>
        </w:rPr>
        <w:t>Establish the structure and performance metrics applicable to equity awards to be granted under the LTIP for the current year, and grant equity awards based on a number of factors, including the Company’s recent performance, peer analysis and the executive’s individual performance and potential future contributions.</w:t>
      </w:r>
    </w:p>
    <w:p>
      <w:pPr>
        <w:spacing w:after="0" w:line="200" w:lineRule="exact"/>
        <w:rPr>
          <w:rFonts w:ascii="Arial" w:cs="Arial" w:eastAsia="Arial" w:hAnsi="Arial"/>
          <w:sz w:val="16"/>
          <w:szCs w:val="16"/>
          <w:b w:val="1"/>
          <w:bCs w:val="1"/>
          <w:color w:val="16479F"/>
        </w:rPr>
      </w:pPr>
    </w:p>
    <w:p>
      <w:pPr>
        <w:spacing w:after="0" w:line="363" w:lineRule="exact"/>
        <w:rPr>
          <w:rFonts w:ascii="Arial" w:cs="Arial" w:eastAsia="Arial" w:hAnsi="Arial"/>
          <w:sz w:val="16"/>
          <w:szCs w:val="16"/>
          <w:b w:val="1"/>
          <w:bCs w:val="1"/>
          <w:color w:val="16479F"/>
        </w:rPr>
      </w:pPr>
    </w:p>
    <w:p>
      <w:pPr>
        <w:ind w:left="190" w:hanging="190"/>
        <w:spacing w:after="0"/>
        <w:tabs>
          <w:tab w:leader="none" w:pos="190" w:val="left"/>
        </w:tabs>
        <w:numPr>
          <w:ilvl w:val="0"/>
          <w:numId w:val="109"/>
        </w:numPr>
        <w:rPr>
          <w:rFonts w:ascii="Arial" w:cs="Arial" w:eastAsia="Arial" w:hAnsi="Arial"/>
          <w:sz w:val="16"/>
          <w:szCs w:val="16"/>
          <w:b w:val="1"/>
          <w:bCs w:val="1"/>
          <w:color w:val="16479F"/>
        </w:rPr>
      </w:pPr>
      <w:r>
        <w:rPr>
          <w:rFonts w:ascii="Arial" w:cs="Arial" w:eastAsia="Arial" w:hAnsi="Arial"/>
          <w:sz w:val="16"/>
          <w:szCs w:val="16"/>
          <w:color w:val="auto"/>
        </w:rPr>
        <w:t>Consider risks arising from the Company’s incentive compensation plans.</w:t>
      </w:r>
    </w:p>
    <w:p>
      <w:pPr>
        <w:spacing w:after="0" w:line="200" w:lineRule="exact"/>
        <w:rPr>
          <w:rFonts w:ascii="Arial" w:cs="Arial" w:eastAsia="Arial" w:hAnsi="Arial"/>
          <w:sz w:val="16"/>
          <w:szCs w:val="16"/>
          <w:b w:val="1"/>
          <w:bCs w:val="1"/>
          <w:color w:val="16479F"/>
        </w:rPr>
      </w:pPr>
    </w:p>
    <w:p>
      <w:pPr>
        <w:spacing w:after="0" w:line="365" w:lineRule="exact"/>
        <w:rPr>
          <w:rFonts w:ascii="Arial" w:cs="Arial" w:eastAsia="Arial" w:hAnsi="Arial"/>
          <w:sz w:val="16"/>
          <w:szCs w:val="16"/>
          <w:b w:val="1"/>
          <w:bCs w:val="1"/>
          <w:color w:val="16479F"/>
        </w:rPr>
      </w:pPr>
    </w:p>
    <w:p>
      <w:pPr>
        <w:ind w:left="190" w:hanging="190"/>
        <w:spacing w:after="0"/>
        <w:tabs>
          <w:tab w:leader="none" w:pos="190" w:val="left"/>
        </w:tabs>
        <w:numPr>
          <w:ilvl w:val="0"/>
          <w:numId w:val="109"/>
        </w:numPr>
        <w:rPr>
          <w:rFonts w:ascii="Arial" w:cs="Arial" w:eastAsia="Arial" w:hAnsi="Arial"/>
          <w:sz w:val="16"/>
          <w:szCs w:val="16"/>
          <w:b w:val="1"/>
          <w:bCs w:val="1"/>
          <w:color w:val="16479F"/>
        </w:rPr>
      </w:pPr>
      <w:r>
        <w:rPr>
          <w:rFonts w:ascii="Arial" w:cs="Arial" w:eastAsia="Arial" w:hAnsi="Arial"/>
          <w:sz w:val="16"/>
          <w:szCs w:val="16"/>
          <w:color w:val="auto"/>
        </w:rPr>
        <w:t>Review Say-on-Pay voting recommendations from proxy advisors and our shareholder vote at our annual meeting.</w:t>
      </w:r>
    </w:p>
    <w:p>
      <w:pPr>
        <w:spacing w:after="0" w:line="97" w:lineRule="exact"/>
        <w:rPr>
          <w:rFonts w:ascii="Arial" w:cs="Arial" w:eastAsia="Arial" w:hAnsi="Arial"/>
          <w:sz w:val="16"/>
          <w:szCs w:val="16"/>
          <w:b w:val="1"/>
          <w:bCs w:val="1"/>
          <w:color w:val="16479F"/>
        </w:rPr>
      </w:pPr>
    </w:p>
    <w:p>
      <w:pPr>
        <w:ind w:left="230" w:hanging="230"/>
        <w:spacing w:after="0"/>
        <w:tabs>
          <w:tab w:leader="none" w:pos="230" w:val="left"/>
        </w:tabs>
        <w:numPr>
          <w:ilvl w:val="0"/>
          <w:numId w:val="109"/>
        </w:numPr>
        <w:rPr>
          <w:rFonts w:ascii="Arial" w:cs="Arial" w:eastAsia="Arial" w:hAnsi="Arial"/>
          <w:sz w:val="16"/>
          <w:szCs w:val="16"/>
          <w:b w:val="1"/>
          <w:bCs w:val="1"/>
          <w:color w:val="16479F"/>
        </w:rPr>
      </w:pPr>
      <w:r>
        <w:rPr>
          <w:rFonts w:ascii="Arial" w:cs="Arial" w:eastAsia="Arial" w:hAnsi="Arial"/>
          <w:sz w:val="16"/>
          <w:szCs w:val="16"/>
          <w:color w:val="auto"/>
        </w:rPr>
        <w:t>Review and approve KPIs for current year’s AIP.</w:t>
      </w:r>
    </w:p>
    <w:p>
      <w:pPr>
        <w:spacing w:after="0" w:line="200" w:lineRule="exact"/>
        <w:rPr>
          <w:rFonts w:ascii="Arial" w:cs="Arial" w:eastAsia="Arial" w:hAnsi="Arial"/>
          <w:sz w:val="16"/>
          <w:szCs w:val="16"/>
          <w:b w:val="1"/>
          <w:bCs w:val="1"/>
          <w:color w:val="16479F"/>
        </w:rPr>
      </w:pPr>
    </w:p>
    <w:p>
      <w:pPr>
        <w:spacing w:after="0" w:line="379" w:lineRule="exact"/>
        <w:rPr>
          <w:rFonts w:ascii="Arial" w:cs="Arial" w:eastAsia="Arial" w:hAnsi="Arial"/>
          <w:sz w:val="16"/>
          <w:szCs w:val="16"/>
          <w:b w:val="1"/>
          <w:bCs w:val="1"/>
          <w:color w:val="16479F"/>
        </w:rPr>
      </w:pPr>
    </w:p>
    <w:p>
      <w:pPr>
        <w:ind w:left="190" w:hanging="190"/>
        <w:spacing w:after="0"/>
        <w:tabs>
          <w:tab w:leader="none" w:pos="190" w:val="left"/>
        </w:tabs>
        <w:numPr>
          <w:ilvl w:val="0"/>
          <w:numId w:val="109"/>
        </w:numPr>
        <w:rPr>
          <w:rFonts w:ascii="Arial" w:cs="Arial" w:eastAsia="Arial" w:hAnsi="Arial"/>
          <w:sz w:val="16"/>
          <w:szCs w:val="16"/>
          <w:b w:val="1"/>
          <w:bCs w:val="1"/>
          <w:color w:val="16479F"/>
        </w:rPr>
      </w:pPr>
      <w:r>
        <w:rPr>
          <w:rFonts w:ascii="Arial" w:cs="Arial" w:eastAsia="Arial" w:hAnsi="Arial"/>
          <w:sz w:val="16"/>
          <w:szCs w:val="16"/>
          <w:color w:val="auto"/>
        </w:rPr>
        <w:t>Review our status and progress on our performance culture.</w:t>
      </w:r>
    </w:p>
    <w:p>
      <w:pPr>
        <w:spacing w:after="0" w:line="97" w:lineRule="exact"/>
        <w:rPr>
          <w:rFonts w:ascii="Arial" w:cs="Arial" w:eastAsia="Arial" w:hAnsi="Arial"/>
          <w:sz w:val="16"/>
          <w:szCs w:val="16"/>
          <w:b w:val="1"/>
          <w:bCs w:val="1"/>
          <w:color w:val="16479F"/>
        </w:rPr>
      </w:pPr>
    </w:p>
    <w:p>
      <w:pPr>
        <w:ind w:left="190" w:hanging="190"/>
        <w:spacing w:after="0"/>
        <w:tabs>
          <w:tab w:leader="none" w:pos="190" w:val="left"/>
        </w:tabs>
        <w:numPr>
          <w:ilvl w:val="0"/>
          <w:numId w:val="109"/>
        </w:numPr>
        <w:rPr>
          <w:rFonts w:ascii="Arial" w:cs="Arial" w:eastAsia="Arial" w:hAnsi="Arial"/>
          <w:sz w:val="16"/>
          <w:szCs w:val="16"/>
          <w:b w:val="1"/>
          <w:bCs w:val="1"/>
          <w:color w:val="16479F"/>
        </w:rPr>
      </w:pPr>
      <w:r>
        <w:rPr>
          <w:rFonts w:ascii="Arial" w:cs="Arial" w:eastAsia="Arial" w:hAnsi="Arial"/>
          <w:sz w:val="16"/>
          <w:szCs w:val="16"/>
          <w:color w:val="auto"/>
        </w:rPr>
        <w:t>Review senior management fit for role and potential successors.</w:t>
      </w:r>
    </w:p>
    <w:p>
      <w:pPr>
        <w:spacing w:after="0" w:line="97" w:lineRule="exact"/>
        <w:rPr>
          <w:rFonts w:ascii="Arial" w:cs="Arial" w:eastAsia="Arial" w:hAnsi="Arial"/>
          <w:sz w:val="16"/>
          <w:szCs w:val="16"/>
          <w:b w:val="1"/>
          <w:bCs w:val="1"/>
          <w:color w:val="16479F"/>
        </w:rPr>
      </w:pPr>
    </w:p>
    <w:p>
      <w:pPr>
        <w:ind w:left="190" w:hanging="190"/>
        <w:spacing w:after="0"/>
        <w:tabs>
          <w:tab w:leader="none" w:pos="190" w:val="left"/>
        </w:tabs>
        <w:numPr>
          <w:ilvl w:val="0"/>
          <w:numId w:val="109"/>
        </w:numPr>
        <w:rPr>
          <w:rFonts w:ascii="Arial" w:cs="Arial" w:eastAsia="Arial" w:hAnsi="Arial"/>
          <w:sz w:val="16"/>
          <w:szCs w:val="16"/>
          <w:b w:val="1"/>
          <w:bCs w:val="1"/>
          <w:color w:val="16479F"/>
        </w:rPr>
      </w:pPr>
      <w:r>
        <w:rPr>
          <w:rFonts w:ascii="Arial" w:cs="Arial" w:eastAsia="Arial" w:hAnsi="Arial"/>
          <w:sz w:val="16"/>
          <w:szCs w:val="16"/>
          <w:color w:val="auto"/>
        </w:rPr>
        <w:t>Review peer group.</w:t>
      </w:r>
    </w:p>
    <w:p>
      <w:pPr>
        <w:spacing w:after="0" w:line="83" w:lineRule="exact"/>
        <w:rPr>
          <w:rFonts w:ascii="Arial" w:cs="Arial" w:eastAsia="Arial" w:hAnsi="Arial"/>
          <w:sz w:val="16"/>
          <w:szCs w:val="16"/>
          <w:b w:val="1"/>
          <w:bCs w:val="1"/>
          <w:color w:val="16479F"/>
        </w:rPr>
      </w:pPr>
    </w:p>
    <w:p>
      <w:pPr>
        <w:ind w:left="190" w:hanging="190"/>
        <w:spacing w:after="0"/>
        <w:tabs>
          <w:tab w:leader="none" w:pos="190" w:val="left"/>
        </w:tabs>
        <w:numPr>
          <w:ilvl w:val="0"/>
          <w:numId w:val="109"/>
        </w:numPr>
        <w:rPr>
          <w:rFonts w:ascii="Arial" w:cs="Arial" w:eastAsia="Arial" w:hAnsi="Arial"/>
          <w:sz w:val="16"/>
          <w:szCs w:val="16"/>
          <w:b w:val="1"/>
          <w:bCs w:val="1"/>
          <w:color w:val="16479F"/>
        </w:rPr>
      </w:pPr>
      <w:r>
        <w:rPr>
          <w:rFonts w:ascii="Arial" w:cs="Arial" w:eastAsia="Arial" w:hAnsi="Arial"/>
          <w:sz w:val="16"/>
          <w:szCs w:val="16"/>
          <w:color w:val="auto"/>
        </w:rPr>
        <w:t>Independent compensation consultant reports on compensation practices and trends in the industry.</w:t>
      </w:r>
    </w:p>
    <w:p>
      <w:pPr>
        <w:spacing w:after="0" w:line="97" w:lineRule="exact"/>
        <w:rPr>
          <w:rFonts w:ascii="Arial" w:cs="Arial" w:eastAsia="Arial" w:hAnsi="Arial"/>
          <w:sz w:val="16"/>
          <w:szCs w:val="16"/>
          <w:b w:val="1"/>
          <w:bCs w:val="1"/>
          <w:color w:val="16479F"/>
        </w:rPr>
      </w:pPr>
    </w:p>
    <w:p>
      <w:pPr>
        <w:ind w:left="190" w:hanging="190"/>
        <w:spacing w:after="0"/>
        <w:tabs>
          <w:tab w:leader="none" w:pos="190" w:val="left"/>
        </w:tabs>
        <w:numPr>
          <w:ilvl w:val="0"/>
          <w:numId w:val="109"/>
        </w:numPr>
        <w:rPr>
          <w:rFonts w:ascii="Arial" w:cs="Arial" w:eastAsia="Arial" w:hAnsi="Arial"/>
          <w:sz w:val="16"/>
          <w:szCs w:val="16"/>
          <w:b w:val="1"/>
          <w:bCs w:val="1"/>
          <w:color w:val="16479F"/>
        </w:rPr>
      </w:pPr>
      <w:r>
        <w:rPr>
          <w:rFonts w:ascii="Arial" w:cs="Arial" w:eastAsia="Arial" w:hAnsi="Arial"/>
          <w:sz w:val="16"/>
          <w:szCs w:val="16"/>
          <w:color w:val="auto"/>
        </w:rPr>
        <w:t>Review design of next year’s executive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-3977640</wp:posOffset>
            </wp:positionV>
            <wp:extent cx="5841365" cy="429387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841365" cy="42938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80" w:space="490"/>
            <w:col w:w="8970"/>
          </w:cols>
          <w:pgMar w:left="320" w:top="121" w:right="339" w:bottom="1440" w:gutter="0" w:footer="0" w:header="0"/>
          <w:type w:val="continuous"/>
        </w:sectPr>
      </w:pPr>
    </w:p>
    <w:p>
      <w:pPr>
        <w:spacing w:after="0" w:line="279" w:lineRule="exact"/>
        <w:rPr>
          <w:sz w:val="20"/>
          <w:szCs w:val="20"/>
          <w:color w:val="auto"/>
        </w:rPr>
      </w:pPr>
    </w:p>
    <w:p>
      <w:pPr>
        <w:ind w:left="560"/>
        <w:spacing w:after="0"/>
        <w:rPr>
          <w:sz w:val="20"/>
          <w:szCs w:val="20"/>
          <w:color w:val="auto"/>
        </w:rPr>
      </w:pPr>
      <w:r>
        <w:rPr>
          <w:rFonts w:ascii="Arial" w:cs="Arial" w:eastAsia="Arial" w:hAnsi="Arial"/>
          <w:sz w:val="15"/>
          <w:szCs w:val="15"/>
          <w:b w:val="1"/>
          <w:bCs w:val="1"/>
          <w:color w:val="auto"/>
        </w:rPr>
        <w:t>NOVEMBER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378460</wp:posOffset>
            </wp:positionV>
            <wp:extent cx="1292225" cy="5867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92225" cy="586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DECEMBER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302895</wp:posOffset>
            </wp:positionV>
            <wp:extent cx="1292225" cy="8331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92225" cy="833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ONGOING</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190" w:hanging="190"/>
        <w:spacing w:after="0"/>
        <w:tabs>
          <w:tab w:leader="none" w:pos="190" w:val="left"/>
        </w:tabs>
        <w:numPr>
          <w:ilvl w:val="0"/>
          <w:numId w:val="110"/>
        </w:numPr>
        <w:rPr>
          <w:rFonts w:ascii="Arial" w:cs="Arial" w:eastAsia="Arial" w:hAnsi="Arial"/>
          <w:sz w:val="16"/>
          <w:szCs w:val="16"/>
          <w:b w:val="1"/>
          <w:bCs w:val="1"/>
          <w:color w:val="16479F"/>
        </w:rPr>
      </w:pPr>
      <w:r>
        <w:rPr>
          <w:rFonts w:ascii="Arial" w:cs="Arial" w:eastAsia="Arial" w:hAnsi="Arial"/>
          <w:sz w:val="16"/>
          <w:szCs w:val="16"/>
          <w:color w:val="auto"/>
        </w:rPr>
        <w:t>NEOs summarize preliminary results against their current-year KPIs and prepare preliminary KPIs for the upcoming year.</w:t>
      </w:r>
    </w:p>
    <w:p>
      <w:pPr>
        <w:spacing w:after="0" w:line="97" w:lineRule="exact"/>
        <w:rPr>
          <w:rFonts w:ascii="Arial" w:cs="Arial" w:eastAsia="Arial" w:hAnsi="Arial"/>
          <w:sz w:val="16"/>
          <w:szCs w:val="16"/>
          <w:b w:val="1"/>
          <w:bCs w:val="1"/>
          <w:color w:val="16479F"/>
        </w:rPr>
      </w:pPr>
    </w:p>
    <w:p>
      <w:pPr>
        <w:ind w:left="190" w:hanging="190"/>
        <w:spacing w:after="0"/>
        <w:tabs>
          <w:tab w:leader="none" w:pos="190" w:val="left"/>
        </w:tabs>
        <w:numPr>
          <w:ilvl w:val="0"/>
          <w:numId w:val="110"/>
        </w:numPr>
        <w:rPr>
          <w:rFonts w:ascii="Arial" w:cs="Arial" w:eastAsia="Arial" w:hAnsi="Arial"/>
          <w:sz w:val="16"/>
          <w:szCs w:val="16"/>
          <w:b w:val="1"/>
          <w:bCs w:val="1"/>
          <w:color w:val="16479F"/>
        </w:rPr>
      </w:pPr>
      <w:r>
        <w:rPr>
          <w:rFonts w:ascii="Arial" w:cs="Arial" w:eastAsia="Arial" w:hAnsi="Arial"/>
          <w:sz w:val="16"/>
          <w:szCs w:val="16"/>
          <w:color w:val="auto"/>
        </w:rPr>
        <w:t>Meet with shareholders to discuss our executive compensation policies and collect feedback.</w:t>
      </w:r>
    </w:p>
    <w:p>
      <w:pPr>
        <w:spacing w:after="0" w:line="200" w:lineRule="exact"/>
        <w:rPr>
          <w:rFonts w:ascii="Arial" w:cs="Arial" w:eastAsia="Arial" w:hAnsi="Arial"/>
          <w:sz w:val="16"/>
          <w:szCs w:val="16"/>
          <w:b w:val="1"/>
          <w:bCs w:val="1"/>
          <w:color w:val="16479F"/>
        </w:rPr>
      </w:pPr>
    </w:p>
    <w:p>
      <w:pPr>
        <w:spacing w:after="0" w:line="379" w:lineRule="exact"/>
        <w:rPr>
          <w:rFonts w:ascii="Arial" w:cs="Arial" w:eastAsia="Arial" w:hAnsi="Arial"/>
          <w:sz w:val="16"/>
          <w:szCs w:val="16"/>
          <w:b w:val="1"/>
          <w:bCs w:val="1"/>
          <w:color w:val="16479F"/>
        </w:rPr>
      </w:pPr>
    </w:p>
    <w:p>
      <w:pPr>
        <w:ind w:left="190" w:right="120" w:hanging="190"/>
        <w:spacing w:after="0" w:line="256" w:lineRule="auto"/>
        <w:tabs>
          <w:tab w:leader="none" w:pos="189" w:val="left"/>
        </w:tabs>
        <w:numPr>
          <w:ilvl w:val="0"/>
          <w:numId w:val="110"/>
        </w:numPr>
        <w:rPr>
          <w:rFonts w:ascii="Arial" w:cs="Arial" w:eastAsia="Arial" w:hAnsi="Arial"/>
          <w:sz w:val="16"/>
          <w:szCs w:val="16"/>
          <w:b w:val="1"/>
          <w:bCs w:val="1"/>
          <w:color w:val="16479F"/>
        </w:rPr>
      </w:pPr>
      <w:r>
        <w:rPr>
          <w:rFonts w:ascii="Arial" w:cs="Arial" w:eastAsia="Arial" w:hAnsi="Arial"/>
          <w:sz w:val="16"/>
          <w:szCs w:val="16"/>
          <w:color w:val="auto"/>
        </w:rPr>
        <w:t>Finalize design of executive compensation program for upcoming year and review preliminary recommendations for actual and target levels of compensation.</w:t>
      </w:r>
    </w:p>
    <w:p>
      <w:pPr>
        <w:spacing w:after="0" w:line="200" w:lineRule="exact"/>
        <w:rPr>
          <w:rFonts w:ascii="Arial" w:cs="Arial" w:eastAsia="Arial" w:hAnsi="Arial"/>
          <w:sz w:val="16"/>
          <w:szCs w:val="16"/>
          <w:b w:val="1"/>
          <w:bCs w:val="1"/>
          <w:color w:val="16479F"/>
        </w:rPr>
      </w:pPr>
    </w:p>
    <w:p>
      <w:pPr>
        <w:spacing w:after="0" w:line="344" w:lineRule="exact"/>
        <w:rPr>
          <w:rFonts w:ascii="Arial" w:cs="Arial" w:eastAsia="Arial" w:hAnsi="Arial"/>
          <w:sz w:val="16"/>
          <w:szCs w:val="16"/>
          <w:b w:val="1"/>
          <w:bCs w:val="1"/>
          <w:color w:val="16479F"/>
        </w:rPr>
      </w:pPr>
    </w:p>
    <w:p>
      <w:pPr>
        <w:ind w:left="190" w:hanging="190"/>
        <w:spacing w:after="0"/>
        <w:tabs>
          <w:tab w:leader="none" w:pos="190" w:val="left"/>
        </w:tabs>
        <w:numPr>
          <w:ilvl w:val="0"/>
          <w:numId w:val="110"/>
        </w:numPr>
        <w:rPr>
          <w:rFonts w:ascii="Arial" w:cs="Arial" w:eastAsia="Arial" w:hAnsi="Arial"/>
          <w:sz w:val="16"/>
          <w:szCs w:val="16"/>
          <w:b w:val="1"/>
          <w:bCs w:val="1"/>
          <w:color w:val="16479F"/>
        </w:rPr>
      </w:pPr>
      <w:r>
        <w:rPr>
          <w:rFonts w:ascii="Arial" w:cs="Arial" w:eastAsia="Arial" w:hAnsi="Arial"/>
          <w:sz w:val="16"/>
          <w:szCs w:val="16"/>
          <w:color w:val="auto"/>
        </w:rPr>
        <w:t>Management provides feedback from shareholder outreach regarding our executive compensation program.</w:t>
      </w:r>
    </w:p>
    <w:p>
      <w:pPr>
        <w:spacing w:after="0" w:line="97" w:lineRule="exact"/>
        <w:rPr>
          <w:rFonts w:ascii="Arial" w:cs="Arial" w:eastAsia="Arial" w:hAnsi="Arial"/>
          <w:sz w:val="16"/>
          <w:szCs w:val="16"/>
          <w:b w:val="1"/>
          <w:bCs w:val="1"/>
          <w:color w:val="16479F"/>
        </w:rPr>
      </w:pPr>
    </w:p>
    <w:p>
      <w:pPr>
        <w:ind w:left="190" w:hanging="190"/>
        <w:spacing w:after="0"/>
        <w:tabs>
          <w:tab w:leader="none" w:pos="190" w:val="left"/>
        </w:tabs>
        <w:numPr>
          <w:ilvl w:val="0"/>
          <w:numId w:val="110"/>
        </w:numPr>
        <w:rPr>
          <w:rFonts w:ascii="Arial" w:cs="Arial" w:eastAsia="Arial" w:hAnsi="Arial"/>
          <w:sz w:val="16"/>
          <w:szCs w:val="16"/>
          <w:b w:val="1"/>
          <w:bCs w:val="1"/>
          <w:color w:val="16479F"/>
        </w:rPr>
      </w:pPr>
      <w:r>
        <w:rPr>
          <w:rFonts w:ascii="Arial" w:cs="Arial" w:eastAsia="Arial" w:hAnsi="Arial"/>
          <w:sz w:val="16"/>
          <w:szCs w:val="16"/>
          <w:color w:val="auto"/>
        </w:rPr>
        <w:t>Review progress made on performance metrics.</w:t>
      </w:r>
    </w:p>
    <w:p>
      <w:pPr>
        <w:spacing w:after="0" w:line="97" w:lineRule="exact"/>
        <w:rPr>
          <w:rFonts w:ascii="Arial" w:cs="Arial" w:eastAsia="Arial" w:hAnsi="Arial"/>
          <w:sz w:val="16"/>
          <w:szCs w:val="16"/>
          <w:b w:val="1"/>
          <w:bCs w:val="1"/>
          <w:color w:val="16479F"/>
        </w:rPr>
      </w:pPr>
    </w:p>
    <w:p>
      <w:pPr>
        <w:ind w:left="190" w:hanging="190"/>
        <w:spacing w:after="0"/>
        <w:tabs>
          <w:tab w:leader="none" w:pos="190" w:val="left"/>
        </w:tabs>
        <w:numPr>
          <w:ilvl w:val="0"/>
          <w:numId w:val="110"/>
        </w:numPr>
        <w:rPr>
          <w:rFonts w:ascii="Arial" w:cs="Arial" w:eastAsia="Arial" w:hAnsi="Arial"/>
          <w:sz w:val="16"/>
          <w:szCs w:val="16"/>
          <w:b w:val="1"/>
          <w:bCs w:val="1"/>
          <w:color w:val="16479F"/>
        </w:rPr>
      </w:pPr>
      <w:r>
        <w:rPr>
          <w:rFonts w:ascii="Arial" w:cs="Arial" w:eastAsia="Arial" w:hAnsi="Arial"/>
          <w:sz w:val="16"/>
          <w:szCs w:val="16"/>
          <w:color w:val="auto"/>
        </w:rPr>
        <w:t>Monitor compliance with 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-1783715</wp:posOffset>
            </wp:positionV>
            <wp:extent cx="5841365" cy="4673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841365" cy="467360"/>
                    </a:xfrm>
                    <a:prstGeom prst="rect">
                      <a:avLst/>
                    </a:prstGeom>
                    <a:noFill/>
                  </pic:spPr>
                </pic:pic>
              </a:graphicData>
            </a:graphic>
          </wp:anchor>
        </w:drawing>
        <w:drawing>
          <wp:anchor simplePos="0" relativeHeight="251657728" behindDoc="1" locked="0" layoutInCell="0" allowOverlap="1">
            <wp:simplePos x="0" y="0"/>
            <wp:positionH relativeFrom="column">
              <wp:posOffset>-144145</wp:posOffset>
            </wp:positionH>
            <wp:positionV relativeFrom="paragraph">
              <wp:posOffset>-1180465</wp:posOffset>
            </wp:positionV>
            <wp:extent cx="5841365" cy="4591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841365" cy="459105"/>
                    </a:xfrm>
                    <a:prstGeom prst="rect">
                      <a:avLst/>
                    </a:prstGeom>
                    <a:noFill/>
                  </pic:spPr>
                </pic:pic>
              </a:graphicData>
            </a:graphic>
          </wp:anchor>
        </w:drawing>
        <w:drawing>
          <wp:anchor simplePos="0" relativeHeight="251657728" behindDoc="1" locked="0" layoutInCell="0" allowOverlap="1">
            <wp:simplePos x="0" y="0"/>
            <wp:positionH relativeFrom="column">
              <wp:posOffset>-1438275</wp:posOffset>
            </wp:positionH>
            <wp:positionV relativeFrom="paragraph">
              <wp:posOffset>-584835</wp:posOffset>
            </wp:positionV>
            <wp:extent cx="7154545" cy="7931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4545" cy="793115"/>
                    </a:xfrm>
                    <a:prstGeom prst="rect">
                      <a:avLst/>
                    </a:prstGeom>
                    <a:noFill/>
                  </pic:spPr>
                </pic:pic>
              </a:graphicData>
            </a:graphic>
          </wp:anchor>
        </w:drawing>
      </w:r>
    </w:p>
    <w:p>
      <w:pPr>
        <w:sectPr>
          <w:pgSz w:w="11900" w:h="16838" w:orient="portrait"/>
          <w:cols w:equalWidth="0" w:num="2">
            <w:col w:w="1550" w:space="720"/>
            <w:col w:w="8970"/>
          </w:cols>
          <w:pgMar w:left="320" w:top="121" w:right="339" w:bottom="1440" w:gutter="0" w:footer="0" w:header="0"/>
          <w:type w:val="continuous"/>
        </w:sectPr>
      </w:pPr>
    </w:p>
    <w:bookmarkStart w:id="66" w:name="page67"/>
    <w:bookmarkEnd w:id="66"/>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149860</wp:posOffset>
            </wp:positionV>
            <wp:extent cx="7133590" cy="21272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3590" cy="212725"/>
                    </a:xfrm>
                    <a:prstGeom prst="rect">
                      <a:avLst/>
                    </a:prstGeom>
                    <a:noFill/>
                  </pic:spPr>
                </pic:pic>
              </a:graphicData>
            </a:graphic>
          </wp:anchor>
        </w:drawing>
      </w:r>
    </w:p>
    <w:p>
      <w:pPr>
        <w:spacing w:after="0" w:line="283"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4"/>
          <w:szCs w:val="14"/>
          <w:b w:val="1"/>
          <w:bCs w:val="1"/>
          <w:color w:val="16479F"/>
        </w:rPr>
        <w:t>66</w:t>
      </w:r>
      <w:r>
        <w:rPr>
          <w:sz w:val="20"/>
          <w:szCs w:val="20"/>
          <w:color w:val="auto"/>
        </w:rPr>
        <w:tab/>
      </w:r>
      <w:r>
        <w:rPr>
          <w:rFonts w:ascii="Arial" w:cs="Arial" w:eastAsia="Arial" w:hAnsi="Arial"/>
          <w:sz w:val="14"/>
          <w:szCs w:val="14"/>
          <w:b w:val="1"/>
          <w:bCs w:val="1"/>
          <w:color w:val="16479F"/>
        </w:rPr>
        <w:t>MSCI  |  COMPENSATION MATTERS</w:t>
      </w:r>
    </w:p>
    <w:p>
      <w:pPr>
        <w:spacing w:after="0" w:line="248" w:lineRule="exact"/>
        <w:rPr>
          <w:sz w:val="20"/>
          <w:szCs w:val="20"/>
          <w:color w:val="auto"/>
        </w:rPr>
      </w:pPr>
    </w:p>
    <w:p>
      <w:pPr>
        <w:spacing w:after="0"/>
        <w:rPr>
          <w:sz w:val="20"/>
          <w:szCs w:val="20"/>
          <w:color w:val="auto"/>
        </w:rPr>
      </w:pPr>
      <w:r>
        <w:rPr>
          <w:rFonts w:ascii="Arial" w:cs="Arial" w:eastAsia="Arial" w:hAnsi="Arial"/>
          <w:sz w:val="21"/>
          <w:szCs w:val="21"/>
          <w:b w:val="1"/>
          <w:bCs w:val="1"/>
          <w:color w:val="16479F"/>
        </w:rPr>
        <w:t>Independent Compensation Consultant</w:t>
      </w:r>
    </w:p>
    <w:p>
      <w:pPr>
        <w:spacing w:after="0" w:line="221" w:lineRule="exact"/>
        <w:rPr>
          <w:sz w:val="20"/>
          <w:szCs w:val="20"/>
          <w:color w:val="auto"/>
        </w:rPr>
      </w:pPr>
    </w:p>
    <w:p>
      <w:pPr>
        <w:ind w:right="60"/>
        <w:spacing w:after="0" w:line="246" w:lineRule="auto"/>
        <w:rPr>
          <w:sz w:val="20"/>
          <w:szCs w:val="20"/>
          <w:color w:val="auto"/>
        </w:rPr>
      </w:pPr>
      <w:r>
        <w:rPr>
          <w:rFonts w:ascii="Arial" w:cs="Arial" w:eastAsia="Arial" w:hAnsi="Arial"/>
          <w:sz w:val="16"/>
          <w:szCs w:val="16"/>
          <w:color w:val="auto"/>
        </w:rPr>
        <w:t>The Compensation Committee selected and engaged Semler Brossy as its independent compensation consultant to assist with a range of executive compensation matters, including the overall design of our executive compensation program, evaluation and selection of peer group companies, provision of competitive market data and other matters related to our NEO compensation program. During 2021, Semler Brossy was present at all Compensation Committee meetings and consulted on executive compensation matters. The Compensation Committee recognizes that it is important to receive objective advice from its outside advisor and regularly meets with Semler Brossy in Executive Session without management’s attendance. Semler Brossy reports directly to the Compensation Committee, which, pursuant to its charter, maintains sole responsibility for retaining or terminating the compensation consultant. Semler Brossy did not provide any other services to MSCI during 2021.</w:t>
      </w:r>
    </w:p>
    <w:p>
      <w:pPr>
        <w:spacing w:after="0" w:line="116"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Executive Compensation Considerations</w:t>
      </w:r>
    </w:p>
    <w:p>
      <w:pPr>
        <w:spacing w:after="0" w:line="209"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The Compensation Committee takes into account a range of factors in determining compensation components and setting compensation amounts. In addition to reviewing NEO performance against annual goals, various financial and operational metrics, KPIs and DE&amp;I Goals, the Compensation Committee reviews peer group analyses provided by Semler Brossy (used as a reference without benchmarking to a specified target) and shareholder feedback. The weight attributed to each individual factor may change from time to time, depending on the circumstances of such decisions. We believe this continues to be the best approach for the Company, as it enables the Compensation Committee to balance competing interests, address evolving priorities and meet Company objectives.</w:t>
      </w:r>
    </w:p>
    <w:p>
      <w:pPr>
        <w:spacing w:after="0" w:line="120" w:lineRule="exact"/>
        <w:rPr>
          <w:sz w:val="20"/>
          <w:szCs w:val="20"/>
          <w:color w:val="auto"/>
        </w:rPr>
      </w:pPr>
    </w:p>
    <w:p>
      <w:pPr>
        <w:spacing w:after="0"/>
        <w:rPr>
          <w:sz w:val="20"/>
          <w:szCs w:val="20"/>
          <w:color w:val="auto"/>
        </w:rPr>
      </w:pPr>
      <w:r>
        <w:rPr>
          <w:rFonts w:ascii="Arial" w:cs="Arial" w:eastAsia="Arial" w:hAnsi="Arial"/>
          <w:sz w:val="21"/>
          <w:szCs w:val="21"/>
          <w:b w:val="1"/>
          <w:bCs w:val="1"/>
          <w:color w:val="16479F"/>
        </w:rPr>
        <w:t>2021 Say-on-Pay Vote Results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In 2021, 96.8% of the votes cast on the Say-on-Pay Advisory Vote were voted in support of the compensation of our NEOs.</w:t>
      </w:r>
    </w:p>
    <w:p>
      <w:pPr>
        <w:spacing w:after="0" w:line="144" w:lineRule="exact"/>
        <w:rPr>
          <w:sz w:val="20"/>
          <w:szCs w:val="20"/>
          <w:color w:val="auto"/>
        </w:rPr>
      </w:pPr>
    </w:p>
    <w:p>
      <w:pPr>
        <w:ind w:left="3980"/>
        <w:spacing w:after="0"/>
        <w:rPr>
          <w:sz w:val="20"/>
          <w:szCs w:val="20"/>
          <w:color w:val="auto"/>
        </w:rPr>
      </w:pPr>
      <w:r>
        <w:rPr>
          <w:rFonts w:ascii="Arial" w:cs="Arial" w:eastAsia="Arial" w:hAnsi="Arial"/>
          <w:sz w:val="16"/>
          <w:szCs w:val="16"/>
          <w:b w:val="1"/>
          <w:bCs w:val="1"/>
          <w:color w:val="auto"/>
        </w:rPr>
        <w:t>HIGH APPROVAL FOR THE LAST 4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2351405</wp:posOffset>
            </wp:positionH>
            <wp:positionV relativeFrom="paragraph">
              <wp:posOffset>47625</wp:posOffset>
            </wp:positionV>
            <wp:extent cx="2448560" cy="20916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448560"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1"/>
          <w:szCs w:val="21"/>
          <w:b w:val="1"/>
          <w:bCs w:val="1"/>
          <w:color w:val="16479F"/>
        </w:rPr>
        <w:t>Shareholder Engagement</w:t>
      </w:r>
    </w:p>
    <w:p>
      <w:pPr>
        <w:spacing w:after="0" w:line="208" w:lineRule="exact"/>
        <w:rPr>
          <w:sz w:val="20"/>
          <w:szCs w:val="20"/>
          <w:color w:val="auto"/>
        </w:rPr>
      </w:pPr>
    </w:p>
    <w:p>
      <w:pPr>
        <w:ind w:right="260"/>
        <w:spacing w:after="0" w:line="246" w:lineRule="auto"/>
        <w:rPr>
          <w:sz w:val="20"/>
          <w:szCs w:val="20"/>
          <w:color w:val="auto"/>
        </w:rPr>
      </w:pPr>
      <w:r>
        <w:rPr>
          <w:rFonts w:ascii="Arial" w:cs="Arial" w:eastAsia="Arial" w:hAnsi="Arial"/>
          <w:sz w:val="16"/>
          <w:szCs w:val="16"/>
          <w:color w:val="auto"/>
        </w:rPr>
        <w:t>MSCI has established a robust process for engaging shareholders on executive compensation. On at least an annual basis, we meet with shareholders to provide an overview of our executive compensation program and highlight changes, if any, that have been made since our last meeting with the relevant shareholder. In 2021, the Company met with 14 of its largest shareholders (representing approximately 41% of its outstanding shares as of September 30, 2021) in individual meetings to discuss our corporate responsibility practices, including our executive compensation program. None of the shareholders expressed significant concerns with the Company’s compensation program, and the shareholders generally reacted positively to the Company’s compensation program.</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Our 2021 and 2022 compensation programs reflect feedback we received from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7154545" cy="209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7" w:name="page68"/>
    <w:bookmarkEnd w:id="67"/>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00" w:type="dxa"/>
            <w:vAlign w:val="bottom"/>
            <w:tcBorders>
              <w:right w:val="single" w:sz="8" w:color="16479F"/>
            </w:tcBorders>
          </w:tcPr>
          <w:p>
            <w:pPr>
              <w:ind w:left="8700"/>
              <w:spacing w:after="0"/>
              <w:rPr>
                <w:sz w:val="20"/>
                <w:szCs w:val="20"/>
                <w:color w:val="auto"/>
              </w:rPr>
            </w:pPr>
            <w:r>
              <w:rPr>
                <w:rFonts w:ascii="Arial" w:cs="Arial" w:eastAsia="Arial" w:hAnsi="Arial"/>
                <w:sz w:val="14"/>
                <w:szCs w:val="14"/>
                <w:b w:val="1"/>
                <w:bCs w:val="1"/>
                <w:color w:val="16479F"/>
              </w:rPr>
              <w:t>2022 PROXY STATEMENT</w:t>
            </w:r>
          </w:p>
        </w:tc>
        <w:tc>
          <w:tcPr>
            <w:tcW w:w="640" w:type="dxa"/>
            <w:vAlign w:val="bottom"/>
          </w:tcPr>
          <w:p>
            <w:pPr>
              <w:jc w:val="right"/>
              <w:ind w:right="9"/>
              <w:spacing w:after="0"/>
              <w:rPr>
                <w:sz w:val="20"/>
                <w:szCs w:val="20"/>
                <w:color w:val="auto"/>
              </w:rPr>
            </w:pPr>
            <w:r>
              <w:rPr>
                <w:rFonts w:ascii="Arial" w:cs="Arial" w:eastAsia="Arial" w:hAnsi="Arial"/>
                <w:sz w:val="14"/>
                <w:szCs w:val="14"/>
                <w:b w:val="1"/>
                <w:bCs w:val="1"/>
                <w:color w:val="16479F"/>
              </w:rPr>
              <w:t>67</w:t>
            </w:r>
          </w:p>
        </w:tc>
      </w:tr>
      <w:tr>
        <w:trPr>
          <w:trHeight w:val="65"/>
        </w:trPr>
        <w:tc>
          <w:tcPr>
            <w:tcW w:w="10600" w:type="dxa"/>
            <w:vAlign w:val="bottom"/>
            <w:tcBorders>
              <w:bottom w:val="single" w:sz="8" w:color="16479F"/>
              <w:right w:val="single" w:sz="8" w:color="16479F"/>
            </w:tcBorders>
          </w:tcPr>
          <w:p>
            <w:pPr>
              <w:spacing w:after="0"/>
              <w:rPr>
                <w:sz w:val="5"/>
                <w:szCs w:val="5"/>
                <w:color w:val="auto"/>
              </w:rPr>
            </w:pPr>
          </w:p>
        </w:tc>
        <w:tc>
          <w:tcPr>
            <w:tcW w:w="640" w:type="dxa"/>
            <w:vAlign w:val="bottom"/>
            <w:tcBorders>
              <w:bottom w:val="single" w:sz="8" w:color="16479F"/>
            </w:tcBorders>
          </w:tcPr>
          <w:p>
            <w:pPr>
              <w:spacing w:after="0"/>
              <w:rPr>
                <w:sz w:val="5"/>
                <w:szCs w:val="5"/>
                <w:color w:val="auto"/>
              </w:rPr>
            </w:pPr>
          </w:p>
        </w:tc>
      </w:tr>
      <w:tr>
        <w:trPr>
          <w:trHeight w:val="214"/>
        </w:trPr>
        <w:tc>
          <w:tcPr>
            <w:tcW w:w="106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r>
    </w:tbl>
    <w:p>
      <w:pPr>
        <w:spacing w:after="0" w:line="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RECENT ENHANCEMENTS IN RESPONSE TO SHAREHOLDER FEEDBACK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2359660</wp:posOffset>
            </wp:positionH>
            <wp:positionV relativeFrom="paragraph">
              <wp:posOffset>64770</wp:posOffset>
            </wp:positionV>
            <wp:extent cx="25400" cy="22098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5400" cy="220980"/>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64770</wp:posOffset>
            </wp:positionV>
            <wp:extent cx="25400" cy="22098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5400" cy="220980"/>
                    </a:xfrm>
                    <a:prstGeom prst="rect">
                      <a:avLst/>
                    </a:prstGeom>
                    <a:noFill/>
                  </pic:spPr>
                </pic:pic>
              </a:graphicData>
            </a:graphic>
          </wp:anchor>
        </w:drawing>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720" w:type="dxa"/>
            <w:vAlign w:val="bottom"/>
            <w:tcBorders>
              <w:right w:val="single" w:sz="8" w:color="auto"/>
            </w:tcBorders>
            <w:shd w:val="clear" w:color="auto" w:fill="002739"/>
          </w:tcPr>
          <w:p>
            <w:pPr>
              <w:ind w:left="100"/>
              <w:spacing w:after="0"/>
              <w:rPr>
                <w:sz w:val="20"/>
                <w:szCs w:val="20"/>
                <w:color w:val="auto"/>
              </w:rPr>
            </w:pPr>
            <w:r>
              <w:rPr>
                <w:rFonts w:ascii="Arial" w:cs="Arial" w:eastAsia="Arial" w:hAnsi="Arial"/>
                <w:sz w:val="16"/>
                <w:szCs w:val="16"/>
                <w:b w:val="1"/>
                <w:bCs w:val="1"/>
                <w:color w:val="FFFFFF"/>
              </w:rPr>
              <w:t>WHAT WE HEARD</w:t>
            </w:r>
          </w:p>
        </w:tc>
        <w:tc>
          <w:tcPr>
            <w:tcW w:w="3840" w:type="dxa"/>
            <w:vAlign w:val="bottom"/>
            <w:tcBorders>
              <w:right w:val="single" w:sz="8" w:color="auto"/>
            </w:tcBorders>
            <w:shd w:val="clear" w:color="auto" w:fill="16479F"/>
          </w:tcPr>
          <w:p>
            <w:pPr>
              <w:ind w:left="120"/>
              <w:spacing w:after="0"/>
              <w:rPr>
                <w:sz w:val="20"/>
                <w:szCs w:val="20"/>
                <w:color w:val="auto"/>
              </w:rPr>
            </w:pPr>
            <w:r>
              <w:rPr>
                <w:rFonts w:ascii="Arial" w:cs="Arial" w:eastAsia="Arial" w:hAnsi="Arial"/>
                <w:sz w:val="16"/>
                <w:szCs w:val="16"/>
                <w:b w:val="1"/>
                <w:bCs w:val="1"/>
                <w:color w:val="FFFFFF"/>
              </w:rPr>
              <w:t>WHAT WE DID</w:t>
            </w:r>
          </w:p>
        </w:tc>
        <w:tc>
          <w:tcPr>
            <w:tcW w:w="3680" w:type="dxa"/>
            <w:vAlign w:val="bottom"/>
            <w:tcBorders>
              <w:right w:val="single" w:sz="8" w:color="auto"/>
            </w:tcBorders>
            <w:shd w:val="clear" w:color="auto" w:fill="00B5AA"/>
          </w:tcPr>
          <w:p>
            <w:pPr>
              <w:ind w:left="120"/>
              <w:spacing w:after="0"/>
              <w:rPr>
                <w:sz w:val="20"/>
                <w:szCs w:val="20"/>
                <w:color w:val="auto"/>
              </w:rPr>
            </w:pPr>
            <w:r>
              <w:rPr>
                <w:rFonts w:ascii="Arial" w:cs="Arial" w:eastAsia="Arial" w:hAnsi="Arial"/>
                <w:sz w:val="16"/>
                <w:szCs w:val="16"/>
                <w:b w:val="1"/>
                <w:bCs w:val="1"/>
                <w:color w:val="FFFFFF"/>
              </w:rPr>
              <w:t>WHY</w:t>
            </w:r>
          </w:p>
        </w:tc>
      </w:tr>
      <w:tr>
        <w:trPr>
          <w:trHeight w:val="73"/>
        </w:trPr>
        <w:tc>
          <w:tcPr>
            <w:tcW w:w="3720" w:type="dxa"/>
            <w:vAlign w:val="bottom"/>
            <w:tcBorders>
              <w:right w:val="single" w:sz="8" w:color="auto"/>
            </w:tcBorders>
            <w:shd w:val="clear" w:color="auto" w:fill="002739"/>
          </w:tcPr>
          <w:p>
            <w:pPr>
              <w:spacing w:after="0"/>
              <w:rPr>
                <w:sz w:val="6"/>
                <w:szCs w:val="6"/>
                <w:color w:val="auto"/>
              </w:rPr>
            </w:pPr>
          </w:p>
        </w:tc>
        <w:tc>
          <w:tcPr>
            <w:tcW w:w="3840" w:type="dxa"/>
            <w:vAlign w:val="bottom"/>
            <w:tcBorders>
              <w:right w:val="single" w:sz="8" w:color="auto"/>
            </w:tcBorders>
            <w:shd w:val="clear" w:color="auto" w:fill="16479F"/>
          </w:tcPr>
          <w:p>
            <w:pPr>
              <w:spacing w:after="0"/>
              <w:rPr>
                <w:sz w:val="6"/>
                <w:szCs w:val="6"/>
                <w:color w:val="auto"/>
              </w:rPr>
            </w:pPr>
          </w:p>
        </w:tc>
        <w:tc>
          <w:tcPr>
            <w:tcW w:w="3680" w:type="dxa"/>
            <w:vAlign w:val="bottom"/>
            <w:tcBorders>
              <w:right w:val="single" w:sz="8" w:color="auto"/>
            </w:tcBorders>
            <w:shd w:val="clear" w:color="auto" w:fill="00B5AA"/>
          </w:tcPr>
          <w:p>
            <w:pPr>
              <w:spacing w:after="0"/>
              <w:rPr>
                <w:sz w:val="6"/>
                <w:szCs w:val="6"/>
                <w:color w:val="auto"/>
              </w:rPr>
            </w:pPr>
          </w:p>
        </w:tc>
      </w:tr>
      <w:tr>
        <w:trPr>
          <w:trHeight w:val="250"/>
        </w:trPr>
        <w:tc>
          <w:tcPr>
            <w:tcW w:w="3720" w:type="dxa"/>
            <w:vAlign w:val="bottom"/>
            <w:tcBorders>
              <w:right w:val="single" w:sz="8" w:color="auto"/>
            </w:tcBorders>
          </w:tcPr>
          <w:p>
            <w:pPr>
              <w:ind w:left="100"/>
              <w:spacing w:after="0"/>
              <w:rPr>
                <w:sz w:val="20"/>
                <w:szCs w:val="20"/>
                <w:color w:val="auto"/>
              </w:rPr>
            </w:pPr>
            <w:r>
              <w:rPr>
                <w:rFonts w:ascii="Arial" w:cs="Arial" w:eastAsia="Arial" w:hAnsi="Arial"/>
                <w:sz w:val="16"/>
                <w:szCs w:val="16"/>
                <w:b w:val="1"/>
                <w:bCs w:val="1"/>
                <w:color w:val="auto"/>
              </w:rPr>
              <w:t>Support for cultivating an “owner-operator”</w:t>
            </w:r>
          </w:p>
        </w:tc>
        <w:tc>
          <w:tcPr>
            <w:tcW w:w="38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Added a one-year post-vest mandatory holding</w:t>
            </w:r>
          </w:p>
        </w:tc>
        <w:tc>
          <w:tcPr>
            <w:tcW w:w="3680" w:type="dxa"/>
            <w:vAlign w:val="bottom"/>
          </w:tcPr>
          <w:p>
            <w:pPr>
              <w:ind w:left="80"/>
              <w:spacing w:after="0"/>
              <w:rPr>
                <w:sz w:val="20"/>
                <w:szCs w:val="20"/>
                <w:color w:val="auto"/>
              </w:rPr>
            </w:pPr>
            <w:r>
              <w:rPr>
                <w:rFonts w:ascii="Arial" w:cs="Arial" w:eastAsia="Arial" w:hAnsi="Arial"/>
                <w:sz w:val="16"/>
                <w:szCs w:val="16"/>
                <w:color w:val="auto"/>
              </w:rPr>
              <w:t>We believe that equity award features that</w:t>
            </w:r>
          </w:p>
        </w:tc>
      </w:tr>
      <w:tr>
        <w:trPr>
          <w:trHeight w:val="207"/>
        </w:trPr>
        <w:tc>
          <w:tcPr>
            <w:tcW w:w="3720" w:type="dxa"/>
            <w:vAlign w:val="bottom"/>
            <w:tcBorders>
              <w:right w:val="single" w:sz="8" w:color="auto"/>
            </w:tcBorders>
          </w:tcPr>
          <w:p>
            <w:pPr>
              <w:ind w:left="100"/>
              <w:spacing w:after="0"/>
              <w:rPr>
                <w:sz w:val="20"/>
                <w:szCs w:val="20"/>
                <w:color w:val="auto"/>
              </w:rPr>
            </w:pPr>
            <w:r>
              <w:rPr>
                <w:rFonts w:ascii="Arial" w:cs="Arial" w:eastAsia="Arial" w:hAnsi="Arial"/>
                <w:sz w:val="16"/>
                <w:szCs w:val="16"/>
                <w:b w:val="1"/>
                <w:bCs w:val="1"/>
                <w:color w:val="auto"/>
              </w:rPr>
              <w:t>mindset</w:t>
            </w:r>
          </w:p>
        </w:tc>
        <w:tc>
          <w:tcPr>
            <w:tcW w:w="38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period to our 3-Year PSUs granted in 2021</w:t>
            </w:r>
          </w:p>
        </w:tc>
        <w:tc>
          <w:tcPr>
            <w:tcW w:w="3680" w:type="dxa"/>
            <w:vAlign w:val="bottom"/>
          </w:tcPr>
          <w:p>
            <w:pPr>
              <w:ind w:left="80"/>
              <w:spacing w:after="0"/>
              <w:rPr>
                <w:sz w:val="20"/>
                <w:szCs w:val="20"/>
                <w:color w:val="auto"/>
              </w:rPr>
            </w:pPr>
            <w:r>
              <w:rPr>
                <w:rFonts w:ascii="Arial" w:cs="Arial" w:eastAsia="Arial" w:hAnsi="Arial"/>
                <w:sz w:val="16"/>
                <w:szCs w:val="16"/>
                <w:color w:val="auto"/>
              </w:rPr>
              <w:t>promote an “owner-operator” culture focus our</w:t>
            </w:r>
          </w:p>
        </w:tc>
      </w:tr>
      <w:tr>
        <w:trPr>
          <w:trHeight w:val="187"/>
        </w:trPr>
        <w:tc>
          <w:tcPr>
            <w:tcW w:w="3720" w:type="dxa"/>
            <w:vAlign w:val="bottom"/>
            <w:tcBorders>
              <w:right w:val="single" w:sz="8" w:color="auto"/>
            </w:tcBorders>
          </w:tcPr>
          <w:p>
            <w:pPr>
              <w:spacing w:after="0"/>
              <w:rPr>
                <w:sz w:val="16"/>
                <w:szCs w:val="16"/>
                <w:color w:val="auto"/>
              </w:rPr>
            </w:pPr>
          </w:p>
        </w:tc>
        <w:tc>
          <w:tcPr>
            <w:tcW w:w="3840" w:type="dxa"/>
            <w:vAlign w:val="bottom"/>
            <w:tcBorders>
              <w:right w:val="single" w:sz="8" w:color="auto"/>
            </w:tcBorders>
          </w:tcPr>
          <w:p>
            <w:pPr>
              <w:spacing w:after="0"/>
              <w:rPr>
                <w:sz w:val="16"/>
                <w:szCs w:val="16"/>
                <w:color w:val="auto"/>
              </w:rPr>
            </w:pPr>
          </w:p>
        </w:tc>
        <w:tc>
          <w:tcPr>
            <w:tcW w:w="3680" w:type="dxa"/>
            <w:vAlign w:val="bottom"/>
          </w:tcPr>
          <w:p>
            <w:pPr>
              <w:ind w:left="80"/>
              <w:spacing w:after="0"/>
              <w:rPr>
                <w:sz w:val="20"/>
                <w:szCs w:val="20"/>
                <w:color w:val="auto"/>
              </w:rPr>
            </w:pPr>
            <w:r>
              <w:rPr>
                <w:rFonts w:ascii="Arial" w:cs="Arial" w:eastAsia="Arial" w:hAnsi="Arial"/>
                <w:sz w:val="16"/>
                <w:szCs w:val="16"/>
                <w:color w:val="auto"/>
              </w:rPr>
              <w:t>senior leaders on long-term shareholder value</w:t>
            </w:r>
          </w:p>
        </w:tc>
      </w:tr>
      <w:tr>
        <w:trPr>
          <w:trHeight w:val="193"/>
        </w:trPr>
        <w:tc>
          <w:tcPr>
            <w:tcW w:w="3720" w:type="dxa"/>
            <w:vAlign w:val="bottom"/>
            <w:tcBorders>
              <w:right w:val="single" w:sz="8" w:color="auto"/>
            </w:tcBorders>
          </w:tcPr>
          <w:p>
            <w:pPr>
              <w:spacing w:after="0"/>
              <w:rPr>
                <w:sz w:val="16"/>
                <w:szCs w:val="16"/>
                <w:color w:val="auto"/>
              </w:rPr>
            </w:pPr>
          </w:p>
        </w:tc>
        <w:tc>
          <w:tcPr>
            <w:tcW w:w="3840" w:type="dxa"/>
            <w:vAlign w:val="bottom"/>
            <w:tcBorders>
              <w:right w:val="single" w:sz="8" w:color="auto"/>
            </w:tcBorders>
          </w:tcPr>
          <w:p>
            <w:pPr>
              <w:spacing w:after="0"/>
              <w:rPr>
                <w:sz w:val="16"/>
                <w:szCs w:val="16"/>
                <w:color w:val="auto"/>
              </w:rPr>
            </w:pPr>
          </w:p>
        </w:tc>
        <w:tc>
          <w:tcPr>
            <w:tcW w:w="3680" w:type="dxa"/>
            <w:vAlign w:val="bottom"/>
          </w:tcPr>
          <w:p>
            <w:pPr>
              <w:ind w:left="80"/>
              <w:spacing w:after="0"/>
              <w:rPr>
                <w:sz w:val="20"/>
                <w:szCs w:val="20"/>
                <w:color w:val="auto"/>
              </w:rPr>
            </w:pPr>
            <w:r>
              <w:rPr>
                <w:rFonts w:ascii="Arial" w:cs="Arial" w:eastAsia="Arial" w:hAnsi="Arial"/>
                <w:sz w:val="16"/>
                <w:szCs w:val="16"/>
                <w:color w:val="auto"/>
              </w:rPr>
              <w:t>creation</w:t>
            </w:r>
          </w:p>
        </w:tc>
      </w:tr>
      <w:tr>
        <w:trPr>
          <w:trHeight w:val="73"/>
        </w:trPr>
        <w:tc>
          <w:tcPr>
            <w:tcW w:w="3720" w:type="dxa"/>
            <w:vAlign w:val="bottom"/>
            <w:tcBorders>
              <w:right w:val="single" w:sz="8" w:color="auto"/>
            </w:tcBorders>
          </w:tcPr>
          <w:p>
            <w:pPr>
              <w:spacing w:after="0"/>
              <w:rPr>
                <w:sz w:val="6"/>
                <w:szCs w:val="6"/>
                <w:color w:val="auto"/>
              </w:rPr>
            </w:pPr>
          </w:p>
        </w:tc>
        <w:tc>
          <w:tcPr>
            <w:tcW w:w="3840" w:type="dxa"/>
            <w:vAlign w:val="bottom"/>
            <w:tcBorders>
              <w:right w:val="single" w:sz="8" w:color="auto"/>
            </w:tcBorders>
          </w:tcPr>
          <w:p>
            <w:pPr>
              <w:spacing w:after="0"/>
              <w:rPr>
                <w:sz w:val="6"/>
                <w:szCs w:val="6"/>
                <w:color w:val="auto"/>
              </w:rPr>
            </w:pPr>
          </w:p>
        </w:tc>
        <w:tc>
          <w:tcPr>
            <w:tcW w:w="3680" w:type="dxa"/>
            <w:vAlign w:val="bottom"/>
          </w:tcPr>
          <w:p>
            <w:pPr>
              <w:spacing w:after="0"/>
              <w:rPr>
                <w:sz w:val="6"/>
                <w:szCs w:val="6"/>
                <w:color w:val="auto"/>
              </w:rPr>
            </w:pPr>
          </w:p>
        </w:tc>
      </w:tr>
      <w:tr>
        <w:trPr>
          <w:trHeight w:val="250"/>
        </w:trPr>
        <w:tc>
          <w:tcPr>
            <w:tcW w:w="3720" w:type="dxa"/>
            <w:vAlign w:val="bottom"/>
            <w:tcBorders>
              <w:right w:val="single" w:sz="8" w:color="auto"/>
            </w:tcBorders>
            <w:shd w:val="clear" w:color="auto" w:fill="F0F1F8"/>
          </w:tcPr>
          <w:p>
            <w:pPr>
              <w:ind w:left="100"/>
              <w:spacing w:after="0"/>
              <w:rPr>
                <w:sz w:val="20"/>
                <w:szCs w:val="20"/>
                <w:color w:val="auto"/>
              </w:rPr>
            </w:pPr>
            <w:r>
              <w:rPr>
                <w:rFonts w:ascii="Arial" w:cs="Arial" w:eastAsia="Arial" w:hAnsi="Arial"/>
                <w:sz w:val="16"/>
                <w:szCs w:val="16"/>
                <w:b w:val="1"/>
                <w:bCs w:val="1"/>
                <w:color w:val="auto"/>
              </w:rPr>
              <w:t>Stronger linkages between ESG and our</w:t>
            </w:r>
          </w:p>
        </w:tc>
        <w:tc>
          <w:tcPr>
            <w:tcW w:w="3840" w:type="dxa"/>
            <w:vAlign w:val="bottom"/>
            <w:tcBorders>
              <w:right w:val="single" w:sz="8" w:color="auto"/>
            </w:tcBorders>
            <w:shd w:val="clear" w:color="auto" w:fill="F0F1F8"/>
          </w:tcPr>
          <w:p>
            <w:pPr>
              <w:ind w:left="120"/>
              <w:spacing w:after="0"/>
              <w:rPr>
                <w:sz w:val="20"/>
                <w:szCs w:val="20"/>
                <w:color w:val="auto"/>
              </w:rPr>
            </w:pPr>
            <w:r>
              <w:rPr>
                <w:rFonts w:ascii="Arial" w:cs="Arial" w:eastAsia="Arial" w:hAnsi="Arial"/>
                <w:sz w:val="16"/>
                <w:szCs w:val="16"/>
                <w:color w:val="auto"/>
              </w:rPr>
              <w:t>In 2021, introduced DE&amp;I Goals for our senior</w:t>
            </w:r>
          </w:p>
        </w:tc>
        <w:tc>
          <w:tcPr>
            <w:tcW w:w="3680" w:type="dxa"/>
            <w:vAlign w:val="bottom"/>
            <w:tcBorders>
              <w:right w:val="single" w:sz="8" w:color="F0F1F8"/>
            </w:tcBorders>
            <w:shd w:val="clear" w:color="auto" w:fill="F0F1F8"/>
          </w:tcPr>
          <w:p>
            <w:pPr>
              <w:ind w:left="120"/>
              <w:spacing w:after="0"/>
              <w:rPr>
                <w:sz w:val="20"/>
                <w:szCs w:val="20"/>
                <w:color w:val="auto"/>
              </w:rPr>
            </w:pPr>
            <w:r>
              <w:rPr>
                <w:rFonts w:ascii="Arial" w:cs="Arial" w:eastAsia="Arial" w:hAnsi="Arial"/>
                <w:sz w:val="16"/>
                <w:szCs w:val="16"/>
                <w:color w:val="auto"/>
              </w:rPr>
              <w:t>We believe that integrating DE&amp;I Goals into our</w:t>
            </w:r>
          </w:p>
        </w:tc>
      </w:tr>
      <w:tr>
        <w:trPr>
          <w:trHeight w:val="207"/>
        </w:trPr>
        <w:tc>
          <w:tcPr>
            <w:tcW w:w="3720" w:type="dxa"/>
            <w:vAlign w:val="bottom"/>
            <w:tcBorders>
              <w:right w:val="single" w:sz="8" w:color="auto"/>
            </w:tcBorders>
            <w:shd w:val="clear" w:color="auto" w:fill="F0F1F8"/>
          </w:tcPr>
          <w:p>
            <w:pPr>
              <w:ind w:left="100"/>
              <w:spacing w:after="0"/>
              <w:rPr>
                <w:sz w:val="20"/>
                <w:szCs w:val="20"/>
                <w:color w:val="auto"/>
              </w:rPr>
            </w:pPr>
            <w:r>
              <w:rPr>
                <w:rFonts w:ascii="Arial" w:cs="Arial" w:eastAsia="Arial" w:hAnsi="Arial"/>
                <w:sz w:val="16"/>
                <w:szCs w:val="16"/>
                <w:b w:val="1"/>
                <w:bCs w:val="1"/>
                <w:color w:val="auto"/>
              </w:rPr>
              <w:t>compensation program</w:t>
            </w:r>
          </w:p>
        </w:tc>
        <w:tc>
          <w:tcPr>
            <w:tcW w:w="3840" w:type="dxa"/>
            <w:vAlign w:val="bottom"/>
            <w:tcBorders>
              <w:right w:val="single" w:sz="8" w:color="auto"/>
            </w:tcBorders>
            <w:shd w:val="clear" w:color="auto" w:fill="F0F1F8"/>
          </w:tcPr>
          <w:p>
            <w:pPr>
              <w:ind w:left="120"/>
              <w:spacing w:after="0"/>
              <w:rPr>
                <w:sz w:val="20"/>
                <w:szCs w:val="20"/>
                <w:color w:val="auto"/>
              </w:rPr>
            </w:pPr>
            <w:r>
              <w:rPr>
                <w:rFonts w:ascii="Arial" w:cs="Arial" w:eastAsia="Arial" w:hAnsi="Arial"/>
                <w:sz w:val="16"/>
                <w:szCs w:val="16"/>
                <w:color w:val="auto"/>
              </w:rPr>
              <w:t>leaders</w:t>
            </w:r>
          </w:p>
        </w:tc>
        <w:tc>
          <w:tcPr>
            <w:tcW w:w="3680" w:type="dxa"/>
            <w:vAlign w:val="bottom"/>
            <w:tcBorders>
              <w:right w:val="single" w:sz="8" w:color="F0F1F8"/>
            </w:tcBorders>
            <w:shd w:val="clear" w:color="auto" w:fill="F0F1F8"/>
          </w:tcPr>
          <w:p>
            <w:pPr>
              <w:ind w:left="120"/>
              <w:spacing w:after="0"/>
              <w:rPr>
                <w:sz w:val="20"/>
                <w:szCs w:val="20"/>
                <w:color w:val="auto"/>
              </w:rPr>
            </w:pPr>
            <w:r>
              <w:rPr>
                <w:rFonts w:ascii="Arial" w:cs="Arial" w:eastAsia="Arial" w:hAnsi="Arial"/>
                <w:sz w:val="16"/>
                <w:szCs w:val="16"/>
                <w:color w:val="auto"/>
              </w:rPr>
              <w:t>compensation programs ensures executive</w:t>
            </w:r>
          </w:p>
        </w:tc>
      </w:tr>
      <w:tr>
        <w:trPr>
          <w:trHeight w:val="187"/>
        </w:trPr>
        <w:tc>
          <w:tcPr>
            <w:tcW w:w="3720" w:type="dxa"/>
            <w:vAlign w:val="bottom"/>
            <w:tcBorders>
              <w:right w:val="single" w:sz="8" w:color="auto"/>
            </w:tcBorders>
            <w:shd w:val="clear" w:color="auto" w:fill="F0F1F8"/>
          </w:tcPr>
          <w:p>
            <w:pPr>
              <w:spacing w:after="0"/>
              <w:rPr>
                <w:sz w:val="16"/>
                <w:szCs w:val="16"/>
                <w:color w:val="auto"/>
              </w:rPr>
            </w:pPr>
          </w:p>
        </w:tc>
        <w:tc>
          <w:tcPr>
            <w:tcW w:w="3840" w:type="dxa"/>
            <w:vAlign w:val="bottom"/>
            <w:tcBorders>
              <w:right w:val="single" w:sz="8" w:color="auto"/>
            </w:tcBorders>
            <w:shd w:val="clear" w:color="auto" w:fill="F0F1F8"/>
          </w:tcPr>
          <w:p>
            <w:pPr>
              <w:spacing w:after="0"/>
              <w:rPr>
                <w:sz w:val="16"/>
                <w:szCs w:val="16"/>
                <w:color w:val="auto"/>
              </w:rPr>
            </w:pPr>
          </w:p>
        </w:tc>
        <w:tc>
          <w:tcPr>
            <w:tcW w:w="3680" w:type="dxa"/>
            <w:vAlign w:val="bottom"/>
            <w:tcBorders>
              <w:right w:val="single" w:sz="8" w:color="F0F1F8"/>
            </w:tcBorders>
            <w:shd w:val="clear" w:color="auto" w:fill="F0F1F8"/>
          </w:tcPr>
          <w:p>
            <w:pPr>
              <w:ind w:left="120"/>
              <w:spacing w:after="0"/>
              <w:rPr>
                <w:sz w:val="20"/>
                <w:szCs w:val="20"/>
                <w:color w:val="auto"/>
              </w:rPr>
            </w:pPr>
            <w:r>
              <w:rPr>
                <w:rFonts w:ascii="Arial" w:cs="Arial" w:eastAsia="Arial" w:hAnsi="Arial"/>
                <w:sz w:val="16"/>
                <w:szCs w:val="16"/>
                <w:color w:val="auto"/>
              </w:rPr>
              <w:t>decision making that aligns with our corporate</w:t>
            </w:r>
          </w:p>
        </w:tc>
      </w:tr>
      <w:tr>
        <w:trPr>
          <w:trHeight w:val="193"/>
        </w:trPr>
        <w:tc>
          <w:tcPr>
            <w:tcW w:w="3720" w:type="dxa"/>
            <w:vAlign w:val="bottom"/>
            <w:tcBorders>
              <w:right w:val="single" w:sz="8" w:color="auto"/>
            </w:tcBorders>
            <w:shd w:val="clear" w:color="auto" w:fill="F0F1F8"/>
          </w:tcPr>
          <w:p>
            <w:pPr>
              <w:spacing w:after="0"/>
              <w:rPr>
                <w:sz w:val="16"/>
                <w:szCs w:val="16"/>
                <w:color w:val="auto"/>
              </w:rPr>
            </w:pPr>
          </w:p>
        </w:tc>
        <w:tc>
          <w:tcPr>
            <w:tcW w:w="3840" w:type="dxa"/>
            <w:vAlign w:val="bottom"/>
            <w:tcBorders>
              <w:right w:val="single" w:sz="8" w:color="auto"/>
            </w:tcBorders>
            <w:shd w:val="clear" w:color="auto" w:fill="F0F1F8"/>
          </w:tcPr>
          <w:p>
            <w:pPr>
              <w:spacing w:after="0"/>
              <w:rPr>
                <w:sz w:val="16"/>
                <w:szCs w:val="16"/>
                <w:color w:val="auto"/>
              </w:rPr>
            </w:pPr>
          </w:p>
        </w:tc>
        <w:tc>
          <w:tcPr>
            <w:tcW w:w="3680" w:type="dxa"/>
            <w:vAlign w:val="bottom"/>
            <w:tcBorders>
              <w:right w:val="single" w:sz="8" w:color="F0F1F8"/>
            </w:tcBorders>
            <w:shd w:val="clear" w:color="auto" w:fill="F0F1F8"/>
          </w:tcPr>
          <w:p>
            <w:pPr>
              <w:ind w:left="120"/>
              <w:spacing w:after="0"/>
              <w:rPr>
                <w:sz w:val="20"/>
                <w:szCs w:val="20"/>
                <w:color w:val="auto"/>
              </w:rPr>
            </w:pPr>
            <w:r>
              <w:rPr>
                <w:rFonts w:ascii="Arial" w:cs="Arial" w:eastAsia="Arial" w:hAnsi="Arial"/>
                <w:sz w:val="16"/>
                <w:szCs w:val="16"/>
                <w:color w:val="auto"/>
              </w:rPr>
              <w:t>culture</w:t>
            </w:r>
          </w:p>
        </w:tc>
      </w:tr>
      <w:tr>
        <w:trPr>
          <w:trHeight w:val="73"/>
        </w:trPr>
        <w:tc>
          <w:tcPr>
            <w:tcW w:w="3720" w:type="dxa"/>
            <w:vAlign w:val="bottom"/>
            <w:tcBorders>
              <w:right w:val="single" w:sz="8" w:color="auto"/>
            </w:tcBorders>
            <w:shd w:val="clear" w:color="auto" w:fill="F0F1F8"/>
          </w:tcPr>
          <w:p>
            <w:pPr>
              <w:spacing w:after="0"/>
              <w:rPr>
                <w:sz w:val="6"/>
                <w:szCs w:val="6"/>
                <w:color w:val="auto"/>
              </w:rPr>
            </w:pPr>
          </w:p>
        </w:tc>
        <w:tc>
          <w:tcPr>
            <w:tcW w:w="3840" w:type="dxa"/>
            <w:vAlign w:val="bottom"/>
            <w:tcBorders>
              <w:right w:val="single" w:sz="8" w:color="auto"/>
            </w:tcBorders>
            <w:shd w:val="clear" w:color="auto" w:fill="F0F1F8"/>
          </w:tcPr>
          <w:p>
            <w:pPr>
              <w:spacing w:after="0"/>
              <w:rPr>
                <w:sz w:val="6"/>
                <w:szCs w:val="6"/>
                <w:color w:val="auto"/>
              </w:rPr>
            </w:pPr>
          </w:p>
        </w:tc>
        <w:tc>
          <w:tcPr>
            <w:tcW w:w="3680" w:type="dxa"/>
            <w:vAlign w:val="bottom"/>
            <w:tcBorders>
              <w:right w:val="single" w:sz="8" w:color="F0F1F8"/>
            </w:tcBorders>
            <w:shd w:val="clear" w:color="auto" w:fill="F0F1F8"/>
          </w:tcPr>
          <w:p>
            <w:pPr>
              <w:spacing w:after="0"/>
              <w:rPr>
                <w:sz w:val="6"/>
                <w:szCs w:val="6"/>
                <w:color w:val="auto"/>
              </w:rPr>
            </w:pPr>
          </w:p>
        </w:tc>
      </w:tr>
      <w:tr>
        <w:trPr>
          <w:trHeight w:val="250"/>
        </w:trPr>
        <w:tc>
          <w:tcPr>
            <w:tcW w:w="3720" w:type="dxa"/>
            <w:vAlign w:val="bottom"/>
            <w:tcBorders>
              <w:right w:val="single" w:sz="8" w:color="auto"/>
            </w:tcBorders>
          </w:tcPr>
          <w:p>
            <w:pPr>
              <w:ind w:left="100"/>
              <w:spacing w:after="0"/>
              <w:rPr>
                <w:sz w:val="20"/>
                <w:szCs w:val="20"/>
                <w:color w:val="auto"/>
              </w:rPr>
            </w:pPr>
            <w:r>
              <w:rPr>
                <w:rFonts w:ascii="Arial" w:cs="Arial" w:eastAsia="Arial" w:hAnsi="Arial"/>
                <w:sz w:val="16"/>
                <w:szCs w:val="16"/>
                <w:b w:val="1"/>
                <w:bCs w:val="1"/>
                <w:color w:val="auto"/>
              </w:rPr>
              <w:t>Request for disclosure around how the</w:t>
            </w:r>
          </w:p>
        </w:tc>
        <w:tc>
          <w:tcPr>
            <w:tcW w:w="38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 2021, added disclosures to reflect the</w:t>
            </w:r>
          </w:p>
        </w:tc>
        <w:tc>
          <w:tcPr>
            <w:tcW w:w="3680" w:type="dxa"/>
            <w:vAlign w:val="bottom"/>
          </w:tcPr>
          <w:p>
            <w:pPr>
              <w:ind w:left="80"/>
              <w:spacing w:after="0"/>
              <w:rPr>
                <w:sz w:val="20"/>
                <w:szCs w:val="20"/>
                <w:color w:val="auto"/>
              </w:rPr>
            </w:pPr>
            <w:r>
              <w:rPr>
                <w:rFonts w:ascii="Arial" w:cs="Arial" w:eastAsia="Arial" w:hAnsi="Arial"/>
                <w:sz w:val="16"/>
                <w:szCs w:val="16"/>
                <w:color w:val="auto"/>
              </w:rPr>
              <w:t>While the Company was less severely impacted</w:t>
            </w:r>
          </w:p>
        </w:tc>
      </w:tr>
      <w:tr>
        <w:trPr>
          <w:trHeight w:val="187"/>
        </w:trPr>
        <w:tc>
          <w:tcPr>
            <w:tcW w:w="3720" w:type="dxa"/>
            <w:vAlign w:val="bottom"/>
            <w:tcBorders>
              <w:right w:val="single" w:sz="8" w:color="auto"/>
            </w:tcBorders>
          </w:tcPr>
          <w:p>
            <w:pPr>
              <w:ind w:left="100"/>
              <w:spacing w:after="0"/>
              <w:rPr>
                <w:sz w:val="20"/>
                <w:szCs w:val="20"/>
                <w:color w:val="auto"/>
              </w:rPr>
            </w:pPr>
            <w:r>
              <w:rPr>
                <w:rFonts w:ascii="Arial" w:cs="Arial" w:eastAsia="Arial" w:hAnsi="Arial"/>
                <w:sz w:val="16"/>
                <w:szCs w:val="16"/>
                <w:b w:val="1"/>
                <w:bCs w:val="1"/>
                <w:color w:val="auto"/>
              </w:rPr>
              <w:t>COVID-19 pandemic impacted our</w:t>
            </w:r>
          </w:p>
        </w:tc>
        <w:tc>
          <w:tcPr>
            <w:tcW w:w="38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Compensation Committee’s decision not to make</w:t>
            </w:r>
          </w:p>
        </w:tc>
        <w:tc>
          <w:tcPr>
            <w:tcW w:w="3680" w:type="dxa"/>
            <w:vAlign w:val="bottom"/>
          </w:tcPr>
          <w:p>
            <w:pPr>
              <w:ind w:left="80"/>
              <w:spacing w:after="0"/>
              <w:rPr>
                <w:sz w:val="20"/>
                <w:szCs w:val="20"/>
                <w:color w:val="auto"/>
              </w:rPr>
            </w:pPr>
            <w:r>
              <w:rPr>
                <w:rFonts w:ascii="Arial" w:cs="Arial" w:eastAsia="Arial" w:hAnsi="Arial"/>
                <w:sz w:val="16"/>
                <w:szCs w:val="16"/>
                <w:color w:val="auto"/>
              </w:rPr>
              <w:t>by the pandemic than those in other industries,</w:t>
            </w:r>
          </w:p>
        </w:tc>
      </w:tr>
      <w:tr>
        <w:trPr>
          <w:trHeight w:val="207"/>
        </w:trPr>
        <w:tc>
          <w:tcPr>
            <w:tcW w:w="3720" w:type="dxa"/>
            <w:vAlign w:val="bottom"/>
            <w:tcBorders>
              <w:right w:val="single" w:sz="8" w:color="auto"/>
            </w:tcBorders>
          </w:tcPr>
          <w:p>
            <w:pPr>
              <w:ind w:left="100"/>
              <w:spacing w:after="0"/>
              <w:rPr>
                <w:sz w:val="20"/>
                <w:szCs w:val="20"/>
                <w:color w:val="auto"/>
              </w:rPr>
            </w:pPr>
            <w:r>
              <w:rPr>
                <w:rFonts w:ascii="Arial" w:cs="Arial" w:eastAsia="Arial" w:hAnsi="Arial"/>
                <w:sz w:val="16"/>
                <w:szCs w:val="16"/>
                <w:b w:val="1"/>
                <w:bCs w:val="1"/>
                <w:color w:val="auto"/>
              </w:rPr>
              <w:t>compensation program</w:t>
            </w:r>
          </w:p>
        </w:tc>
        <w:tc>
          <w:tcPr>
            <w:tcW w:w="38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any changes to the performance goals under the</w:t>
            </w:r>
          </w:p>
        </w:tc>
        <w:tc>
          <w:tcPr>
            <w:tcW w:w="3680" w:type="dxa"/>
            <w:vAlign w:val="bottom"/>
          </w:tcPr>
          <w:p>
            <w:pPr>
              <w:ind w:left="80"/>
              <w:spacing w:after="0"/>
              <w:rPr>
                <w:sz w:val="20"/>
                <w:szCs w:val="20"/>
                <w:color w:val="auto"/>
              </w:rPr>
            </w:pPr>
            <w:r>
              <w:rPr>
                <w:rFonts w:ascii="Arial" w:cs="Arial" w:eastAsia="Arial" w:hAnsi="Arial"/>
                <w:sz w:val="16"/>
                <w:szCs w:val="16"/>
                <w:color w:val="auto"/>
              </w:rPr>
              <w:t>we believe that our compensation program is</w:t>
            </w:r>
          </w:p>
        </w:tc>
      </w:tr>
      <w:tr>
        <w:trPr>
          <w:trHeight w:val="187"/>
        </w:trPr>
        <w:tc>
          <w:tcPr>
            <w:tcW w:w="3720" w:type="dxa"/>
            <w:vAlign w:val="bottom"/>
            <w:tcBorders>
              <w:right w:val="single" w:sz="8" w:color="auto"/>
            </w:tcBorders>
          </w:tcPr>
          <w:p>
            <w:pPr>
              <w:spacing w:after="0"/>
              <w:rPr>
                <w:sz w:val="16"/>
                <w:szCs w:val="16"/>
                <w:color w:val="auto"/>
              </w:rPr>
            </w:pPr>
          </w:p>
        </w:tc>
        <w:tc>
          <w:tcPr>
            <w:tcW w:w="38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AIP or LTIP (including the target performance</w:t>
            </w:r>
          </w:p>
        </w:tc>
        <w:tc>
          <w:tcPr>
            <w:tcW w:w="3680" w:type="dxa"/>
            <w:vAlign w:val="bottom"/>
          </w:tcPr>
          <w:p>
            <w:pPr>
              <w:ind w:left="80"/>
              <w:spacing w:after="0"/>
              <w:rPr>
                <w:sz w:val="20"/>
                <w:szCs w:val="20"/>
                <w:color w:val="auto"/>
              </w:rPr>
            </w:pPr>
            <w:r>
              <w:rPr>
                <w:rFonts w:ascii="Arial" w:cs="Arial" w:eastAsia="Arial" w:hAnsi="Arial"/>
                <w:sz w:val="16"/>
                <w:szCs w:val="16"/>
                <w:color w:val="auto"/>
              </w:rPr>
              <w:t>designed to reflect the economic realities of the</w:t>
            </w:r>
          </w:p>
        </w:tc>
      </w:tr>
      <w:tr>
        <w:trPr>
          <w:trHeight w:val="187"/>
        </w:trPr>
        <w:tc>
          <w:tcPr>
            <w:tcW w:w="3720" w:type="dxa"/>
            <w:vAlign w:val="bottom"/>
            <w:tcBorders>
              <w:right w:val="single" w:sz="8" w:color="auto"/>
            </w:tcBorders>
          </w:tcPr>
          <w:p>
            <w:pPr>
              <w:spacing w:after="0"/>
              <w:rPr>
                <w:sz w:val="16"/>
                <w:szCs w:val="16"/>
                <w:color w:val="auto"/>
              </w:rPr>
            </w:pPr>
          </w:p>
        </w:tc>
        <w:tc>
          <w:tcPr>
            <w:tcW w:w="38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levels or actual achievement levels) for 2021 in</w:t>
            </w:r>
          </w:p>
        </w:tc>
        <w:tc>
          <w:tcPr>
            <w:tcW w:w="3680" w:type="dxa"/>
            <w:vAlign w:val="bottom"/>
          </w:tcPr>
          <w:p>
            <w:pPr>
              <w:ind w:left="80"/>
              <w:spacing w:after="0"/>
              <w:rPr>
                <w:sz w:val="20"/>
                <w:szCs w:val="20"/>
                <w:color w:val="auto"/>
              </w:rPr>
            </w:pPr>
            <w:r>
              <w:rPr>
                <w:rFonts w:ascii="Arial" w:cs="Arial" w:eastAsia="Arial" w:hAnsi="Arial"/>
                <w:sz w:val="16"/>
                <w:szCs w:val="16"/>
                <w:color w:val="auto"/>
              </w:rPr>
              <w:t>operating environment and align with the impact</w:t>
            </w:r>
          </w:p>
        </w:tc>
      </w:tr>
      <w:tr>
        <w:trPr>
          <w:trHeight w:val="187"/>
        </w:trPr>
        <w:tc>
          <w:tcPr>
            <w:tcW w:w="3720" w:type="dxa"/>
            <w:vAlign w:val="bottom"/>
            <w:tcBorders>
              <w:right w:val="single" w:sz="8" w:color="auto"/>
            </w:tcBorders>
          </w:tcPr>
          <w:p>
            <w:pPr>
              <w:spacing w:after="0"/>
              <w:rPr>
                <w:sz w:val="16"/>
                <w:szCs w:val="16"/>
                <w:color w:val="auto"/>
              </w:rPr>
            </w:pPr>
          </w:p>
        </w:tc>
        <w:tc>
          <w:tcPr>
            <w:tcW w:w="38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response to the pandemic, including for any</w:t>
            </w:r>
          </w:p>
        </w:tc>
        <w:tc>
          <w:tcPr>
            <w:tcW w:w="3680" w:type="dxa"/>
            <w:vAlign w:val="bottom"/>
          </w:tcPr>
          <w:p>
            <w:pPr>
              <w:ind w:left="80"/>
              <w:spacing w:after="0"/>
              <w:rPr>
                <w:sz w:val="20"/>
                <w:szCs w:val="20"/>
                <w:color w:val="auto"/>
              </w:rPr>
            </w:pPr>
            <w:r>
              <w:rPr>
                <w:rFonts w:ascii="Arial" w:cs="Arial" w:eastAsia="Arial" w:hAnsi="Arial"/>
                <w:sz w:val="16"/>
                <w:szCs w:val="16"/>
                <w:color w:val="auto"/>
              </w:rPr>
              <w:t>of the operating environment on our stakeholders</w:t>
            </w:r>
          </w:p>
        </w:tc>
      </w:tr>
      <w:tr>
        <w:trPr>
          <w:trHeight w:val="193"/>
        </w:trPr>
        <w:tc>
          <w:tcPr>
            <w:tcW w:w="3720" w:type="dxa"/>
            <w:vAlign w:val="bottom"/>
            <w:tcBorders>
              <w:right w:val="single" w:sz="8" w:color="auto"/>
            </w:tcBorders>
          </w:tcPr>
          <w:p>
            <w:pPr>
              <w:spacing w:after="0"/>
              <w:rPr>
                <w:sz w:val="16"/>
                <w:szCs w:val="16"/>
                <w:color w:val="auto"/>
              </w:rPr>
            </w:pPr>
          </w:p>
        </w:tc>
        <w:tc>
          <w:tcPr>
            <w:tcW w:w="38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currently outstanding awards</w:t>
            </w:r>
          </w:p>
        </w:tc>
        <w:tc>
          <w:tcPr>
            <w:tcW w:w="3680" w:type="dxa"/>
            <w:vAlign w:val="bottom"/>
          </w:tcPr>
          <w:p>
            <w:pPr>
              <w:spacing w:after="0"/>
              <w:rPr>
                <w:sz w:val="16"/>
                <w:szCs w:val="16"/>
                <w:color w:val="auto"/>
              </w:rPr>
            </w:pPr>
          </w:p>
        </w:tc>
      </w:tr>
      <w:tr>
        <w:trPr>
          <w:trHeight w:val="73"/>
        </w:trPr>
        <w:tc>
          <w:tcPr>
            <w:tcW w:w="3720" w:type="dxa"/>
            <w:vAlign w:val="bottom"/>
            <w:tcBorders>
              <w:right w:val="single" w:sz="8" w:color="auto"/>
            </w:tcBorders>
          </w:tcPr>
          <w:p>
            <w:pPr>
              <w:spacing w:after="0"/>
              <w:rPr>
                <w:sz w:val="6"/>
                <w:szCs w:val="6"/>
                <w:color w:val="auto"/>
              </w:rPr>
            </w:pPr>
          </w:p>
        </w:tc>
        <w:tc>
          <w:tcPr>
            <w:tcW w:w="3840" w:type="dxa"/>
            <w:vAlign w:val="bottom"/>
            <w:tcBorders>
              <w:right w:val="single" w:sz="8" w:color="auto"/>
            </w:tcBorders>
          </w:tcPr>
          <w:p>
            <w:pPr>
              <w:spacing w:after="0"/>
              <w:rPr>
                <w:sz w:val="6"/>
                <w:szCs w:val="6"/>
                <w:color w:val="auto"/>
              </w:rPr>
            </w:pPr>
          </w:p>
        </w:tc>
        <w:tc>
          <w:tcPr>
            <w:tcW w:w="3680" w:type="dxa"/>
            <w:vAlign w:val="bottom"/>
          </w:tcPr>
          <w:p>
            <w:pPr>
              <w:spacing w:after="0"/>
              <w:rPr>
                <w:sz w:val="6"/>
                <w:szCs w:val="6"/>
                <w:color w:val="auto"/>
              </w:rPr>
            </w:pPr>
          </w:p>
        </w:tc>
      </w:tr>
      <w:tr>
        <w:trPr>
          <w:trHeight w:val="250"/>
        </w:trPr>
        <w:tc>
          <w:tcPr>
            <w:tcW w:w="3720" w:type="dxa"/>
            <w:vAlign w:val="bottom"/>
            <w:tcBorders>
              <w:right w:val="single" w:sz="8" w:color="auto"/>
            </w:tcBorders>
            <w:shd w:val="clear" w:color="auto" w:fill="F0F1F8"/>
          </w:tcPr>
          <w:p>
            <w:pPr>
              <w:ind w:left="100"/>
              <w:spacing w:after="0"/>
              <w:rPr>
                <w:sz w:val="20"/>
                <w:szCs w:val="20"/>
                <w:color w:val="auto"/>
              </w:rPr>
            </w:pPr>
            <w:r>
              <w:rPr>
                <w:rFonts w:ascii="Arial" w:cs="Arial" w:eastAsia="Arial" w:hAnsi="Arial"/>
                <w:sz w:val="16"/>
                <w:szCs w:val="16"/>
                <w:b w:val="1"/>
                <w:bCs w:val="1"/>
                <w:color w:val="auto"/>
              </w:rPr>
              <w:t>Stronger facilitation of an “owner-operator”</w:t>
            </w:r>
          </w:p>
        </w:tc>
        <w:tc>
          <w:tcPr>
            <w:tcW w:w="3840" w:type="dxa"/>
            <w:vAlign w:val="bottom"/>
            <w:tcBorders>
              <w:right w:val="single" w:sz="8" w:color="auto"/>
            </w:tcBorders>
            <w:shd w:val="clear" w:color="auto" w:fill="F0F1F8"/>
          </w:tcPr>
          <w:p>
            <w:pPr>
              <w:ind w:left="120"/>
              <w:spacing w:after="0"/>
              <w:rPr>
                <w:sz w:val="20"/>
                <w:szCs w:val="20"/>
                <w:color w:val="auto"/>
              </w:rPr>
            </w:pPr>
            <w:r>
              <w:rPr>
                <w:rFonts w:ascii="Arial" w:cs="Arial" w:eastAsia="Arial" w:hAnsi="Arial"/>
                <w:sz w:val="16"/>
                <w:szCs w:val="16"/>
                <w:color w:val="auto"/>
              </w:rPr>
              <w:t>In 2022, granted PSOs with a three-year</w:t>
            </w:r>
          </w:p>
        </w:tc>
        <w:tc>
          <w:tcPr>
            <w:tcW w:w="3680" w:type="dxa"/>
            <w:vAlign w:val="bottom"/>
            <w:tcBorders>
              <w:right w:val="single" w:sz="8" w:color="F0F1F8"/>
            </w:tcBorders>
            <w:shd w:val="clear" w:color="auto" w:fill="F0F1F8"/>
          </w:tcPr>
          <w:p>
            <w:pPr>
              <w:ind w:left="120"/>
              <w:spacing w:after="0"/>
              <w:rPr>
                <w:sz w:val="20"/>
                <w:szCs w:val="20"/>
                <w:color w:val="auto"/>
              </w:rPr>
            </w:pPr>
            <w:r>
              <w:rPr>
                <w:rFonts w:ascii="Arial" w:cs="Arial" w:eastAsia="Arial" w:hAnsi="Arial"/>
                <w:sz w:val="16"/>
                <w:szCs w:val="16"/>
                <w:color w:val="auto"/>
              </w:rPr>
              <w:t>We believe that the grant of PSOs with a focus</w:t>
            </w:r>
          </w:p>
        </w:tc>
      </w:tr>
      <w:tr>
        <w:trPr>
          <w:trHeight w:val="187"/>
        </w:trPr>
        <w:tc>
          <w:tcPr>
            <w:tcW w:w="3720" w:type="dxa"/>
            <w:vAlign w:val="bottom"/>
            <w:tcBorders>
              <w:right w:val="single" w:sz="8" w:color="auto"/>
            </w:tcBorders>
            <w:shd w:val="clear" w:color="auto" w:fill="F0F1F8"/>
          </w:tcPr>
          <w:p>
            <w:pPr>
              <w:ind w:left="100"/>
              <w:spacing w:after="0"/>
              <w:rPr>
                <w:sz w:val="20"/>
                <w:szCs w:val="20"/>
                <w:color w:val="auto"/>
              </w:rPr>
            </w:pPr>
            <w:r>
              <w:rPr>
                <w:rFonts w:ascii="Arial" w:cs="Arial" w:eastAsia="Arial" w:hAnsi="Arial"/>
                <w:sz w:val="16"/>
                <w:szCs w:val="16"/>
                <w:b w:val="1"/>
                <w:bCs w:val="1"/>
                <w:color w:val="auto"/>
              </w:rPr>
              <w:t>mindset and focus on longer-term strategic</w:t>
            </w:r>
          </w:p>
        </w:tc>
        <w:tc>
          <w:tcPr>
            <w:tcW w:w="3840" w:type="dxa"/>
            <w:vAlign w:val="bottom"/>
            <w:tcBorders>
              <w:right w:val="single" w:sz="8" w:color="auto"/>
            </w:tcBorders>
            <w:shd w:val="clear" w:color="auto" w:fill="F0F1F8"/>
          </w:tcPr>
          <w:p>
            <w:pPr>
              <w:ind w:left="120"/>
              <w:spacing w:after="0"/>
              <w:rPr>
                <w:sz w:val="20"/>
                <w:szCs w:val="20"/>
                <w:color w:val="auto"/>
              </w:rPr>
            </w:pPr>
            <w:r>
              <w:rPr>
                <w:rFonts w:ascii="Arial" w:cs="Arial" w:eastAsia="Arial" w:hAnsi="Arial"/>
                <w:sz w:val="16"/>
                <w:szCs w:val="16"/>
                <w:color w:val="auto"/>
              </w:rPr>
              <w:t>performance period, based on the combined level</w:t>
            </w:r>
          </w:p>
        </w:tc>
        <w:tc>
          <w:tcPr>
            <w:tcW w:w="3680" w:type="dxa"/>
            <w:vAlign w:val="bottom"/>
            <w:tcBorders>
              <w:right w:val="single" w:sz="8" w:color="F0F1F8"/>
            </w:tcBorders>
            <w:shd w:val="clear" w:color="auto" w:fill="F0F1F8"/>
          </w:tcPr>
          <w:p>
            <w:pPr>
              <w:ind w:left="120"/>
              <w:spacing w:after="0"/>
              <w:rPr>
                <w:sz w:val="20"/>
                <w:szCs w:val="20"/>
                <w:color w:val="auto"/>
              </w:rPr>
            </w:pPr>
            <w:r>
              <w:rPr>
                <w:rFonts w:ascii="Arial" w:cs="Arial" w:eastAsia="Arial" w:hAnsi="Arial"/>
                <w:sz w:val="16"/>
                <w:szCs w:val="16"/>
                <w:color w:val="auto"/>
              </w:rPr>
              <w:t>on financial and operating metrics will</w:t>
            </w:r>
          </w:p>
        </w:tc>
      </w:tr>
      <w:tr>
        <w:trPr>
          <w:trHeight w:val="207"/>
        </w:trPr>
        <w:tc>
          <w:tcPr>
            <w:tcW w:w="3720" w:type="dxa"/>
            <w:vAlign w:val="bottom"/>
            <w:tcBorders>
              <w:right w:val="single" w:sz="8" w:color="auto"/>
            </w:tcBorders>
            <w:shd w:val="clear" w:color="auto" w:fill="F0F1F8"/>
          </w:tcPr>
          <w:p>
            <w:pPr>
              <w:ind w:left="100"/>
              <w:spacing w:after="0"/>
              <w:rPr>
                <w:sz w:val="20"/>
                <w:szCs w:val="20"/>
                <w:color w:val="auto"/>
              </w:rPr>
            </w:pPr>
            <w:r>
              <w:rPr>
                <w:rFonts w:ascii="Arial" w:cs="Arial" w:eastAsia="Arial" w:hAnsi="Arial"/>
                <w:sz w:val="16"/>
                <w:szCs w:val="16"/>
                <w:b w:val="1"/>
                <w:bCs w:val="1"/>
                <w:color w:val="auto"/>
              </w:rPr>
              <w:t>goals</w:t>
            </w:r>
          </w:p>
        </w:tc>
        <w:tc>
          <w:tcPr>
            <w:tcW w:w="3840" w:type="dxa"/>
            <w:vAlign w:val="bottom"/>
            <w:tcBorders>
              <w:right w:val="single" w:sz="8" w:color="auto"/>
            </w:tcBorders>
            <w:shd w:val="clear" w:color="auto" w:fill="F0F1F8"/>
          </w:tcPr>
          <w:p>
            <w:pPr>
              <w:ind w:left="120"/>
              <w:spacing w:after="0"/>
              <w:rPr>
                <w:sz w:val="20"/>
                <w:szCs w:val="20"/>
                <w:color w:val="auto"/>
              </w:rPr>
            </w:pPr>
            <w:r>
              <w:rPr>
                <w:rFonts w:ascii="Arial" w:cs="Arial" w:eastAsia="Arial" w:hAnsi="Arial"/>
                <w:sz w:val="16"/>
                <w:szCs w:val="16"/>
                <w:color w:val="auto"/>
              </w:rPr>
              <w:t>of achievement of operating and financial metrics,</w:t>
            </w:r>
          </w:p>
        </w:tc>
        <w:tc>
          <w:tcPr>
            <w:tcW w:w="3680" w:type="dxa"/>
            <w:vAlign w:val="bottom"/>
            <w:tcBorders>
              <w:right w:val="single" w:sz="8" w:color="F0F1F8"/>
            </w:tcBorders>
            <w:shd w:val="clear" w:color="auto" w:fill="F0F1F8"/>
          </w:tcPr>
          <w:p>
            <w:pPr>
              <w:ind w:left="120"/>
              <w:spacing w:after="0"/>
              <w:rPr>
                <w:sz w:val="20"/>
                <w:szCs w:val="20"/>
                <w:color w:val="auto"/>
              </w:rPr>
            </w:pPr>
            <w:r>
              <w:rPr>
                <w:rFonts w:ascii="Arial" w:cs="Arial" w:eastAsia="Arial" w:hAnsi="Arial"/>
                <w:sz w:val="16"/>
                <w:szCs w:val="16"/>
                <w:color w:val="auto"/>
              </w:rPr>
              <w:t>complement the metrics used in PSUs and</w:t>
            </w:r>
          </w:p>
        </w:tc>
      </w:tr>
      <w:tr>
        <w:trPr>
          <w:trHeight w:val="187"/>
        </w:trPr>
        <w:tc>
          <w:tcPr>
            <w:tcW w:w="3720" w:type="dxa"/>
            <w:vAlign w:val="bottom"/>
            <w:tcBorders>
              <w:right w:val="single" w:sz="8" w:color="auto"/>
            </w:tcBorders>
            <w:shd w:val="clear" w:color="auto" w:fill="F0F1F8"/>
          </w:tcPr>
          <w:p>
            <w:pPr>
              <w:spacing w:after="0"/>
              <w:rPr>
                <w:sz w:val="16"/>
                <w:szCs w:val="16"/>
                <w:color w:val="auto"/>
              </w:rPr>
            </w:pPr>
          </w:p>
        </w:tc>
        <w:tc>
          <w:tcPr>
            <w:tcW w:w="3840" w:type="dxa"/>
            <w:vAlign w:val="bottom"/>
            <w:tcBorders>
              <w:right w:val="single" w:sz="8" w:color="auto"/>
            </w:tcBorders>
            <w:shd w:val="clear" w:color="auto" w:fill="F0F1F8"/>
          </w:tcPr>
          <w:p>
            <w:pPr>
              <w:ind w:left="120"/>
              <w:spacing w:after="0"/>
              <w:rPr>
                <w:sz w:val="20"/>
                <w:szCs w:val="20"/>
                <w:color w:val="auto"/>
              </w:rPr>
            </w:pPr>
            <w:r>
              <w:rPr>
                <w:rFonts w:ascii="Arial" w:cs="Arial" w:eastAsia="Arial" w:hAnsi="Arial"/>
                <w:sz w:val="16"/>
                <w:szCs w:val="16"/>
                <w:color w:val="auto"/>
              </w:rPr>
              <w:t>and a ten-year term. PSOs replaced the grant of</w:t>
            </w:r>
          </w:p>
        </w:tc>
        <w:tc>
          <w:tcPr>
            <w:tcW w:w="3680" w:type="dxa"/>
            <w:vAlign w:val="bottom"/>
            <w:tcBorders>
              <w:right w:val="single" w:sz="8" w:color="F0F1F8"/>
            </w:tcBorders>
            <w:shd w:val="clear" w:color="auto" w:fill="F0F1F8"/>
          </w:tcPr>
          <w:p>
            <w:pPr>
              <w:ind w:left="120"/>
              <w:spacing w:after="0"/>
              <w:rPr>
                <w:sz w:val="20"/>
                <w:szCs w:val="20"/>
                <w:color w:val="auto"/>
              </w:rPr>
            </w:pPr>
            <w:r>
              <w:rPr>
                <w:rFonts w:ascii="Arial" w:cs="Arial" w:eastAsia="Arial" w:hAnsi="Arial"/>
                <w:sz w:val="16"/>
                <w:szCs w:val="16"/>
                <w:color w:val="auto"/>
              </w:rPr>
              <w:t>provide greater incentives for the execution of</w:t>
            </w:r>
          </w:p>
        </w:tc>
      </w:tr>
      <w:tr>
        <w:trPr>
          <w:trHeight w:val="193"/>
        </w:trPr>
        <w:tc>
          <w:tcPr>
            <w:tcW w:w="3720" w:type="dxa"/>
            <w:vAlign w:val="bottom"/>
            <w:tcBorders>
              <w:right w:val="single" w:sz="8" w:color="auto"/>
            </w:tcBorders>
            <w:shd w:val="clear" w:color="auto" w:fill="F0F1F8"/>
          </w:tcPr>
          <w:p>
            <w:pPr>
              <w:spacing w:after="0"/>
              <w:rPr>
                <w:sz w:val="16"/>
                <w:szCs w:val="16"/>
                <w:color w:val="auto"/>
              </w:rPr>
            </w:pPr>
          </w:p>
        </w:tc>
        <w:tc>
          <w:tcPr>
            <w:tcW w:w="3840" w:type="dxa"/>
            <w:vAlign w:val="bottom"/>
            <w:tcBorders>
              <w:right w:val="single" w:sz="8" w:color="auto"/>
            </w:tcBorders>
            <w:shd w:val="clear" w:color="auto" w:fill="F0F1F8"/>
          </w:tcPr>
          <w:p>
            <w:pPr>
              <w:ind w:left="120"/>
              <w:spacing w:after="0"/>
              <w:rPr>
                <w:sz w:val="20"/>
                <w:szCs w:val="20"/>
                <w:color w:val="auto"/>
              </w:rPr>
            </w:pPr>
            <w:r>
              <w:rPr>
                <w:rFonts w:ascii="Arial" w:cs="Arial" w:eastAsia="Arial" w:hAnsi="Arial"/>
                <w:sz w:val="16"/>
                <w:szCs w:val="16"/>
                <w:color w:val="auto"/>
              </w:rPr>
              <w:t>5-Year PSUs</w:t>
            </w:r>
          </w:p>
        </w:tc>
        <w:tc>
          <w:tcPr>
            <w:tcW w:w="3680" w:type="dxa"/>
            <w:vAlign w:val="bottom"/>
            <w:tcBorders>
              <w:right w:val="single" w:sz="8" w:color="F0F1F8"/>
            </w:tcBorders>
            <w:shd w:val="clear" w:color="auto" w:fill="F0F1F8"/>
          </w:tcPr>
          <w:p>
            <w:pPr>
              <w:ind w:left="120"/>
              <w:spacing w:after="0"/>
              <w:rPr>
                <w:sz w:val="20"/>
                <w:szCs w:val="20"/>
                <w:color w:val="auto"/>
              </w:rPr>
            </w:pPr>
            <w:r>
              <w:rPr>
                <w:rFonts w:ascii="Arial" w:cs="Arial" w:eastAsia="Arial" w:hAnsi="Arial"/>
                <w:sz w:val="16"/>
                <w:szCs w:val="16"/>
                <w:color w:val="auto"/>
              </w:rPr>
              <w:t>the Company’s strategic plan</w:t>
            </w:r>
          </w:p>
        </w:tc>
      </w:tr>
      <w:tr>
        <w:trPr>
          <w:trHeight w:val="369"/>
        </w:trPr>
        <w:tc>
          <w:tcPr>
            <w:tcW w:w="3720" w:type="dxa"/>
            <w:vAlign w:val="bottom"/>
            <w:tcBorders>
              <w:right w:val="single" w:sz="8" w:color="auto"/>
            </w:tcBorders>
            <w:shd w:val="clear" w:color="auto" w:fill="F0F1F8"/>
          </w:tcPr>
          <w:p>
            <w:pPr>
              <w:spacing w:after="0"/>
              <w:rPr>
                <w:sz w:val="24"/>
                <w:szCs w:val="24"/>
                <w:color w:val="auto"/>
              </w:rPr>
            </w:pPr>
          </w:p>
        </w:tc>
        <w:tc>
          <w:tcPr>
            <w:tcW w:w="3840" w:type="dxa"/>
            <w:vAlign w:val="bottom"/>
            <w:tcBorders>
              <w:right w:val="single" w:sz="8" w:color="auto"/>
            </w:tcBorders>
            <w:shd w:val="clear" w:color="auto" w:fill="F0F1F8"/>
          </w:tcPr>
          <w:p>
            <w:pPr>
              <w:ind w:left="120"/>
              <w:spacing w:after="0"/>
              <w:rPr>
                <w:sz w:val="20"/>
                <w:szCs w:val="20"/>
                <w:color w:val="auto"/>
              </w:rPr>
            </w:pPr>
            <w:r>
              <w:rPr>
                <w:rFonts w:ascii="Arial" w:cs="Arial" w:eastAsia="Arial" w:hAnsi="Arial"/>
                <w:sz w:val="16"/>
                <w:szCs w:val="16"/>
                <w:color w:val="auto"/>
              </w:rPr>
              <w:t>Implemented more rigorous stock ownership and</w:t>
            </w:r>
          </w:p>
        </w:tc>
        <w:tc>
          <w:tcPr>
            <w:tcW w:w="3680" w:type="dxa"/>
            <w:vAlign w:val="bottom"/>
            <w:tcBorders>
              <w:right w:val="single" w:sz="8" w:color="F0F1F8"/>
            </w:tcBorders>
            <w:shd w:val="clear" w:color="auto" w:fill="F0F1F8"/>
          </w:tcPr>
          <w:p>
            <w:pPr>
              <w:ind w:left="120"/>
              <w:spacing w:after="0"/>
              <w:rPr>
                <w:sz w:val="20"/>
                <w:szCs w:val="20"/>
                <w:color w:val="auto"/>
              </w:rPr>
            </w:pPr>
            <w:r>
              <w:rPr>
                <w:rFonts w:ascii="Arial" w:cs="Arial" w:eastAsia="Arial" w:hAnsi="Arial"/>
                <w:sz w:val="16"/>
                <w:szCs w:val="16"/>
                <w:color w:val="auto"/>
              </w:rPr>
              <w:t>We believe our 2022 LTIP program together with</w:t>
            </w:r>
          </w:p>
        </w:tc>
      </w:tr>
      <w:tr>
        <w:trPr>
          <w:trHeight w:val="187"/>
        </w:trPr>
        <w:tc>
          <w:tcPr>
            <w:tcW w:w="3720" w:type="dxa"/>
            <w:vAlign w:val="bottom"/>
            <w:tcBorders>
              <w:right w:val="single" w:sz="8" w:color="auto"/>
            </w:tcBorders>
            <w:shd w:val="clear" w:color="auto" w:fill="F0F1F8"/>
          </w:tcPr>
          <w:p>
            <w:pPr>
              <w:spacing w:after="0"/>
              <w:rPr>
                <w:sz w:val="16"/>
                <w:szCs w:val="16"/>
                <w:color w:val="auto"/>
              </w:rPr>
            </w:pPr>
          </w:p>
        </w:tc>
        <w:tc>
          <w:tcPr>
            <w:tcW w:w="3840" w:type="dxa"/>
            <w:vAlign w:val="bottom"/>
            <w:tcBorders>
              <w:right w:val="single" w:sz="8" w:color="auto"/>
            </w:tcBorders>
            <w:shd w:val="clear" w:color="auto" w:fill="F0F1F8"/>
          </w:tcPr>
          <w:p>
            <w:pPr>
              <w:ind w:left="120"/>
              <w:spacing w:after="0"/>
              <w:rPr>
                <w:sz w:val="20"/>
                <w:szCs w:val="20"/>
                <w:color w:val="auto"/>
              </w:rPr>
            </w:pPr>
            <w:r>
              <w:rPr>
                <w:rFonts w:ascii="Arial" w:cs="Arial" w:eastAsia="Arial" w:hAnsi="Arial"/>
                <w:sz w:val="16"/>
                <w:szCs w:val="16"/>
                <w:color w:val="auto"/>
              </w:rPr>
              <w:t>retention guidelines</w:t>
            </w:r>
          </w:p>
        </w:tc>
        <w:tc>
          <w:tcPr>
            <w:tcW w:w="3680" w:type="dxa"/>
            <w:vAlign w:val="bottom"/>
            <w:tcBorders>
              <w:right w:val="single" w:sz="8" w:color="F0F1F8"/>
            </w:tcBorders>
            <w:shd w:val="clear" w:color="auto" w:fill="F0F1F8"/>
          </w:tcPr>
          <w:p>
            <w:pPr>
              <w:ind w:left="120"/>
              <w:spacing w:after="0"/>
              <w:rPr>
                <w:sz w:val="20"/>
                <w:szCs w:val="20"/>
                <w:color w:val="auto"/>
              </w:rPr>
            </w:pPr>
            <w:r>
              <w:rPr>
                <w:rFonts w:ascii="Arial" w:cs="Arial" w:eastAsia="Arial" w:hAnsi="Arial"/>
                <w:sz w:val="16"/>
                <w:szCs w:val="16"/>
                <w:color w:val="auto"/>
              </w:rPr>
              <w:t>our enhanced stock ownership guidelines will</w:t>
            </w:r>
          </w:p>
        </w:tc>
      </w:tr>
      <w:tr>
        <w:trPr>
          <w:trHeight w:val="193"/>
        </w:trPr>
        <w:tc>
          <w:tcPr>
            <w:tcW w:w="3720" w:type="dxa"/>
            <w:vAlign w:val="bottom"/>
            <w:tcBorders>
              <w:right w:val="single" w:sz="8" w:color="auto"/>
            </w:tcBorders>
            <w:shd w:val="clear" w:color="auto" w:fill="F0F1F8"/>
          </w:tcPr>
          <w:p>
            <w:pPr>
              <w:spacing w:after="0"/>
              <w:rPr>
                <w:sz w:val="16"/>
                <w:szCs w:val="16"/>
                <w:color w:val="auto"/>
              </w:rPr>
            </w:pPr>
          </w:p>
        </w:tc>
        <w:tc>
          <w:tcPr>
            <w:tcW w:w="3840" w:type="dxa"/>
            <w:vAlign w:val="bottom"/>
            <w:tcBorders>
              <w:right w:val="single" w:sz="8" w:color="auto"/>
            </w:tcBorders>
            <w:shd w:val="clear" w:color="auto" w:fill="F0F1F8"/>
          </w:tcPr>
          <w:p>
            <w:pPr>
              <w:spacing w:after="0"/>
              <w:rPr>
                <w:sz w:val="16"/>
                <w:szCs w:val="16"/>
                <w:color w:val="auto"/>
              </w:rPr>
            </w:pPr>
          </w:p>
        </w:tc>
        <w:tc>
          <w:tcPr>
            <w:tcW w:w="3680" w:type="dxa"/>
            <w:vAlign w:val="bottom"/>
            <w:tcBorders>
              <w:right w:val="single" w:sz="8" w:color="F0F1F8"/>
            </w:tcBorders>
            <w:shd w:val="clear" w:color="auto" w:fill="F0F1F8"/>
          </w:tcPr>
          <w:p>
            <w:pPr>
              <w:ind w:left="120"/>
              <w:spacing w:after="0"/>
              <w:rPr>
                <w:sz w:val="20"/>
                <w:szCs w:val="20"/>
                <w:color w:val="auto"/>
              </w:rPr>
            </w:pPr>
            <w:r>
              <w:rPr>
                <w:rFonts w:ascii="Arial" w:cs="Arial" w:eastAsia="Arial" w:hAnsi="Arial"/>
                <w:sz w:val="16"/>
                <w:szCs w:val="16"/>
                <w:color w:val="auto"/>
              </w:rPr>
              <w:t>further an “owner-operator” mindset</w:t>
            </w:r>
          </w:p>
        </w:tc>
      </w:tr>
      <w:tr>
        <w:trPr>
          <w:trHeight w:val="73"/>
        </w:trPr>
        <w:tc>
          <w:tcPr>
            <w:tcW w:w="3720" w:type="dxa"/>
            <w:vAlign w:val="bottom"/>
            <w:tcBorders>
              <w:right w:val="single" w:sz="8" w:color="auto"/>
            </w:tcBorders>
            <w:shd w:val="clear" w:color="auto" w:fill="F0F1F8"/>
          </w:tcPr>
          <w:p>
            <w:pPr>
              <w:spacing w:after="0"/>
              <w:rPr>
                <w:sz w:val="6"/>
                <w:szCs w:val="6"/>
                <w:color w:val="auto"/>
              </w:rPr>
            </w:pPr>
          </w:p>
        </w:tc>
        <w:tc>
          <w:tcPr>
            <w:tcW w:w="3840" w:type="dxa"/>
            <w:vAlign w:val="bottom"/>
            <w:tcBorders>
              <w:right w:val="single" w:sz="8" w:color="auto"/>
            </w:tcBorders>
            <w:shd w:val="clear" w:color="auto" w:fill="F0F1F8"/>
          </w:tcPr>
          <w:p>
            <w:pPr>
              <w:spacing w:after="0"/>
              <w:rPr>
                <w:sz w:val="6"/>
                <w:szCs w:val="6"/>
                <w:color w:val="auto"/>
              </w:rPr>
            </w:pPr>
          </w:p>
        </w:tc>
        <w:tc>
          <w:tcPr>
            <w:tcW w:w="3680" w:type="dxa"/>
            <w:vAlign w:val="bottom"/>
            <w:tcBorders>
              <w:right w:val="single" w:sz="8" w:color="F0F1F8"/>
            </w:tcBorders>
            <w:shd w:val="clear" w:color="auto" w:fill="F0F1F8"/>
          </w:tcPr>
          <w:p>
            <w:pPr>
              <w:spacing w:after="0"/>
              <w:rPr>
                <w:sz w:val="6"/>
                <w:szCs w:val="6"/>
                <w:color w:val="auto"/>
              </w:rPr>
            </w:pPr>
          </w:p>
        </w:tc>
      </w:tr>
      <w:tr>
        <w:trPr>
          <w:trHeight w:val="250"/>
        </w:trPr>
        <w:tc>
          <w:tcPr>
            <w:tcW w:w="3720" w:type="dxa"/>
            <w:vAlign w:val="bottom"/>
            <w:tcBorders>
              <w:right w:val="single" w:sz="8" w:color="auto"/>
            </w:tcBorders>
          </w:tcPr>
          <w:p>
            <w:pPr>
              <w:ind w:left="100"/>
              <w:spacing w:after="0"/>
              <w:rPr>
                <w:sz w:val="20"/>
                <w:szCs w:val="20"/>
                <w:color w:val="auto"/>
              </w:rPr>
            </w:pPr>
            <w:r>
              <w:rPr>
                <w:rFonts w:ascii="Arial" w:cs="Arial" w:eastAsia="Arial" w:hAnsi="Arial"/>
                <w:sz w:val="16"/>
                <w:szCs w:val="16"/>
                <w:b w:val="1"/>
                <w:bCs w:val="1"/>
                <w:color w:val="auto"/>
              </w:rPr>
              <w:t>Request for disclosure around how our</w:t>
            </w:r>
          </w:p>
        </w:tc>
        <w:tc>
          <w:tcPr>
            <w:tcW w:w="38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 2022, added disclosure regarding NEO</w:t>
            </w:r>
          </w:p>
        </w:tc>
        <w:tc>
          <w:tcPr>
            <w:tcW w:w="3680" w:type="dxa"/>
            <w:vAlign w:val="bottom"/>
          </w:tcPr>
          <w:p>
            <w:pPr>
              <w:ind w:left="80"/>
              <w:spacing w:after="0"/>
              <w:rPr>
                <w:sz w:val="20"/>
                <w:szCs w:val="20"/>
                <w:color w:val="auto"/>
              </w:rPr>
            </w:pPr>
            <w:r>
              <w:rPr>
                <w:rFonts w:ascii="Arial" w:cs="Arial" w:eastAsia="Arial" w:hAnsi="Arial"/>
                <w:sz w:val="16"/>
                <w:szCs w:val="16"/>
                <w:color w:val="auto"/>
              </w:rPr>
              <w:t>We believe it is important to convey transparent</w:t>
            </w:r>
          </w:p>
        </w:tc>
      </w:tr>
      <w:tr>
        <w:trPr>
          <w:trHeight w:val="187"/>
        </w:trPr>
        <w:tc>
          <w:tcPr>
            <w:tcW w:w="3720" w:type="dxa"/>
            <w:vAlign w:val="bottom"/>
            <w:tcBorders>
              <w:right w:val="single" w:sz="8" w:color="auto"/>
            </w:tcBorders>
          </w:tcPr>
          <w:p>
            <w:pPr>
              <w:ind w:left="100"/>
              <w:spacing w:after="0"/>
              <w:rPr>
                <w:sz w:val="20"/>
                <w:szCs w:val="20"/>
                <w:color w:val="auto"/>
              </w:rPr>
            </w:pPr>
            <w:r>
              <w:rPr>
                <w:rFonts w:ascii="Arial" w:cs="Arial" w:eastAsia="Arial" w:hAnsi="Arial"/>
                <w:sz w:val="16"/>
                <w:szCs w:val="16"/>
                <w:b w:val="1"/>
                <w:bCs w:val="1"/>
                <w:color w:val="auto"/>
              </w:rPr>
              <w:t>Compensation Committee assessed</w:t>
            </w:r>
          </w:p>
        </w:tc>
        <w:tc>
          <w:tcPr>
            <w:tcW w:w="38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performance with respect to DE&amp;I Goals as well as</w:t>
            </w:r>
          </w:p>
        </w:tc>
        <w:tc>
          <w:tcPr>
            <w:tcW w:w="3680" w:type="dxa"/>
            <w:vAlign w:val="bottom"/>
          </w:tcPr>
          <w:p>
            <w:pPr>
              <w:ind w:left="80"/>
              <w:spacing w:after="0"/>
              <w:rPr>
                <w:sz w:val="20"/>
                <w:szCs w:val="20"/>
                <w:color w:val="auto"/>
              </w:rPr>
            </w:pPr>
            <w:r>
              <w:rPr>
                <w:rFonts w:ascii="Arial" w:cs="Arial" w:eastAsia="Arial" w:hAnsi="Arial"/>
                <w:sz w:val="16"/>
                <w:szCs w:val="16"/>
                <w:color w:val="auto"/>
              </w:rPr>
              <w:t>information around the achievement of DE&amp;I</w:t>
            </w:r>
          </w:p>
        </w:tc>
      </w:tr>
      <w:tr>
        <w:trPr>
          <w:trHeight w:val="207"/>
        </w:trPr>
        <w:tc>
          <w:tcPr>
            <w:tcW w:w="3720" w:type="dxa"/>
            <w:vAlign w:val="bottom"/>
            <w:tcBorders>
              <w:right w:val="single" w:sz="8" w:color="auto"/>
            </w:tcBorders>
          </w:tcPr>
          <w:p>
            <w:pPr>
              <w:ind w:left="100"/>
              <w:spacing w:after="0"/>
              <w:rPr>
                <w:sz w:val="20"/>
                <w:szCs w:val="20"/>
                <w:color w:val="auto"/>
              </w:rPr>
            </w:pPr>
            <w:r>
              <w:rPr>
                <w:rFonts w:ascii="Arial" w:cs="Arial" w:eastAsia="Arial" w:hAnsi="Arial"/>
                <w:sz w:val="16"/>
                <w:szCs w:val="16"/>
                <w:b w:val="1"/>
                <w:bCs w:val="1"/>
                <w:color w:val="auto"/>
              </w:rPr>
              <w:t>performance for purposes of DE&amp;I Goals</w:t>
            </w:r>
          </w:p>
        </w:tc>
        <w:tc>
          <w:tcPr>
            <w:tcW w:w="38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the Company-wide approach to assessing</w:t>
            </w:r>
          </w:p>
        </w:tc>
        <w:tc>
          <w:tcPr>
            <w:tcW w:w="3680" w:type="dxa"/>
            <w:vAlign w:val="bottom"/>
          </w:tcPr>
          <w:p>
            <w:pPr>
              <w:ind w:left="80"/>
              <w:spacing w:after="0"/>
              <w:rPr>
                <w:sz w:val="20"/>
                <w:szCs w:val="20"/>
                <w:color w:val="auto"/>
              </w:rPr>
            </w:pPr>
            <w:r>
              <w:rPr>
                <w:rFonts w:ascii="Arial" w:cs="Arial" w:eastAsia="Arial" w:hAnsi="Arial"/>
                <w:sz w:val="16"/>
                <w:szCs w:val="16"/>
                <w:color w:val="auto"/>
              </w:rPr>
              <w:t>Goals by our senior leaders as well as our</w:t>
            </w:r>
          </w:p>
        </w:tc>
      </w:tr>
      <w:tr>
        <w:trPr>
          <w:trHeight w:val="187"/>
        </w:trPr>
        <w:tc>
          <w:tcPr>
            <w:tcW w:w="3720" w:type="dxa"/>
            <w:vAlign w:val="bottom"/>
            <w:tcBorders>
              <w:right w:val="single" w:sz="8" w:color="auto"/>
            </w:tcBorders>
          </w:tcPr>
          <w:p>
            <w:pPr>
              <w:spacing w:after="0"/>
              <w:rPr>
                <w:sz w:val="16"/>
                <w:szCs w:val="16"/>
                <w:color w:val="auto"/>
              </w:rPr>
            </w:pPr>
          </w:p>
        </w:tc>
        <w:tc>
          <w:tcPr>
            <w:tcW w:w="38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performance against DE&amp;I Goals through our</w:t>
            </w:r>
          </w:p>
        </w:tc>
        <w:tc>
          <w:tcPr>
            <w:tcW w:w="3680" w:type="dxa"/>
            <w:vAlign w:val="bottom"/>
          </w:tcPr>
          <w:p>
            <w:pPr>
              <w:ind w:left="80"/>
              <w:spacing w:after="0"/>
              <w:rPr>
                <w:sz w:val="20"/>
                <w:szCs w:val="20"/>
                <w:color w:val="auto"/>
              </w:rPr>
            </w:pPr>
            <w:r>
              <w:rPr>
                <w:rFonts w:ascii="Arial" w:cs="Arial" w:eastAsia="Arial" w:hAnsi="Arial"/>
                <w:sz w:val="16"/>
                <w:szCs w:val="16"/>
                <w:color w:val="auto"/>
              </w:rPr>
              <w:t>process of assessing those goals</w:t>
            </w:r>
          </w:p>
        </w:tc>
      </w:tr>
      <w:tr>
        <w:trPr>
          <w:trHeight w:val="193"/>
        </w:trPr>
        <w:tc>
          <w:tcPr>
            <w:tcW w:w="3720" w:type="dxa"/>
            <w:vAlign w:val="bottom"/>
            <w:tcBorders>
              <w:right w:val="single" w:sz="8" w:color="auto"/>
            </w:tcBorders>
          </w:tcPr>
          <w:p>
            <w:pPr>
              <w:spacing w:after="0"/>
              <w:rPr>
                <w:sz w:val="16"/>
                <w:szCs w:val="16"/>
                <w:color w:val="auto"/>
              </w:rPr>
            </w:pPr>
          </w:p>
        </w:tc>
        <w:tc>
          <w:tcPr>
            <w:tcW w:w="38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Executive Accountability Framework</w:t>
            </w:r>
          </w:p>
        </w:tc>
        <w:tc>
          <w:tcPr>
            <w:tcW w:w="3680" w:type="dxa"/>
            <w:vAlign w:val="bottom"/>
          </w:tcPr>
          <w:p>
            <w:pPr>
              <w:spacing w:after="0"/>
              <w:rPr>
                <w:sz w:val="16"/>
                <w:szCs w:val="16"/>
                <w:color w:val="auto"/>
              </w:rPr>
            </w:pPr>
          </w:p>
        </w:tc>
      </w:tr>
      <w:tr>
        <w:trPr>
          <w:trHeight w:val="106"/>
        </w:trPr>
        <w:tc>
          <w:tcPr>
            <w:tcW w:w="3720" w:type="dxa"/>
            <w:vAlign w:val="bottom"/>
            <w:tcBorders>
              <w:bottom w:val="single" w:sz="8" w:color="auto"/>
              <w:right w:val="single" w:sz="8" w:color="auto"/>
            </w:tcBorders>
          </w:tcPr>
          <w:p>
            <w:pPr>
              <w:spacing w:after="0"/>
              <w:rPr>
                <w:sz w:val="9"/>
                <w:szCs w:val="9"/>
                <w:color w:val="auto"/>
              </w:rPr>
            </w:pPr>
          </w:p>
        </w:tc>
        <w:tc>
          <w:tcPr>
            <w:tcW w:w="38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2359660</wp:posOffset>
            </wp:positionH>
            <wp:positionV relativeFrom="paragraph">
              <wp:posOffset>-3417570</wp:posOffset>
            </wp:positionV>
            <wp:extent cx="25400" cy="5778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5400" cy="577850"/>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-3417570</wp:posOffset>
            </wp:positionV>
            <wp:extent cx="25400" cy="5778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5400" cy="577850"/>
                    </a:xfrm>
                    <a:prstGeom prst="rect">
                      <a:avLst/>
                    </a:prstGeom>
                    <a:noFill/>
                  </pic:spPr>
                </pic:pic>
              </a:graphicData>
            </a:graphic>
          </wp:anchor>
        </w:drawing>
        <w:drawing>
          <wp:anchor simplePos="0" relativeHeight="251657728" behindDoc="1" locked="0" layoutInCell="0" allowOverlap="1">
            <wp:simplePos x="0" y="0"/>
            <wp:positionH relativeFrom="column">
              <wp:posOffset>2359660</wp:posOffset>
            </wp:positionH>
            <wp:positionV relativeFrom="paragraph">
              <wp:posOffset>-1903730</wp:posOffset>
            </wp:positionV>
            <wp:extent cx="25400" cy="117348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5400" cy="1173480"/>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-1903730</wp:posOffset>
            </wp:positionV>
            <wp:extent cx="25400" cy="117348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5400" cy="1173480"/>
                    </a:xfrm>
                    <a:prstGeom prst="rect">
                      <a:avLst/>
                    </a:prstGeom>
                    <a:noFill/>
                  </pic:spPr>
                </pic:pic>
              </a:graphicData>
            </a:graphic>
          </wp:anchor>
        </w:drawing>
      </w:r>
    </w:p>
    <w:p>
      <w:pPr>
        <w:spacing w:after="0" w:line="143"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auto"/>
        </w:rPr>
        <w:t>The Company will continue to maintain an active dialogue with shareholders and evaluate feedback on issues of importance to them, including the metrics that drive each of our NEO’s compensation. See page 40 of this Proxy Statement for additional information on our shareholder engagement efforts in 2021.</w:t>
      </w:r>
    </w:p>
    <w:p>
      <w:pPr>
        <w:spacing w:after="0" w:line="109" w:lineRule="exact"/>
        <w:rPr>
          <w:sz w:val="20"/>
          <w:szCs w:val="20"/>
          <w:color w:val="auto"/>
        </w:rPr>
      </w:pPr>
    </w:p>
    <w:p>
      <w:pPr>
        <w:spacing w:after="0"/>
        <w:rPr>
          <w:sz w:val="20"/>
          <w:szCs w:val="20"/>
          <w:color w:val="auto"/>
        </w:rPr>
      </w:pPr>
      <w:r>
        <w:rPr>
          <w:rFonts w:ascii="Arial" w:cs="Arial" w:eastAsia="Arial" w:hAnsi="Arial"/>
          <w:sz w:val="21"/>
          <w:szCs w:val="21"/>
          <w:b w:val="1"/>
          <w:bCs w:val="1"/>
          <w:color w:val="16479F"/>
        </w:rPr>
        <w:t>Peer Groups</w:t>
      </w:r>
    </w:p>
    <w:p>
      <w:pPr>
        <w:spacing w:after="0" w:line="208" w:lineRule="exact"/>
        <w:rPr>
          <w:sz w:val="20"/>
          <w:szCs w:val="20"/>
          <w:color w:val="auto"/>
        </w:rPr>
      </w:pPr>
    </w:p>
    <w:p>
      <w:pPr>
        <w:ind w:right="360"/>
        <w:spacing w:after="0" w:line="248" w:lineRule="auto"/>
        <w:rPr>
          <w:sz w:val="20"/>
          <w:szCs w:val="20"/>
          <w:color w:val="auto"/>
        </w:rPr>
      </w:pPr>
      <w:r>
        <w:rPr>
          <w:rFonts w:ascii="Arial" w:cs="Arial" w:eastAsia="Arial" w:hAnsi="Arial"/>
          <w:sz w:val="16"/>
          <w:szCs w:val="16"/>
          <w:color w:val="auto"/>
        </w:rPr>
        <w:t>To ensure competitiveness of compensation structures and pay levels for our NEOs, the Compensation Committee conducts an annual review of peer company compensation data. Each year, prior to beginning this review, the Compensation Committee examines the composition of companies previously considered our peer companies to make certain that the selected companies continue to be relevant as evaluated according to the following screening criteria:</w:t>
      </w:r>
    </w:p>
    <w:p>
      <w:pPr>
        <w:spacing w:after="0" w:line="150" w:lineRule="exact"/>
        <w:rPr>
          <w:sz w:val="20"/>
          <w:szCs w:val="20"/>
          <w:color w:val="auto"/>
        </w:rPr>
      </w:pPr>
    </w:p>
    <w:p>
      <w:pPr>
        <w:ind w:left="240" w:hanging="233"/>
        <w:spacing w:after="0"/>
        <w:tabs>
          <w:tab w:leader="none" w:pos="240" w:val="left"/>
        </w:tabs>
        <w:numPr>
          <w:ilvl w:val="0"/>
          <w:numId w:val="111"/>
        </w:numPr>
        <w:rPr>
          <w:rFonts w:ascii="Arial" w:cs="Arial" w:eastAsia="Arial" w:hAnsi="Arial"/>
          <w:sz w:val="16"/>
          <w:szCs w:val="16"/>
          <w:b w:val="1"/>
          <w:bCs w:val="1"/>
          <w:color w:val="16479F"/>
        </w:rPr>
      </w:pPr>
      <w:r>
        <w:rPr>
          <w:rFonts w:ascii="Arial" w:cs="Arial" w:eastAsia="Arial" w:hAnsi="Arial"/>
          <w:sz w:val="16"/>
          <w:szCs w:val="16"/>
          <w:color w:val="auto"/>
        </w:rPr>
        <w:t>Scale, to reflect similar size and complexity;</w:t>
      </w:r>
    </w:p>
    <w:p>
      <w:pPr>
        <w:spacing w:after="0" w:line="83" w:lineRule="exact"/>
        <w:rPr>
          <w:rFonts w:ascii="Arial" w:cs="Arial" w:eastAsia="Arial" w:hAnsi="Arial"/>
          <w:sz w:val="16"/>
          <w:szCs w:val="16"/>
          <w:b w:val="1"/>
          <w:bCs w:val="1"/>
          <w:color w:val="16479F"/>
        </w:rPr>
      </w:pPr>
    </w:p>
    <w:p>
      <w:pPr>
        <w:ind w:left="240" w:hanging="233"/>
        <w:spacing w:after="0"/>
        <w:tabs>
          <w:tab w:leader="none" w:pos="240" w:val="left"/>
        </w:tabs>
        <w:numPr>
          <w:ilvl w:val="0"/>
          <w:numId w:val="111"/>
        </w:numPr>
        <w:rPr>
          <w:rFonts w:ascii="Arial" w:cs="Arial" w:eastAsia="Arial" w:hAnsi="Arial"/>
          <w:sz w:val="16"/>
          <w:szCs w:val="16"/>
          <w:b w:val="1"/>
          <w:bCs w:val="1"/>
          <w:color w:val="16479F"/>
        </w:rPr>
      </w:pPr>
      <w:r>
        <w:rPr>
          <w:rFonts w:ascii="Arial" w:cs="Arial" w:eastAsia="Arial" w:hAnsi="Arial"/>
          <w:sz w:val="16"/>
          <w:szCs w:val="16"/>
          <w:color w:val="auto"/>
        </w:rPr>
        <w:t>Geographic footprint, to reflect business structure and international complexity;</w:t>
      </w:r>
    </w:p>
    <w:p>
      <w:pPr>
        <w:spacing w:after="0" w:line="83" w:lineRule="exact"/>
        <w:rPr>
          <w:rFonts w:ascii="Arial" w:cs="Arial" w:eastAsia="Arial" w:hAnsi="Arial"/>
          <w:sz w:val="16"/>
          <w:szCs w:val="16"/>
          <w:b w:val="1"/>
          <w:bCs w:val="1"/>
          <w:color w:val="16479F"/>
        </w:rPr>
      </w:pPr>
    </w:p>
    <w:p>
      <w:pPr>
        <w:ind w:left="240" w:hanging="233"/>
        <w:spacing w:after="0"/>
        <w:tabs>
          <w:tab w:leader="none" w:pos="240" w:val="left"/>
        </w:tabs>
        <w:numPr>
          <w:ilvl w:val="0"/>
          <w:numId w:val="111"/>
        </w:numPr>
        <w:rPr>
          <w:rFonts w:ascii="Arial" w:cs="Arial" w:eastAsia="Arial" w:hAnsi="Arial"/>
          <w:sz w:val="16"/>
          <w:szCs w:val="16"/>
          <w:b w:val="1"/>
          <w:bCs w:val="1"/>
          <w:color w:val="16479F"/>
        </w:rPr>
      </w:pPr>
      <w:r>
        <w:rPr>
          <w:rFonts w:ascii="Arial" w:cs="Arial" w:eastAsia="Arial" w:hAnsi="Arial"/>
          <w:sz w:val="16"/>
          <w:szCs w:val="16"/>
          <w:color w:val="auto"/>
        </w:rPr>
        <w:t>Public ownership structure to ensure availability of data;</w:t>
      </w:r>
    </w:p>
    <w:p>
      <w:pPr>
        <w:spacing w:after="0" w:line="83" w:lineRule="exact"/>
        <w:rPr>
          <w:rFonts w:ascii="Arial" w:cs="Arial" w:eastAsia="Arial" w:hAnsi="Arial"/>
          <w:sz w:val="16"/>
          <w:szCs w:val="16"/>
          <w:b w:val="1"/>
          <w:bCs w:val="1"/>
          <w:color w:val="16479F"/>
        </w:rPr>
      </w:pPr>
    </w:p>
    <w:p>
      <w:pPr>
        <w:ind w:left="240" w:hanging="233"/>
        <w:spacing w:after="0"/>
        <w:tabs>
          <w:tab w:leader="none" w:pos="240" w:val="left"/>
        </w:tabs>
        <w:numPr>
          <w:ilvl w:val="0"/>
          <w:numId w:val="111"/>
        </w:numPr>
        <w:rPr>
          <w:rFonts w:ascii="Arial" w:cs="Arial" w:eastAsia="Arial" w:hAnsi="Arial"/>
          <w:sz w:val="16"/>
          <w:szCs w:val="16"/>
          <w:b w:val="1"/>
          <w:bCs w:val="1"/>
          <w:color w:val="16479F"/>
        </w:rPr>
      </w:pPr>
      <w:r>
        <w:rPr>
          <w:rFonts w:ascii="Arial" w:cs="Arial" w:eastAsia="Arial" w:hAnsi="Arial"/>
          <w:sz w:val="16"/>
          <w:szCs w:val="16"/>
          <w:color w:val="auto"/>
        </w:rPr>
        <w:t>Competitors for talent; and</w:t>
      </w:r>
    </w:p>
    <w:p>
      <w:pPr>
        <w:spacing w:after="0" w:line="83" w:lineRule="exact"/>
        <w:rPr>
          <w:rFonts w:ascii="Arial" w:cs="Arial" w:eastAsia="Arial" w:hAnsi="Arial"/>
          <w:sz w:val="16"/>
          <w:szCs w:val="16"/>
          <w:b w:val="1"/>
          <w:bCs w:val="1"/>
          <w:color w:val="16479F"/>
        </w:rPr>
      </w:pPr>
    </w:p>
    <w:p>
      <w:pPr>
        <w:ind w:left="240" w:hanging="233"/>
        <w:spacing w:after="0"/>
        <w:tabs>
          <w:tab w:leader="none" w:pos="240" w:val="left"/>
        </w:tabs>
        <w:numPr>
          <w:ilvl w:val="0"/>
          <w:numId w:val="111"/>
        </w:numPr>
        <w:rPr>
          <w:rFonts w:ascii="Arial" w:cs="Arial" w:eastAsia="Arial" w:hAnsi="Arial"/>
          <w:sz w:val="16"/>
          <w:szCs w:val="16"/>
          <w:b w:val="1"/>
          <w:bCs w:val="1"/>
          <w:color w:val="16479F"/>
        </w:rPr>
      </w:pPr>
      <w:r>
        <w:rPr>
          <w:rFonts w:ascii="Arial" w:cs="Arial" w:eastAsia="Arial" w:hAnsi="Arial"/>
          <w:sz w:val="16"/>
          <w:szCs w:val="16"/>
          <w:color w:val="auto"/>
        </w:rPr>
        <w:t>Similar business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7154545" cy="209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149860</wp:posOffset>
            </wp:positionV>
            <wp:extent cx="7133590" cy="21272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3590" cy="212725"/>
                    </a:xfrm>
                    <a:prstGeom prst="rect">
                      <a:avLst/>
                    </a:prstGeom>
                    <a:noFill/>
                  </pic:spPr>
                </pic:pic>
              </a:graphicData>
            </a:graphic>
          </wp:anchor>
        </w:drawing>
      </w:r>
    </w:p>
    <w:p>
      <w:pPr>
        <w:spacing w:after="0" w:line="283"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4"/>
          <w:szCs w:val="14"/>
          <w:b w:val="1"/>
          <w:bCs w:val="1"/>
          <w:color w:val="16479F"/>
        </w:rPr>
        <w:t>68</w:t>
      </w:r>
      <w:r>
        <w:rPr>
          <w:sz w:val="20"/>
          <w:szCs w:val="20"/>
          <w:color w:val="auto"/>
        </w:rPr>
        <w:tab/>
      </w:r>
      <w:r>
        <w:rPr>
          <w:rFonts w:ascii="Arial" w:cs="Arial" w:eastAsia="Arial" w:hAnsi="Arial"/>
          <w:sz w:val="14"/>
          <w:szCs w:val="14"/>
          <w:b w:val="1"/>
          <w:bCs w:val="1"/>
          <w:color w:val="16479F"/>
        </w:rPr>
        <w:t>MSCI  |  COMPENSATION MATTERS</w:t>
      </w:r>
    </w:p>
    <w:p>
      <w:pPr>
        <w:spacing w:after="0" w:line="269"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The peer group used to inform fiscal 2021 pay decisions for our NEOs was comprised of 16 companies that, in aggregate, approximated MSCI’s size, scope of operations, and operating metrics. In particular, the group was selected such that it, in aggregate:</w:t>
      </w:r>
    </w:p>
    <w:p>
      <w:pPr>
        <w:spacing w:after="0" w:line="143" w:lineRule="exact"/>
        <w:rPr>
          <w:sz w:val="20"/>
          <w:szCs w:val="20"/>
          <w:color w:val="auto"/>
        </w:rPr>
      </w:pPr>
    </w:p>
    <w:p>
      <w:pPr>
        <w:ind w:left="240" w:hanging="233"/>
        <w:spacing w:after="0"/>
        <w:tabs>
          <w:tab w:leader="none" w:pos="240" w:val="left"/>
        </w:tabs>
        <w:numPr>
          <w:ilvl w:val="0"/>
          <w:numId w:val="112"/>
        </w:numPr>
        <w:rPr>
          <w:rFonts w:ascii="Arial" w:cs="Arial" w:eastAsia="Arial" w:hAnsi="Arial"/>
          <w:sz w:val="16"/>
          <w:szCs w:val="16"/>
          <w:b w:val="1"/>
          <w:bCs w:val="1"/>
          <w:color w:val="16479F"/>
        </w:rPr>
      </w:pPr>
      <w:r>
        <w:rPr>
          <w:rFonts w:ascii="Arial" w:cs="Arial" w:eastAsia="Arial" w:hAnsi="Arial"/>
          <w:sz w:val="16"/>
          <w:szCs w:val="16"/>
          <w:color w:val="auto"/>
        </w:rPr>
        <w:t>Approximated MSCI’s size on a revenue basis for fiscal 2021;</w:t>
      </w:r>
    </w:p>
    <w:p>
      <w:pPr>
        <w:spacing w:after="0" w:line="83" w:lineRule="exact"/>
        <w:rPr>
          <w:rFonts w:ascii="Arial" w:cs="Arial" w:eastAsia="Arial" w:hAnsi="Arial"/>
          <w:sz w:val="16"/>
          <w:szCs w:val="16"/>
          <w:b w:val="1"/>
          <w:bCs w:val="1"/>
          <w:color w:val="16479F"/>
        </w:rPr>
      </w:pPr>
    </w:p>
    <w:p>
      <w:pPr>
        <w:ind w:left="240" w:hanging="233"/>
        <w:spacing w:after="0"/>
        <w:tabs>
          <w:tab w:leader="none" w:pos="240" w:val="left"/>
        </w:tabs>
        <w:numPr>
          <w:ilvl w:val="0"/>
          <w:numId w:val="112"/>
        </w:numPr>
        <w:rPr>
          <w:rFonts w:ascii="Arial" w:cs="Arial" w:eastAsia="Arial" w:hAnsi="Arial"/>
          <w:sz w:val="16"/>
          <w:szCs w:val="16"/>
          <w:b w:val="1"/>
          <w:bCs w:val="1"/>
          <w:color w:val="16479F"/>
        </w:rPr>
      </w:pPr>
      <w:r>
        <w:rPr>
          <w:rFonts w:ascii="Arial" w:cs="Arial" w:eastAsia="Arial" w:hAnsi="Arial"/>
          <w:sz w:val="16"/>
          <w:szCs w:val="16"/>
          <w:color w:val="auto"/>
        </w:rPr>
        <w:t>Reflected MSCI’s high-margin, high-valuation operating metrics and international reach; and/or</w:t>
      </w:r>
    </w:p>
    <w:p>
      <w:pPr>
        <w:spacing w:after="0" w:line="83" w:lineRule="exact"/>
        <w:rPr>
          <w:rFonts w:ascii="Arial" w:cs="Arial" w:eastAsia="Arial" w:hAnsi="Arial"/>
          <w:sz w:val="16"/>
          <w:szCs w:val="16"/>
          <w:b w:val="1"/>
          <w:bCs w:val="1"/>
          <w:color w:val="16479F"/>
        </w:rPr>
      </w:pPr>
    </w:p>
    <w:p>
      <w:pPr>
        <w:ind w:left="240" w:hanging="233"/>
        <w:spacing w:after="0"/>
        <w:tabs>
          <w:tab w:leader="none" w:pos="240" w:val="left"/>
        </w:tabs>
        <w:numPr>
          <w:ilvl w:val="0"/>
          <w:numId w:val="112"/>
        </w:numPr>
        <w:rPr>
          <w:rFonts w:ascii="Arial" w:cs="Arial" w:eastAsia="Arial" w:hAnsi="Arial"/>
          <w:sz w:val="16"/>
          <w:szCs w:val="16"/>
          <w:b w:val="1"/>
          <w:bCs w:val="1"/>
          <w:color w:val="16479F"/>
        </w:rPr>
      </w:pPr>
      <w:r>
        <w:rPr>
          <w:rFonts w:ascii="Arial" w:cs="Arial" w:eastAsia="Arial" w:hAnsi="Arial"/>
          <w:sz w:val="16"/>
          <w:szCs w:val="16"/>
          <w:color w:val="auto"/>
        </w:rPr>
        <w:t>Represented the competitive talent market for financial technology, research and consulting, and data systems/information technology companies.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940" w:type="dxa"/>
            <w:vAlign w:val="bottom"/>
            <w:tcBorders>
              <w:bottom w:val="single" w:sz="8" w:color="16479F"/>
            </w:tcBorders>
          </w:tcPr>
          <w:p>
            <w:pPr>
              <w:ind w:left="60"/>
              <w:spacing w:after="0"/>
              <w:rPr>
                <w:sz w:val="20"/>
                <w:szCs w:val="20"/>
                <w:color w:val="auto"/>
              </w:rPr>
            </w:pPr>
            <w:r>
              <w:rPr>
                <w:rFonts w:ascii="Arial" w:cs="Arial" w:eastAsia="Arial" w:hAnsi="Arial"/>
                <w:sz w:val="14"/>
                <w:szCs w:val="14"/>
                <w:b w:val="1"/>
                <w:bCs w:val="1"/>
                <w:color w:val="auto"/>
              </w:rPr>
              <w:t>Company</w:t>
            </w:r>
          </w:p>
        </w:tc>
        <w:tc>
          <w:tcPr>
            <w:tcW w:w="8300" w:type="dxa"/>
            <w:vAlign w:val="bottom"/>
            <w:tcBorders>
              <w:bottom w:val="single" w:sz="8" w:color="16479F"/>
            </w:tcBorders>
          </w:tcPr>
          <w:p>
            <w:pPr>
              <w:ind w:left="440"/>
              <w:spacing w:after="0"/>
              <w:rPr>
                <w:sz w:val="20"/>
                <w:szCs w:val="20"/>
                <w:color w:val="auto"/>
              </w:rPr>
            </w:pPr>
            <w:r>
              <w:rPr>
                <w:rFonts w:ascii="Arial" w:cs="Arial" w:eastAsia="Arial" w:hAnsi="Arial"/>
                <w:sz w:val="14"/>
                <w:szCs w:val="14"/>
                <w:b w:val="1"/>
                <w:bCs w:val="1"/>
                <w:color w:val="auto"/>
              </w:rPr>
              <w:t>GICS Classification</w:t>
            </w:r>
          </w:p>
        </w:tc>
      </w:tr>
      <w:tr>
        <w:trPr>
          <w:trHeight w:val="208"/>
        </w:trPr>
        <w:tc>
          <w:tcPr>
            <w:tcW w:w="2940" w:type="dxa"/>
            <w:vAlign w:val="bottom"/>
            <w:shd w:val="clear" w:color="auto" w:fill="F2F4FF"/>
          </w:tcPr>
          <w:p>
            <w:pPr>
              <w:ind w:left="60"/>
              <w:spacing w:after="0"/>
              <w:rPr>
                <w:sz w:val="20"/>
                <w:szCs w:val="20"/>
                <w:color w:val="auto"/>
              </w:rPr>
            </w:pPr>
            <w:r>
              <w:rPr>
                <w:rFonts w:ascii="Arial" w:cs="Arial" w:eastAsia="Arial" w:hAnsi="Arial"/>
                <w:sz w:val="16"/>
                <w:szCs w:val="16"/>
                <w:color w:val="auto"/>
              </w:rPr>
              <w:t>MSCI Inc.</w:t>
            </w:r>
          </w:p>
        </w:tc>
        <w:tc>
          <w:tcPr>
            <w:tcW w:w="8300" w:type="dxa"/>
            <w:vAlign w:val="bottom"/>
            <w:shd w:val="clear" w:color="auto" w:fill="F2F4FF"/>
          </w:tcPr>
          <w:p>
            <w:pPr>
              <w:ind w:left="440"/>
              <w:spacing w:after="0"/>
              <w:rPr>
                <w:sz w:val="20"/>
                <w:szCs w:val="20"/>
                <w:color w:val="auto"/>
              </w:rPr>
            </w:pPr>
            <w:r>
              <w:rPr>
                <w:rFonts w:ascii="Arial" w:cs="Arial" w:eastAsia="Arial" w:hAnsi="Arial"/>
                <w:sz w:val="16"/>
                <w:szCs w:val="16"/>
                <w:color w:val="auto"/>
              </w:rPr>
              <w:t>Financials—Capital Markets—Financial Exchanges and Data</w:t>
            </w:r>
          </w:p>
        </w:tc>
      </w:tr>
      <w:tr>
        <w:trPr>
          <w:trHeight w:val="211"/>
        </w:trPr>
        <w:tc>
          <w:tcPr>
            <w:tcW w:w="2940" w:type="dxa"/>
            <w:vAlign w:val="bottom"/>
          </w:tcPr>
          <w:p>
            <w:pPr>
              <w:ind w:left="60"/>
              <w:spacing w:after="0"/>
              <w:rPr>
                <w:sz w:val="20"/>
                <w:szCs w:val="20"/>
                <w:color w:val="auto"/>
              </w:rPr>
            </w:pPr>
            <w:r>
              <w:rPr>
                <w:rFonts w:ascii="Arial" w:cs="Arial" w:eastAsia="Arial" w:hAnsi="Arial"/>
                <w:sz w:val="16"/>
                <w:szCs w:val="16"/>
                <w:color w:val="auto"/>
              </w:rPr>
              <w:t>Aspen Technology Inc.</w:t>
            </w:r>
          </w:p>
        </w:tc>
        <w:tc>
          <w:tcPr>
            <w:tcW w:w="8300" w:type="dxa"/>
            <w:vAlign w:val="bottom"/>
          </w:tcPr>
          <w:p>
            <w:pPr>
              <w:ind w:left="440"/>
              <w:spacing w:after="0"/>
              <w:rPr>
                <w:sz w:val="20"/>
                <w:szCs w:val="20"/>
                <w:color w:val="auto"/>
              </w:rPr>
            </w:pPr>
            <w:r>
              <w:rPr>
                <w:rFonts w:ascii="Arial" w:cs="Arial" w:eastAsia="Arial" w:hAnsi="Arial"/>
                <w:sz w:val="16"/>
                <w:szCs w:val="16"/>
                <w:color w:val="auto"/>
              </w:rPr>
              <w:t>Information Technology—IT Services—Application Software</w:t>
            </w:r>
          </w:p>
        </w:tc>
      </w:tr>
      <w:tr>
        <w:trPr>
          <w:trHeight w:val="217"/>
        </w:trPr>
        <w:tc>
          <w:tcPr>
            <w:tcW w:w="2940" w:type="dxa"/>
            <w:vAlign w:val="bottom"/>
            <w:shd w:val="clear" w:color="auto" w:fill="F2F4FF"/>
          </w:tcPr>
          <w:p>
            <w:pPr>
              <w:ind w:left="60"/>
              <w:spacing w:after="0"/>
              <w:rPr>
                <w:sz w:val="20"/>
                <w:szCs w:val="20"/>
                <w:color w:val="auto"/>
              </w:rPr>
            </w:pPr>
            <w:r>
              <w:rPr>
                <w:rFonts w:ascii="Arial" w:cs="Arial" w:eastAsia="Arial" w:hAnsi="Arial"/>
                <w:sz w:val="16"/>
                <w:szCs w:val="16"/>
                <w:color w:val="auto"/>
              </w:rPr>
              <w:t>Black Knight Inc.</w:t>
            </w:r>
          </w:p>
        </w:tc>
        <w:tc>
          <w:tcPr>
            <w:tcW w:w="8300" w:type="dxa"/>
            <w:vAlign w:val="bottom"/>
            <w:shd w:val="clear" w:color="auto" w:fill="F2F4FF"/>
          </w:tcPr>
          <w:p>
            <w:pPr>
              <w:ind w:left="440"/>
              <w:spacing w:after="0"/>
              <w:rPr>
                <w:sz w:val="20"/>
                <w:szCs w:val="20"/>
                <w:color w:val="auto"/>
              </w:rPr>
            </w:pPr>
            <w:r>
              <w:rPr>
                <w:rFonts w:ascii="Arial" w:cs="Arial" w:eastAsia="Arial" w:hAnsi="Arial"/>
                <w:sz w:val="16"/>
                <w:szCs w:val="16"/>
                <w:color w:val="auto"/>
              </w:rPr>
              <w:t>Information Technology—IT Services—Data Processing and Outsourced Services</w:t>
            </w:r>
          </w:p>
        </w:tc>
      </w:tr>
      <w:tr>
        <w:trPr>
          <w:trHeight w:val="211"/>
        </w:trPr>
        <w:tc>
          <w:tcPr>
            <w:tcW w:w="2940" w:type="dxa"/>
            <w:vAlign w:val="bottom"/>
          </w:tcPr>
          <w:p>
            <w:pPr>
              <w:ind w:left="60"/>
              <w:spacing w:after="0"/>
              <w:rPr>
                <w:sz w:val="20"/>
                <w:szCs w:val="20"/>
                <w:color w:val="auto"/>
              </w:rPr>
            </w:pPr>
            <w:r>
              <w:rPr>
                <w:rFonts w:ascii="Arial" w:cs="Arial" w:eastAsia="Arial" w:hAnsi="Arial"/>
                <w:sz w:val="16"/>
                <w:szCs w:val="16"/>
                <w:color w:val="auto"/>
              </w:rPr>
              <w:t>Dun &amp; Bradstreet</w:t>
            </w:r>
          </w:p>
        </w:tc>
        <w:tc>
          <w:tcPr>
            <w:tcW w:w="8300" w:type="dxa"/>
            <w:vAlign w:val="bottom"/>
          </w:tcPr>
          <w:p>
            <w:pPr>
              <w:ind w:left="440"/>
              <w:spacing w:after="0"/>
              <w:rPr>
                <w:sz w:val="20"/>
                <w:szCs w:val="20"/>
                <w:color w:val="auto"/>
              </w:rPr>
            </w:pPr>
            <w:r>
              <w:rPr>
                <w:rFonts w:ascii="Arial" w:cs="Arial" w:eastAsia="Arial" w:hAnsi="Arial"/>
                <w:sz w:val="16"/>
                <w:szCs w:val="16"/>
                <w:color w:val="auto"/>
              </w:rPr>
              <w:t>Industrials—Professional Services—Research and Consulting Services</w:t>
            </w:r>
          </w:p>
        </w:tc>
      </w:tr>
      <w:tr>
        <w:trPr>
          <w:trHeight w:val="217"/>
        </w:trPr>
        <w:tc>
          <w:tcPr>
            <w:tcW w:w="2940" w:type="dxa"/>
            <w:vAlign w:val="bottom"/>
            <w:shd w:val="clear" w:color="auto" w:fill="F2F4FF"/>
          </w:tcPr>
          <w:p>
            <w:pPr>
              <w:ind w:left="60"/>
              <w:spacing w:after="0"/>
              <w:rPr>
                <w:sz w:val="20"/>
                <w:szCs w:val="20"/>
                <w:color w:val="auto"/>
              </w:rPr>
            </w:pPr>
            <w:r>
              <w:rPr>
                <w:rFonts w:ascii="Arial" w:cs="Arial" w:eastAsia="Arial" w:hAnsi="Arial"/>
                <w:sz w:val="16"/>
                <w:szCs w:val="16"/>
                <w:color w:val="auto"/>
              </w:rPr>
              <w:t>Equifax Inc.</w:t>
            </w:r>
          </w:p>
        </w:tc>
        <w:tc>
          <w:tcPr>
            <w:tcW w:w="8300" w:type="dxa"/>
            <w:vAlign w:val="bottom"/>
            <w:shd w:val="clear" w:color="auto" w:fill="F2F4FF"/>
          </w:tcPr>
          <w:p>
            <w:pPr>
              <w:ind w:left="440"/>
              <w:spacing w:after="0"/>
              <w:rPr>
                <w:sz w:val="20"/>
                <w:szCs w:val="20"/>
                <w:color w:val="auto"/>
              </w:rPr>
            </w:pPr>
            <w:r>
              <w:rPr>
                <w:rFonts w:ascii="Arial" w:cs="Arial" w:eastAsia="Arial" w:hAnsi="Arial"/>
                <w:sz w:val="16"/>
                <w:szCs w:val="16"/>
                <w:color w:val="auto"/>
              </w:rPr>
              <w:t>Industrials—Professional Services— Research and Consulting Services</w:t>
            </w:r>
          </w:p>
        </w:tc>
      </w:tr>
      <w:tr>
        <w:trPr>
          <w:trHeight w:val="211"/>
        </w:trPr>
        <w:tc>
          <w:tcPr>
            <w:tcW w:w="2940" w:type="dxa"/>
            <w:vAlign w:val="bottom"/>
          </w:tcPr>
          <w:p>
            <w:pPr>
              <w:ind w:left="60"/>
              <w:spacing w:after="0"/>
              <w:rPr>
                <w:sz w:val="20"/>
                <w:szCs w:val="20"/>
                <w:color w:val="auto"/>
              </w:rPr>
            </w:pPr>
            <w:r>
              <w:rPr>
                <w:rFonts w:ascii="Arial" w:cs="Arial" w:eastAsia="Arial" w:hAnsi="Arial"/>
                <w:sz w:val="16"/>
                <w:szCs w:val="16"/>
                <w:color w:val="auto"/>
              </w:rPr>
              <w:t>FactSet Research Systems Inc.</w:t>
            </w:r>
          </w:p>
        </w:tc>
        <w:tc>
          <w:tcPr>
            <w:tcW w:w="8300" w:type="dxa"/>
            <w:vAlign w:val="bottom"/>
          </w:tcPr>
          <w:p>
            <w:pPr>
              <w:ind w:left="440"/>
              <w:spacing w:after="0"/>
              <w:rPr>
                <w:sz w:val="20"/>
                <w:szCs w:val="20"/>
                <w:color w:val="auto"/>
              </w:rPr>
            </w:pPr>
            <w:r>
              <w:rPr>
                <w:rFonts w:ascii="Arial" w:cs="Arial" w:eastAsia="Arial" w:hAnsi="Arial"/>
                <w:sz w:val="16"/>
                <w:szCs w:val="16"/>
                <w:color w:val="auto"/>
              </w:rPr>
              <w:t>Financials—Capital Markets—Financial Exchanges and Data</w:t>
            </w:r>
          </w:p>
        </w:tc>
      </w:tr>
      <w:tr>
        <w:trPr>
          <w:trHeight w:val="217"/>
        </w:trPr>
        <w:tc>
          <w:tcPr>
            <w:tcW w:w="2940" w:type="dxa"/>
            <w:vAlign w:val="bottom"/>
            <w:shd w:val="clear" w:color="auto" w:fill="F2F4FF"/>
          </w:tcPr>
          <w:p>
            <w:pPr>
              <w:ind w:left="60"/>
              <w:spacing w:after="0"/>
              <w:rPr>
                <w:sz w:val="20"/>
                <w:szCs w:val="20"/>
                <w:color w:val="auto"/>
              </w:rPr>
            </w:pPr>
            <w:r>
              <w:rPr>
                <w:rFonts w:ascii="Arial" w:cs="Arial" w:eastAsia="Arial" w:hAnsi="Arial"/>
                <w:sz w:val="16"/>
                <w:szCs w:val="16"/>
                <w:color w:val="auto"/>
              </w:rPr>
              <w:t>Fair Isaac Corporation</w:t>
            </w:r>
          </w:p>
        </w:tc>
        <w:tc>
          <w:tcPr>
            <w:tcW w:w="8300" w:type="dxa"/>
            <w:vAlign w:val="bottom"/>
            <w:shd w:val="clear" w:color="auto" w:fill="F2F4FF"/>
          </w:tcPr>
          <w:p>
            <w:pPr>
              <w:ind w:left="440"/>
              <w:spacing w:after="0"/>
              <w:rPr>
                <w:sz w:val="20"/>
                <w:szCs w:val="20"/>
                <w:color w:val="auto"/>
              </w:rPr>
            </w:pPr>
            <w:r>
              <w:rPr>
                <w:rFonts w:ascii="Arial" w:cs="Arial" w:eastAsia="Arial" w:hAnsi="Arial"/>
                <w:sz w:val="16"/>
                <w:szCs w:val="16"/>
                <w:color w:val="auto"/>
              </w:rPr>
              <w:t>Information Technology—Software—Application Software</w:t>
            </w:r>
          </w:p>
        </w:tc>
      </w:tr>
      <w:tr>
        <w:trPr>
          <w:trHeight w:val="211"/>
        </w:trPr>
        <w:tc>
          <w:tcPr>
            <w:tcW w:w="2940" w:type="dxa"/>
            <w:vAlign w:val="bottom"/>
          </w:tcPr>
          <w:p>
            <w:pPr>
              <w:ind w:left="60"/>
              <w:spacing w:after="0"/>
              <w:rPr>
                <w:sz w:val="20"/>
                <w:szCs w:val="20"/>
                <w:color w:val="auto"/>
              </w:rPr>
            </w:pPr>
            <w:r>
              <w:rPr>
                <w:rFonts w:ascii="Arial" w:cs="Arial" w:eastAsia="Arial" w:hAnsi="Arial"/>
                <w:sz w:val="16"/>
                <w:szCs w:val="16"/>
                <w:color w:val="auto"/>
              </w:rPr>
              <w:t>Gartner, Inc.</w:t>
            </w:r>
          </w:p>
        </w:tc>
        <w:tc>
          <w:tcPr>
            <w:tcW w:w="8300" w:type="dxa"/>
            <w:vAlign w:val="bottom"/>
          </w:tcPr>
          <w:p>
            <w:pPr>
              <w:ind w:left="440"/>
              <w:spacing w:after="0"/>
              <w:rPr>
                <w:sz w:val="20"/>
                <w:szCs w:val="20"/>
                <w:color w:val="auto"/>
              </w:rPr>
            </w:pPr>
            <w:r>
              <w:rPr>
                <w:rFonts w:ascii="Arial" w:cs="Arial" w:eastAsia="Arial" w:hAnsi="Arial"/>
                <w:sz w:val="16"/>
                <w:szCs w:val="16"/>
                <w:color w:val="auto"/>
              </w:rPr>
              <w:t>Information Technology—IT Services—IT Consulting and Other Services</w:t>
            </w:r>
          </w:p>
        </w:tc>
      </w:tr>
      <w:tr>
        <w:trPr>
          <w:trHeight w:val="217"/>
        </w:trPr>
        <w:tc>
          <w:tcPr>
            <w:tcW w:w="2940" w:type="dxa"/>
            <w:vAlign w:val="bottom"/>
            <w:shd w:val="clear" w:color="auto" w:fill="F2F4FF"/>
          </w:tcPr>
          <w:p>
            <w:pPr>
              <w:ind w:left="60"/>
              <w:spacing w:after="0"/>
              <w:rPr>
                <w:sz w:val="20"/>
                <w:szCs w:val="20"/>
                <w:color w:val="auto"/>
              </w:rPr>
            </w:pPr>
            <w:r>
              <w:rPr>
                <w:rFonts w:ascii="Arial" w:cs="Arial" w:eastAsia="Arial" w:hAnsi="Arial"/>
                <w:sz w:val="16"/>
                <w:szCs w:val="16"/>
                <w:color w:val="auto"/>
              </w:rPr>
              <w:t>IHS Markit Ltd.</w:t>
            </w:r>
          </w:p>
        </w:tc>
        <w:tc>
          <w:tcPr>
            <w:tcW w:w="8300" w:type="dxa"/>
            <w:vAlign w:val="bottom"/>
            <w:shd w:val="clear" w:color="auto" w:fill="F2F4FF"/>
          </w:tcPr>
          <w:p>
            <w:pPr>
              <w:ind w:left="440"/>
              <w:spacing w:after="0"/>
              <w:rPr>
                <w:sz w:val="20"/>
                <w:szCs w:val="20"/>
                <w:color w:val="auto"/>
              </w:rPr>
            </w:pPr>
            <w:r>
              <w:rPr>
                <w:rFonts w:ascii="Arial" w:cs="Arial" w:eastAsia="Arial" w:hAnsi="Arial"/>
                <w:sz w:val="16"/>
                <w:szCs w:val="16"/>
                <w:color w:val="auto"/>
              </w:rPr>
              <w:t>Industrials—Professional Services—Research and Consulting Services</w:t>
            </w:r>
          </w:p>
        </w:tc>
      </w:tr>
      <w:tr>
        <w:trPr>
          <w:trHeight w:val="211"/>
        </w:trPr>
        <w:tc>
          <w:tcPr>
            <w:tcW w:w="2940" w:type="dxa"/>
            <w:vAlign w:val="bottom"/>
          </w:tcPr>
          <w:p>
            <w:pPr>
              <w:ind w:left="60"/>
              <w:spacing w:after="0"/>
              <w:rPr>
                <w:sz w:val="20"/>
                <w:szCs w:val="20"/>
                <w:color w:val="auto"/>
              </w:rPr>
            </w:pPr>
            <w:r>
              <w:rPr>
                <w:rFonts w:ascii="Arial" w:cs="Arial" w:eastAsia="Arial" w:hAnsi="Arial"/>
                <w:sz w:val="16"/>
                <w:szCs w:val="16"/>
                <w:color w:val="auto"/>
              </w:rPr>
              <w:t>MarketAxess Holdings Inc.</w:t>
            </w:r>
          </w:p>
        </w:tc>
        <w:tc>
          <w:tcPr>
            <w:tcW w:w="8300" w:type="dxa"/>
            <w:vAlign w:val="bottom"/>
          </w:tcPr>
          <w:p>
            <w:pPr>
              <w:ind w:left="440"/>
              <w:spacing w:after="0"/>
              <w:rPr>
                <w:sz w:val="20"/>
                <w:szCs w:val="20"/>
                <w:color w:val="auto"/>
              </w:rPr>
            </w:pPr>
            <w:r>
              <w:rPr>
                <w:rFonts w:ascii="Arial" w:cs="Arial" w:eastAsia="Arial" w:hAnsi="Arial"/>
                <w:sz w:val="16"/>
                <w:szCs w:val="16"/>
                <w:color w:val="auto"/>
              </w:rPr>
              <w:t>Financials—Capital Markets—Financial Exchanges and Data</w:t>
            </w:r>
          </w:p>
        </w:tc>
      </w:tr>
      <w:tr>
        <w:trPr>
          <w:trHeight w:val="217"/>
        </w:trPr>
        <w:tc>
          <w:tcPr>
            <w:tcW w:w="2940" w:type="dxa"/>
            <w:vAlign w:val="bottom"/>
            <w:shd w:val="clear" w:color="auto" w:fill="F2F4FF"/>
          </w:tcPr>
          <w:p>
            <w:pPr>
              <w:ind w:left="60"/>
              <w:spacing w:after="0"/>
              <w:rPr>
                <w:sz w:val="20"/>
                <w:szCs w:val="20"/>
                <w:color w:val="auto"/>
              </w:rPr>
            </w:pPr>
            <w:r>
              <w:rPr>
                <w:rFonts w:ascii="Arial" w:cs="Arial" w:eastAsia="Arial" w:hAnsi="Arial"/>
                <w:sz w:val="16"/>
                <w:szCs w:val="16"/>
                <w:color w:val="auto"/>
              </w:rPr>
              <w:t>Moody’s Corporation</w:t>
            </w:r>
          </w:p>
        </w:tc>
        <w:tc>
          <w:tcPr>
            <w:tcW w:w="8300" w:type="dxa"/>
            <w:vAlign w:val="bottom"/>
            <w:shd w:val="clear" w:color="auto" w:fill="F2F4FF"/>
          </w:tcPr>
          <w:p>
            <w:pPr>
              <w:ind w:left="440"/>
              <w:spacing w:after="0"/>
              <w:rPr>
                <w:sz w:val="20"/>
                <w:szCs w:val="20"/>
                <w:color w:val="auto"/>
              </w:rPr>
            </w:pPr>
            <w:r>
              <w:rPr>
                <w:rFonts w:ascii="Arial" w:cs="Arial" w:eastAsia="Arial" w:hAnsi="Arial"/>
                <w:sz w:val="16"/>
                <w:szCs w:val="16"/>
                <w:color w:val="auto"/>
              </w:rPr>
              <w:t>Financials—Capital Markets—Financial Exchanges and Data</w:t>
            </w:r>
          </w:p>
        </w:tc>
      </w:tr>
      <w:tr>
        <w:trPr>
          <w:trHeight w:val="211"/>
        </w:trPr>
        <w:tc>
          <w:tcPr>
            <w:tcW w:w="2940" w:type="dxa"/>
            <w:vAlign w:val="bottom"/>
          </w:tcPr>
          <w:p>
            <w:pPr>
              <w:ind w:left="60"/>
              <w:spacing w:after="0"/>
              <w:rPr>
                <w:sz w:val="20"/>
                <w:szCs w:val="20"/>
                <w:color w:val="auto"/>
              </w:rPr>
            </w:pPr>
            <w:r>
              <w:rPr>
                <w:rFonts w:ascii="Arial" w:cs="Arial" w:eastAsia="Arial" w:hAnsi="Arial"/>
                <w:sz w:val="16"/>
                <w:szCs w:val="16"/>
                <w:color w:val="auto"/>
              </w:rPr>
              <w:t>Morningstar, Inc.</w:t>
            </w:r>
          </w:p>
        </w:tc>
        <w:tc>
          <w:tcPr>
            <w:tcW w:w="8300" w:type="dxa"/>
            <w:vAlign w:val="bottom"/>
          </w:tcPr>
          <w:p>
            <w:pPr>
              <w:ind w:left="440"/>
              <w:spacing w:after="0"/>
              <w:rPr>
                <w:sz w:val="20"/>
                <w:szCs w:val="20"/>
                <w:color w:val="auto"/>
              </w:rPr>
            </w:pPr>
            <w:r>
              <w:rPr>
                <w:rFonts w:ascii="Arial" w:cs="Arial" w:eastAsia="Arial" w:hAnsi="Arial"/>
                <w:sz w:val="16"/>
                <w:szCs w:val="16"/>
                <w:color w:val="auto"/>
              </w:rPr>
              <w:t>Financials—Capital Markets—Financial Exchanges and Data</w:t>
            </w:r>
          </w:p>
        </w:tc>
      </w:tr>
      <w:tr>
        <w:trPr>
          <w:trHeight w:val="217"/>
        </w:trPr>
        <w:tc>
          <w:tcPr>
            <w:tcW w:w="2940" w:type="dxa"/>
            <w:vAlign w:val="bottom"/>
            <w:shd w:val="clear" w:color="auto" w:fill="F2F4FF"/>
          </w:tcPr>
          <w:p>
            <w:pPr>
              <w:ind w:left="60"/>
              <w:spacing w:after="0"/>
              <w:rPr>
                <w:sz w:val="20"/>
                <w:szCs w:val="20"/>
                <w:color w:val="auto"/>
              </w:rPr>
            </w:pPr>
            <w:r>
              <w:rPr>
                <w:rFonts w:ascii="Arial" w:cs="Arial" w:eastAsia="Arial" w:hAnsi="Arial"/>
                <w:sz w:val="16"/>
                <w:szCs w:val="16"/>
                <w:color w:val="auto"/>
              </w:rPr>
              <w:t>SEI Investments Company</w:t>
            </w:r>
          </w:p>
        </w:tc>
        <w:tc>
          <w:tcPr>
            <w:tcW w:w="8300" w:type="dxa"/>
            <w:vAlign w:val="bottom"/>
            <w:shd w:val="clear" w:color="auto" w:fill="F2F4FF"/>
          </w:tcPr>
          <w:p>
            <w:pPr>
              <w:ind w:left="440"/>
              <w:spacing w:after="0"/>
              <w:rPr>
                <w:sz w:val="20"/>
                <w:szCs w:val="20"/>
                <w:color w:val="auto"/>
              </w:rPr>
            </w:pPr>
            <w:r>
              <w:rPr>
                <w:rFonts w:ascii="Arial" w:cs="Arial" w:eastAsia="Arial" w:hAnsi="Arial"/>
                <w:sz w:val="16"/>
                <w:szCs w:val="16"/>
                <w:color w:val="auto"/>
              </w:rPr>
              <w:t>Financials—Capital Markets—Asset Management and Custody Banks</w:t>
            </w:r>
          </w:p>
        </w:tc>
      </w:tr>
      <w:tr>
        <w:trPr>
          <w:trHeight w:val="211"/>
        </w:trPr>
        <w:tc>
          <w:tcPr>
            <w:tcW w:w="2940" w:type="dxa"/>
            <w:vAlign w:val="bottom"/>
          </w:tcPr>
          <w:p>
            <w:pPr>
              <w:ind w:left="60"/>
              <w:spacing w:after="0"/>
              <w:rPr>
                <w:sz w:val="20"/>
                <w:szCs w:val="20"/>
                <w:color w:val="auto"/>
              </w:rPr>
            </w:pPr>
            <w:r>
              <w:rPr>
                <w:rFonts w:ascii="Arial" w:cs="Arial" w:eastAsia="Arial" w:hAnsi="Arial"/>
                <w:sz w:val="16"/>
                <w:szCs w:val="16"/>
                <w:color w:val="auto"/>
              </w:rPr>
              <w:t>S&amp;P Global Inc.</w:t>
            </w:r>
          </w:p>
        </w:tc>
        <w:tc>
          <w:tcPr>
            <w:tcW w:w="8300" w:type="dxa"/>
            <w:vAlign w:val="bottom"/>
          </w:tcPr>
          <w:p>
            <w:pPr>
              <w:ind w:left="440"/>
              <w:spacing w:after="0"/>
              <w:rPr>
                <w:sz w:val="20"/>
                <w:szCs w:val="20"/>
                <w:color w:val="auto"/>
              </w:rPr>
            </w:pPr>
            <w:r>
              <w:rPr>
                <w:rFonts w:ascii="Arial" w:cs="Arial" w:eastAsia="Arial" w:hAnsi="Arial"/>
                <w:sz w:val="16"/>
                <w:szCs w:val="16"/>
                <w:color w:val="auto"/>
              </w:rPr>
              <w:t>Financials—Capital Markets—Financial Exchanges and Data</w:t>
            </w:r>
          </w:p>
        </w:tc>
      </w:tr>
      <w:tr>
        <w:trPr>
          <w:trHeight w:val="217"/>
        </w:trPr>
        <w:tc>
          <w:tcPr>
            <w:tcW w:w="2940" w:type="dxa"/>
            <w:vAlign w:val="bottom"/>
            <w:shd w:val="clear" w:color="auto" w:fill="F2F4FF"/>
          </w:tcPr>
          <w:p>
            <w:pPr>
              <w:ind w:left="60"/>
              <w:spacing w:after="0"/>
              <w:rPr>
                <w:sz w:val="20"/>
                <w:szCs w:val="20"/>
                <w:color w:val="auto"/>
              </w:rPr>
            </w:pPr>
            <w:r>
              <w:rPr>
                <w:rFonts w:ascii="Arial" w:cs="Arial" w:eastAsia="Arial" w:hAnsi="Arial"/>
                <w:sz w:val="16"/>
                <w:szCs w:val="16"/>
                <w:color w:val="auto"/>
              </w:rPr>
              <w:t>SS&amp;C Technologies Holdings, Inc.</w:t>
            </w:r>
          </w:p>
        </w:tc>
        <w:tc>
          <w:tcPr>
            <w:tcW w:w="8300" w:type="dxa"/>
            <w:vAlign w:val="bottom"/>
            <w:shd w:val="clear" w:color="auto" w:fill="F2F4FF"/>
          </w:tcPr>
          <w:p>
            <w:pPr>
              <w:ind w:left="440"/>
              <w:spacing w:after="0"/>
              <w:rPr>
                <w:sz w:val="20"/>
                <w:szCs w:val="20"/>
                <w:color w:val="auto"/>
              </w:rPr>
            </w:pPr>
            <w:r>
              <w:rPr>
                <w:rFonts w:ascii="Arial" w:cs="Arial" w:eastAsia="Arial" w:hAnsi="Arial"/>
                <w:sz w:val="16"/>
                <w:szCs w:val="16"/>
                <w:color w:val="auto"/>
              </w:rPr>
              <w:t>Information Technology—Software—Application Software</w:t>
            </w:r>
          </w:p>
        </w:tc>
      </w:tr>
      <w:tr>
        <w:trPr>
          <w:trHeight w:val="211"/>
        </w:trPr>
        <w:tc>
          <w:tcPr>
            <w:tcW w:w="2940" w:type="dxa"/>
            <w:vAlign w:val="bottom"/>
          </w:tcPr>
          <w:p>
            <w:pPr>
              <w:ind w:left="60"/>
              <w:spacing w:after="0"/>
              <w:rPr>
                <w:sz w:val="20"/>
                <w:szCs w:val="20"/>
                <w:color w:val="auto"/>
              </w:rPr>
            </w:pPr>
            <w:r>
              <w:rPr>
                <w:rFonts w:ascii="Arial" w:cs="Arial" w:eastAsia="Arial" w:hAnsi="Arial"/>
                <w:sz w:val="16"/>
                <w:szCs w:val="16"/>
                <w:color w:val="auto"/>
              </w:rPr>
              <w:t>TransUnion</w:t>
            </w:r>
          </w:p>
        </w:tc>
        <w:tc>
          <w:tcPr>
            <w:tcW w:w="8300" w:type="dxa"/>
            <w:vAlign w:val="bottom"/>
          </w:tcPr>
          <w:p>
            <w:pPr>
              <w:ind w:left="440"/>
              <w:spacing w:after="0"/>
              <w:rPr>
                <w:sz w:val="20"/>
                <w:szCs w:val="20"/>
                <w:color w:val="auto"/>
              </w:rPr>
            </w:pPr>
            <w:r>
              <w:rPr>
                <w:rFonts w:ascii="Arial" w:cs="Arial" w:eastAsia="Arial" w:hAnsi="Arial"/>
                <w:sz w:val="16"/>
                <w:szCs w:val="16"/>
                <w:color w:val="auto"/>
              </w:rPr>
              <w:t>Industrials—Professional Services—Research and Consulting Services</w:t>
            </w:r>
          </w:p>
        </w:tc>
      </w:tr>
      <w:tr>
        <w:trPr>
          <w:trHeight w:val="214"/>
        </w:trPr>
        <w:tc>
          <w:tcPr>
            <w:tcW w:w="2940" w:type="dxa"/>
            <w:vAlign w:val="bottom"/>
            <w:tcBorders>
              <w:bottom w:val="single" w:sz="8" w:color="16479F"/>
            </w:tcBorders>
            <w:shd w:val="clear" w:color="auto" w:fill="F2F4FF"/>
          </w:tcPr>
          <w:p>
            <w:pPr>
              <w:ind w:left="60"/>
              <w:spacing w:after="0"/>
              <w:rPr>
                <w:sz w:val="20"/>
                <w:szCs w:val="20"/>
                <w:color w:val="auto"/>
              </w:rPr>
            </w:pPr>
            <w:r>
              <w:rPr>
                <w:rFonts w:ascii="Arial" w:cs="Arial" w:eastAsia="Arial" w:hAnsi="Arial"/>
                <w:sz w:val="16"/>
                <w:szCs w:val="16"/>
                <w:color w:val="auto"/>
              </w:rPr>
              <w:t>Verisk Analytics, Inc.</w:t>
            </w:r>
          </w:p>
        </w:tc>
        <w:tc>
          <w:tcPr>
            <w:tcW w:w="8300" w:type="dxa"/>
            <w:vAlign w:val="bottom"/>
            <w:tcBorders>
              <w:bottom w:val="single" w:sz="8" w:color="16479F"/>
            </w:tcBorders>
            <w:shd w:val="clear" w:color="auto" w:fill="F2F4FF"/>
          </w:tcPr>
          <w:p>
            <w:pPr>
              <w:ind w:left="440"/>
              <w:spacing w:after="0"/>
              <w:rPr>
                <w:sz w:val="20"/>
                <w:szCs w:val="20"/>
                <w:color w:val="auto"/>
              </w:rPr>
            </w:pPr>
            <w:r>
              <w:rPr>
                <w:rFonts w:ascii="Arial" w:cs="Arial" w:eastAsia="Arial" w:hAnsi="Arial"/>
                <w:sz w:val="16"/>
                <w:szCs w:val="16"/>
                <w:color w:val="auto"/>
              </w:rPr>
              <w:t>Industrials—Professional Services—Research and Consulting Services</w:t>
            </w:r>
          </w:p>
        </w:tc>
      </w:tr>
    </w:tbl>
    <w:p>
      <w:pPr>
        <w:spacing w:after="0" w:line="142" w:lineRule="exact"/>
        <w:rPr>
          <w:sz w:val="20"/>
          <w:szCs w:val="20"/>
          <w:color w:val="auto"/>
        </w:rPr>
      </w:pPr>
    </w:p>
    <w:p>
      <w:pPr>
        <w:spacing w:after="0"/>
        <w:rPr>
          <w:sz w:val="20"/>
          <w:szCs w:val="20"/>
          <w:color w:val="auto"/>
        </w:rPr>
      </w:pPr>
      <w:r>
        <w:rPr>
          <w:rFonts w:ascii="Arial" w:cs="Arial" w:eastAsia="Arial" w:hAnsi="Arial"/>
          <w:sz w:val="21"/>
          <w:szCs w:val="21"/>
          <w:b w:val="1"/>
          <w:bCs w:val="1"/>
          <w:color w:val="16479F"/>
        </w:rPr>
        <w:t>Review for 2022</w:t>
      </w:r>
    </w:p>
    <w:p>
      <w:pPr>
        <w:spacing w:after="0" w:line="221" w:lineRule="exact"/>
        <w:rPr>
          <w:sz w:val="20"/>
          <w:szCs w:val="20"/>
          <w:color w:val="auto"/>
        </w:rPr>
      </w:pPr>
    </w:p>
    <w:p>
      <w:pPr>
        <w:ind w:right="300"/>
        <w:spacing w:after="0" w:line="248" w:lineRule="auto"/>
        <w:rPr>
          <w:sz w:val="20"/>
          <w:szCs w:val="20"/>
          <w:color w:val="auto"/>
        </w:rPr>
      </w:pPr>
      <w:r>
        <w:rPr>
          <w:rFonts w:ascii="Arial" w:cs="Arial" w:eastAsia="Arial" w:hAnsi="Arial"/>
          <w:sz w:val="16"/>
          <w:szCs w:val="16"/>
          <w:color w:val="auto"/>
        </w:rPr>
        <w:t>In its annual review of the executive compensation peer group for 2022, the Compensation Committee undertook a holistic review of the executive compensation peer group and determined the group to be sufficiently robust for market comparisons and balances. Accordingly, the Compensation Committee maintained the same peer group, as the selected companies met the same criteria described above for 2021 and the group continued to be an appropriate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7154545" cy="209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00" w:type="dxa"/>
            <w:vAlign w:val="bottom"/>
            <w:tcBorders>
              <w:right w:val="single" w:sz="8" w:color="16479F"/>
            </w:tcBorders>
          </w:tcPr>
          <w:p>
            <w:pPr>
              <w:ind w:left="8700"/>
              <w:spacing w:after="0"/>
              <w:rPr>
                <w:sz w:val="20"/>
                <w:szCs w:val="20"/>
                <w:color w:val="auto"/>
              </w:rPr>
            </w:pPr>
            <w:r>
              <w:rPr>
                <w:rFonts w:ascii="Arial" w:cs="Arial" w:eastAsia="Arial" w:hAnsi="Arial"/>
                <w:sz w:val="14"/>
                <w:szCs w:val="14"/>
                <w:b w:val="1"/>
                <w:bCs w:val="1"/>
                <w:color w:val="16479F"/>
              </w:rPr>
              <w:t>2022 PROXY STATEMENT</w:t>
            </w:r>
          </w:p>
        </w:tc>
        <w:tc>
          <w:tcPr>
            <w:tcW w:w="640" w:type="dxa"/>
            <w:vAlign w:val="bottom"/>
          </w:tcPr>
          <w:p>
            <w:pPr>
              <w:jc w:val="right"/>
              <w:ind w:right="9"/>
              <w:spacing w:after="0"/>
              <w:rPr>
                <w:sz w:val="20"/>
                <w:szCs w:val="20"/>
                <w:color w:val="auto"/>
              </w:rPr>
            </w:pPr>
            <w:r>
              <w:rPr>
                <w:rFonts w:ascii="Arial" w:cs="Arial" w:eastAsia="Arial" w:hAnsi="Arial"/>
                <w:sz w:val="14"/>
                <w:szCs w:val="14"/>
                <w:b w:val="1"/>
                <w:bCs w:val="1"/>
                <w:color w:val="16479F"/>
              </w:rPr>
              <w:t>69</w:t>
            </w:r>
          </w:p>
        </w:tc>
      </w:tr>
      <w:tr>
        <w:trPr>
          <w:trHeight w:val="65"/>
        </w:trPr>
        <w:tc>
          <w:tcPr>
            <w:tcW w:w="10600" w:type="dxa"/>
            <w:vAlign w:val="bottom"/>
            <w:tcBorders>
              <w:bottom w:val="single" w:sz="8" w:color="16479F"/>
              <w:right w:val="single" w:sz="8" w:color="16479F"/>
            </w:tcBorders>
          </w:tcPr>
          <w:p>
            <w:pPr>
              <w:spacing w:after="0"/>
              <w:rPr>
                <w:sz w:val="5"/>
                <w:szCs w:val="5"/>
                <w:color w:val="auto"/>
              </w:rPr>
            </w:pPr>
          </w:p>
        </w:tc>
        <w:tc>
          <w:tcPr>
            <w:tcW w:w="640" w:type="dxa"/>
            <w:vAlign w:val="bottom"/>
            <w:tcBorders>
              <w:bottom w:val="single" w:sz="8" w:color="16479F"/>
            </w:tcBorders>
          </w:tcPr>
          <w:p>
            <w:pPr>
              <w:spacing w:after="0"/>
              <w:rPr>
                <w:sz w:val="5"/>
                <w:szCs w:val="5"/>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21"/>
          <w:szCs w:val="21"/>
          <w:b w:val="1"/>
          <w:bCs w:val="1"/>
          <w:color w:val="16479F"/>
        </w:rPr>
        <w:t>Review of Our Programs</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Elements of Executive Compensation</w:t>
      </w:r>
    </w:p>
    <w:p>
      <w:pPr>
        <w:spacing w:after="0" w:line="243" w:lineRule="exact"/>
        <w:rPr>
          <w:sz w:val="20"/>
          <w:szCs w:val="20"/>
          <w:color w:val="auto"/>
        </w:rPr>
      </w:pPr>
    </w:p>
    <w:p>
      <w:pPr>
        <w:ind w:right="600"/>
        <w:spacing w:after="0" w:line="256" w:lineRule="auto"/>
        <w:rPr>
          <w:sz w:val="20"/>
          <w:szCs w:val="20"/>
          <w:color w:val="auto"/>
        </w:rPr>
      </w:pPr>
      <w:r>
        <w:rPr>
          <w:rFonts w:ascii="Arial" w:cs="Arial" w:eastAsia="Arial" w:hAnsi="Arial"/>
          <w:sz w:val="16"/>
          <w:szCs w:val="16"/>
          <w:color w:val="auto"/>
        </w:rPr>
        <w:t>Our executive compensation program in 2021 generally consisted of the following elements. We have also noted changes implemented in 2022 where applicable.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ind w:left="100"/>
              <w:spacing w:after="0"/>
              <w:rPr>
                <w:sz w:val="20"/>
                <w:szCs w:val="20"/>
                <w:color w:val="auto"/>
              </w:rPr>
            </w:pPr>
            <w:r>
              <w:rPr>
                <w:rFonts w:ascii="Arial" w:cs="Arial" w:eastAsia="Arial" w:hAnsi="Arial"/>
                <w:sz w:val="14"/>
                <w:szCs w:val="14"/>
                <w:b w:val="1"/>
                <w:bCs w:val="1"/>
                <w:color w:val="auto"/>
              </w:rPr>
              <w:t>Compensation</w:t>
            </w:r>
          </w:p>
        </w:tc>
        <w:tc>
          <w:tcPr>
            <w:tcW w:w="2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440" w:type="dxa"/>
            <w:vAlign w:val="bottom"/>
            <w:tcBorders>
              <w:bottom w:val="single" w:sz="8" w:color="00273A"/>
            </w:tcBorders>
          </w:tcPr>
          <w:p>
            <w:pPr>
              <w:ind w:left="100"/>
              <w:spacing w:after="0"/>
              <w:rPr>
                <w:sz w:val="20"/>
                <w:szCs w:val="20"/>
                <w:color w:val="auto"/>
              </w:rPr>
            </w:pPr>
            <w:r>
              <w:rPr>
                <w:rFonts w:ascii="Arial" w:cs="Arial" w:eastAsia="Arial" w:hAnsi="Arial"/>
                <w:sz w:val="14"/>
                <w:szCs w:val="14"/>
                <w:b w:val="1"/>
                <w:bCs w:val="1"/>
                <w:color w:val="auto"/>
              </w:rPr>
              <w:t>Element</w:t>
            </w:r>
          </w:p>
        </w:tc>
        <w:tc>
          <w:tcPr>
            <w:tcW w:w="2720" w:type="dxa"/>
            <w:vAlign w:val="bottom"/>
            <w:tcBorders>
              <w:bottom w:val="single" w:sz="8" w:color="00273A"/>
            </w:tcBorders>
          </w:tcPr>
          <w:p>
            <w:pPr>
              <w:ind w:left="200"/>
              <w:spacing w:after="0"/>
              <w:rPr>
                <w:sz w:val="20"/>
                <w:szCs w:val="20"/>
                <w:color w:val="auto"/>
              </w:rPr>
            </w:pPr>
            <w:r>
              <w:rPr>
                <w:rFonts w:ascii="Arial" w:cs="Arial" w:eastAsia="Arial" w:hAnsi="Arial"/>
                <w:sz w:val="14"/>
                <w:szCs w:val="14"/>
                <w:b w:val="1"/>
                <w:bCs w:val="1"/>
                <w:color w:val="auto"/>
              </w:rPr>
              <w:t>Purpose</w:t>
            </w:r>
          </w:p>
        </w:tc>
        <w:tc>
          <w:tcPr>
            <w:tcW w:w="560" w:type="dxa"/>
            <w:vAlign w:val="bottom"/>
            <w:tcBorders>
              <w:bottom w:val="single" w:sz="8" w:color="00273A"/>
            </w:tcBorders>
          </w:tcPr>
          <w:p>
            <w:pPr>
              <w:jc w:val="right"/>
              <w:spacing w:after="0"/>
              <w:rPr>
                <w:sz w:val="20"/>
                <w:szCs w:val="20"/>
                <w:color w:val="auto"/>
              </w:rPr>
            </w:pPr>
            <w:r>
              <w:rPr>
                <w:rFonts w:ascii="Arial" w:cs="Arial" w:eastAsia="Arial" w:hAnsi="Arial"/>
                <w:sz w:val="14"/>
                <w:szCs w:val="14"/>
                <w:b w:val="1"/>
                <w:bCs w:val="1"/>
                <w:color w:val="auto"/>
              </w:rPr>
              <w:t>2021</w:t>
            </w:r>
          </w:p>
        </w:tc>
        <w:tc>
          <w:tcPr>
            <w:tcW w:w="3060" w:type="dxa"/>
            <w:vAlign w:val="bottom"/>
            <w:tcBorders>
              <w:bottom w:val="single" w:sz="8" w:color="00273A"/>
            </w:tcBorders>
          </w:tcPr>
          <w:p>
            <w:pPr>
              <w:spacing w:after="0"/>
              <w:rPr>
                <w:sz w:val="20"/>
                <w:szCs w:val="20"/>
                <w:color w:val="auto"/>
              </w:rPr>
            </w:pPr>
          </w:p>
        </w:tc>
        <w:tc>
          <w:tcPr>
            <w:tcW w:w="3480" w:type="dxa"/>
            <w:vAlign w:val="bottom"/>
            <w:tcBorders>
              <w:bottom w:val="single" w:sz="8" w:color="00273A"/>
            </w:tcBorders>
          </w:tcPr>
          <w:p>
            <w:pPr>
              <w:ind w:left="180"/>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50"/>
        </w:trPr>
        <w:tc>
          <w:tcPr>
            <w:tcW w:w="1440" w:type="dxa"/>
            <w:vAlign w:val="bottom"/>
            <w:shd w:val="clear" w:color="auto" w:fill="00273A"/>
          </w:tcPr>
          <w:p>
            <w:pPr>
              <w:ind w:left="100"/>
              <w:spacing w:after="0"/>
              <w:rPr>
                <w:sz w:val="20"/>
                <w:szCs w:val="20"/>
                <w:color w:val="auto"/>
              </w:rPr>
            </w:pPr>
            <w:r>
              <w:rPr>
                <w:rFonts w:ascii="Arial" w:cs="Arial" w:eastAsia="Arial" w:hAnsi="Arial"/>
                <w:sz w:val="16"/>
                <w:szCs w:val="16"/>
                <w:b w:val="1"/>
                <w:bCs w:val="1"/>
                <w:color w:val="FFFFFF"/>
              </w:rPr>
              <w:t>ANNUAL BASE</w:t>
            </w:r>
          </w:p>
        </w:tc>
        <w:tc>
          <w:tcPr>
            <w:tcW w:w="2720" w:type="dxa"/>
            <w:vAlign w:val="bottom"/>
            <w:tcBorders>
              <w:right w:val="single" w:sz="8" w:color="00273A"/>
            </w:tcBorders>
          </w:tcPr>
          <w:p>
            <w:pPr>
              <w:ind w:left="200"/>
              <w:spacing w:after="0"/>
              <w:rPr>
                <w:sz w:val="20"/>
                <w:szCs w:val="20"/>
                <w:color w:val="auto"/>
              </w:rPr>
            </w:pPr>
            <w:r>
              <w:rPr>
                <w:rFonts w:ascii="Arial" w:cs="Arial" w:eastAsia="Arial" w:hAnsi="Arial"/>
                <w:sz w:val="16"/>
                <w:szCs w:val="16"/>
                <w:color w:val="auto"/>
              </w:rPr>
              <w:t>Provides certainty and</w:t>
            </w:r>
          </w:p>
        </w:tc>
        <w:tc>
          <w:tcPr>
            <w:tcW w:w="3620" w:type="dxa"/>
            <w:vAlign w:val="bottom"/>
            <w:tcBorders>
              <w:right w:val="single" w:sz="8" w:color="00273A"/>
            </w:tcBorders>
            <w:gridSpan w:val="2"/>
          </w:tcPr>
          <w:p>
            <w:pPr>
              <w:ind w:left="180"/>
              <w:spacing w:after="0"/>
              <w:rPr>
                <w:sz w:val="20"/>
                <w:szCs w:val="20"/>
                <w:color w:val="auto"/>
              </w:rPr>
            </w:pPr>
            <w:r>
              <w:rPr>
                <w:rFonts w:ascii="Arial" w:cs="Arial" w:eastAsia="Arial" w:hAnsi="Arial"/>
                <w:sz w:val="16"/>
                <w:szCs w:val="16"/>
                <w:b w:val="1"/>
                <w:bCs w:val="1"/>
                <w:color w:val="16479F"/>
              </w:rPr>
              <w:t xml:space="preserve">●  </w:t>
            </w:r>
            <w:r>
              <w:rPr>
                <w:rFonts w:ascii="Arial" w:cs="Arial" w:eastAsia="Arial" w:hAnsi="Arial"/>
                <w:sz w:val="16"/>
                <w:szCs w:val="16"/>
                <w:color w:val="000000"/>
              </w:rPr>
              <w:t>The only fixed component of our executive</w:t>
            </w:r>
          </w:p>
        </w:tc>
        <w:tc>
          <w:tcPr>
            <w:tcW w:w="3480" w:type="dxa"/>
            <w:vAlign w:val="bottom"/>
            <w:tcBorders>
              <w:right w:val="single" w:sz="8" w:color="00273A"/>
            </w:tcBorders>
          </w:tcPr>
          <w:p>
            <w:pPr>
              <w:ind w:left="180"/>
              <w:spacing w:after="0"/>
              <w:rPr>
                <w:sz w:val="20"/>
                <w:szCs w:val="20"/>
                <w:color w:val="auto"/>
              </w:rPr>
            </w:pPr>
            <w:r>
              <w:rPr>
                <w:rFonts w:ascii="Arial" w:cs="Arial" w:eastAsia="Arial" w:hAnsi="Arial"/>
                <w:sz w:val="16"/>
                <w:szCs w:val="16"/>
                <w:b w:val="1"/>
                <w:bCs w:val="1"/>
                <w:color w:val="16479F"/>
              </w:rPr>
              <w:t xml:space="preserve">●  </w:t>
            </w:r>
            <w:r>
              <w:rPr>
                <w:rFonts w:ascii="Arial" w:cs="Arial" w:eastAsia="Arial" w:hAnsi="Arial"/>
                <w:sz w:val="16"/>
                <w:szCs w:val="16"/>
                <w:color w:val="000000"/>
              </w:rPr>
              <w:t>The only fixed component of our</w:t>
            </w:r>
          </w:p>
        </w:tc>
        <w:tc>
          <w:tcPr>
            <w:tcW w:w="0" w:type="dxa"/>
            <w:vAlign w:val="bottom"/>
          </w:tcPr>
          <w:p>
            <w:pPr>
              <w:spacing w:after="0"/>
              <w:rPr>
                <w:sz w:val="1"/>
                <w:szCs w:val="1"/>
                <w:color w:val="auto"/>
              </w:rPr>
            </w:pPr>
          </w:p>
        </w:tc>
      </w:tr>
      <w:tr>
        <w:trPr>
          <w:trHeight w:val="207"/>
        </w:trPr>
        <w:tc>
          <w:tcPr>
            <w:tcW w:w="1440" w:type="dxa"/>
            <w:vAlign w:val="bottom"/>
            <w:shd w:val="clear" w:color="auto" w:fill="00273A"/>
          </w:tcPr>
          <w:p>
            <w:pPr>
              <w:ind w:left="100"/>
              <w:spacing w:after="0"/>
              <w:rPr>
                <w:sz w:val="20"/>
                <w:szCs w:val="20"/>
                <w:color w:val="auto"/>
              </w:rPr>
            </w:pPr>
            <w:r>
              <w:rPr>
                <w:rFonts w:ascii="Arial" w:cs="Arial" w:eastAsia="Arial" w:hAnsi="Arial"/>
                <w:sz w:val="16"/>
                <w:szCs w:val="16"/>
                <w:b w:val="1"/>
                <w:bCs w:val="1"/>
                <w:color w:val="FFFFFF"/>
              </w:rPr>
              <w:t>SALARY</w:t>
            </w:r>
          </w:p>
        </w:tc>
        <w:tc>
          <w:tcPr>
            <w:tcW w:w="2720" w:type="dxa"/>
            <w:vAlign w:val="bottom"/>
            <w:tcBorders>
              <w:right w:val="single" w:sz="8" w:color="00273A"/>
            </w:tcBorders>
          </w:tcPr>
          <w:p>
            <w:pPr>
              <w:ind w:left="200"/>
              <w:spacing w:after="0"/>
              <w:rPr>
                <w:sz w:val="20"/>
                <w:szCs w:val="20"/>
                <w:color w:val="auto"/>
              </w:rPr>
            </w:pPr>
            <w:r>
              <w:rPr>
                <w:rFonts w:ascii="Arial" w:cs="Arial" w:eastAsia="Arial" w:hAnsi="Arial"/>
                <w:sz w:val="16"/>
                <w:szCs w:val="16"/>
                <w:color w:val="auto"/>
              </w:rPr>
              <w:t>predictability to meet ongoing</w:t>
            </w:r>
          </w:p>
        </w:tc>
        <w:tc>
          <w:tcPr>
            <w:tcW w:w="3620" w:type="dxa"/>
            <w:vAlign w:val="bottom"/>
            <w:tcBorders>
              <w:right w:val="single" w:sz="8" w:color="00273A"/>
            </w:tcBorders>
            <w:gridSpan w:val="2"/>
          </w:tcPr>
          <w:p>
            <w:pPr>
              <w:ind w:left="400"/>
              <w:spacing w:after="0"/>
              <w:rPr>
                <w:sz w:val="20"/>
                <w:szCs w:val="20"/>
                <w:color w:val="auto"/>
              </w:rPr>
            </w:pPr>
            <w:r>
              <w:rPr>
                <w:rFonts w:ascii="Arial" w:cs="Arial" w:eastAsia="Arial" w:hAnsi="Arial"/>
                <w:sz w:val="16"/>
                <w:szCs w:val="16"/>
                <w:color w:val="auto"/>
              </w:rPr>
              <w:t>compensation program</w:t>
            </w:r>
          </w:p>
        </w:tc>
        <w:tc>
          <w:tcPr>
            <w:tcW w:w="3480" w:type="dxa"/>
            <w:vAlign w:val="bottom"/>
            <w:tcBorders>
              <w:right w:val="single" w:sz="8" w:color="00273A"/>
            </w:tcBorders>
          </w:tcPr>
          <w:p>
            <w:pPr>
              <w:ind w:left="400"/>
              <w:spacing w:after="0"/>
              <w:rPr>
                <w:sz w:val="20"/>
                <w:szCs w:val="20"/>
                <w:color w:val="auto"/>
              </w:rPr>
            </w:pPr>
            <w:r>
              <w:rPr>
                <w:rFonts w:ascii="Arial" w:cs="Arial" w:eastAsia="Arial" w:hAnsi="Arial"/>
                <w:sz w:val="16"/>
                <w:szCs w:val="16"/>
                <w:color w:val="auto"/>
              </w:rPr>
              <w:t>executive compensation program.</w:t>
            </w:r>
          </w:p>
        </w:tc>
        <w:tc>
          <w:tcPr>
            <w:tcW w:w="0" w:type="dxa"/>
            <w:vAlign w:val="bottom"/>
          </w:tcPr>
          <w:p>
            <w:pPr>
              <w:spacing w:after="0"/>
              <w:rPr>
                <w:sz w:val="1"/>
                <w:szCs w:val="1"/>
                <w:color w:val="auto"/>
              </w:rPr>
            </w:pPr>
          </w:p>
        </w:tc>
      </w:tr>
      <w:tr>
        <w:trPr>
          <w:trHeight w:val="187"/>
        </w:trPr>
        <w:tc>
          <w:tcPr>
            <w:tcW w:w="1440" w:type="dxa"/>
            <w:vAlign w:val="bottom"/>
            <w:vMerge w:val="restart"/>
            <w:shd w:val="clear" w:color="auto" w:fill="00273A"/>
          </w:tcPr>
          <w:p>
            <w:pPr>
              <w:ind w:left="260"/>
              <w:spacing w:after="0"/>
              <w:rPr>
                <w:sz w:val="20"/>
                <w:szCs w:val="20"/>
                <w:color w:val="auto"/>
              </w:rPr>
            </w:pPr>
            <w:r>
              <w:rPr>
                <w:rFonts w:ascii="Arial" w:cs="Arial" w:eastAsia="Arial" w:hAnsi="Arial"/>
                <w:sz w:val="16"/>
                <w:szCs w:val="16"/>
                <w:color w:val="FFFFFF"/>
              </w:rPr>
              <w:t>STARTS ON</w:t>
            </w:r>
          </w:p>
        </w:tc>
        <w:tc>
          <w:tcPr>
            <w:tcW w:w="2720" w:type="dxa"/>
            <w:vAlign w:val="bottom"/>
            <w:tcBorders>
              <w:right w:val="single" w:sz="8" w:color="00273A"/>
            </w:tcBorders>
          </w:tcPr>
          <w:p>
            <w:pPr>
              <w:ind w:left="200"/>
              <w:spacing w:after="0"/>
              <w:rPr>
                <w:sz w:val="20"/>
                <w:szCs w:val="20"/>
                <w:color w:val="auto"/>
              </w:rPr>
            </w:pPr>
            <w:r>
              <w:rPr>
                <w:rFonts w:ascii="Arial" w:cs="Arial" w:eastAsia="Arial" w:hAnsi="Arial"/>
                <w:sz w:val="16"/>
                <w:szCs w:val="16"/>
                <w:color w:val="auto"/>
              </w:rPr>
              <w:t>living and other financial</w:t>
            </w:r>
          </w:p>
        </w:tc>
        <w:tc>
          <w:tcPr>
            <w:tcW w:w="560" w:type="dxa"/>
            <w:vAlign w:val="bottom"/>
          </w:tcPr>
          <w:p>
            <w:pPr>
              <w:spacing w:after="0"/>
              <w:rPr>
                <w:sz w:val="16"/>
                <w:szCs w:val="16"/>
                <w:color w:val="auto"/>
              </w:rPr>
            </w:pPr>
          </w:p>
        </w:tc>
        <w:tc>
          <w:tcPr>
            <w:tcW w:w="3060" w:type="dxa"/>
            <w:vAlign w:val="bottom"/>
            <w:tcBorders>
              <w:right w:val="single" w:sz="8" w:color="00273A"/>
            </w:tcBorders>
          </w:tcPr>
          <w:p>
            <w:pPr>
              <w:spacing w:after="0"/>
              <w:rPr>
                <w:sz w:val="16"/>
                <w:szCs w:val="16"/>
                <w:color w:val="auto"/>
              </w:rPr>
            </w:pPr>
          </w:p>
        </w:tc>
        <w:tc>
          <w:tcPr>
            <w:tcW w:w="3480" w:type="dxa"/>
            <w:vAlign w:val="bottom"/>
            <w:tcBorders>
              <w:right w:val="single" w:sz="8" w:color="00273A"/>
            </w:tcBorders>
            <w:vMerge w:val="restart"/>
          </w:tcPr>
          <w:p>
            <w:pPr>
              <w:ind w:left="180"/>
              <w:spacing w:after="0"/>
              <w:rPr>
                <w:sz w:val="20"/>
                <w:szCs w:val="20"/>
                <w:color w:val="auto"/>
              </w:rPr>
            </w:pPr>
            <w:r>
              <w:rPr>
                <w:rFonts w:ascii="Arial" w:cs="Arial" w:eastAsia="Arial" w:hAnsi="Arial"/>
                <w:sz w:val="16"/>
                <w:szCs w:val="16"/>
                <w:b w:val="1"/>
                <w:bCs w:val="1"/>
                <w:color w:val="16479F"/>
              </w:rPr>
              <w:t xml:space="preserve">●  </w:t>
            </w:r>
            <w:r>
              <w:rPr>
                <w:rFonts w:ascii="Arial" w:cs="Arial" w:eastAsia="Arial" w:hAnsi="Arial"/>
                <w:sz w:val="16"/>
                <w:szCs w:val="16"/>
                <w:color w:val="000000"/>
              </w:rPr>
              <w:t>In 2022, each of Messrs. Wiechmann</w:t>
            </w:r>
          </w:p>
        </w:tc>
        <w:tc>
          <w:tcPr>
            <w:tcW w:w="0" w:type="dxa"/>
            <w:vAlign w:val="bottom"/>
          </w:tcPr>
          <w:p>
            <w:pPr>
              <w:spacing w:after="0"/>
              <w:rPr>
                <w:sz w:val="1"/>
                <w:szCs w:val="1"/>
                <w:color w:val="auto"/>
              </w:rPr>
            </w:pPr>
          </w:p>
        </w:tc>
      </w:tr>
      <w:tr>
        <w:trPr>
          <w:trHeight w:val="145"/>
        </w:trPr>
        <w:tc>
          <w:tcPr>
            <w:tcW w:w="1440" w:type="dxa"/>
            <w:vAlign w:val="bottom"/>
            <w:vMerge w:val="continue"/>
            <w:shd w:val="clear" w:color="auto" w:fill="00273A"/>
          </w:tcPr>
          <w:p>
            <w:pPr>
              <w:spacing w:after="0"/>
              <w:rPr>
                <w:sz w:val="12"/>
                <w:szCs w:val="12"/>
                <w:color w:val="auto"/>
              </w:rPr>
            </w:pPr>
          </w:p>
        </w:tc>
        <w:tc>
          <w:tcPr>
            <w:tcW w:w="2720" w:type="dxa"/>
            <w:vAlign w:val="bottom"/>
            <w:tcBorders>
              <w:right w:val="single" w:sz="8" w:color="00273A"/>
            </w:tcBorders>
          </w:tcPr>
          <w:p>
            <w:pPr>
              <w:ind w:left="200"/>
              <w:spacing w:after="0" w:line="145" w:lineRule="exact"/>
              <w:rPr>
                <w:sz w:val="20"/>
                <w:szCs w:val="20"/>
                <w:color w:val="auto"/>
              </w:rPr>
            </w:pPr>
            <w:r>
              <w:rPr>
                <w:rFonts w:ascii="Arial" w:cs="Arial" w:eastAsia="Arial" w:hAnsi="Arial"/>
                <w:sz w:val="16"/>
                <w:szCs w:val="16"/>
                <w:color w:val="auto"/>
              </w:rPr>
              <w:t>commitments</w:t>
            </w:r>
          </w:p>
        </w:tc>
        <w:tc>
          <w:tcPr>
            <w:tcW w:w="560" w:type="dxa"/>
            <w:vAlign w:val="bottom"/>
          </w:tcPr>
          <w:p>
            <w:pPr>
              <w:spacing w:after="0"/>
              <w:rPr>
                <w:sz w:val="12"/>
                <w:szCs w:val="12"/>
                <w:color w:val="auto"/>
              </w:rPr>
            </w:pPr>
          </w:p>
        </w:tc>
        <w:tc>
          <w:tcPr>
            <w:tcW w:w="3060" w:type="dxa"/>
            <w:vAlign w:val="bottom"/>
            <w:tcBorders>
              <w:right w:val="single" w:sz="8" w:color="00273A"/>
            </w:tcBorders>
          </w:tcPr>
          <w:p>
            <w:pPr>
              <w:spacing w:after="0"/>
              <w:rPr>
                <w:sz w:val="12"/>
                <w:szCs w:val="12"/>
                <w:color w:val="auto"/>
              </w:rPr>
            </w:pPr>
          </w:p>
        </w:tc>
        <w:tc>
          <w:tcPr>
            <w:tcW w:w="3480" w:type="dxa"/>
            <w:vAlign w:val="bottom"/>
            <w:tcBorders>
              <w:right w:val="single" w:sz="8" w:color="00273A"/>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00273A"/>
          </w:tcPr>
          <w:p>
            <w:pPr>
              <w:ind w:left="280"/>
              <w:spacing w:after="0"/>
              <w:rPr>
                <w:sz w:val="20"/>
                <w:szCs w:val="20"/>
                <w:color w:val="auto"/>
              </w:rPr>
            </w:pPr>
            <w:r>
              <w:rPr>
                <w:rFonts w:ascii="Arial" w:cs="Arial" w:eastAsia="Arial" w:hAnsi="Arial"/>
                <w:sz w:val="16"/>
                <w:szCs w:val="16"/>
                <w:b w:val="1"/>
                <w:bCs w:val="1"/>
                <w:color w:val="FFFFFF"/>
              </w:rPr>
              <w:t>PAGE 70</w:t>
            </w:r>
          </w:p>
        </w:tc>
        <w:tc>
          <w:tcPr>
            <w:tcW w:w="2720" w:type="dxa"/>
            <w:vAlign w:val="bottom"/>
            <w:tcBorders>
              <w:right w:val="single" w:sz="8" w:color="00273A"/>
            </w:tcBorders>
          </w:tcPr>
          <w:p>
            <w:pPr>
              <w:spacing w:after="0"/>
              <w:rPr>
                <w:sz w:val="18"/>
                <w:szCs w:val="18"/>
                <w:color w:val="auto"/>
              </w:rPr>
            </w:pPr>
          </w:p>
        </w:tc>
        <w:tc>
          <w:tcPr>
            <w:tcW w:w="560" w:type="dxa"/>
            <w:vAlign w:val="bottom"/>
          </w:tcPr>
          <w:p>
            <w:pPr>
              <w:spacing w:after="0"/>
              <w:rPr>
                <w:sz w:val="18"/>
                <w:szCs w:val="18"/>
                <w:color w:val="auto"/>
              </w:rPr>
            </w:pPr>
          </w:p>
        </w:tc>
        <w:tc>
          <w:tcPr>
            <w:tcW w:w="3060" w:type="dxa"/>
            <w:vAlign w:val="bottom"/>
            <w:tcBorders>
              <w:right w:val="single" w:sz="8" w:color="00273A"/>
            </w:tcBorders>
          </w:tcPr>
          <w:p>
            <w:pPr>
              <w:spacing w:after="0"/>
              <w:rPr>
                <w:sz w:val="18"/>
                <w:szCs w:val="18"/>
                <w:color w:val="auto"/>
              </w:rPr>
            </w:pPr>
          </w:p>
        </w:tc>
        <w:tc>
          <w:tcPr>
            <w:tcW w:w="3480" w:type="dxa"/>
            <w:vAlign w:val="bottom"/>
            <w:tcBorders>
              <w:right w:val="single" w:sz="8" w:color="00273A"/>
            </w:tcBorders>
          </w:tcPr>
          <w:p>
            <w:pPr>
              <w:ind w:left="400"/>
              <w:spacing w:after="0"/>
              <w:rPr>
                <w:sz w:val="20"/>
                <w:szCs w:val="20"/>
                <w:color w:val="auto"/>
              </w:rPr>
            </w:pPr>
            <w:r>
              <w:rPr>
                <w:rFonts w:ascii="Arial" w:cs="Arial" w:eastAsia="Arial" w:hAnsi="Arial"/>
                <w:sz w:val="16"/>
                <w:szCs w:val="16"/>
                <w:color w:val="auto"/>
              </w:rPr>
              <w:t>and Gutowski received an increase to his</w:t>
            </w:r>
          </w:p>
        </w:tc>
        <w:tc>
          <w:tcPr>
            <w:tcW w:w="0" w:type="dxa"/>
            <w:vAlign w:val="bottom"/>
          </w:tcPr>
          <w:p>
            <w:pPr>
              <w:spacing w:after="0"/>
              <w:rPr>
                <w:sz w:val="1"/>
                <w:szCs w:val="1"/>
                <w:color w:val="auto"/>
              </w:rPr>
            </w:pPr>
          </w:p>
        </w:tc>
      </w:tr>
      <w:tr>
        <w:trPr>
          <w:trHeight w:val="187"/>
        </w:trPr>
        <w:tc>
          <w:tcPr>
            <w:tcW w:w="1440" w:type="dxa"/>
            <w:vAlign w:val="bottom"/>
            <w:shd w:val="clear" w:color="auto" w:fill="00273A"/>
          </w:tcPr>
          <w:p>
            <w:pPr>
              <w:spacing w:after="0"/>
              <w:rPr>
                <w:sz w:val="16"/>
                <w:szCs w:val="16"/>
                <w:color w:val="auto"/>
              </w:rPr>
            </w:pPr>
          </w:p>
        </w:tc>
        <w:tc>
          <w:tcPr>
            <w:tcW w:w="2720" w:type="dxa"/>
            <w:vAlign w:val="bottom"/>
            <w:tcBorders>
              <w:right w:val="single" w:sz="8" w:color="00273A"/>
            </w:tcBorders>
          </w:tcPr>
          <w:p>
            <w:pPr>
              <w:spacing w:after="0"/>
              <w:rPr>
                <w:sz w:val="16"/>
                <w:szCs w:val="16"/>
                <w:color w:val="auto"/>
              </w:rPr>
            </w:pPr>
          </w:p>
        </w:tc>
        <w:tc>
          <w:tcPr>
            <w:tcW w:w="560" w:type="dxa"/>
            <w:vAlign w:val="bottom"/>
          </w:tcPr>
          <w:p>
            <w:pPr>
              <w:spacing w:after="0"/>
              <w:rPr>
                <w:sz w:val="16"/>
                <w:szCs w:val="16"/>
                <w:color w:val="auto"/>
              </w:rPr>
            </w:pPr>
          </w:p>
        </w:tc>
        <w:tc>
          <w:tcPr>
            <w:tcW w:w="3060" w:type="dxa"/>
            <w:vAlign w:val="bottom"/>
            <w:tcBorders>
              <w:right w:val="single" w:sz="8" w:color="00273A"/>
            </w:tcBorders>
          </w:tcPr>
          <w:p>
            <w:pPr>
              <w:spacing w:after="0"/>
              <w:rPr>
                <w:sz w:val="16"/>
                <w:szCs w:val="16"/>
                <w:color w:val="auto"/>
              </w:rPr>
            </w:pPr>
          </w:p>
        </w:tc>
        <w:tc>
          <w:tcPr>
            <w:tcW w:w="3480" w:type="dxa"/>
            <w:vAlign w:val="bottom"/>
            <w:tcBorders>
              <w:right w:val="single" w:sz="8" w:color="00273A"/>
            </w:tcBorders>
          </w:tcPr>
          <w:p>
            <w:pPr>
              <w:ind w:left="400"/>
              <w:spacing w:after="0"/>
              <w:rPr>
                <w:sz w:val="20"/>
                <w:szCs w:val="20"/>
                <w:color w:val="auto"/>
              </w:rPr>
            </w:pPr>
            <w:r>
              <w:rPr>
                <w:rFonts w:ascii="Arial" w:cs="Arial" w:eastAsia="Arial" w:hAnsi="Arial"/>
                <w:sz w:val="16"/>
                <w:szCs w:val="16"/>
                <w:color w:val="auto"/>
              </w:rPr>
              <w:t>annual base salary after a consideration</w:t>
            </w:r>
          </w:p>
        </w:tc>
        <w:tc>
          <w:tcPr>
            <w:tcW w:w="0" w:type="dxa"/>
            <w:vAlign w:val="bottom"/>
          </w:tcPr>
          <w:p>
            <w:pPr>
              <w:spacing w:after="0"/>
              <w:rPr>
                <w:sz w:val="1"/>
                <w:szCs w:val="1"/>
                <w:color w:val="auto"/>
              </w:rPr>
            </w:pPr>
          </w:p>
        </w:tc>
      </w:tr>
      <w:tr>
        <w:trPr>
          <w:trHeight w:val="187"/>
        </w:trPr>
        <w:tc>
          <w:tcPr>
            <w:tcW w:w="1440" w:type="dxa"/>
            <w:vAlign w:val="bottom"/>
            <w:shd w:val="clear" w:color="auto" w:fill="00273A"/>
          </w:tcPr>
          <w:p>
            <w:pPr>
              <w:spacing w:after="0"/>
              <w:rPr>
                <w:sz w:val="16"/>
                <w:szCs w:val="16"/>
                <w:color w:val="auto"/>
              </w:rPr>
            </w:pPr>
          </w:p>
        </w:tc>
        <w:tc>
          <w:tcPr>
            <w:tcW w:w="2720" w:type="dxa"/>
            <w:vAlign w:val="bottom"/>
            <w:tcBorders>
              <w:right w:val="single" w:sz="8" w:color="00273A"/>
            </w:tcBorders>
          </w:tcPr>
          <w:p>
            <w:pPr>
              <w:spacing w:after="0"/>
              <w:rPr>
                <w:sz w:val="16"/>
                <w:szCs w:val="16"/>
                <w:color w:val="auto"/>
              </w:rPr>
            </w:pPr>
          </w:p>
        </w:tc>
        <w:tc>
          <w:tcPr>
            <w:tcW w:w="560" w:type="dxa"/>
            <w:vAlign w:val="bottom"/>
          </w:tcPr>
          <w:p>
            <w:pPr>
              <w:spacing w:after="0"/>
              <w:rPr>
                <w:sz w:val="16"/>
                <w:szCs w:val="16"/>
                <w:color w:val="auto"/>
              </w:rPr>
            </w:pPr>
          </w:p>
        </w:tc>
        <w:tc>
          <w:tcPr>
            <w:tcW w:w="3060" w:type="dxa"/>
            <w:vAlign w:val="bottom"/>
            <w:tcBorders>
              <w:right w:val="single" w:sz="8" w:color="00273A"/>
            </w:tcBorders>
          </w:tcPr>
          <w:p>
            <w:pPr>
              <w:spacing w:after="0"/>
              <w:rPr>
                <w:sz w:val="16"/>
                <w:szCs w:val="16"/>
                <w:color w:val="auto"/>
              </w:rPr>
            </w:pPr>
          </w:p>
        </w:tc>
        <w:tc>
          <w:tcPr>
            <w:tcW w:w="3480" w:type="dxa"/>
            <w:vAlign w:val="bottom"/>
            <w:tcBorders>
              <w:right w:val="single" w:sz="8" w:color="00273A"/>
            </w:tcBorders>
          </w:tcPr>
          <w:p>
            <w:pPr>
              <w:ind w:left="400"/>
              <w:spacing w:after="0"/>
              <w:rPr>
                <w:sz w:val="20"/>
                <w:szCs w:val="20"/>
                <w:color w:val="auto"/>
              </w:rPr>
            </w:pPr>
            <w:r>
              <w:rPr>
                <w:rFonts w:ascii="Arial" w:cs="Arial" w:eastAsia="Arial" w:hAnsi="Arial"/>
                <w:sz w:val="16"/>
                <w:szCs w:val="16"/>
                <w:color w:val="auto"/>
              </w:rPr>
              <w:t>of several factors, including peer group</w:t>
            </w:r>
          </w:p>
        </w:tc>
        <w:tc>
          <w:tcPr>
            <w:tcW w:w="0" w:type="dxa"/>
            <w:vAlign w:val="bottom"/>
          </w:tcPr>
          <w:p>
            <w:pPr>
              <w:spacing w:after="0"/>
              <w:rPr>
                <w:sz w:val="1"/>
                <w:szCs w:val="1"/>
                <w:color w:val="auto"/>
              </w:rPr>
            </w:pPr>
          </w:p>
        </w:tc>
      </w:tr>
      <w:tr>
        <w:trPr>
          <w:trHeight w:val="193"/>
        </w:trPr>
        <w:tc>
          <w:tcPr>
            <w:tcW w:w="1440" w:type="dxa"/>
            <w:vAlign w:val="bottom"/>
            <w:shd w:val="clear" w:color="auto" w:fill="00273A"/>
          </w:tcPr>
          <w:p>
            <w:pPr>
              <w:spacing w:after="0"/>
              <w:rPr>
                <w:sz w:val="16"/>
                <w:szCs w:val="16"/>
                <w:color w:val="auto"/>
              </w:rPr>
            </w:pPr>
          </w:p>
        </w:tc>
        <w:tc>
          <w:tcPr>
            <w:tcW w:w="2720" w:type="dxa"/>
            <w:vAlign w:val="bottom"/>
            <w:tcBorders>
              <w:right w:val="single" w:sz="8" w:color="00273A"/>
            </w:tcBorders>
          </w:tcPr>
          <w:p>
            <w:pPr>
              <w:spacing w:after="0"/>
              <w:rPr>
                <w:sz w:val="16"/>
                <w:szCs w:val="16"/>
                <w:color w:val="auto"/>
              </w:rPr>
            </w:pPr>
          </w:p>
        </w:tc>
        <w:tc>
          <w:tcPr>
            <w:tcW w:w="560" w:type="dxa"/>
            <w:vAlign w:val="bottom"/>
          </w:tcPr>
          <w:p>
            <w:pPr>
              <w:spacing w:after="0"/>
              <w:rPr>
                <w:sz w:val="16"/>
                <w:szCs w:val="16"/>
                <w:color w:val="auto"/>
              </w:rPr>
            </w:pPr>
          </w:p>
        </w:tc>
        <w:tc>
          <w:tcPr>
            <w:tcW w:w="3060" w:type="dxa"/>
            <w:vAlign w:val="bottom"/>
            <w:tcBorders>
              <w:right w:val="single" w:sz="8" w:color="00273A"/>
            </w:tcBorders>
          </w:tcPr>
          <w:p>
            <w:pPr>
              <w:spacing w:after="0"/>
              <w:rPr>
                <w:sz w:val="16"/>
                <w:szCs w:val="16"/>
                <w:color w:val="auto"/>
              </w:rPr>
            </w:pPr>
          </w:p>
        </w:tc>
        <w:tc>
          <w:tcPr>
            <w:tcW w:w="3480" w:type="dxa"/>
            <w:vAlign w:val="bottom"/>
            <w:tcBorders>
              <w:right w:val="single" w:sz="8" w:color="00273A"/>
            </w:tcBorders>
          </w:tcPr>
          <w:p>
            <w:pPr>
              <w:ind w:left="400"/>
              <w:spacing w:after="0"/>
              <w:rPr>
                <w:sz w:val="20"/>
                <w:szCs w:val="20"/>
                <w:color w:val="auto"/>
              </w:rPr>
            </w:pPr>
            <w:r>
              <w:rPr>
                <w:rFonts w:ascii="Arial" w:cs="Arial" w:eastAsia="Arial" w:hAnsi="Arial"/>
                <w:sz w:val="16"/>
                <w:szCs w:val="16"/>
                <w:color w:val="auto"/>
              </w:rPr>
              <w:t>market data and competitive practices</w:t>
            </w:r>
          </w:p>
        </w:tc>
        <w:tc>
          <w:tcPr>
            <w:tcW w:w="0" w:type="dxa"/>
            <w:vAlign w:val="bottom"/>
          </w:tcPr>
          <w:p>
            <w:pPr>
              <w:spacing w:after="0"/>
              <w:rPr>
                <w:sz w:val="1"/>
                <w:szCs w:val="1"/>
                <w:color w:val="auto"/>
              </w:rPr>
            </w:pPr>
          </w:p>
        </w:tc>
      </w:tr>
      <w:tr>
        <w:trPr>
          <w:trHeight w:val="106"/>
        </w:trPr>
        <w:tc>
          <w:tcPr>
            <w:tcW w:w="1440" w:type="dxa"/>
            <w:vAlign w:val="bottom"/>
            <w:tcBorders>
              <w:bottom w:val="single" w:sz="8" w:color="16479F"/>
            </w:tcBorders>
            <w:shd w:val="clear" w:color="auto" w:fill="00273A"/>
          </w:tcPr>
          <w:p>
            <w:pPr>
              <w:spacing w:after="0"/>
              <w:rPr>
                <w:sz w:val="9"/>
                <w:szCs w:val="9"/>
                <w:color w:val="auto"/>
              </w:rPr>
            </w:pPr>
          </w:p>
        </w:tc>
        <w:tc>
          <w:tcPr>
            <w:tcW w:w="2720" w:type="dxa"/>
            <w:vAlign w:val="bottom"/>
            <w:tcBorders>
              <w:bottom w:val="single" w:sz="8" w:color="16479F"/>
              <w:right w:val="single" w:sz="8" w:color="00273A"/>
            </w:tcBorders>
          </w:tcPr>
          <w:p>
            <w:pPr>
              <w:spacing w:after="0"/>
              <w:rPr>
                <w:sz w:val="9"/>
                <w:szCs w:val="9"/>
                <w:color w:val="auto"/>
              </w:rPr>
            </w:pPr>
          </w:p>
        </w:tc>
        <w:tc>
          <w:tcPr>
            <w:tcW w:w="3620" w:type="dxa"/>
            <w:vAlign w:val="bottom"/>
            <w:tcBorders>
              <w:bottom w:val="single" w:sz="8" w:color="16479F"/>
              <w:right w:val="single" w:sz="8" w:color="00273A"/>
            </w:tcBorders>
            <w:gridSpan w:val="2"/>
          </w:tcPr>
          <w:p>
            <w:pPr>
              <w:spacing w:after="0"/>
              <w:rPr>
                <w:sz w:val="9"/>
                <w:szCs w:val="9"/>
                <w:color w:val="auto"/>
              </w:rPr>
            </w:pPr>
          </w:p>
        </w:tc>
        <w:tc>
          <w:tcPr>
            <w:tcW w:w="3480" w:type="dxa"/>
            <w:vAlign w:val="bottom"/>
            <w:tcBorders>
              <w:bottom w:val="single" w:sz="8" w:color="16479F"/>
              <w:right w:val="single" w:sz="8" w:color="00273A"/>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1440" w:type="dxa"/>
            <w:vAlign w:val="bottom"/>
            <w:shd w:val="clear" w:color="auto" w:fill="16479F"/>
          </w:tcPr>
          <w:p>
            <w:pPr>
              <w:ind w:left="100"/>
              <w:spacing w:after="0"/>
              <w:rPr>
                <w:sz w:val="20"/>
                <w:szCs w:val="20"/>
                <w:color w:val="auto"/>
              </w:rPr>
            </w:pPr>
            <w:r>
              <w:rPr>
                <w:rFonts w:ascii="Arial" w:cs="Arial" w:eastAsia="Arial" w:hAnsi="Arial"/>
                <w:sz w:val="16"/>
                <w:szCs w:val="16"/>
                <w:b w:val="1"/>
                <w:bCs w:val="1"/>
                <w:color w:val="FFFFFF"/>
              </w:rPr>
              <w:t>ANNUAL</w:t>
            </w:r>
          </w:p>
        </w:tc>
        <w:tc>
          <w:tcPr>
            <w:tcW w:w="2720" w:type="dxa"/>
            <w:vAlign w:val="bottom"/>
            <w:tcBorders>
              <w:right w:val="single" w:sz="8" w:color="16479F"/>
            </w:tcBorders>
          </w:tcPr>
          <w:p>
            <w:pPr>
              <w:ind w:left="200"/>
              <w:spacing w:after="0"/>
              <w:rPr>
                <w:sz w:val="20"/>
                <w:szCs w:val="20"/>
                <w:color w:val="auto"/>
              </w:rPr>
            </w:pPr>
            <w:r>
              <w:rPr>
                <w:rFonts w:ascii="Arial" w:cs="Arial" w:eastAsia="Arial" w:hAnsi="Arial"/>
                <w:sz w:val="16"/>
                <w:szCs w:val="16"/>
                <w:color w:val="auto"/>
              </w:rPr>
              <w:t>Intended to drive one-year</w:t>
            </w:r>
          </w:p>
        </w:tc>
        <w:tc>
          <w:tcPr>
            <w:tcW w:w="3620" w:type="dxa"/>
            <w:vAlign w:val="bottom"/>
            <w:tcBorders>
              <w:right w:val="single" w:sz="8" w:color="16479F"/>
            </w:tcBorders>
            <w:gridSpan w:val="2"/>
          </w:tcPr>
          <w:p>
            <w:pPr>
              <w:ind w:left="180"/>
              <w:spacing w:after="0"/>
              <w:rPr>
                <w:sz w:val="20"/>
                <w:szCs w:val="20"/>
                <w:color w:val="auto"/>
              </w:rPr>
            </w:pPr>
            <w:r>
              <w:rPr>
                <w:rFonts w:ascii="Arial" w:cs="Arial" w:eastAsia="Arial" w:hAnsi="Arial"/>
                <w:sz w:val="16"/>
                <w:szCs w:val="16"/>
                <w:b w:val="1"/>
                <w:bCs w:val="1"/>
                <w:color w:val="16479F"/>
              </w:rPr>
              <w:t xml:space="preserve">●  </w:t>
            </w:r>
            <w:r>
              <w:rPr>
                <w:rFonts w:ascii="Arial" w:cs="Arial" w:eastAsia="Arial" w:hAnsi="Arial"/>
                <w:sz w:val="16"/>
                <w:szCs w:val="16"/>
                <w:color w:val="000000"/>
              </w:rPr>
              <w:t>Metrics vary by executive, but include:</w:t>
            </w:r>
          </w:p>
        </w:tc>
        <w:tc>
          <w:tcPr>
            <w:tcW w:w="3480" w:type="dxa"/>
            <w:vAlign w:val="bottom"/>
            <w:tcBorders>
              <w:right w:val="single" w:sz="8" w:color="16479F"/>
            </w:tcBorders>
          </w:tcPr>
          <w:p>
            <w:pPr>
              <w:ind w:left="180"/>
              <w:spacing w:after="0"/>
              <w:rPr>
                <w:sz w:val="20"/>
                <w:szCs w:val="20"/>
                <w:color w:val="auto"/>
              </w:rPr>
            </w:pPr>
            <w:r>
              <w:rPr>
                <w:rFonts w:ascii="Arial" w:cs="Arial" w:eastAsia="Arial" w:hAnsi="Arial"/>
                <w:sz w:val="16"/>
                <w:szCs w:val="16"/>
                <w:color w:val="auto"/>
              </w:rPr>
              <w:t>No change to metrics</w:t>
            </w:r>
          </w:p>
        </w:tc>
        <w:tc>
          <w:tcPr>
            <w:tcW w:w="0" w:type="dxa"/>
            <w:vAlign w:val="bottom"/>
          </w:tcPr>
          <w:p>
            <w:pPr>
              <w:spacing w:after="0"/>
              <w:rPr>
                <w:sz w:val="1"/>
                <w:szCs w:val="1"/>
                <w:color w:val="auto"/>
              </w:rPr>
            </w:pPr>
          </w:p>
        </w:tc>
      </w:tr>
      <w:tr>
        <w:trPr>
          <w:trHeight w:val="207"/>
        </w:trPr>
        <w:tc>
          <w:tcPr>
            <w:tcW w:w="1440" w:type="dxa"/>
            <w:vAlign w:val="bottom"/>
            <w:shd w:val="clear" w:color="auto" w:fill="16479F"/>
          </w:tcPr>
          <w:p>
            <w:pPr>
              <w:ind w:left="100"/>
              <w:spacing w:after="0"/>
              <w:rPr>
                <w:sz w:val="20"/>
                <w:szCs w:val="20"/>
                <w:color w:val="auto"/>
              </w:rPr>
            </w:pPr>
            <w:r>
              <w:rPr>
                <w:rFonts w:ascii="Arial" w:cs="Arial" w:eastAsia="Arial" w:hAnsi="Arial"/>
                <w:sz w:val="16"/>
                <w:szCs w:val="16"/>
                <w:b w:val="1"/>
                <w:bCs w:val="1"/>
                <w:color w:val="FFFFFF"/>
              </w:rPr>
              <w:t>INCENTIVE</w:t>
            </w:r>
          </w:p>
        </w:tc>
        <w:tc>
          <w:tcPr>
            <w:tcW w:w="2720" w:type="dxa"/>
            <w:vAlign w:val="bottom"/>
            <w:tcBorders>
              <w:right w:val="single" w:sz="8" w:color="16479F"/>
            </w:tcBorders>
          </w:tcPr>
          <w:p>
            <w:pPr>
              <w:ind w:left="200"/>
              <w:spacing w:after="0"/>
              <w:rPr>
                <w:sz w:val="20"/>
                <w:szCs w:val="20"/>
                <w:color w:val="auto"/>
              </w:rPr>
            </w:pPr>
            <w:r>
              <w:rPr>
                <w:rFonts w:ascii="Arial" w:cs="Arial" w:eastAsia="Arial" w:hAnsi="Arial"/>
                <w:sz w:val="16"/>
                <w:szCs w:val="16"/>
                <w:color w:val="auto"/>
              </w:rPr>
              <w:t>performance results against</w:t>
            </w:r>
          </w:p>
        </w:tc>
        <w:tc>
          <w:tcPr>
            <w:tcW w:w="560" w:type="dxa"/>
            <w:vAlign w:val="bottom"/>
            <w:vMerge w:val="restart"/>
          </w:tcPr>
          <w:p>
            <w:pPr>
              <w:jc w:val="right"/>
              <w:spacing w:after="0"/>
              <w:rPr>
                <w:sz w:val="20"/>
                <w:szCs w:val="20"/>
                <w:color w:val="auto"/>
              </w:rPr>
            </w:pPr>
            <w:r>
              <w:rPr>
                <w:rFonts w:ascii="Arial" w:cs="Arial" w:eastAsia="Arial" w:hAnsi="Arial"/>
                <w:sz w:val="16"/>
                <w:szCs w:val="16"/>
                <w:b w:val="1"/>
                <w:bCs w:val="1"/>
                <w:color w:val="16479F"/>
              </w:rPr>
              <w:t>●</w:t>
            </w:r>
          </w:p>
        </w:tc>
        <w:tc>
          <w:tcPr>
            <w:tcW w:w="3060" w:type="dxa"/>
            <w:vAlign w:val="bottom"/>
            <w:tcBorders>
              <w:right w:val="single" w:sz="8" w:color="16479F"/>
            </w:tcBorders>
            <w:vMerge w:val="restart"/>
          </w:tcPr>
          <w:p>
            <w:pPr>
              <w:ind w:left="80"/>
              <w:spacing w:after="0"/>
              <w:rPr>
                <w:sz w:val="20"/>
                <w:szCs w:val="20"/>
                <w:color w:val="auto"/>
              </w:rPr>
            </w:pPr>
            <w:r>
              <w:rPr>
                <w:rFonts w:ascii="Arial" w:cs="Arial" w:eastAsia="Arial" w:hAnsi="Arial"/>
                <w:sz w:val="16"/>
                <w:szCs w:val="16"/>
                <w:color w:val="auto"/>
              </w:rPr>
              <w:t>Revenue</w:t>
            </w:r>
          </w:p>
        </w:tc>
        <w:tc>
          <w:tcPr>
            <w:tcW w:w="3480" w:type="dxa"/>
            <w:vAlign w:val="bottom"/>
            <w:tcBorders>
              <w:right w:val="single" w:sz="8" w:color="16479F"/>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440" w:type="dxa"/>
            <w:vAlign w:val="bottom"/>
            <w:vMerge w:val="restart"/>
            <w:shd w:val="clear" w:color="auto" w:fill="16479F"/>
          </w:tcPr>
          <w:p>
            <w:pPr>
              <w:ind w:left="100"/>
              <w:spacing w:after="0"/>
              <w:rPr>
                <w:sz w:val="20"/>
                <w:szCs w:val="20"/>
                <w:color w:val="auto"/>
              </w:rPr>
            </w:pPr>
            <w:r>
              <w:rPr>
                <w:rFonts w:ascii="Arial" w:cs="Arial" w:eastAsia="Arial" w:hAnsi="Arial"/>
                <w:sz w:val="16"/>
                <w:szCs w:val="16"/>
                <w:b w:val="1"/>
                <w:bCs w:val="1"/>
                <w:color w:val="FFFFFF"/>
              </w:rPr>
              <w:t>(Cash Bonus)</w:t>
            </w:r>
          </w:p>
        </w:tc>
        <w:tc>
          <w:tcPr>
            <w:tcW w:w="2720" w:type="dxa"/>
            <w:vAlign w:val="bottom"/>
            <w:tcBorders>
              <w:right w:val="single" w:sz="8" w:color="16479F"/>
            </w:tcBorders>
          </w:tcPr>
          <w:p>
            <w:pPr>
              <w:ind w:left="200"/>
              <w:spacing w:after="0"/>
              <w:rPr>
                <w:sz w:val="20"/>
                <w:szCs w:val="20"/>
                <w:color w:val="auto"/>
              </w:rPr>
            </w:pPr>
            <w:r>
              <w:rPr>
                <w:rFonts w:ascii="Arial" w:cs="Arial" w:eastAsia="Arial" w:hAnsi="Arial"/>
                <w:sz w:val="16"/>
                <w:szCs w:val="16"/>
                <w:color w:val="auto"/>
              </w:rPr>
              <w:t>financial targets and other</w:t>
            </w:r>
          </w:p>
        </w:tc>
        <w:tc>
          <w:tcPr>
            <w:tcW w:w="560" w:type="dxa"/>
            <w:vAlign w:val="bottom"/>
            <w:vMerge w:val="continue"/>
          </w:tcPr>
          <w:p>
            <w:pPr>
              <w:spacing w:after="0"/>
              <w:rPr>
                <w:sz w:val="16"/>
                <w:szCs w:val="16"/>
                <w:color w:val="auto"/>
              </w:rPr>
            </w:pPr>
          </w:p>
        </w:tc>
        <w:tc>
          <w:tcPr>
            <w:tcW w:w="3060" w:type="dxa"/>
            <w:vAlign w:val="bottom"/>
            <w:tcBorders>
              <w:right w:val="single" w:sz="8" w:color="16479F"/>
            </w:tcBorders>
            <w:vMerge w:val="continue"/>
          </w:tcPr>
          <w:p>
            <w:pPr>
              <w:spacing w:after="0"/>
              <w:rPr>
                <w:sz w:val="16"/>
                <w:szCs w:val="16"/>
                <w:color w:val="auto"/>
              </w:rPr>
            </w:pPr>
          </w:p>
        </w:tc>
        <w:tc>
          <w:tcPr>
            <w:tcW w:w="3480" w:type="dxa"/>
            <w:vAlign w:val="bottom"/>
            <w:tcBorders>
              <w:right w:val="single" w:sz="8" w:color="16479F"/>
            </w:tcBorders>
          </w:tcPr>
          <w:p>
            <w:pPr>
              <w:spacing w:after="0"/>
              <w:rPr>
                <w:sz w:val="16"/>
                <w:szCs w:val="16"/>
                <w:color w:val="auto"/>
              </w:rPr>
            </w:pPr>
          </w:p>
        </w:tc>
        <w:tc>
          <w:tcPr>
            <w:tcW w:w="0" w:type="dxa"/>
            <w:vAlign w:val="bottom"/>
          </w:tcPr>
          <w:p>
            <w:pPr>
              <w:spacing w:after="0"/>
              <w:rPr>
                <w:sz w:val="1"/>
                <w:szCs w:val="1"/>
                <w:color w:val="auto"/>
              </w:rPr>
            </w:pPr>
          </w:p>
        </w:tc>
      </w:tr>
      <w:tr>
        <w:trPr>
          <w:trHeight w:val="100"/>
        </w:trPr>
        <w:tc>
          <w:tcPr>
            <w:tcW w:w="1440" w:type="dxa"/>
            <w:vAlign w:val="bottom"/>
            <w:vMerge w:val="continue"/>
            <w:shd w:val="clear" w:color="auto" w:fill="16479F"/>
          </w:tcPr>
          <w:p>
            <w:pPr>
              <w:spacing w:after="0"/>
              <w:rPr>
                <w:sz w:val="8"/>
                <w:szCs w:val="8"/>
                <w:color w:val="auto"/>
              </w:rPr>
            </w:pPr>
          </w:p>
        </w:tc>
        <w:tc>
          <w:tcPr>
            <w:tcW w:w="2720" w:type="dxa"/>
            <w:vAlign w:val="bottom"/>
            <w:tcBorders>
              <w:right w:val="single" w:sz="8" w:color="16479F"/>
            </w:tcBorders>
            <w:vMerge w:val="restart"/>
          </w:tcPr>
          <w:p>
            <w:pPr>
              <w:ind w:left="200"/>
              <w:spacing w:after="0"/>
              <w:rPr>
                <w:sz w:val="20"/>
                <w:szCs w:val="20"/>
                <w:color w:val="auto"/>
              </w:rPr>
            </w:pPr>
            <w:r>
              <w:rPr>
                <w:rFonts w:ascii="Arial" w:cs="Arial" w:eastAsia="Arial" w:hAnsi="Arial"/>
                <w:sz w:val="16"/>
                <w:szCs w:val="16"/>
                <w:color w:val="auto"/>
              </w:rPr>
              <w:t>Company, individual and</w:t>
            </w:r>
          </w:p>
        </w:tc>
        <w:tc>
          <w:tcPr>
            <w:tcW w:w="560" w:type="dxa"/>
            <w:vAlign w:val="bottom"/>
          </w:tcPr>
          <w:p>
            <w:pPr>
              <w:spacing w:after="0"/>
              <w:rPr>
                <w:sz w:val="8"/>
                <w:szCs w:val="8"/>
                <w:color w:val="auto"/>
              </w:rPr>
            </w:pPr>
          </w:p>
        </w:tc>
        <w:tc>
          <w:tcPr>
            <w:tcW w:w="3060" w:type="dxa"/>
            <w:vAlign w:val="bottom"/>
            <w:tcBorders>
              <w:right w:val="single" w:sz="8" w:color="16479F"/>
            </w:tcBorders>
          </w:tcPr>
          <w:p>
            <w:pPr>
              <w:spacing w:after="0"/>
              <w:rPr>
                <w:sz w:val="8"/>
                <w:szCs w:val="8"/>
                <w:color w:val="auto"/>
              </w:rPr>
            </w:pPr>
          </w:p>
        </w:tc>
        <w:tc>
          <w:tcPr>
            <w:tcW w:w="3480" w:type="dxa"/>
            <w:vAlign w:val="bottom"/>
            <w:tcBorders>
              <w:right w:val="single" w:sz="8" w:color="16479F"/>
            </w:tcBorders>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440" w:type="dxa"/>
            <w:vAlign w:val="bottom"/>
            <w:vMerge w:val="restart"/>
            <w:shd w:val="clear" w:color="auto" w:fill="16479F"/>
          </w:tcPr>
          <w:p>
            <w:pPr>
              <w:ind w:left="240"/>
              <w:spacing w:after="0"/>
              <w:rPr>
                <w:sz w:val="20"/>
                <w:szCs w:val="20"/>
                <w:color w:val="auto"/>
              </w:rPr>
            </w:pPr>
            <w:r>
              <w:rPr>
                <w:rFonts w:ascii="Arial" w:cs="Arial" w:eastAsia="Arial" w:hAnsi="Arial"/>
                <w:sz w:val="16"/>
                <w:szCs w:val="16"/>
                <w:color w:val="FFFFFF"/>
              </w:rPr>
              <w:t>STARTS ON</w:t>
            </w:r>
          </w:p>
        </w:tc>
        <w:tc>
          <w:tcPr>
            <w:tcW w:w="2720" w:type="dxa"/>
            <w:vAlign w:val="bottom"/>
            <w:tcBorders>
              <w:right w:val="single" w:sz="8" w:color="16479F"/>
            </w:tcBorders>
            <w:vMerge w:val="continue"/>
          </w:tcPr>
          <w:p>
            <w:pPr>
              <w:spacing w:after="0"/>
              <w:rPr>
                <w:sz w:val="7"/>
                <w:szCs w:val="7"/>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b w:val="1"/>
                <w:bCs w:val="1"/>
                <w:color w:val="16479F"/>
              </w:rPr>
              <w:t>●</w:t>
            </w:r>
          </w:p>
        </w:tc>
        <w:tc>
          <w:tcPr>
            <w:tcW w:w="3060" w:type="dxa"/>
            <w:vAlign w:val="bottom"/>
            <w:tcBorders>
              <w:right w:val="single" w:sz="8" w:color="16479F"/>
            </w:tcBorders>
            <w:vMerge w:val="restart"/>
          </w:tcPr>
          <w:p>
            <w:pPr>
              <w:ind w:left="80"/>
              <w:spacing w:after="0"/>
              <w:rPr>
                <w:sz w:val="20"/>
                <w:szCs w:val="20"/>
                <w:color w:val="auto"/>
              </w:rPr>
            </w:pPr>
            <w:r>
              <w:rPr>
                <w:rFonts w:ascii="Arial" w:cs="Arial" w:eastAsia="Arial" w:hAnsi="Arial"/>
                <w:sz w:val="16"/>
                <w:szCs w:val="16"/>
                <w:color w:val="auto"/>
              </w:rPr>
              <w:t>Adjusted EPS</w:t>
            </w:r>
          </w:p>
        </w:tc>
        <w:tc>
          <w:tcPr>
            <w:tcW w:w="3480" w:type="dxa"/>
            <w:vAlign w:val="bottom"/>
            <w:tcBorders>
              <w:right w:val="single" w:sz="8" w:color="16479F"/>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1440" w:type="dxa"/>
            <w:vAlign w:val="bottom"/>
            <w:vMerge w:val="continue"/>
            <w:shd w:val="clear" w:color="auto" w:fill="16479F"/>
          </w:tcPr>
          <w:p>
            <w:pPr>
              <w:spacing w:after="0"/>
              <w:rPr>
                <w:sz w:val="13"/>
                <w:szCs w:val="13"/>
                <w:color w:val="auto"/>
              </w:rPr>
            </w:pPr>
          </w:p>
        </w:tc>
        <w:tc>
          <w:tcPr>
            <w:tcW w:w="2720" w:type="dxa"/>
            <w:vAlign w:val="bottom"/>
            <w:tcBorders>
              <w:right w:val="single" w:sz="8" w:color="16479F"/>
            </w:tcBorders>
          </w:tcPr>
          <w:p>
            <w:pPr>
              <w:ind w:left="200"/>
              <w:spacing w:after="0" w:line="154" w:lineRule="exact"/>
              <w:rPr>
                <w:sz w:val="20"/>
                <w:szCs w:val="20"/>
                <w:color w:val="auto"/>
              </w:rPr>
            </w:pPr>
            <w:r>
              <w:rPr>
                <w:rFonts w:ascii="Arial" w:cs="Arial" w:eastAsia="Arial" w:hAnsi="Arial"/>
                <w:sz w:val="16"/>
                <w:szCs w:val="16"/>
                <w:color w:val="auto"/>
              </w:rPr>
              <w:t>leadership focused goals</w:t>
            </w:r>
          </w:p>
        </w:tc>
        <w:tc>
          <w:tcPr>
            <w:tcW w:w="560" w:type="dxa"/>
            <w:vAlign w:val="bottom"/>
            <w:vMerge w:val="continue"/>
          </w:tcPr>
          <w:p>
            <w:pPr>
              <w:spacing w:after="0"/>
              <w:rPr>
                <w:sz w:val="13"/>
                <w:szCs w:val="13"/>
                <w:color w:val="auto"/>
              </w:rPr>
            </w:pPr>
          </w:p>
        </w:tc>
        <w:tc>
          <w:tcPr>
            <w:tcW w:w="3060" w:type="dxa"/>
            <w:vAlign w:val="bottom"/>
            <w:tcBorders>
              <w:right w:val="single" w:sz="8" w:color="16479F"/>
            </w:tcBorders>
            <w:vMerge w:val="continue"/>
          </w:tcPr>
          <w:p>
            <w:pPr>
              <w:spacing w:after="0"/>
              <w:rPr>
                <w:sz w:val="13"/>
                <w:szCs w:val="13"/>
                <w:color w:val="auto"/>
              </w:rPr>
            </w:pPr>
          </w:p>
        </w:tc>
        <w:tc>
          <w:tcPr>
            <w:tcW w:w="3480" w:type="dxa"/>
            <w:vAlign w:val="bottom"/>
            <w:tcBorders>
              <w:right w:val="single" w:sz="8" w:color="16479F"/>
            </w:tcBorders>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1440" w:type="dxa"/>
            <w:vAlign w:val="bottom"/>
            <w:shd w:val="clear" w:color="auto" w:fill="16479F"/>
          </w:tcPr>
          <w:p>
            <w:pPr>
              <w:ind w:left="280"/>
              <w:spacing w:after="0"/>
              <w:rPr>
                <w:sz w:val="20"/>
                <w:szCs w:val="20"/>
                <w:color w:val="auto"/>
              </w:rPr>
            </w:pPr>
            <w:r>
              <w:rPr>
                <w:rFonts w:ascii="Arial" w:cs="Arial" w:eastAsia="Arial" w:hAnsi="Arial"/>
                <w:sz w:val="16"/>
                <w:szCs w:val="16"/>
                <w:b w:val="1"/>
                <w:bCs w:val="1"/>
                <w:color w:val="FFFFFF"/>
              </w:rPr>
              <w:t>PAGE 71</w:t>
            </w:r>
          </w:p>
        </w:tc>
        <w:tc>
          <w:tcPr>
            <w:tcW w:w="2720" w:type="dxa"/>
            <w:vAlign w:val="bottom"/>
            <w:tcBorders>
              <w:right w:val="single" w:sz="8" w:color="16479F"/>
            </w:tcBorders>
          </w:tcPr>
          <w:p>
            <w:pPr>
              <w:spacing w:after="0"/>
              <w:rPr>
                <w:sz w:val="18"/>
                <w:szCs w:val="18"/>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b w:val="1"/>
                <w:bCs w:val="1"/>
                <w:color w:val="16479F"/>
              </w:rPr>
              <w:t>●</w:t>
            </w:r>
          </w:p>
        </w:tc>
        <w:tc>
          <w:tcPr>
            <w:tcW w:w="3060" w:type="dxa"/>
            <w:vAlign w:val="bottom"/>
            <w:tcBorders>
              <w:right w:val="single" w:sz="8" w:color="16479F"/>
            </w:tcBorders>
            <w:vMerge w:val="restart"/>
          </w:tcPr>
          <w:p>
            <w:pPr>
              <w:ind w:left="80"/>
              <w:spacing w:after="0"/>
              <w:rPr>
                <w:sz w:val="20"/>
                <w:szCs w:val="20"/>
                <w:color w:val="auto"/>
              </w:rPr>
            </w:pPr>
            <w:r>
              <w:rPr>
                <w:rFonts w:ascii="Arial" w:cs="Arial" w:eastAsia="Arial" w:hAnsi="Arial"/>
                <w:sz w:val="16"/>
                <w:szCs w:val="16"/>
                <w:color w:val="auto"/>
              </w:rPr>
              <w:t>Net New Sales</w:t>
            </w:r>
          </w:p>
        </w:tc>
        <w:tc>
          <w:tcPr>
            <w:tcW w:w="3480" w:type="dxa"/>
            <w:vAlign w:val="bottom"/>
            <w:tcBorders>
              <w:right w:val="single" w:sz="8" w:color="16479F"/>
            </w:tcBorders>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1440" w:type="dxa"/>
            <w:vAlign w:val="bottom"/>
            <w:shd w:val="clear" w:color="auto" w:fill="16479F"/>
          </w:tcPr>
          <w:p>
            <w:pPr>
              <w:spacing w:after="0"/>
              <w:rPr>
                <w:sz w:val="11"/>
                <w:szCs w:val="11"/>
                <w:color w:val="auto"/>
              </w:rPr>
            </w:pPr>
          </w:p>
        </w:tc>
        <w:tc>
          <w:tcPr>
            <w:tcW w:w="2720" w:type="dxa"/>
            <w:vAlign w:val="bottom"/>
            <w:tcBorders>
              <w:right w:val="single" w:sz="8" w:color="16479F"/>
            </w:tcBorders>
          </w:tcPr>
          <w:p>
            <w:pPr>
              <w:spacing w:after="0"/>
              <w:rPr>
                <w:sz w:val="11"/>
                <w:szCs w:val="11"/>
                <w:color w:val="auto"/>
              </w:rPr>
            </w:pPr>
          </w:p>
        </w:tc>
        <w:tc>
          <w:tcPr>
            <w:tcW w:w="560" w:type="dxa"/>
            <w:vAlign w:val="bottom"/>
            <w:vMerge w:val="continue"/>
          </w:tcPr>
          <w:p>
            <w:pPr>
              <w:spacing w:after="0"/>
              <w:rPr>
                <w:sz w:val="11"/>
                <w:szCs w:val="11"/>
                <w:color w:val="auto"/>
              </w:rPr>
            </w:pPr>
          </w:p>
        </w:tc>
        <w:tc>
          <w:tcPr>
            <w:tcW w:w="3060" w:type="dxa"/>
            <w:vAlign w:val="bottom"/>
            <w:tcBorders>
              <w:right w:val="single" w:sz="8" w:color="16479F"/>
            </w:tcBorders>
            <w:vMerge w:val="continue"/>
          </w:tcPr>
          <w:p>
            <w:pPr>
              <w:spacing w:after="0"/>
              <w:rPr>
                <w:sz w:val="11"/>
                <w:szCs w:val="11"/>
                <w:color w:val="auto"/>
              </w:rPr>
            </w:pPr>
          </w:p>
        </w:tc>
        <w:tc>
          <w:tcPr>
            <w:tcW w:w="3480" w:type="dxa"/>
            <w:vAlign w:val="bottom"/>
            <w:tcBorders>
              <w:right w:val="single" w:sz="8" w:color="16479F"/>
            </w:tcBorders>
          </w:tcPr>
          <w:p>
            <w:pPr>
              <w:spacing w:after="0"/>
              <w:rPr>
                <w:sz w:val="11"/>
                <w:szCs w:val="11"/>
                <w:color w:val="auto"/>
              </w:rPr>
            </w:pPr>
          </w:p>
        </w:tc>
        <w:tc>
          <w:tcPr>
            <w:tcW w:w="0" w:type="dxa"/>
            <w:vAlign w:val="bottom"/>
          </w:tcPr>
          <w:p>
            <w:pPr>
              <w:spacing w:after="0"/>
              <w:rPr>
                <w:sz w:val="1"/>
                <w:szCs w:val="1"/>
                <w:color w:val="auto"/>
              </w:rPr>
            </w:pPr>
          </w:p>
        </w:tc>
      </w:tr>
      <w:tr>
        <w:trPr>
          <w:trHeight w:val="348"/>
        </w:trPr>
        <w:tc>
          <w:tcPr>
            <w:tcW w:w="1440" w:type="dxa"/>
            <w:vAlign w:val="bottom"/>
            <w:shd w:val="clear" w:color="auto" w:fill="16479F"/>
          </w:tcPr>
          <w:p>
            <w:pPr>
              <w:spacing w:after="0"/>
              <w:rPr>
                <w:sz w:val="24"/>
                <w:szCs w:val="24"/>
                <w:color w:val="auto"/>
              </w:rPr>
            </w:pPr>
          </w:p>
        </w:tc>
        <w:tc>
          <w:tcPr>
            <w:tcW w:w="2720" w:type="dxa"/>
            <w:vAlign w:val="bottom"/>
            <w:tcBorders>
              <w:right w:val="single" w:sz="8" w:color="16479F"/>
            </w:tcBorders>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16479F"/>
              </w:rPr>
              <w:t>●</w:t>
            </w:r>
          </w:p>
        </w:tc>
        <w:tc>
          <w:tcPr>
            <w:tcW w:w="3060" w:type="dxa"/>
            <w:vAlign w:val="bottom"/>
            <w:tcBorders>
              <w:right w:val="single" w:sz="8" w:color="16479F"/>
            </w:tcBorders>
          </w:tcPr>
          <w:p>
            <w:pPr>
              <w:ind w:left="80"/>
              <w:spacing w:after="0"/>
              <w:rPr>
                <w:sz w:val="20"/>
                <w:szCs w:val="20"/>
                <w:color w:val="auto"/>
              </w:rPr>
            </w:pPr>
            <w:r>
              <w:rPr>
                <w:rFonts w:ascii="Arial" w:cs="Arial" w:eastAsia="Arial" w:hAnsi="Arial"/>
                <w:sz w:val="16"/>
                <w:szCs w:val="16"/>
                <w:color w:val="auto"/>
              </w:rPr>
              <w:t>Free Cash Flow</w:t>
            </w:r>
          </w:p>
        </w:tc>
        <w:tc>
          <w:tcPr>
            <w:tcW w:w="3480" w:type="dxa"/>
            <w:vAlign w:val="bottom"/>
            <w:tcBorders>
              <w:right w:val="single" w:sz="8" w:color="16479F"/>
            </w:tcBorders>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440" w:type="dxa"/>
            <w:vAlign w:val="bottom"/>
            <w:shd w:val="clear" w:color="auto" w:fill="16479F"/>
          </w:tcPr>
          <w:p>
            <w:pPr>
              <w:spacing w:after="0"/>
              <w:rPr>
                <w:sz w:val="24"/>
                <w:szCs w:val="24"/>
                <w:color w:val="auto"/>
              </w:rPr>
            </w:pPr>
          </w:p>
        </w:tc>
        <w:tc>
          <w:tcPr>
            <w:tcW w:w="2720" w:type="dxa"/>
            <w:vAlign w:val="bottom"/>
            <w:tcBorders>
              <w:right w:val="single" w:sz="8" w:color="16479F"/>
            </w:tcBorders>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16479F"/>
              </w:rPr>
              <w:t>●</w:t>
            </w:r>
          </w:p>
        </w:tc>
        <w:tc>
          <w:tcPr>
            <w:tcW w:w="3060" w:type="dxa"/>
            <w:vAlign w:val="bottom"/>
            <w:tcBorders>
              <w:right w:val="single" w:sz="8" w:color="16479F"/>
            </w:tcBorders>
          </w:tcPr>
          <w:p>
            <w:pPr>
              <w:ind w:left="80"/>
              <w:spacing w:after="0"/>
              <w:rPr>
                <w:sz w:val="20"/>
                <w:szCs w:val="20"/>
                <w:color w:val="auto"/>
              </w:rPr>
            </w:pPr>
            <w:r>
              <w:rPr>
                <w:rFonts w:ascii="Arial" w:cs="Arial" w:eastAsia="Arial" w:hAnsi="Arial"/>
                <w:sz w:val="16"/>
                <w:szCs w:val="16"/>
                <w:color w:val="auto"/>
              </w:rPr>
              <w:t>Key Performance Indicator/Leadership</w:t>
            </w:r>
          </w:p>
        </w:tc>
        <w:tc>
          <w:tcPr>
            <w:tcW w:w="3480" w:type="dxa"/>
            <w:vAlign w:val="bottom"/>
            <w:tcBorders>
              <w:right w:val="single" w:sz="8" w:color="16479F"/>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440" w:type="dxa"/>
            <w:vAlign w:val="bottom"/>
            <w:shd w:val="clear" w:color="auto" w:fill="16479F"/>
          </w:tcPr>
          <w:p>
            <w:pPr>
              <w:spacing w:after="0"/>
              <w:rPr>
                <w:sz w:val="16"/>
                <w:szCs w:val="16"/>
                <w:color w:val="auto"/>
              </w:rPr>
            </w:pPr>
          </w:p>
        </w:tc>
        <w:tc>
          <w:tcPr>
            <w:tcW w:w="2720" w:type="dxa"/>
            <w:vAlign w:val="bottom"/>
            <w:tcBorders>
              <w:right w:val="single" w:sz="8" w:color="16479F"/>
            </w:tcBorders>
          </w:tcPr>
          <w:p>
            <w:pPr>
              <w:spacing w:after="0"/>
              <w:rPr>
                <w:sz w:val="16"/>
                <w:szCs w:val="16"/>
                <w:color w:val="auto"/>
              </w:rPr>
            </w:pPr>
          </w:p>
        </w:tc>
        <w:tc>
          <w:tcPr>
            <w:tcW w:w="560" w:type="dxa"/>
            <w:vAlign w:val="bottom"/>
          </w:tcPr>
          <w:p>
            <w:pPr>
              <w:spacing w:after="0"/>
              <w:rPr>
                <w:sz w:val="16"/>
                <w:szCs w:val="16"/>
                <w:color w:val="auto"/>
              </w:rPr>
            </w:pPr>
          </w:p>
        </w:tc>
        <w:tc>
          <w:tcPr>
            <w:tcW w:w="3060" w:type="dxa"/>
            <w:vAlign w:val="bottom"/>
            <w:tcBorders>
              <w:right w:val="single" w:sz="8" w:color="16479F"/>
            </w:tcBorders>
          </w:tcPr>
          <w:p>
            <w:pPr>
              <w:ind w:left="60"/>
              <w:spacing w:after="0"/>
              <w:rPr>
                <w:sz w:val="20"/>
                <w:szCs w:val="20"/>
                <w:color w:val="auto"/>
              </w:rPr>
            </w:pPr>
            <w:r>
              <w:rPr>
                <w:rFonts w:ascii="Arial" w:cs="Arial" w:eastAsia="Arial" w:hAnsi="Arial"/>
                <w:sz w:val="16"/>
                <w:szCs w:val="16"/>
                <w:color w:val="auto"/>
              </w:rPr>
              <w:t>Effectiveness Goals</w:t>
            </w:r>
          </w:p>
        </w:tc>
        <w:tc>
          <w:tcPr>
            <w:tcW w:w="3480" w:type="dxa"/>
            <w:vAlign w:val="bottom"/>
            <w:tcBorders>
              <w:right w:val="single" w:sz="8" w:color="16479F"/>
            </w:tcBorders>
          </w:tcPr>
          <w:p>
            <w:pPr>
              <w:spacing w:after="0"/>
              <w:rPr>
                <w:sz w:val="16"/>
                <w:szCs w:val="16"/>
                <w:color w:val="auto"/>
              </w:rPr>
            </w:pPr>
          </w:p>
        </w:tc>
        <w:tc>
          <w:tcPr>
            <w:tcW w:w="0" w:type="dxa"/>
            <w:vAlign w:val="bottom"/>
          </w:tcPr>
          <w:p>
            <w:pPr>
              <w:spacing w:after="0"/>
              <w:rPr>
                <w:sz w:val="1"/>
                <w:szCs w:val="1"/>
                <w:color w:val="auto"/>
              </w:rPr>
            </w:pPr>
          </w:p>
        </w:tc>
      </w:tr>
      <w:tr>
        <w:trPr>
          <w:trHeight w:val="348"/>
        </w:trPr>
        <w:tc>
          <w:tcPr>
            <w:tcW w:w="1440" w:type="dxa"/>
            <w:vAlign w:val="bottom"/>
            <w:shd w:val="clear" w:color="auto" w:fill="16479F"/>
          </w:tcPr>
          <w:p>
            <w:pPr>
              <w:spacing w:after="0"/>
              <w:rPr>
                <w:sz w:val="24"/>
                <w:szCs w:val="24"/>
                <w:color w:val="auto"/>
              </w:rPr>
            </w:pPr>
          </w:p>
        </w:tc>
        <w:tc>
          <w:tcPr>
            <w:tcW w:w="2720" w:type="dxa"/>
            <w:vAlign w:val="bottom"/>
            <w:tcBorders>
              <w:right w:val="single" w:sz="8" w:color="16479F"/>
            </w:tcBorders>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16479F"/>
              </w:rPr>
              <w:t>●</w:t>
            </w:r>
          </w:p>
        </w:tc>
        <w:tc>
          <w:tcPr>
            <w:tcW w:w="3060" w:type="dxa"/>
            <w:vAlign w:val="bottom"/>
            <w:tcBorders>
              <w:right w:val="single" w:sz="8" w:color="16479F"/>
            </w:tcBorders>
          </w:tcPr>
          <w:p>
            <w:pPr>
              <w:ind w:left="80"/>
              <w:spacing w:after="0"/>
              <w:rPr>
                <w:sz w:val="20"/>
                <w:szCs w:val="20"/>
                <w:color w:val="auto"/>
              </w:rPr>
            </w:pPr>
            <w:r>
              <w:rPr>
                <w:rFonts w:ascii="Arial" w:cs="Arial" w:eastAsia="Arial" w:hAnsi="Arial"/>
                <w:sz w:val="16"/>
                <w:szCs w:val="16"/>
                <w:color w:val="auto"/>
              </w:rPr>
              <w:t>DE&amp;I Goals</w:t>
            </w:r>
          </w:p>
        </w:tc>
        <w:tc>
          <w:tcPr>
            <w:tcW w:w="3480" w:type="dxa"/>
            <w:vAlign w:val="bottom"/>
            <w:tcBorders>
              <w:right w:val="single" w:sz="8" w:color="16479F"/>
            </w:tcBorders>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1440" w:type="dxa"/>
            <w:vAlign w:val="bottom"/>
            <w:tcBorders>
              <w:bottom w:val="single" w:sz="8" w:color="00B5AA"/>
            </w:tcBorders>
            <w:shd w:val="clear" w:color="auto" w:fill="16479F"/>
          </w:tcPr>
          <w:p>
            <w:pPr>
              <w:spacing w:after="0"/>
              <w:rPr>
                <w:sz w:val="9"/>
                <w:szCs w:val="9"/>
                <w:color w:val="auto"/>
              </w:rPr>
            </w:pPr>
          </w:p>
        </w:tc>
        <w:tc>
          <w:tcPr>
            <w:tcW w:w="2720" w:type="dxa"/>
            <w:vAlign w:val="bottom"/>
            <w:tcBorders>
              <w:bottom w:val="single" w:sz="8" w:color="00B5AA"/>
              <w:right w:val="single" w:sz="8" w:color="16479F"/>
            </w:tcBorders>
          </w:tcPr>
          <w:p>
            <w:pPr>
              <w:spacing w:after="0"/>
              <w:rPr>
                <w:sz w:val="9"/>
                <w:szCs w:val="9"/>
                <w:color w:val="auto"/>
              </w:rPr>
            </w:pPr>
          </w:p>
        </w:tc>
        <w:tc>
          <w:tcPr>
            <w:tcW w:w="560" w:type="dxa"/>
            <w:vAlign w:val="bottom"/>
            <w:tcBorders>
              <w:bottom w:val="single" w:sz="8" w:color="00B5AA"/>
            </w:tcBorders>
          </w:tcPr>
          <w:p>
            <w:pPr>
              <w:spacing w:after="0"/>
              <w:rPr>
                <w:sz w:val="9"/>
                <w:szCs w:val="9"/>
                <w:color w:val="auto"/>
              </w:rPr>
            </w:pPr>
          </w:p>
        </w:tc>
        <w:tc>
          <w:tcPr>
            <w:tcW w:w="3060" w:type="dxa"/>
            <w:vAlign w:val="bottom"/>
            <w:tcBorders>
              <w:bottom w:val="single" w:sz="8" w:color="00B5AA"/>
              <w:right w:val="single" w:sz="8" w:color="16479F"/>
            </w:tcBorders>
          </w:tcPr>
          <w:p>
            <w:pPr>
              <w:spacing w:after="0"/>
              <w:rPr>
                <w:sz w:val="9"/>
                <w:szCs w:val="9"/>
                <w:color w:val="auto"/>
              </w:rPr>
            </w:pPr>
          </w:p>
        </w:tc>
        <w:tc>
          <w:tcPr>
            <w:tcW w:w="3480" w:type="dxa"/>
            <w:vAlign w:val="bottom"/>
            <w:tcBorders>
              <w:bottom w:val="single" w:sz="8" w:color="00B5AA"/>
              <w:right w:val="single" w:sz="8" w:color="16479F"/>
            </w:tcBorders>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1440" w:type="dxa"/>
            <w:vAlign w:val="bottom"/>
            <w:shd w:val="clear" w:color="auto" w:fill="00B5AA"/>
          </w:tcPr>
          <w:p>
            <w:pPr>
              <w:ind w:left="100"/>
              <w:spacing w:after="0" w:line="169" w:lineRule="exact"/>
              <w:rPr>
                <w:sz w:val="20"/>
                <w:szCs w:val="20"/>
                <w:color w:val="auto"/>
              </w:rPr>
            </w:pPr>
            <w:r>
              <w:rPr>
                <w:rFonts w:ascii="Arial" w:cs="Arial" w:eastAsia="Arial" w:hAnsi="Arial"/>
                <w:sz w:val="16"/>
                <w:szCs w:val="16"/>
                <w:b w:val="1"/>
                <w:bCs w:val="1"/>
                <w:color w:val="FFFFFF"/>
              </w:rPr>
              <w:t>LONG-TERM</w:t>
            </w:r>
          </w:p>
        </w:tc>
        <w:tc>
          <w:tcPr>
            <w:tcW w:w="2720" w:type="dxa"/>
            <w:vAlign w:val="bottom"/>
            <w:tcBorders>
              <w:right w:val="single" w:sz="8" w:color="00B5AA"/>
            </w:tcBorders>
            <w:vMerge w:val="restart"/>
          </w:tcPr>
          <w:p>
            <w:pPr>
              <w:ind w:left="200"/>
              <w:spacing w:after="0"/>
              <w:rPr>
                <w:sz w:val="20"/>
                <w:szCs w:val="20"/>
                <w:color w:val="auto"/>
              </w:rPr>
            </w:pPr>
            <w:r>
              <w:rPr>
                <w:rFonts w:ascii="Arial" w:cs="Arial" w:eastAsia="Arial" w:hAnsi="Arial"/>
                <w:sz w:val="16"/>
                <w:szCs w:val="16"/>
                <w:color w:val="auto"/>
              </w:rPr>
              <w:t>Fosters an “owner-operator”</w:t>
            </w:r>
          </w:p>
        </w:tc>
        <w:tc>
          <w:tcPr>
            <w:tcW w:w="3620" w:type="dxa"/>
            <w:vAlign w:val="bottom"/>
            <w:tcBorders>
              <w:right w:val="single" w:sz="8" w:color="00B5AA"/>
            </w:tcBorders>
            <w:gridSpan w:val="2"/>
            <w:vMerge w:val="restart"/>
          </w:tcPr>
          <w:p>
            <w:pPr>
              <w:ind w:left="180"/>
              <w:spacing w:after="0"/>
              <w:rPr>
                <w:sz w:val="20"/>
                <w:szCs w:val="20"/>
                <w:color w:val="auto"/>
              </w:rPr>
            </w:pPr>
            <w:r>
              <w:rPr>
                <w:rFonts w:ascii="Arial" w:cs="Arial" w:eastAsia="Arial" w:hAnsi="Arial"/>
                <w:sz w:val="16"/>
                <w:szCs w:val="16"/>
                <w:b w:val="1"/>
                <w:bCs w:val="1"/>
                <w:color w:val="16479F"/>
              </w:rPr>
              <w:t xml:space="preserve">●  </w:t>
            </w:r>
            <w:r>
              <w:rPr>
                <w:rFonts w:ascii="Arial" w:cs="Arial" w:eastAsia="Arial" w:hAnsi="Arial"/>
                <w:sz w:val="16"/>
                <w:szCs w:val="16"/>
                <w:color w:val="000000"/>
              </w:rPr>
              <w:t>RSUs which ratably service vest over three</w:t>
            </w:r>
          </w:p>
        </w:tc>
        <w:tc>
          <w:tcPr>
            <w:tcW w:w="3480" w:type="dxa"/>
            <w:vAlign w:val="bottom"/>
            <w:tcBorders>
              <w:right w:val="single" w:sz="8" w:color="00B5AA"/>
            </w:tcBorders>
            <w:vMerge w:val="restart"/>
          </w:tcPr>
          <w:p>
            <w:pPr>
              <w:ind w:left="180"/>
              <w:spacing w:after="0"/>
              <w:rPr>
                <w:sz w:val="20"/>
                <w:szCs w:val="20"/>
                <w:color w:val="auto"/>
              </w:rPr>
            </w:pPr>
            <w:r>
              <w:rPr>
                <w:rFonts w:ascii="Arial" w:cs="Arial" w:eastAsia="Arial" w:hAnsi="Arial"/>
                <w:sz w:val="16"/>
                <w:szCs w:val="16"/>
                <w:b w:val="1"/>
                <w:bCs w:val="1"/>
                <w:color w:val="16479F"/>
              </w:rPr>
              <w:t xml:space="preserve">●  </w:t>
            </w:r>
            <w:r>
              <w:rPr>
                <w:rFonts w:ascii="Arial" w:cs="Arial" w:eastAsia="Arial" w:hAnsi="Arial"/>
                <w:sz w:val="16"/>
                <w:szCs w:val="16"/>
                <w:color w:val="000000"/>
              </w:rPr>
              <w:t>RSUs which cliff vest after a three-year</w:t>
            </w:r>
          </w:p>
        </w:tc>
        <w:tc>
          <w:tcPr>
            <w:tcW w:w="0" w:type="dxa"/>
            <w:vAlign w:val="bottom"/>
          </w:tcPr>
          <w:p>
            <w:pPr>
              <w:spacing w:after="0"/>
              <w:rPr>
                <w:sz w:val="1"/>
                <w:szCs w:val="1"/>
                <w:color w:val="auto"/>
              </w:rPr>
            </w:pPr>
          </w:p>
        </w:tc>
      </w:tr>
      <w:tr>
        <w:trPr>
          <w:trHeight w:val="100"/>
        </w:trPr>
        <w:tc>
          <w:tcPr>
            <w:tcW w:w="1440" w:type="dxa"/>
            <w:vAlign w:val="bottom"/>
            <w:vMerge w:val="restart"/>
            <w:shd w:val="clear" w:color="auto" w:fill="00B5AA"/>
          </w:tcPr>
          <w:p>
            <w:pPr>
              <w:ind w:left="100"/>
              <w:spacing w:after="0"/>
              <w:rPr>
                <w:sz w:val="20"/>
                <w:szCs w:val="20"/>
                <w:color w:val="auto"/>
              </w:rPr>
            </w:pPr>
            <w:r>
              <w:rPr>
                <w:rFonts w:ascii="Arial" w:cs="Arial" w:eastAsia="Arial" w:hAnsi="Arial"/>
                <w:sz w:val="16"/>
                <w:szCs w:val="16"/>
                <w:b w:val="1"/>
                <w:bCs w:val="1"/>
                <w:color w:val="FFFFFF"/>
              </w:rPr>
              <w:t>INCENTIVES</w:t>
            </w:r>
          </w:p>
        </w:tc>
        <w:tc>
          <w:tcPr>
            <w:tcW w:w="2720" w:type="dxa"/>
            <w:vAlign w:val="bottom"/>
            <w:tcBorders>
              <w:right w:val="single" w:sz="8" w:color="00B5AA"/>
            </w:tcBorders>
            <w:vMerge w:val="continue"/>
          </w:tcPr>
          <w:p>
            <w:pPr>
              <w:spacing w:after="0"/>
              <w:rPr>
                <w:sz w:val="8"/>
                <w:szCs w:val="8"/>
                <w:color w:val="auto"/>
              </w:rPr>
            </w:pPr>
          </w:p>
        </w:tc>
        <w:tc>
          <w:tcPr>
            <w:tcW w:w="3620" w:type="dxa"/>
            <w:vAlign w:val="bottom"/>
            <w:tcBorders>
              <w:right w:val="single" w:sz="8" w:color="00B5AA"/>
            </w:tcBorders>
            <w:gridSpan w:val="2"/>
            <w:vMerge w:val="continue"/>
          </w:tcPr>
          <w:p>
            <w:pPr>
              <w:spacing w:after="0"/>
              <w:rPr>
                <w:sz w:val="8"/>
                <w:szCs w:val="8"/>
                <w:color w:val="auto"/>
              </w:rPr>
            </w:pPr>
          </w:p>
        </w:tc>
        <w:tc>
          <w:tcPr>
            <w:tcW w:w="3480" w:type="dxa"/>
            <w:vAlign w:val="bottom"/>
            <w:tcBorders>
              <w:right w:val="single" w:sz="8" w:color="00B5AA"/>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440" w:type="dxa"/>
            <w:vAlign w:val="bottom"/>
            <w:vMerge w:val="continue"/>
            <w:shd w:val="clear" w:color="auto" w:fill="00B5AA"/>
          </w:tcPr>
          <w:p>
            <w:pPr>
              <w:spacing w:after="0"/>
              <w:rPr>
                <w:sz w:val="9"/>
                <w:szCs w:val="9"/>
                <w:color w:val="auto"/>
              </w:rPr>
            </w:pPr>
          </w:p>
        </w:tc>
        <w:tc>
          <w:tcPr>
            <w:tcW w:w="2720" w:type="dxa"/>
            <w:vAlign w:val="bottom"/>
            <w:tcBorders>
              <w:right w:val="single" w:sz="8" w:color="00B5AA"/>
            </w:tcBorders>
            <w:vMerge w:val="restart"/>
          </w:tcPr>
          <w:p>
            <w:pPr>
              <w:ind w:left="200"/>
              <w:spacing w:after="0"/>
              <w:rPr>
                <w:sz w:val="20"/>
                <w:szCs w:val="20"/>
                <w:color w:val="auto"/>
              </w:rPr>
            </w:pPr>
            <w:r>
              <w:rPr>
                <w:rFonts w:ascii="Arial" w:cs="Arial" w:eastAsia="Arial" w:hAnsi="Arial"/>
                <w:sz w:val="16"/>
                <w:szCs w:val="16"/>
                <w:color w:val="auto"/>
              </w:rPr>
              <w:t>mindset, closely aligns</w:t>
            </w:r>
          </w:p>
        </w:tc>
        <w:tc>
          <w:tcPr>
            <w:tcW w:w="3620" w:type="dxa"/>
            <w:vAlign w:val="bottom"/>
            <w:tcBorders>
              <w:right w:val="single" w:sz="8" w:color="00B5AA"/>
            </w:tcBorders>
            <w:gridSpan w:val="2"/>
            <w:vMerge w:val="restart"/>
          </w:tcPr>
          <w:p>
            <w:pPr>
              <w:ind w:left="400"/>
              <w:spacing w:after="0"/>
              <w:rPr>
                <w:sz w:val="20"/>
                <w:szCs w:val="20"/>
                <w:color w:val="auto"/>
              </w:rPr>
            </w:pPr>
            <w:r>
              <w:rPr>
                <w:rFonts w:ascii="Arial" w:cs="Arial" w:eastAsia="Arial" w:hAnsi="Arial"/>
                <w:sz w:val="16"/>
                <w:szCs w:val="16"/>
                <w:color w:val="auto"/>
              </w:rPr>
              <w:t>years</w:t>
            </w:r>
          </w:p>
        </w:tc>
        <w:tc>
          <w:tcPr>
            <w:tcW w:w="3480" w:type="dxa"/>
            <w:vAlign w:val="bottom"/>
            <w:tcBorders>
              <w:right w:val="single" w:sz="8" w:color="00B5AA"/>
            </w:tcBorders>
            <w:vMerge w:val="restart"/>
          </w:tcPr>
          <w:p>
            <w:pPr>
              <w:ind w:left="400"/>
              <w:spacing w:after="0"/>
              <w:rPr>
                <w:sz w:val="20"/>
                <w:szCs w:val="20"/>
                <w:color w:val="auto"/>
              </w:rPr>
            </w:pPr>
            <w:r>
              <w:rPr>
                <w:rFonts w:ascii="Arial" w:cs="Arial" w:eastAsia="Arial" w:hAnsi="Arial"/>
                <w:sz w:val="16"/>
                <w:szCs w:val="16"/>
                <w:color w:val="auto"/>
              </w:rPr>
              <w:t>vesting period</w:t>
            </w:r>
          </w:p>
        </w:tc>
        <w:tc>
          <w:tcPr>
            <w:tcW w:w="0" w:type="dxa"/>
            <w:vAlign w:val="bottom"/>
          </w:tcPr>
          <w:p>
            <w:pPr>
              <w:spacing w:after="0"/>
              <w:rPr>
                <w:sz w:val="1"/>
                <w:szCs w:val="1"/>
                <w:color w:val="auto"/>
              </w:rPr>
            </w:pPr>
          </w:p>
        </w:tc>
      </w:tr>
      <w:tr>
        <w:trPr>
          <w:trHeight w:val="74"/>
        </w:trPr>
        <w:tc>
          <w:tcPr>
            <w:tcW w:w="1440" w:type="dxa"/>
            <w:vAlign w:val="bottom"/>
            <w:shd w:val="clear" w:color="auto" w:fill="00B5AA"/>
          </w:tcPr>
          <w:p>
            <w:pPr>
              <w:spacing w:after="0"/>
              <w:rPr>
                <w:sz w:val="6"/>
                <w:szCs w:val="6"/>
                <w:color w:val="auto"/>
              </w:rPr>
            </w:pPr>
          </w:p>
        </w:tc>
        <w:tc>
          <w:tcPr>
            <w:tcW w:w="2720" w:type="dxa"/>
            <w:vAlign w:val="bottom"/>
            <w:tcBorders>
              <w:right w:val="single" w:sz="8" w:color="00B5AA"/>
            </w:tcBorders>
            <w:vMerge w:val="continue"/>
          </w:tcPr>
          <w:p>
            <w:pPr>
              <w:spacing w:after="0"/>
              <w:rPr>
                <w:sz w:val="6"/>
                <w:szCs w:val="6"/>
                <w:color w:val="auto"/>
              </w:rPr>
            </w:pPr>
          </w:p>
        </w:tc>
        <w:tc>
          <w:tcPr>
            <w:tcW w:w="3620" w:type="dxa"/>
            <w:vAlign w:val="bottom"/>
            <w:tcBorders>
              <w:right w:val="single" w:sz="8" w:color="00B5AA"/>
            </w:tcBorders>
            <w:gridSpan w:val="2"/>
            <w:vMerge w:val="continue"/>
          </w:tcPr>
          <w:p>
            <w:pPr>
              <w:spacing w:after="0"/>
              <w:rPr>
                <w:sz w:val="6"/>
                <w:szCs w:val="6"/>
                <w:color w:val="auto"/>
              </w:rPr>
            </w:pPr>
          </w:p>
        </w:tc>
        <w:tc>
          <w:tcPr>
            <w:tcW w:w="3480" w:type="dxa"/>
            <w:vAlign w:val="bottom"/>
            <w:tcBorders>
              <w:right w:val="single" w:sz="8" w:color="00B5AA"/>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1440" w:type="dxa"/>
            <w:vAlign w:val="bottom"/>
            <w:vMerge w:val="restart"/>
            <w:shd w:val="clear" w:color="auto" w:fill="00B5AA"/>
          </w:tcPr>
          <w:p>
            <w:pPr>
              <w:ind w:left="260"/>
              <w:spacing w:after="0"/>
              <w:rPr>
                <w:sz w:val="20"/>
                <w:szCs w:val="20"/>
                <w:color w:val="auto"/>
              </w:rPr>
            </w:pPr>
            <w:r>
              <w:rPr>
                <w:rFonts w:ascii="Arial" w:cs="Arial" w:eastAsia="Arial" w:hAnsi="Arial"/>
                <w:sz w:val="16"/>
                <w:szCs w:val="16"/>
                <w:color w:val="FFFFFF"/>
              </w:rPr>
              <w:t>STARTS ON</w:t>
            </w:r>
          </w:p>
        </w:tc>
        <w:tc>
          <w:tcPr>
            <w:tcW w:w="2720" w:type="dxa"/>
            <w:vAlign w:val="bottom"/>
            <w:tcBorders>
              <w:right w:val="single" w:sz="8" w:color="00B5AA"/>
            </w:tcBorders>
          </w:tcPr>
          <w:p>
            <w:pPr>
              <w:ind w:left="200"/>
              <w:spacing w:after="0"/>
              <w:rPr>
                <w:sz w:val="20"/>
                <w:szCs w:val="20"/>
                <w:color w:val="auto"/>
              </w:rPr>
            </w:pPr>
            <w:r>
              <w:rPr>
                <w:rFonts w:ascii="Arial" w:cs="Arial" w:eastAsia="Arial" w:hAnsi="Arial"/>
                <w:sz w:val="16"/>
                <w:szCs w:val="16"/>
                <w:color w:val="auto"/>
              </w:rPr>
              <w:t>management’s interests with the</w:t>
            </w:r>
          </w:p>
        </w:tc>
        <w:tc>
          <w:tcPr>
            <w:tcW w:w="3620" w:type="dxa"/>
            <w:vAlign w:val="bottom"/>
            <w:tcBorders>
              <w:right w:val="single" w:sz="8" w:color="00B5AA"/>
            </w:tcBorders>
            <w:gridSpan w:val="2"/>
            <w:vMerge w:val="restart"/>
          </w:tcPr>
          <w:p>
            <w:pPr>
              <w:ind w:left="180"/>
              <w:spacing w:after="0"/>
              <w:rPr>
                <w:sz w:val="20"/>
                <w:szCs w:val="20"/>
                <w:color w:val="auto"/>
              </w:rPr>
            </w:pPr>
            <w:r>
              <w:rPr>
                <w:rFonts w:ascii="Arial" w:cs="Arial" w:eastAsia="Arial" w:hAnsi="Arial"/>
                <w:sz w:val="16"/>
                <w:szCs w:val="16"/>
                <w:b w:val="1"/>
                <w:bCs w:val="1"/>
                <w:color w:val="16479F"/>
              </w:rPr>
              <w:t xml:space="preserve">●  </w:t>
            </w:r>
            <w:r>
              <w:rPr>
                <w:rFonts w:ascii="Arial" w:cs="Arial" w:eastAsia="Arial" w:hAnsi="Arial"/>
                <w:sz w:val="16"/>
                <w:szCs w:val="16"/>
                <w:color w:val="000000"/>
              </w:rPr>
              <w:t>Grant of 3-Year PSUs and 5-Year PSUs</w:t>
            </w:r>
          </w:p>
        </w:tc>
        <w:tc>
          <w:tcPr>
            <w:tcW w:w="3480" w:type="dxa"/>
            <w:vAlign w:val="bottom"/>
            <w:tcBorders>
              <w:right w:val="single" w:sz="8" w:color="00B5AA"/>
            </w:tcBorders>
            <w:vMerge w:val="restart"/>
          </w:tcPr>
          <w:p>
            <w:pPr>
              <w:ind w:left="180"/>
              <w:spacing w:after="0"/>
              <w:rPr>
                <w:sz w:val="20"/>
                <w:szCs w:val="20"/>
                <w:color w:val="auto"/>
              </w:rPr>
            </w:pPr>
            <w:r>
              <w:rPr>
                <w:rFonts w:ascii="Arial" w:cs="Arial" w:eastAsia="Arial" w:hAnsi="Arial"/>
                <w:sz w:val="16"/>
                <w:szCs w:val="16"/>
                <w:b w:val="1"/>
                <w:bCs w:val="1"/>
                <w:color w:val="16479F"/>
              </w:rPr>
              <w:t xml:space="preserve">●  </w:t>
            </w:r>
            <w:r>
              <w:rPr>
                <w:rFonts w:ascii="Arial" w:cs="Arial" w:eastAsia="Arial" w:hAnsi="Arial"/>
                <w:sz w:val="16"/>
                <w:szCs w:val="16"/>
                <w:color w:val="000000"/>
              </w:rPr>
              <w:t>Grant of 3-Year PSUs (which vest based</w:t>
            </w:r>
          </w:p>
        </w:tc>
        <w:tc>
          <w:tcPr>
            <w:tcW w:w="0" w:type="dxa"/>
            <w:vAlign w:val="bottom"/>
          </w:tcPr>
          <w:p>
            <w:pPr>
              <w:spacing w:after="0"/>
              <w:rPr>
                <w:sz w:val="1"/>
                <w:szCs w:val="1"/>
                <w:color w:val="auto"/>
              </w:rPr>
            </w:pPr>
          </w:p>
        </w:tc>
      </w:tr>
      <w:tr>
        <w:trPr>
          <w:trHeight w:val="60"/>
        </w:trPr>
        <w:tc>
          <w:tcPr>
            <w:tcW w:w="1440" w:type="dxa"/>
            <w:vAlign w:val="bottom"/>
            <w:vMerge w:val="continue"/>
            <w:shd w:val="clear" w:color="auto" w:fill="00B5AA"/>
          </w:tcPr>
          <w:p>
            <w:pPr>
              <w:spacing w:after="0"/>
              <w:rPr>
                <w:sz w:val="5"/>
                <w:szCs w:val="5"/>
                <w:color w:val="auto"/>
              </w:rPr>
            </w:pPr>
          </w:p>
        </w:tc>
        <w:tc>
          <w:tcPr>
            <w:tcW w:w="2720" w:type="dxa"/>
            <w:vAlign w:val="bottom"/>
            <w:tcBorders>
              <w:right w:val="single" w:sz="8" w:color="00B5AA"/>
            </w:tcBorders>
            <w:vMerge w:val="restart"/>
          </w:tcPr>
          <w:p>
            <w:pPr>
              <w:ind w:left="200"/>
              <w:spacing w:after="0" w:line="175" w:lineRule="exact"/>
              <w:rPr>
                <w:sz w:val="20"/>
                <w:szCs w:val="20"/>
                <w:color w:val="auto"/>
              </w:rPr>
            </w:pPr>
            <w:r>
              <w:rPr>
                <w:rFonts w:ascii="Arial" w:cs="Arial" w:eastAsia="Arial" w:hAnsi="Arial"/>
                <w:sz w:val="16"/>
                <w:szCs w:val="16"/>
                <w:color w:val="auto"/>
              </w:rPr>
              <w:t>long-term interests of our</w:t>
            </w:r>
          </w:p>
        </w:tc>
        <w:tc>
          <w:tcPr>
            <w:tcW w:w="3620" w:type="dxa"/>
            <w:vAlign w:val="bottom"/>
            <w:tcBorders>
              <w:right w:val="single" w:sz="8" w:color="00B5AA"/>
            </w:tcBorders>
            <w:gridSpan w:val="2"/>
            <w:vMerge w:val="continue"/>
          </w:tcPr>
          <w:p>
            <w:pPr>
              <w:spacing w:after="0"/>
              <w:rPr>
                <w:sz w:val="5"/>
                <w:szCs w:val="5"/>
                <w:color w:val="auto"/>
              </w:rPr>
            </w:pPr>
          </w:p>
        </w:tc>
        <w:tc>
          <w:tcPr>
            <w:tcW w:w="3480" w:type="dxa"/>
            <w:vAlign w:val="bottom"/>
            <w:tcBorders>
              <w:right w:val="single" w:sz="8" w:color="00B5A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1440" w:type="dxa"/>
            <w:vAlign w:val="bottom"/>
            <w:vMerge w:val="restart"/>
            <w:shd w:val="clear" w:color="auto" w:fill="00B5AA"/>
          </w:tcPr>
          <w:p>
            <w:pPr>
              <w:ind w:left="280"/>
              <w:spacing w:after="0"/>
              <w:rPr>
                <w:sz w:val="20"/>
                <w:szCs w:val="20"/>
                <w:color w:val="auto"/>
              </w:rPr>
            </w:pPr>
            <w:r>
              <w:rPr>
                <w:rFonts w:ascii="Arial" w:cs="Arial" w:eastAsia="Arial" w:hAnsi="Arial"/>
                <w:sz w:val="16"/>
                <w:szCs w:val="16"/>
                <w:b w:val="1"/>
                <w:bCs w:val="1"/>
                <w:color w:val="FFFFFF"/>
              </w:rPr>
              <w:t>PAGE 79</w:t>
            </w:r>
          </w:p>
        </w:tc>
        <w:tc>
          <w:tcPr>
            <w:tcW w:w="2720" w:type="dxa"/>
            <w:vAlign w:val="bottom"/>
            <w:tcBorders>
              <w:right w:val="single" w:sz="8" w:color="00B5AA"/>
            </w:tcBorders>
            <w:vMerge w:val="continue"/>
          </w:tcPr>
          <w:p>
            <w:pPr>
              <w:spacing w:after="0"/>
              <w:rPr>
                <w:sz w:val="9"/>
                <w:szCs w:val="9"/>
                <w:color w:val="auto"/>
              </w:rPr>
            </w:pPr>
          </w:p>
        </w:tc>
        <w:tc>
          <w:tcPr>
            <w:tcW w:w="3620" w:type="dxa"/>
            <w:vAlign w:val="bottom"/>
            <w:tcBorders>
              <w:right w:val="single" w:sz="8" w:color="00B5AA"/>
            </w:tcBorders>
            <w:gridSpan w:val="2"/>
            <w:vMerge w:val="continue"/>
          </w:tcPr>
          <w:p>
            <w:pPr>
              <w:spacing w:after="0"/>
              <w:rPr>
                <w:sz w:val="9"/>
                <w:szCs w:val="9"/>
                <w:color w:val="auto"/>
              </w:rPr>
            </w:pPr>
          </w:p>
        </w:tc>
        <w:tc>
          <w:tcPr>
            <w:tcW w:w="3480" w:type="dxa"/>
            <w:vAlign w:val="bottom"/>
            <w:tcBorders>
              <w:right w:val="single" w:sz="8" w:color="00B5AA"/>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1440" w:type="dxa"/>
            <w:vAlign w:val="bottom"/>
            <w:vMerge w:val="continue"/>
            <w:shd w:val="clear" w:color="auto" w:fill="00B5AA"/>
          </w:tcPr>
          <w:p>
            <w:pPr>
              <w:spacing w:after="0"/>
              <w:rPr>
                <w:sz w:val="8"/>
                <w:szCs w:val="8"/>
                <w:color w:val="auto"/>
              </w:rPr>
            </w:pPr>
          </w:p>
        </w:tc>
        <w:tc>
          <w:tcPr>
            <w:tcW w:w="2720" w:type="dxa"/>
            <w:vAlign w:val="bottom"/>
            <w:tcBorders>
              <w:right w:val="single" w:sz="8" w:color="00B5AA"/>
            </w:tcBorders>
            <w:vMerge w:val="restart"/>
          </w:tcPr>
          <w:p>
            <w:pPr>
              <w:ind w:left="200"/>
              <w:spacing w:after="0"/>
              <w:rPr>
                <w:sz w:val="20"/>
                <w:szCs w:val="20"/>
                <w:color w:val="auto"/>
              </w:rPr>
            </w:pPr>
            <w:r>
              <w:rPr>
                <w:rFonts w:ascii="Arial" w:cs="Arial" w:eastAsia="Arial" w:hAnsi="Arial"/>
                <w:sz w:val="16"/>
                <w:szCs w:val="16"/>
                <w:color w:val="auto"/>
              </w:rPr>
              <w:t>shareholders and promotes the</w:t>
            </w:r>
          </w:p>
        </w:tc>
        <w:tc>
          <w:tcPr>
            <w:tcW w:w="3620" w:type="dxa"/>
            <w:vAlign w:val="bottom"/>
            <w:tcBorders>
              <w:right w:val="single" w:sz="8" w:color="00B5AA"/>
            </w:tcBorders>
            <w:gridSpan w:val="2"/>
            <w:vMerge w:val="restart"/>
          </w:tcPr>
          <w:p>
            <w:pPr>
              <w:ind w:left="400"/>
              <w:spacing w:after="0"/>
              <w:rPr>
                <w:sz w:val="20"/>
                <w:szCs w:val="20"/>
                <w:color w:val="auto"/>
              </w:rPr>
            </w:pPr>
            <w:r>
              <w:rPr>
                <w:rFonts w:ascii="Arial" w:cs="Arial" w:eastAsia="Arial" w:hAnsi="Arial"/>
                <w:sz w:val="16"/>
                <w:szCs w:val="16"/>
                <w:color w:val="auto"/>
              </w:rPr>
              <w:t>(which vest based on absolute TSR)</w:t>
            </w:r>
          </w:p>
        </w:tc>
        <w:tc>
          <w:tcPr>
            <w:tcW w:w="3480" w:type="dxa"/>
            <w:vAlign w:val="bottom"/>
            <w:tcBorders>
              <w:right w:val="single" w:sz="8" w:color="00B5AA"/>
            </w:tcBorders>
            <w:vMerge w:val="restart"/>
          </w:tcPr>
          <w:p>
            <w:pPr>
              <w:ind w:left="400"/>
              <w:spacing w:after="0"/>
              <w:rPr>
                <w:sz w:val="20"/>
                <w:szCs w:val="20"/>
                <w:color w:val="auto"/>
              </w:rPr>
            </w:pPr>
            <w:r>
              <w:rPr>
                <w:rFonts w:ascii="Arial" w:cs="Arial" w:eastAsia="Arial" w:hAnsi="Arial"/>
                <w:sz w:val="16"/>
                <w:szCs w:val="16"/>
                <w:color w:val="auto"/>
              </w:rPr>
              <w:t>on absolute TSR)</w:t>
            </w:r>
          </w:p>
        </w:tc>
        <w:tc>
          <w:tcPr>
            <w:tcW w:w="0" w:type="dxa"/>
            <w:vAlign w:val="bottom"/>
          </w:tcPr>
          <w:p>
            <w:pPr>
              <w:spacing w:after="0"/>
              <w:rPr>
                <w:sz w:val="1"/>
                <w:szCs w:val="1"/>
                <w:color w:val="auto"/>
              </w:rPr>
            </w:pPr>
          </w:p>
        </w:tc>
      </w:tr>
      <w:tr>
        <w:trPr>
          <w:trHeight w:val="101"/>
        </w:trPr>
        <w:tc>
          <w:tcPr>
            <w:tcW w:w="1440" w:type="dxa"/>
            <w:vAlign w:val="bottom"/>
            <w:shd w:val="clear" w:color="auto" w:fill="00B5AA"/>
          </w:tcPr>
          <w:p>
            <w:pPr>
              <w:spacing w:after="0"/>
              <w:rPr>
                <w:sz w:val="8"/>
                <w:szCs w:val="8"/>
                <w:color w:val="auto"/>
              </w:rPr>
            </w:pPr>
          </w:p>
        </w:tc>
        <w:tc>
          <w:tcPr>
            <w:tcW w:w="2720" w:type="dxa"/>
            <w:vAlign w:val="bottom"/>
            <w:tcBorders>
              <w:right w:val="single" w:sz="8" w:color="00B5AA"/>
            </w:tcBorders>
            <w:vMerge w:val="continue"/>
          </w:tcPr>
          <w:p>
            <w:pPr>
              <w:spacing w:after="0"/>
              <w:rPr>
                <w:sz w:val="8"/>
                <w:szCs w:val="8"/>
                <w:color w:val="auto"/>
              </w:rPr>
            </w:pPr>
          </w:p>
        </w:tc>
        <w:tc>
          <w:tcPr>
            <w:tcW w:w="3620" w:type="dxa"/>
            <w:vAlign w:val="bottom"/>
            <w:tcBorders>
              <w:right w:val="single" w:sz="8" w:color="00B5AA"/>
            </w:tcBorders>
            <w:gridSpan w:val="2"/>
            <w:vMerge w:val="continue"/>
          </w:tcPr>
          <w:p>
            <w:pPr>
              <w:spacing w:after="0"/>
              <w:rPr>
                <w:sz w:val="8"/>
                <w:szCs w:val="8"/>
                <w:color w:val="auto"/>
              </w:rPr>
            </w:pPr>
          </w:p>
        </w:tc>
        <w:tc>
          <w:tcPr>
            <w:tcW w:w="3480" w:type="dxa"/>
            <w:vAlign w:val="bottom"/>
            <w:tcBorders>
              <w:right w:val="single" w:sz="8" w:color="00B5AA"/>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1440" w:type="dxa"/>
            <w:vAlign w:val="bottom"/>
            <w:shd w:val="clear" w:color="auto" w:fill="00B5AA"/>
          </w:tcPr>
          <w:p>
            <w:pPr>
              <w:spacing w:after="0"/>
              <w:rPr>
                <w:sz w:val="16"/>
                <w:szCs w:val="16"/>
                <w:color w:val="auto"/>
              </w:rPr>
            </w:pPr>
          </w:p>
        </w:tc>
        <w:tc>
          <w:tcPr>
            <w:tcW w:w="2720" w:type="dxa"/>
            <w:vAlign w:val="bottom"/>
            <w:tcBorders>
              <w:right w:val="single" w:sz="8" w:color="00B5AA"/>
            </w:tcBorders>
          </w:tcPr>
          <w:p>
            <w:pPr>
              <w:ind w:left="200"/>
              <w:spacing w:after="0"/>
              <w:rPr>
                <w:sz w:val="20"/>
                <w:szCs w:val="20"/>
                <w:color w:val="auto"/>
              </w:rPr>
            </w:pPr>
            <w:r>
              <w:rPr>
                <w:rFonts w:ascii="Arial" w:cs="Arial" w:eastAsia="Arial" w:hAnsi="Arial"/>
                <w:sz w:val="16"/>
                <w:szCs w:val="16"/>
                <w:color w:val="auto"/>
              </w:rPr>
              <w:t>retention of key members of our</w:t>
            </w:r>
          </w:p>
        </w:tc>
        <w:tc>
          <w:tcPr>
            <w:tcW w:w="3620" w:type="dxa"/>
            <w:vAlign w:val="bottom"/>
            <w:tcBorders>
              <w:right w:val="single" w:sz="8" w:color="00B5AA"/>
            </w:tcBorders>
            <w:gridSpan w:val="2"/>
            <w:vMerge w:val="restart"/>
          </w:tcPr>
          <w:p>
            <w:pPr>
              <w:ind w:left="400"/>
              <w:spacing w:after="0"/>
              <w:rPr>
                <w:sz w:val="20"/>
                <w:szCs w:val="20"/>
                <w:color w:val="auto"/>
              </w:rPr>
            </w:pPr>
            <w:r>
              <w:rPr>
                <w:rFonts w:ascii="Arial" w:cs="Arial" w:eastAsia="Arial" w:hAnsi="Arial"/>
                <w:sz w:val="16"/>
                <w:szCs w:val="16"/>
                <w:b w:val="1"/>
                <w:bCs w:val="1"/>
                <w:color w:val="16479F"/>
              </w:rPr>
              <w:t xml:space="preserve">●  </w:t>
            </w:r>
            <w:r>
              <w:rPr>
                <w:rFonts w:ascii="Arial" w:cs="Arial" w:eastAsia="Arial" w:hAnsi="Arial"/>
                <w:sz w:val="16"/>
                <w:szCs w:val="16"/>
                <w:color w:val="000000"/>
              </w:rPr>
              <w:t>3-Year PSUs cover a cumulative three-</w:t>
            </w:r>
          </w:p>
        </w:tc>
        <w:tc>
          <w:tcPr>
            <w:tcW w:w="3480" w:type="dxa"/>
            <w:vAlign w:val="bottom"/>
            <w:tcBorders>
              <w:right w:val="single" w:sz="8" w:color="00B5AA"/>
            </w:tcBorders>
            <w:vMerge w:val="restart"/>
          </w:tcPr>
          <w:p>
            <w:pPr>
              <w:ind w:left="180"/>
              <w:spacing w:after="0"/>
              <w:rPr>
                <w:sz w:val="20"/>
                <w:szCs w:val="20"/>
                <w:color w:val="auto"/>
              </w:rPr>
            </w:pPr>
            <w:r>
              <w:rPr>
                <w:rFonts w:ascii="Arial" w:cs="Arial" w:eastAsia="Arial" w:hAnsi="Arial"/>
                <w:sz w:val="16"/>
                <w:szCs w:val="16"/>
                <w:b w:val="1"/>
                <w:bCs w:val="1"/>
                <w:color w:val="16479F"/>
              </w:rPr>
              <w:t xml:space="preserve">●  </w:t>
            </w:r>
            <w:r>
              <w:rPr>
                <w:rFonts w:ascii="Arial" w:cs="Arial" w:eastAsia="Arial" w:hAnsi="Arial"/>
                <w:sz w:val="16"/>
                <w:szCs w:val="16"/>
                <w:color w:val="000000"/>
              </w:rPr>
              <w:t>PSOs with a three-year performance</w:t>
            </w:r>
          </w:p>
        </w:tc>
        <w:tc>
          <w:tcPr>
            <w:tcW w:w="0" w:type="dxa"/>
            <w:vAlign w:val="bottom"/>
          </w:tcPr>
          <w:p>
            <w:pPr>
              <w:spacing w:after="0"/>
              <w:rPr>
                <w:sz w:val="1"/>
                <w:szCs w:val="1"/>
                <w:color w:val="auto"/>
              </w:rPr>
            </w:pPr>
          </w:p>
        </w:tc>
      </w:tr>
      <w:tr>
        <w:trPr>
          <w:trHeight w:val="147"/>
        </w:trPr>
        <w:tc>
          <w:tcPr>
            <w:tcW w:w="1440" w:type="dxa"/>
            <w:vAlign w:val="bottom"/>
            <w:shd w:val="clear" w:color="auto" w:fill="00B5AA"/>
          </w:tcPr>
          <w:p>
            <w:pPr>
              <w:spacing w:after="0"/>
              <w:rPr>
                <w:sz w:val="12"/>
                <w:szCs w:val="12"/>
                <w:color w:val="auto"/>
              </w:rPr>
            </w:pPr>
          </w:p>
        </w:tc>
        <w:tc>
          <w:tcPr>
            <w:tcW w:w="2720" w:type="dxa"/>
            <w:vAlign w:val="bottom"/>
            <w:tcBorders>
              <w:right w:val="single" w:sz="8" w:color="00B5AA"/>
            </w:tcBorders>
          </w:tcPr>
          <w:p>
            <w:pPr>
              <w:ind w:left="200"/>
              <w:spacing w:after="0" w:line="148" w:lineRule="exact"/>
              <w:rPr>
                <w:sz w:val="20"/>
                <w:szCs w:val="20"/>
                <w:color w:val="auto"/>
              </w:rPr>
            </w:pPr>
            <w:r>
              <w:rPr>
                <w:rFonts w:ascii="Arial" w:cs="Arial" w:eastAsia="Arial" w:hAnsi="Arial"/>
                <w:sz w:val="16"/>
                <w:szCs w:val="16"/>
                <w:color w:val="auto"/>
              </w:rPr>
              <w:t>management team</w:t>
            </w:r>
          </w:p>
        </w:tc>
        <w:tc>
          <w:tcPr>
            <w:tcW w:w="3620" w:type="dxa"/>
            <w:vAlign w:val="bottom"/>
            <w:tcBorders>
              <w:right w:val="single" w:sz="8" w:color="00B5AA"/>
            </w:tcBorders>
            <w:gridSpan w:val="2"/>
            <w:vMerge w:val="continue"/>
          </w:tcPr>
          <w:p>
            <w:pPr>
              <w:spacing w:after="0"/>
              <w:rPr>
                <w:sz w:val="12"/>
                <w:szCs w:val="12"/>
                <w:color w:val="auto"/>
              </w:rPr>
            </w:pPr>
          </w:p>
        </w:tc>
        <w:tc>
          <w:tcPr>
            <w:tcW w:w="3480" w:type="dxa"/>
            <w:vAlign w:val="bottom"/>
            <w:tcBorders>
              <w:right w:val="single" w:sz="8" w:color="00B5AA"/>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440" w:type="dxa"/>
            <w:vAlign w:val="bottom"/>
            <w:shd w:val="clear" w:color="auto" w:fill="00B5AA"/>
          </w:tcPr>
          <w:p>
            <w:pPr>
              <w:spacing w:after="0"/>
              <w:rPr>
                <w:sz w:val="16"/>
                <w:szCs w:val="16"/>
                <w:color w:val="auto"/>
              </w:rPr>
            </w:pPr>
          </w:p>
        </w:tc>
        <w:tc>
          <w:tcPr>
            <w:tcW w:w="2720" w:type="dxa"/>
            <w:vAlign w:val="bottom"/>
            <w:tcBorders>
              <w:right w:val="single" w:sz="8" w:color="00B5AA"/>
            </w:tcBorders>
          </w:tcPr>
          <w:p>
            <w:pPr>
              <w:spacing w:after="0"/>
              <w:rPr>
                <w:sz w:val="16"/>
                <w:szCs w:val="16"/>
                <w:color w:val="auto"/>
              </w:rPr>
            </w:pPr>
          </w:p>
        </w:tc>
        <w:tc>
          <w:tcPr>
            <w:tcW w:w="560" w:type="dxa"/>
            <w:vAlign w:val="bottom"/>
          </w:tcPr>
          <w:p>
            <w:pPr>
              <w:spacing w:after="0"/>
              <w:rPr>
                <w:sz w:val="16"/>
                <w:szCs w:val="16"/>
                <w:color w:val="auto"/>
              </w:rPr>
            </w:pPr>
          </w:p>
        </w:tc>
        <w:tc>
          <w:tcPr>
            <w:tcW w:w="3060" w:type="dxa"/>
            <w:vAlign w:val="bottom"/>
            <w:tcBorders>
              <w:right w:val="single" w:sz="8" w:color="00B5AA"/>
            </w:tcBorders>
          </w:tcPr>
          <w:p>
            <w:pPr>
              <w:ind w:left="60"/>
              <w:spacing w:after="0"/>
              <w:rPr>
                <w:sz w:val="20"/>
                <w:szCs w:val="20"/>
                <w:color w:val="auto"/>
              </w:rPr>
            </w:pPr>
            <w:r>
              <w:rPr>
                <w:rFonts w:ascii="Arial" w:cs="Arial" w:eastAsia="Arial" w:hAnsi="Arial"/>
                <w:sz w:val="16"/>
                <w:szCs w:val="16"/>
                <w:color w:val="auto"/>
              </w:rPr>
              <w:t>year performance period</w:t>
            </w:r>
          </w:p>
        </w:tc>
        <w:tc>
          <w:tcPr>
            <w:tcW w:w="3480" w:type="dxa"/>
            <w:vAlign w:val="bottom"/>
            <w:tcBorders>
              <w:right w:val="single" w:sz="8" w:color="00B5AA"/>
            </w:tcBorders>
          </w:tcPr>
          <w:p>
            <w:pPr>
              <w:ind w:left="400"/>
              <w:spacing w:after="0"/>
              <w:rPr>
                <w:sz w:val="20"/>
                <w:szCs w:val="20"/>
                <w:color w:val="auto"/>
              </w:rPr>
            </w:pPr>
            <w:r>
              <w:rPr>
                <w:rFonts w:ascii="Arial" w:cs="Arial" w:eastAsia="Arial" w:hAnsi="Arial"/>
                <w:sz w:val="16"/>
                <w:szCs w:val="16"/>
                <w:color w:val="auto"/>
              </w:rPr>
              <w:t>period which vest based on the</w:t>
            </w:r>
          </w:p>
        </w:tc>
        <w:tc>
          <w:tcPr>
            <w:tcW w:w="0" w:type="dxa"/>
            <w:vAlign w:val="bottom"/>
          </w:tcPr>
          <w:p>
            <w:pPr>
              <w:spacing w:after="0"/>
              <w:rPr>
                <w:sz w:val="1"/>
                <w:szCs w:val="1"/>
                <w:color w:val="auto"/>
              </w:rPr>
            </w:pPr>
          </w:p>
        </w:tc>
      </w:tr>
      <w:tr>
        <w:trPr>
          <w:trHeight w:val="187"/>
        </w:trPr>
        <w:tc>
          <w:tcPr>
            <w:tcW w:w="1440" w:type="dxa"/>
            <w:vAlign w:val="bottom"/>
            <w:shd w:val="clear" w:color="auto" w:fill="00B5AA"/>
          </w:tcPr>
          <w:p>
            <w:pPr>
              <w:spacing w:after="0"/>
              <w:rPr>
                <w:sz w:val="16"/>
                <w:szCs w:val="16"/>
                <w:color w:val="auto"/>
              </w:rPr>
            </w:pPr>
          </w:p>
        </w:tc>
        <w:tc>
          <w:tcPr>
            <w:tcW w:w="2720" w:type="dxa"/>
            <w:vAlign w:val="bottom"/>
            <w:tcBorders>
              <w:right w:val="single" w:sz="8" w:color="00B5AA"/>
            </w:tcBorders>
          </w:tcPr>
          <w:p>
            <w:pPr>
              <w:spacing w:after="0"/>
              <w:rPr>
                <w:sz w:val="16"/>
                <w:szCs w:val="16"/>
                <w:color w:val="auto"/>
              </w:rPr>
            </w:pPr>
          </w:p>
        </w:tc>
        <w:tc>
          <w:tcPr>
            <w:tcW w:w="3620" w:type="dxa"/>
            <w:vAlign w:val="bottom"/>
            <w:tcBorders>
              <w:right w:val="single" w:sz="8" w:color="00B5AA"/>
            </w:tcBorders>
            <w:gridSpan w:val="2"/>
            <w:vMerge w:val="restart"/>
          </w:tcPr>
          <w:p>
            <w:pPr>
              <w:ind w:left="400"/>
              <w:spacing w:after="0"/>
              <w:rPr>
                <w:sz w:val="20"/>
                <w:szCs w:val="20"/>
                <w:color w:val="auto"/>
              </w:rPr>
            </w:pPr>
            <w:r>
              <w:rPr>
                <w:rFonts w:ascii="Arial" w:cs="Arial" w:eastAsia="Arial" w:hAnsi="Arial"/>
                <w:sz w:val="16"/>
                <w:szCs w:val="16"/>
                <w:b w:val="1"/>
                <w:bCs w:val="1"/>
                <w:color w:val="16479F"/>
              </w:rPr>
              <w:t xml:space="preserve">●  </w:t>
            </w:r>
            <w:r>
              <w:rPr>
                <w:rFonts w:ascii="Arial" w:cs="Arial" w:eastAsia="Arial" w:hAnsi="Arial"/>
                <w:sz w:val="16"/>
                <w:szCs w:val="16"/>
                <w:color w:val="000000"/>
              </w:rPr>
              <w:t>5-Year PSUs cover a cumulative five-</w:t>
            </w:r>
          </w:p>
        </w:tc>
        <w:tc>
          <w:tcPr>
            <w:tcW w:w="3480" w:type="dxa"/>
            <w:vAlign w:val="bottom"/>
            <w:tcBorders>
              <w:right w:val="single" w:sz="8" w:color="00B5AA"/>
            </w:tcBorders>
          </w:tcPr>
          <w:p>
            <w:pPr>
              <w:ind w:left="400"/>
              <w:spacing w:after="0"/>
              <w:rPr>
                <w:sz w:val="20"/>
                <w:szCs w:val="20"/>
                <w:color w:val="auto"/>
              </w:rPr>
            </w:pPr>
            <w:r>
              <w:rPr>
                <w:rFonts w:ascii="Arial" w:cs="Arial" w:eastAsia="Arial" w:hAnsi="Arial"/>
                <w:sz w:val="16"/>
                <w:szCs w:val="16"/>
                <w:color w:val="auto"/>
              </w:rPr>
              <w:t>combined level of achievement of a</w:t>
            </w:r>
          </w:p>
        </w:tc>
        <w:tc>
          <w:tcPr>
            <w:tcW w:w="0" w:type="dxa"/>
            <w:vAlign w:val="bottom"/>
          </w:tcPr>
          <w:p>
            <w:pPr>
              <w:spacing w:after="0"/>
              <w:rPr>
                <w:sz w:val="1"/>
                <w:szCs w:val="1"/>
                <w:color w:val="auto"/>
              </w:rPr>
            </w:pPr>
          </w:p>
        </w:tc>
      </w:tr>
      <w:tr>
        <w:trPr>
          <w:trHeight w:val="161"/>
        </w:trPr>
        <w:tc>
          <w:tcPr>
            <w:tcW w:w="1440" w:type="dxa"/>
            <w:vAlign w:val="bottom"/>
            <w:shd w:val="clear" w:color="auto" w:fill="00B5AA"/>
          </w:tcPr>
          <w:p>
            <w:pPr>
              <w:spacing w:after="0"/>
              <w:rPr>
                <w:sz w:val="13"/>
                <w:szCs w:val="13"/>
                <w:color w:val="auto"/>
              </w:rPr>
            </w:pPr>
          </w:p>
        </w:tc>
        <w:tc>
          <w:tcPr>
            <w:tcW w:w="2720" w:type="dxa"/>
            <w:vAlign w:val="bottom"/>
            <w:tcBorders>
              <w:right w:val="single" w:sz="8" w:color="00B5AA"/>
            </w:tcBorders>
          </w:tcPr>
          <w:p>
            <w:pPr>
              <w:spacing w:after="0"/>
              <w:rPr>
                <w:sz w:val="13"/>
                <w:szCs w:val="13"/>
                <w:color w:val="auto"/>
              </w:rPr>
            </w:pPr>
          </w:p>
        </w:tc>
        <w:tc>
          <w:tcPr>
            <w:tcW w:w="3620" w:type="dxa"/>
            <w:vAlign w:val="bottom"/>
            <w:tcBorders>
              <w:right w:val="single" w:sz="8" w:color="00B5AA"/>
            </w:tcBorders>
            <w:gridSpan w:val="2"/>
            <w:vMerge w:val="continue"/>
          </w:tcPr>
          <w:p>
            <w:pPr>
              <w:spacing w:after="0"/>
              <w:rPr>
                <w:sz w:val="13"/>
                <w:szCs w:val="13"/>
                <w:color w:val="auto"/>
              </w:rPr>
            </w:pPr>
          </w:p>
        </w:tc>
        <w:tc>
          <w:tcPr>
            <w:tcW w:w="3480" w:type="dxa"/>
            <w:vAlign w:val="bottom"/>
            <w:tcBorders>
              <w:right w:val="single" w:sz="8" w:color="00B5AA"/>
            </w:tcBorders>
          </w:tcPr>
          <w:p>
            <w:pPr>
              <w:ind w:left="400"/>
              <w:spacing w:after="0" w:line="161" w:lineRule="exact"/>
              <w:rPr>
                <w:sz w:val="20"/>
                <w:szCs w:val="20"/>
                <w:color w:val="auto"/>
              </w:rPr>
            </w:pPr>
            <w:r>
              <w:rPr>
                <w:rFonts w:ascii="Arial" w:cs="Arial" w:eastAsia="Arial" w:hAnsi="Arial"/>
                <w:sz w:val="16"/>
                <w:szCs w:val="16"/>
                <w:color w:val="auto"/>
              </w:rPr>
              <w:t>cumulative adjusted EPS performance</w:t>
            </w:r>
          </w:p>
        </w:tc>
        <w:tc>
          <w:tcPr>
            <w:tcW w:w="0" w:type="dxa"/>
            <w:vAlign w:val="bottom"/>
          </w:tcPr>
          <w:p>
            <w:pPr>
              <w:spacing w:after="0"/>
              <w:rPr>
                <w:sz w:val="1"/>
                <w:szCs w:val="1"/>
                <w:color w:val="auto"/>
              </w:rPr>
            </w:pPr>
          </w:p>
        </w:tc>
      </w:tr>
      <w:tr>
        <w:trPr>
          <w:trHeight w:val="214"/>
        </w:trPr>
        <w:tc>
          <w:tcPr>
            <w:tcW w:w="1440" w:type="dxa"/>
            <w:vAlign w:val="bottom"/>
            <w:shd w:val="clear" w:color="auto" w:fill="00B5AA"/>
          </w:tcPr>
          <w:p>
            <w:pPr>
              <w:spacing w:after="0"/>
              <w:rPr>
                <w:sz w:val="18"/>
                <w:szCs w:val="18"/>
                <w:color w:val="auto"/>
              </w:rPr>
            </w:pPr>
          </w:p>
        </w:tc>
        <w:tc>
          <w:tcPr>
            <w:tcW w:w="2720" w:type="dxa"/>
            <w:vAlign w:val="bottom"/>
            <w:tcBorders>
              <w:right w:val="single" w:sz="8" w:color="00B5AA"/>
            </w:tcBorders>
          </w:tcPr>
          <w:p>
            <w:pPr>
              <w:spacing w:after="0"/>
              <w:rPr>
                <w:sz w:val="18"/>
                <w:szCs w:val="18"/>
                <w:color w:val="auto"/>
              </w:rPr>
            </w:pPr>
          </w:p>
        </w:tc>
        <w:tc>
          <w:tcPr>
            <w:tcW w:w="560" w:type="dxa"/>
            <w:vAlign w:val="bottom"/>
          </w:tcPr>
          <w:p>
            <w:pPr>
              <w:spacing w:after="0"/>
              <w:rPr>
                <w:sz w:val="18"/>
                <w:szCs w:val="18"/>
                <w:color w:val="auto"/>
              </w:rPr>
            </w:pPr>
          </w:p>
        </w:tc>
        <w:tc>
          <w:tcPr>
            <w:tcW w:w="3060" w:type="dxa"/>
            <w:vAlign w:val="bottom"/>
            <w:tcBorders>
              <w:right w:val="single" w:sz="8" w:color="00B5AA"/>
            </w:tcBorders>
          </w:tcPr>
          <w:p>
            <w:pPr>
              <w:ind w:left="60"/>
              <w:spacing w:after="0"/>
              <w:rPr>
                <w:sz w:val="20"/>
                <w:szCs w:val="20"/>
                <w:color w:val="auto"/>
              </w:rPr>
            </w:pPr>
            <w:r>
              <w:rPr>
                <w:rFonts w:ascii="Arial" w:cs="Arial" w:eastAsia="Arial" w:hAnsi="Arial"/>
                <w:sz w:val="16"/>
                <w:szCs w:val="16"/>
                <w:color w:val="auto"/>
              </w:rPr>
              <w:t>year performance period</w:t>
            </w:r>
          </w:p>
        </w:tc>
        <w:tc>
          <w:tcPr>
            <w:tcW w:w="3480" w:type="dxa"/>
            <w:vAlign w:val="bottom"/>
            <w:tcBorders>
              <w:right w:val="single" w:sz="8" w:color="00B5AA"/>
            </w:tcBorders>
          </w:tcPr>
          <w:p>
            <w:pPr>
              <w:ind w:left="400"/>
              <w:spacing w:after="0"/>
              <w:rPr>
                <w:sz w:val="20"/>
                <w:szCs w:val="20"/>
                <w:color w:val="auto"/>
              </w:rPr>
            </w:pPr>
            <w:r>
              <w:rPr>
                <w:rFonts w:ascii="Arial" w:cs="Arial" w:eastAsia="Arial" w:hAnsi="Arial"/>
                <w:sz w:val="16"/>
                <w:szCs w:val="16"/>
                <w:color w:val="auto"/>
              </w:rPr>
              <w:t>metric and a cumulative revenue</w:t>
            </w:r>
          </w:p>
        </w:tc>
        <w:tc>
          <w:tcPr>
            <w:tcW w:w="0" w:type="dxa"/>
            <w:vAlign w:val="bottom"/>
          </w:tcPr>
          <w:p>
            <w:pPr>
              <w:spacing w:after="0"/>
              <w:rPr>
                <w:sz w:val="1"/>
                <w:szCs w:val="1"/>
                <w:color w:val="auto"/>
              </w:rPr>
            </w:pPr>
          </w:p>
        </w:tc>
      </w:tr>
      <w:tr>
        <w:trPr>
          <w:trHeight w:val="193"/>
        </w:trPr>
        <w:tc>
          <w:tcPr>
            <w:tcW w:w="1440" w:type="dxa"/>
            <w:vAlign w:val="bottom"/>
            <w:shd w:val="clear" w:color="auto" w:fill="00B5AA"/>
          </w:tcPr>
          <w:p>
            <w:pPr>
              <w:spacing w:after="0"/>
              <w:rPr>
                <w:sz w:val="16"/>
                <w:szCs w:val="16"/>
                <w:color w:val="auto"/>
              </w:rPr>
            </w:pPr>
          </w:p>
        </w:tc>
        <w:tc>
          <w:tcPr>
            <w:tcW w:w="2720" w:type="dxa"/>
            <w:vAlign w:val="bottom"/>
            <w:tcBorders>
              <w:right w:val="single" w:sz="8" w:color="00B5AA"/>
            </w:tcBorders>
          </w:tcPr>
          <w:p>
            <w:pPr>
              <w:spacing w:after="0"/>
              <w:rPr>
                <w:sz w:val="16"/>
                <w:szCs w:val="16"/>
                <w:color w:val="auto"/>
              </w:rPr>
            </w:pPr>
          </w:p>
        </w:tc>
        <w:tc>
          <w:tcPr>
            <w:tcW w:w="3620" w:type="dxa"/>
            <w:vAlign w:val="bottom"/>
            <w:tcBorders>
              <w:right w:val="single" w:sz="8" w:color="00B5AA"/>
            </w:tcBorders>
            <w:gridSpan w:val="2"/>
            <w:vMerge w:val="restart"/>
          </w:tcPr>
          <w:p>
            <w:pPr>
              <w:ind w:left="180"/>
              <w:spacing w:after="0"/>
              <w:rPr>
                <w:sz w:val="20"/>
                <w:szCs w:val="20"/>
                <w:color w:val="auto"/>
              </w:rPr>
            </w:pPr>
            <w:r>
              <w:rPr>
                <w:rFonts w:ascii="Arial" w:cs="Arial" w:eastAsia="Arial" w:hAnsi="Arial"/>
                <w:sz w:val="16"/>
                <w:szCs w:val="16"/>
                <w:b w:val="1"/>
                <w:bCs w:val="1"/>
                <w:color w:val="16479F"/>
              </w:rPr>
              <w:t xml:space="preserve">●  </w:t>
            </w:r>
            <w:r>
              <w:rPr>
                <w:rFonts w:ascii="Arial" w:cs="Arial" w:eastAsia="Arial" w:hAnsi="Arial"/>
                <w:sz w:val="16"/>
                <w:szCs w:val="16"/>
                <w:color w:val="000000"/>
              </w:rPr>
              <w:t>Each of Messrs. Fernandez and Pettit</w:t>
            </w:r>
          </w:p>
        </w:tc>
        <w:tc>
          <w:tcPr>
            <w:tcW w:w="3480" w:type="dxa"/>
            <w:vAlign w:val="bottom"/>
            <w:tcBorders>
              <w:right w:val="single" w:sz="8" w:color="00B5AA"/>
            </w:tcBorders>
          </w:tcPr>
          <w:p>
            <w:pPr>
              <w:ind w:left="400"/>
              <w:spacing w:after="0"/>
              <w:rPr>
                <w:sz w:val="20"/>
                <w:szCs w:val="20"/>
                <w:color w:val="auto"/>
              </w:rPr>
            </w:pPr>
            <w:r>
              <w:rPr>
                <w:rFonts w:ascii="Arial" w:cs="Arial" w:eastAsia="Arial" w:hAnsi="Arial"/>
                <w:sz w:val="16"/>
                <w:szCs w:val="16"/>
                <w:color w:val="auto"/>
              </w:rPr>
              <w:t>performance metric</w:t>
            </w:r>
          </w:p>
        </w:tc>
        <w:tc>
          <w:tcPr>
            <w:tcW w:w="0" w:type="dxa"/>
            <w:vAlign w:val="bottom"/>
          </w:tcPr>
          <w:p>
            <w:pPr>
              <w:spacing w:after="0"/>
              <w:rPr>
                <w:sz w:val="1"/>
                <w:szCs w:val="1"/>
                <w:color w:val="auto"/>
              </w:rPr>
            </w:pPr>
          </w:p>
        </w:tc>
      </w:tr>
      <w:tr>
        <w:trPr>
          <w:trHeight w:val="128"/>
        </w:trPr>
        <w:tc>
          <w:tcPr>
            <w:tcW w:w="1440" w:type="dxa"/>
            <w:vAlign w:val="bottom"/>
            <w:shd w:val="clear" w:color="auto" w:fill="00B5AA"/>
          </w:tcPr>
          <w:p>
            <w:pPr>
              <w:spacing w:after="0"/>
              <w:rPr>
                <w:sz w:val="11"/>
                <w:szCs w:val="11"/>
                <w:color w:val="auto"/>
              </w:rPr>
            </w:pPr>
          </w:p>
        </w:tc>
        <w:tc>
          <w:tcPr>
            <w:tcW w:w="2720" w:type="dxa"/>
            <w:vAlign w:val="bottom"/>
            <w:tcBorders>
              <w:right w:val="single" w:sz="8" w:color="00B5AA"/>
            </w:tcBorders>
          </w:tcPr>
          <w:p>
            <w:pPr>
              <w:spacing w:after="0"/>
              <w:rPr>
                <w:sz w:val="11"/>
                <w:szCs w:val="11"/>
                <w:color w:val="auto"/>
              </w:rPr>
            </w:pPr>
          </w:p>
        </w:tc>
        <w:tc>
          <w:tcPr>
            <w:tcW w:w="3620" w:type="dxa"/>
            <w:vAlign w:val="bottom"/>
            <w:tcBorders>
              <w:right w:val="single" w:sz="8" w:color="00B5AA"/>
            </w:tcBorders>
            <w:gridSpan w:val="2"/>
            <w:vMerge w:val="continue"/>
          </w:tcPr>
          <w:p>
            <w:pPr>
              <w:spacing w:after="0"/>
              <w:rPr>
                <w:sz w:val="11"/>
                <w:szCs w:val="11"/>
                <w:color w:val="auto"/>
              </w:rPr>
            </w:pPr>
          </w:p>
        </w:tc>
        <w:tc>
          <w:tcPr>
            <w:tcW w:w="3480" w:type="dxa"/>
            <w:vAlign w:val="bottom"/>
            <w:tcBorders>
              <w:right w:val="single" w:sz="8" w:color="00B5AA"/>
            </w:tcBorders>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1440" w:type="dxa"/>
            <w:vAlign w:val="bottom"/>
            <w:shd w:val="clear" w:color="auto" w:fill="00B5AA"/>
          </w:tcPr>
          <w:p>
            <w:pPr>
              <w:spacing w:after="0"/>
              <w:rPr>
                <w:sz w:val="16"/>
                <w:szCs w:val="16"/>
                <w:color w:val="auto"/>
              </w:rPr>
            </w:pPr>
          </w:p>
        </w:tc>
        <w:tc>
          <w:tcPr>
            <w:tcW w:w="2720" w:type="dxa"/>
            <w:vAlign w:val="bottom"/>
            <w:tcBorders>
              <w:right w:val="single" w:sz="8" w:color="00B5AA"/>
            </w:tcBorders>
          </w:tcPr>
          <w:p>
            <w:pPr>
              <w:spacing w:after="0"/>
              <w:rPr>
                <w:sz w:val="16"/>
                <w:szCs w:val="16"/>
                <w:color w:val="auto"/>
              </w:rPr>
            </w:pPr>
          </w:p>
        </w:tc>
        <w:tc>
          <w:tcPr>
            <w:tcW w:w="3620" w:type="dxa"/>
            <w:vAlign w:val="bottom"/>
            <w:tcBorders>
              <w:right w:val="single" w:sz="8" w:color="00B5AA"/>
            </w:tcBorders>
            <w:gridSpan w:val="2"/>
          </w:tcPr>
          <w:p>
            <w:pPr>
              <w:ind w:left="400"/>
              <w:spacing w:after="0"/>
              <w:rPr>
                <w:sz w:val="20"/>
                <w:szCs w:val="20"/>
                <w:color w:val="auto"/>
              </w:rPr>
            </w:pPr>
            <w:r>
              <w:rPr>
                <w:rFonts w:ascii="Arial" w:cs="Arial" w:eastAsia="Arial" w:hAnsi="Arial"/>
                <w:sz w:val="16"/>
                <w:szCs w:val="16"/>
                <w:color w:val="auto"/>
              </w:rPr>
              <w:t>received 100% of their LTIP awards in the</w:t>
            </w:r>
          </w:p>
        </w:tc>
        <w:tc>
          <w:tcPr>
            <w:tcW w:w="3480" w:type="dxa"/>
            <w:vAlign w:val="bottom"/>
            <w:tcBorders>
              <w:right w:val="single" w:sz="8" w:color="00B5AA"/>
            </w:tcBorders>
          </w:tcPr>
          <w:p>
            <w:pPr>
              <w:ind w:left="180"/>
              <w:spacing w:after="0"/>
              <w:rPr>
                <w:sz w:val="20"/>
                <w:szCs w:val="20"/>
                <w:color w:val="auto"/>
              </w:rPr>
            </w:pPr>
            <w:r>
              <w:rPr>
                <w:rFonts w:ascii="Arial" w:cs="Arial" w:eastAsia="Arial" w:hAnsi="Arial"/>
                <w:sz w:val="16"/>
                <w:szCs w:val="16"/>
                <w:b w:val="1"/>
                <w:bCs w:val="1"/>
                <w:color w:val="16479F"/>
              </w:rPr>
              <w:t xml:space="preserve">●  </w:t>
            </w:r>
            <w:r>
              <w:rPr>
                <w:rFonts w:ascii="Arial" w:cs="Arial" w:eastAsia="Arial" w:hAnsi="Arial"/>
                <w:sz w:val="16"/>
                <w:szCs w:val="16"/>
                <w:color w:val="000000"/>
              </w:rPr>
              <w:t>Each of Messrs. Fernandez and Pettit</w:t>
            </w:r>
          </w:p>
        </w:tc>
        <w:tc>
          <w:tcPr>
            <w:tcW w:w="0" w:type="dxa"/>
            <w:vAlign w:val="bottom"/>
          </w:tcPr>
          <w:p>
            <w:pPr>
              <w:spacing w:after="0"/>
              <w:rPr>
                <w:sz w:val="1"/>
                <w:szCs w:val="1"/>
                <w:color w:val="auto"/>
              </w:rPr>
            </w:pPr>
          </w:p>
        </w:tc>
      </w:tr>
      <w:tr>
        <w:trPr>
          <w:trHeight w:val="187"/>
        </w:trPr>
        <w:tc>
          <w:tcPr>
            <w:tcW w:w="1440" w:type="dxa"/>
            <w:vAlign w:val="bottom"/>
            <w:shd w:val="clear" w:color="auto" w:fill="00B5AA"/>
          </w:tcPr>
          <w:p>
            <w:pPr>
              <w:spacing w:after="0"/>
              <w:rPr>
                <w:sz w:val="16"/>
                <w:szCs w:val="16"/>
                <w:color w:val="auto"/>
              </w:rPr>
            </w:pPr>
          </w:p>
        </w:tc>
        <w:tc>
          <w:tcPr>
            <w:tcW w:w="2720" w:type="dxa"/>
            <w:vAlign w:val="bottom"/>
            <w:tcBorders>
              <w:right w:val="single" w:sz="8" w:color="00B5AA"/>
            </w:tcBorders>
          </w:tcPr>
          <w:p>
            <w:pPr>
              <w:spacing w:after="0"/>
              <w:rPr>
                <w:sz w:val="16"/>
                <w:szCs w:val="16"/>
                <w:color w:val="auto"/>
              </w:rPr>
            </w:pPr>
          </w:p>
        </w:tc>
        <w:tc>
          <w:tcPr>
            <w:tcW w:w="3620" w:type="dxa"/>
            <w:vAlign w:val="bottom"/>
            <w:tcBorders>
              <w:right w:val="single" w:sz="8" w:color="00B5AA"/>
            </w:tcBorders>
            <w:gridSpan w:val="2"/>
          </w:tcPr>
          <w:p>
            <w:pPr>
              <w:ind w:left="400"/>
              <w:spacing w:after="0"/>
              <w:rPr>
                <w:sz w:val="20"/>
                <w:szCs w:val="20"/>
                <w:color w:val="auto"/>
              </w:rPr>
            </w:pPr>
            <w:r>
              <w:rPr>
                <w:rFonts w:ascii="Arial" w:cs="Arial" w:eastAsia="Arial" w:hAnsi="Arial"/>
                <w:sz w:val="16"/>
                <w:szCs w:val="16"/>
                <w:color w:val="auto"/>
              </w:rPr>
              <w:t>form of PSUs for 2021, with 60% of their</w:t>
            </w:r>
          </w:p>
        </w:tc>
        <w:tc>
          <w:tcPr>
            <w:tcW w:w="3480" w:type="dxa"/>
            <w:vAlign w:val="bottom"/>
            <w:tcBorders>
              <w:right w:val="single" w:sz="8" w:color="00B5AA"/>
            </w:tcBorders>
          </w:tcPr>
          <w:p>
            <w:pPr>
              <w:ind w:left="400"/>
              <w:spacing w:after="0"/>
              <w:rPr>
                <w:sz w:val="20"/>
                <w:szCs w:val="20"/>
                <w:color w:val="auto"/>
              </w:rPr>
            </w:pPr>
            <w:r>
              <w:rPr>
                <w:rFonts w:ascii="Arial" w:cs="Arial" w:eastAsia="Arial" w:hAnsi="Arial"/>
                <w:sz w:val="16"/>
                <w:szCs w:val="16"/>
                <w:color w:val="auto"/>
              </w:rPr>
              <w:t>received 100% of their LTIP awards in</w:t>
            </w:r>
          </w:p>
        </w:tc>
        <w:tc>
          <w:tcPr>
            <w:tcW w:w="0" w:type="dxa"/>
            <w:vAlign w:val="bottom"/>
          </w:tcPr>
          <w:p>
            <w:pPr>
              <w:spacing w:after="0"/>
              <w:rPr>
                <w:sz w:val="1"/>
                <w:szCs w:val="1"/>
                <w:color w:val="auto"/>
              </w:rPr>
            </w:pPr>
          </w:p>
        </w:tc>
      </w:tr>
      <w:tr>
        <w:trPr>
          <w:trHeight w:val="187"/>
        </w:trPr>
        <w:tc>
          <w:tcPr>
            <w:tcW w:w="1440" w:type="dxa"/>
            <w:vAlign w:val="bottom"/>
            <w:shd w:val="clear" w:color="auto" w:fill="00B5AA"/>
          </w:tcPr>
          <w:p>
            <w:pPr>
              <w:spacing w:after="0"/>
              <w:rPr>
                <w:sz w:val="16"/>
                <w:szCs w:val="16"/>
                <w:color w:val="auto"/>
              </w:rPr>
            </w:pPr>
          </w:p>
        </w:tc>
        <w:tc>
          <w:tcPr>
            <w:tcW w:w="2720" w:type="dxa"/>
            <w:vAlign w:val="bottom"/>
            <w:tcBorders>
              <w:right w:val="single" w:sz="8" w:color="00B5AA"/>
            </w:tcBorders>
          </w:tcPr>
          <w:p>
            <w:pPr>
              <w:spacing w:after="0"/>
              <w:rPr>
                <w:sz w:val="16"/>
                <w:szCs w:val="16"/>
                <w:color w:val="auto"/>
              </w:rPr>
            </w:pPr>
          </w:p>
        </w:tc>
        <w:tc>
          <w:tcPr>
            <w:tcW w:w="3620" w:type="dxa"/>
            <w:vAlign w:val="bottom"/>
            <w:tcBorders>
              <w:right w:val="single" w:sz="8" w:color="00B5AA"/>
            </w:tcBorders>
            <w:gridSpan w:val="2"/>
          </w:tcPr>
          <w:p>
            <w:pPr>
              <w:ind w:left="400"/>
              <w:spacing w:after="0"/>
              <w:rPr>
                <w:sz w:val="20"/>
                <w:szCs w:val="20"/>
                <w:color w:val="auto"/>
              </w:rPr>
            </w:pPr>
            <w:r>
              <w:rPr>
                <w:rFonts w:ascii="Arial" w:cs="Arial" w:eastAsia="Arial" w:hAnsi="Arial"/>
                <w:sz w:val="16"/>
                <w:szCs w:val="16"/>
                <w:color w:val="auto"/>
              </w:rPr>
              <w:t>PSUs granted in the form of 5-Year PSUs,</w:t>
            </w:r>
          </w:p>
        </w:tc>
        <w:tc>
          <w:tcPr>
            <w:tcW w:w="3480" w:type="dxa"/>
            <w:vAlign w:val="bottom"/>
            <w:tcBorders>
              <w:right w:val="single" w:sz="8" w:color="00B5AA"/>
            </w:tcBorders>
          </w:tcPr>
          <w:p>
            <w:pPr>
              <w:ind w:left="400"/>
              <w:spacing w:after="0"/>
              <w:rPr>
                <w:sz w:val="20"/>
                <w:szCs w:val="20"/>
                <w:color w:val="auto"/>
              </w:rPr>
            </w:pPr>
            <w:r>
              <w:rPr>
                <w:rFonts w:ascii="Arial" w:cs="Arial" w:eastAsia="Arial" w:hAnsi="Arial"/>
                <w:sz w:val="16"/>
                <w:szCs w:val="16"/>
                <w:color w:val="auto"/>
              </w:rPr>
              <w:t>the form of performance awards, with</w:t>
            </w:r>
          </w:p>
        </w:tc>
        <w:tc>
          <w:tcPr>
            <w:tcW w:w="0" w:type="dxa"/>
            <w:vAlign w:val="bottom"/>
          </w:tcPr>
          <w:p>
            <w:pPr>
              <w:spacing w:after="0"/>
              <w:rPr>
                <w:sz w:val="1"/>
                <w:szCs w:val="1"/>
                <w:color w:val="auto"/>
              </w:rPr>
            </w:pPr>
          </w:p>
        </w:tc>
      </w:tr>
      <w:tr>
        <w:trPr>
          <w:trHeight w:val="187"/>
        </w:trPr>
        <w:tc>
          <w:tcPr>
            <w:tcW w:w="1440" w:type="dxa"/>
            <w:vAlign w:val="bottom"/>
            <w:shd w:val="clear" w:color="auto" w:fill="00B5AA"/>
          </w:tcPr>
          <w:p>
            <w:pPr>
              <w:spacing w:after="0"/>
              <w:rPr>
                <w:sz w:val="16"/>
                <w:szCs w:val="16"/>
                <w:color w:val="auto"/>
              </w:rPr>
            </w:pPr>
          </w:p>
        </w:tc>
        <w:tc>
          <w:tcPr>
            <w:tcW w:w="2720" w:type="dxa"/>
            <w:vAlign w:val="bottom"/>
            <w:tcBorders>
              <w:right w:val="single" w:sz="8" w:color="00B5AA"/>
            </w:tcBorders>
          </w:tcPr>
          <w:p>
            <w:pPr>
              <w:spacing w:after="0"/>
              <w:rPr>
                <w:sz w:val="16"/>
                <w:szCs w:val="16"/>
                <w:color w:val="auto"/>
              </w:rPr>
            </w:pPr>
          </w:p>
        </w:tc>
        <w:tc>
          <w:tcPr>
            <w:tcW w:w="3620" w:type="dxa"/>
            <w:vAlign w:val="bottom"/>
            <w:tcBorders>
              <w:right w:val="single" w:sz="8" w:color="00B5AA"/>
            </w:tcBorders>
            <w:gridSpan w:val="2"/>
          </w:tcPr>
          <w:p>
            <w:pPr>
              <w:ind w:left="400"/>
              <w:spacing w:after="0"/>
              <w:rPr>
                <w:sz w:val="20"/>
                <w:szCs w:val="20"/>
                <w:color w:val="auto"/>
              </w:rPr>
            </w:pPr>
            <w:r>
              <w:rPr>
                <w:rFonts w:ascii="Arial" w:cs="Arial" w:eastAsia="Arial" w:hAnsi="Arial"/>
                <w:sz w:val="16"/>
                <w:szCs w:val="16"/>
                <w:color w:val="auto"/>
              </w:rPr>
              <w:t>the highest percentage amongst all of our</w:t>
            </w:r>
          </w:p>
        </w:tc>
        <w:tc>
          <w:tcPr>
            <w:tcW w:w="3480" w:type="dxa"/>
            <w:vAlign w:val="bottom"/>
            <w:tcBorders>
              <w:right w:val="single" w:sz="8" w:color="00B5AA"/>
            </w:tcBorders>
          </w:tcPr>
          <w:p>
            <w:pPr>
              <w:ind w:left="400"/>
              <w:spacing w:after="0"/>
              <w:rPr>
                <w:sz w:val="20"/>
                <w:szCs w:val="20"/>
                <w:color w:val="auto"/>
              </w:rPr>
            </w:pPr>
            <w:r>
              <w:rPr>
                <w:rFonts w:ascii="Arial" w:cs="Arial" w:eastAsia="Arial" w:hAnsi="Arial"/>
                <w:sz w:val="16"/>
                <w:szCs w:val="16"/>
                <w:color w:val="auto"/>
              </w:rPr>
              <w:t>50% in the form of PSUs and 50% in the</w:t>
            </w:r>
          </w:p>
        </w:tc>
        <w:tc>
          <w:tcPr>
            <w:tcW w:w="0" w:type="dxa"/>
            <w:vAlign w:val="bottom"/>
          </w:tcPr>
          <w:p>
            <w:pPr>
              <w:spacing w:after="0"/>
              <w:rPr>
                <w:sz w:val="1"/>
                <w:szCs w:val="1"/>
                <w:color w:val="auto"/>
              </w:rPr>
            </w:pPr>
          </w:p>
        </w:tc>
      </w:tr>
      <w:tr>
        <w:trPr>
          <w:trHeight w:val="187"/>
        </w:trPr>
        <w:tc>
          <w:tcPr>
            <w:tcW w:w="1440" w:type="dxa"/>
            <w:vAlign w:val="bottom"/>
            <w:shd w:val="clear" w:color="auto" w:fill="00B5AA"/>
          </w:tcPr>
          <w:p>
            <w:pPr>
              <w:spacing w:after="0"/>
              <w:rPr>
                <w:sz w:val="16"/>
                <w:szCs w:val="16"/>
                <w:color w:val="auto"/>
              </w:rPr>
            </w:pPr>
          </w:p>
        </w:tc>
        <w:tc>
          <w:tcPr>
            <w:tcW w:w="2720" w:type="dxa"/>
            <w:vAlign w:val="bottom"/>
            <w:tcBorders>
              <w:right w:val="single" w:sz="8" w:color="00B5AA"/>
            </w:tcBorders>
          </w:tcPr>
          <w:p>
            <w:pPr>
              <w:spacing w:after="0"/>
              <w:rPr>
                <w:sz w:val="16"/>
                <w:szCs w:val="16"/>
                <w:color w:val="auto"/>
              </w:rPr>
            </w:pPr>
          </w:p>
        </w:tc>
        <w:tc>
          <w:tcPr>
            <w:tcW w:w="3620" w:type="dxa"/>
            <w:vAlign w:val="bottom"/>
            <w:tcBorders>
              <w:right w:val="single" w:sz="8" w:color="00B5AA"/>
            </w:tcBorders>
            <w:gridSpan w:val="2"/>
          </w:tcPr>
          <w:p>
            <w:pPr>
              <w:ind w:left="400"/>
              <w:spacing w:after="0"/>
              <w:rPr>
                <w:sz w:val="20"/>
                <w:szCs w:val="20"/>
                <w:color w:val="auto"/>
              </w:rPr>
            </w:pPr>
            <w:r>
              <w:rPr>
                <w:rFonts w:ascii="Arial" w:cs="Arial" w:eastAsia="Arial" w:hAnsi="Arial"/>
                <w:sz w:val="16"/>
                <w:szCs w:val="16"/>
                <w:color w:val="auto"/>
              </w:rPr>
              <w:t>NEOs for 2021 (for Mr. Pettit, an increase</w:t>
            </w:r>
          </w:p>
        </w:tc>
        <w:tc>
          <w:tcPr>
            <w:tcW w:w="3480" w:type="dxa"/>
            <w:vAlign w:val="bottom"/>
            <w:tcBorders>
              <w:right w:val="single" w:sz="8" w:color="00B5AA"/>
            </w:tcBorders>
          </w:tcPr>
          <w:p>
            <w:pPr>
              <w:ind w:left="400"/>
              <w:spacing w:after="0"/>
              <w:rPr>
                <w:sz w:val="20"/>
                <w:szCs w:val="20"/>
                <w:color w:val="auto"/>
              </w:rPr>
            </w:pPr>
            <w:r>
              <w:rPr>
                <w:rFonts w:ascii="Arial" w:cs="Arial" w:eastAsia="Arial" w:hAnsi="Arial"/>
                <w:sz w:val="16"/>
                <w:szCs w:val="16"/>
                <w:color w:val="auto"/>
              </w:rPr>
              <w:t>form of PSOs, with other NEOs receiving</w:t>
            </w:r>
          </w:p>
        </w:tc>
        <w:tc>
          <w:tcPr>
            <w:tcW w:w="0" w:type="dxa"/>
            <w:vAlign w:val="bottom"/>
          </w:tcPr>
          <w:p>
            <w:pPr>
              <w:spacing w:after="0"/>
              <w:rPr>
                <w:sz w:val="1"/>
                <w:szCs w:val="1"/>
                <w:color w:val="auto"/>
              </w:rPr>
            </w:pPr>
          </w:p>
        </w:tc>
      </w:tr>
      <w:tr>
        <w:trPr>
          <w:trHeight w:val="214"/>
        </w:trPr>
        <w:tc>
          <w:tcPr>
            <w:tcW w:w="1440" w:type="dxa"/>
            <w:vAlign w:val="bottom"/>
            <w:shd w:val="clear" w:color="auto" w:fill="00B5AA"/>
          </w:tcPr>
          <w:p>
            <w:pPr>
              <w:spacing w:after="0"/>
              <w:rPr>
                <w:sz w:val="18"/>
                <w:szCs w:val="18"/>
                <w:color w:val="auto"/>
              </w:rPr>
            </w:pPr>
          </w:p>
        </w:tc>
        <w:tc>
          <w:tcPr>
            <w:tcW w:w="2720" w:type="dxa"/>
            <w:vAlign w:val="bottom"/>
            <w:tcBorders>
              <w:right w:val="single" w:sz="8" w:color="00B5AA"/>
            </w:tcBorders>
          </w:tcPr>
          <w:p>
            <w:pPr>
              <w:spacing w:after="0"/>
              <w:rPr>
                <w:sz w:val="18"/>
                <w:szCs w:val="18"/>
                <w:color w:val="auto"/>
              </w:rPr>
            </w:pPr>
          </w:p>
        </w:tc>
        <w:tc>
          <w:tcPr>
            <w:tcW w:w="3620" w:type="dxa"/>
            <w:vAlign w:val="bottom"/>
            <w:tcBorders>
              <w:right w:val="single" w:sz="8" w:color="00B5AA"/>
            </w:tcBorders>
            <w:gridSpan w:val="2"/>
          </w:tcPr>
          <w:p>
            <w:pPr>
              <w:ind w:left="400"/>
              <w:spacing w:after="0"/>
              <w:rPr>
                <w:sz w:val="20"/>
                <w:szCs w:val="20"/>
                <w:color w:val="auto"/>
              </w:rPr>
            </w:pPr>
            <w:r>
              <w:rPr>
                <w:rFonts w:ascii="Arial" w:cs="Arial" w:eastAsia="Arial" w:hAnsi="Arial"/>
                <w:sz w:val="16"/>
                <w:szCs w:val="16"/>
                <w:color w:val="auto"/>
              </w:rPr>
              <w:t>from 50% in 2020)</w:t>
            </w:r>
          </w:p>
        </w:tc>
        <w:tc>
          <w:tcPr>
            <w:tcW w:w="3480" w:type="dxa"/>
            <w:vAlign w:val="bottom"/>
            <w:tcBorders>
              <w:right w:val="single" w:sz="8" w:color="00B5AA"/>
            </w:tcBorders>
          </w:tcPr>
          <w:p>
            <w:pPr>
              <w:ind w:left="400"/>
              <w:spacing w:after="0"/>
              <w:rPr>
                <w:sz w:val="20"/>
                <w:szCs w:val="20"/>
                <w:color w:val="auto"/>
              </w:rPr>
            </w:pPr>
            <w:r>
              <w:rPr>
                <w:rFonts w:ascii="Arial" w:cs="Arial" w:eastAsia="Arial" w:hAnsi="Arial"/>
                <w:sz w:val="16"/>
                <w:szCs w:val="16"/>
                <w:color w:val="auto"/>
              </w:rPr>
              <w:t>a mix of 30% RSUs, 35% PSOs and 35%</w:t>
            </w:r>
          </w:p>
        </w:tc>
        <w:tc>
          <w:tcPr>
            <w:tcW w:w="0" w:type="dxa"/>
            <w:vAlign w:val="bottom"/>
          </w:tcPr>
          <w:p>
            <w:pPr>
              <w:spacing w:after="0"/>
              <w:rPr>
                <w:sz w:val="1"/>
                <w:szCs w:val="1"/>
                <w:color w:val="auto"/>
              </w:rPr>
            </w:pPr>
          </w:p>
        </w:tc>
      </w:tr>
      <w:tr>
        <w:trPr>
          <w:trHeight w:val="219"/>
        </w:trPr>
        <w:tc>
          <w:tcPr>
            <w:tcW w:w="1440" w:type="dxa"/>
            <w:vAlign w:val="bottom"/>
            <w:tcBorders>
              <w:bottom w:val="single" w:sz="8" w:color="00B5AA"/>
            </w:tcBorders>
            <w:shd w:val="clear" w:color="auto" w:fill="00B5AA"/>
          </w:tcPr>
          <w:p>
            <w:pPr>
              <w:spacing w:after="0"/>
              <w:rPr>
                <w:sz w:val="19"/>
                <w:szCs w:val="19"/>
                <w:color w:val="auto"/>
              </w:rPr>
            </w:pPr>
          </w:p>
        </w:tc>
        <w:tc>
          <w:tcPr>
            <w:tcW w:w="2720" w:type="dxa"/>
            <w:vAlign w:val="bottom"/>
            <w:tcBorders>
              <w:right w:val="single" w:sz="8" w:color="00B5AA"/>
            </w:tcBorders>
          </w:tcPr>
          <w:p>
            <w:pPr>
              <w:spacing w:after="0"/>
              <w:rPr>
                <w:sz w:val="19"/>
                <w:szCs w:val="19"/>
                <w:color w:val="auto"/>
              </w:rPr>
            </w:pPr>
          </w:p>
        </w:tc>
        <w:tc>
          <w:tcPr>
            <w:tcW w:w="560" w:type="dxa"/>
            <w:vAlign w:val="bottom"/>
          </w:tcPr>
          <w:p>
            <w:pPr>
              <w:spacing w:after="0"/>
              <w:rPr>
                <w:sz w:val="19"/>
                <w:szCs w:val="19"/>
                <w:color w:val="auto"/>
              </w:rPr>
            </w:pPr>
          </w:p>
        </w:tc>
        <w:tc>
          <w:tcPr>
            <w:tcW w:w="3060" w:type="dxa"/>
            <w:vAlign w:val="bottom"/>
            <w:tcBorders>
              <w:right w:val="single" w:sz="8" w:color="00B5AA"/>
            </w:tcBorders>
          </w:tcPr>
          <w:p>
            <w:pPr>
              <w:spacing w:after="0"/>
              <w:rPr>
                <w:sz w:val="19"/>
                <w:szCs w:val="19"/>
                <w:color w:val="auto"/>
              </w:rPr>
            </w:pPr>
          </w:p>
        </w:tc>
        <w:tc>
          <w:tcPr>
            <w:tcW w:w="3480" w:type="dxa"/>
            <w:vAlign w:val="bottom"/>
            <w:tcBorders>
              <w:right w:val="single" w:sz="8" w:color="00B5AA"/>
            </w:tcBorders>
          </w:tcPr>
          <w:p>
            <w:pPr>
              <w:ind w:left="400"/>
              <w:spacing w:after="0"/>
              <w:rPr>
                <w:sz w:val="20"/>
                <w:szCs w:val="20"/>
                <w:color w:val="auto"/>
              </w:rPr>
            </w:pPr>
            <w:r>
              <w:rPr>
                <w:rFonts w:ascii="Arial" w:cs="Arial" w:eastAsia="Arial" w:hAnsi="Arial"/>
                <w:sz w:val="16"/>
                <w:szCs w:val="16"/>
                <w:color w:val="auto"/>
              </w:rPr>
              <w:t>PSUs</w:t>
            </w:r>
          </w:p>
        </w:tc>
        <w:tc>
          <w:tcPr>
            <w:tcW w:w="0" w:type="dxa"/>
            <w:vAlign w:val="bottom"/>
          </w:tcPr>
          <w:p>
            <w:pPr>
              <w:spacing w:after="0"/>
              <w:rPr>
                <w:sz w:val="1"/>
                <w:szCs w:val="1"/>
                <w:color w:val="auto"/>
              </w:rPr>
            </w:pPr>
          </w:p>
        </w:tc>
      </w:tr>
      <w:tr>
        <w:trPr>
          <w:trHeight w:val="117"/>
        </w:trPr>
        <w:tc>
          <w:tcPr>
            <w:tcW w:w="1440" w:type="dxa"/>
            <w:vAlign w:val="bottom"/>
            <w:tcBorders>
              <w:bottom w:val="single" w:sz="8" w:color="808080"/>
            </w:tcBorders>
          </w:tcPr>
          <w:p>
            <w:pPr>
              <w:spacing w:after="0"/>
              <w:rPr>
                <w:sz w:val="10"/>
                <w:szCs w:val="10"/>
                <w:color w:val="auto"/>
              </w:rPr>
            </w:pPr>
          </w:p>
        </w:tc>
        <w:tc>
          <w:tcPr>
            <w:tcW w:w="27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3060" w:type="dxa"/>
            <w:vAlign w:val="bottom"/>
            <w:tcBorders>
              <w:bottom w:val="single" w:sz="8" w:color="808080"/>
            </w:tcBorders>
          </w:tcPr>
          <w:p>
            <w:pPr>
              <w:spacing w:after="0"/>
              <w:rPr>
                <w:sz w:val="10"/>
                <w:szCs w:val="10"/>
                <w:color w:val="auto"/>
              </w:rPr>
            </w:pPr>
          </w:p>
        </w:tc>
        <w:tc>
          <w:tcPr>
            <w:tcW w:w="34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7144385</wp:posOffset>
            </wp:positionH>
            <wp:positionV relativeFrom="paragraph">
              <wp:posOffset>-13970</wp:posOffset>
            </wp:positionV>
            <wp:extent cx="1270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-4890135</wp:posOffset>
            </wp:positionV>
            <wp:extent cx="76835" cy="768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6835" cy="7683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-3683000</wp:posOffset>
            </wp:positionV>
            <wp:extent cx="67945" cy="768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7945" cy="7683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-2152650</wp:posOffset>
            </wp:positionV>
            <wp:extent cx="76835" cy="768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6835" cy="7683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70" w:name="page71"/>
    <w:bookmarkEnd w:id="70"/>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149860</wp:posOffset>
            </wp:positionV>
            <wp:extent cx="7133590" cy="21272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3590" cy="212725"/>
                    </a:xfrm>
                    <a:prstGeom prst="rect">
                      <a:avLst/>
                    </a:prstGeom>
                    <a:noFill/>
                  </pic:spPr>
                </pic:pic>
              </a:graphicData>
            </a:graphic>
          </wp:anchor>
        </w:drawing>
      </w:r>
    </w:p>
    <w:p>
      <w:pPr>
        <w:spacing w:after="0" w:line="283"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4"/>
          <w:szCs w:val="14"/>
          <w:b w:val="1"/>
          <w:bCs w:val="1"/>
          <w:color w:val="16479F"/>
        </w:rPr>
        <w:t>70</w:t>
      </w:r>
      <w:r>
        <w:rPr>
          <w:sz w:val="20"/>
          <w:szCs w:val="20"/>
          <w:color w:val="auto"/>
        </w:rPr>
        <w:tab/>
      </w:r>
      <w:r>
        <w:rPr>
          <w:rFonts w:ascii="Arial" w:cs="Arial" w:eastAsia="Arial" w:hAnsi="Arial"/>
          <w:sz w:val="14"/>
          <w:szCs w:val="14"/>
          <w:b w:val="1"/>
          <w:bCs w:val="1"/>
          <w:color w:val="16479F"/>
        </w:rPr>
        <w:t>MSCI  |  COMPENSATION MATTERS</w:t>
      </w:r>
    </w:p>
    <w:p>
      <w:pPr>
        <w:spacing w:after="0" w:line="286"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Fixed Compensation</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b w:val="1"/>
          <w:bCs w:val="1"/>
          <w:color w:val="16479F"/>
        </w:rPr>
        <w:t>Annual Base Salary</w:t>
      </w:r>
    </w:p>
    <w:p>
      <w:pPr>
        <w:spacing w:after="0" w:line="248"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Base salary is the only fixed component of our executive compensation program. The annual base salary element offers our NEOs a measure of certainty and predictability to meet ongoing living and other financial commitments. In setting base salaries for our NEOs, the Compensation Committee has sought to establish base salary rates that (i) are competitive with those provided for similar positions at companies in our peer group and (ii) recognize the experience and performance of the NEO. The Compensation Committee reviews the base salaries of our NEOs on an annual basis. None of our NEOs received an increase in base salary for 2021.</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620" w:type="dxa"/>
            <w:vAlign w:val="bottom"/>
            <w:tcBorders>
              <w:bottom w:val="single" w:sz="8" w:color="16479F"/>
            </w:tcBorders>
          </w:tcPr>
          <w:p>
            <w:pPr>
              <w:ind w:left="60"/>
              <w:spacing w:after="0"/>
              <w:rPr>
                <w:sz w:val="20"/>
                <w:szCs w:val="20"/>
                <w:color w:val="auto"/>
              </w:rPr>
            </w:pPr>
            <w:r>
              <w:rPr>
                <w:rFonts w:ascii="Arial" w:cs="Arial" w:eastAsia="Arial" w:hAnsi="Arial"/>
                <w:sz w:val="14"/>
                <w:szCs w:val="14"/>
                <w:b w:val="1"/>
                <w:bCs w:val="1"/>
                <w:color w:val="auto"/>
              </w:rPr>
              <w:t>Name</w:t>
            </w:r>
          </w:p>
        </w:tc>
        <w:tc>
          <w:tcPr>
            <w:tcW w:w="5620" w:type="dxa"/>
            <w:vAlign w:val="bottom"/>
            <w:tcBorders>
              <w:bottom w:val="single" w:sz="8" w:color="16479F"/>
            </w:tcBorders>
          </w:tcPr>
          <w:p>
            <w:pPr>
              <w:jc w:val="right"/>
              <w:spacing w:after="0"/>
              <w:rPr>
                <w:sz w:val="20"/>
                <w:szCs w:val="20"/>
                <w:color w:val="auto"/>
              </w:rPr>
            </w:pPr>
            <w:r>
              <w:rPr>
                <w:rFonts w:ascii="Arial" w:cs="Arial" w:eastAsia="Arial" w:hAnsi="Arial"/>
                <w:sz w:val="14"/>
                <w:szCs w:val="14"/>
                <w:b w:val="1"/>
                <w:bCs w:val="1"/>
                <w:color w:val="auto"/>
              </w:rPr>
              <w:t>2021 Base Salary Rate ($)</w:t>
            </w:r>
          </w:p>
        </w:tc>
      </w:tr>
      <w:tr>
        <w:trPr>
          <w:trHeight w:val="241"/>
        </w:trPr>
        <w:tc>
          <w:tcPr>
            <w:tcW w:w="5620" w:type="dxa"/>
            <w:vAlign w:val="bottom"/>
            <w:shd w:val="clear" w:color="auto" w:fill="F0F1F8"/>
          </w:tcPr>
          <w:p>
            <w:pPr>
              <w:ind w:left="60"/>
              <w:spacing w:after="0"/>
              <w:rPr>
                <w:sz w:val="20"/>
                <w:szCs w:val="20"/>
                <w:color w:val="auto"/>
              </w:rPr>
            </w:pPr>
            <w:r>
              <w:rPr>
                <w:rFonts w:ascii="Arial" w:cs="Arial" w:eastAsia="Arial" w:hAnsi="Arial"/>
                <w:sz w:val="16"/>
                <w:szCs w:val="16"/>
                <w:b w:val="1"/>
                <w:bCs w:val="1"/>
                <w:color w:val="auto"/>
              </w:rPr>
              <w:t>Henry A. Fernandez</w:t>
            </w:r>
          </w:p>
        </w:tc>
        <w:tc>
          <w:tcPr>
            <w:tcW w:w="5620" w:type="dxa"/>
            <w:vAlign w:val="bottom"/>
            <w:shd w:val="clear" w:color="auto" w:fill="F0F1F8"/>
          </w:tcPr>
          <w:p>
            <w:pPr>
              <w:jc w:val="right"/>
              <w:spacing w:after="0"/>
              <w:rPr>
                <w:sz w:val="20"/>
                <w:szCs w:val="20"/>
                <w:color w:val="auto"/>
              </w:rPr>
            </w:pPr>
            <w:r>
              <w:rPr>
                <w:rFonts w:ascii="Arial" w:cs="Arial" w:eastAsia="Arial" w:hAnsi="Arial"/>
                <w:sz w:val="16"/>
                <w:szCs w:val="16"/>
                <w:color w:val="auto"/>
              </w:rPr>
              <w:t>1,000,000</w:t>
            </w:r>
          </w:p>
        </w:tc>
      </w:tr>
      <w:tr>
        <w:trPr>
          <w:trHeight w:val="232"/>
        </w:trPr>
        <w:tc>
          <w:tcPr>
            <w:tcW w:w="5620" w:type="dxa"/>
            <w:vAlign w:val="bottom"/>
          </w:tcPr>
          <w:p>
            <w:pPr>
              <w:ind w:left="60"/>
              <w:spacing w:after="0"/>
              <w:rPr>
                <w:sz w:val="20"/>
                <w:szCs w:val="20"/>
                <w:color w:val="auto"/>
              </w:rPr>
            </w:pPr>
            <w:r>
              <w:rPr>
                <w:rFonts w:ascii="Arial" w:cs="Arial" w:eastAsia="Arial" w:hAnsi="Arial"/>
                <w:sz w:val="16"/>
                <w:szCs w:val="16"/>
                <w:b w:val="1"/>
                <w:bCs w:val="1"/>
                <w:color w:val="auto"/>
              </w:rPr>
              <w:t>Andrew C. Wiechmann</w:t>
            </w:r>
          </w:p>
        </w:tc>
        <w:tc>
          <w:tcPr>
            <w:tcW w:w="5620" w:type="dxa"/>
            <w:vAlign w:val="bottom"/>
          </w:tcPr>
          <w:p>
            <w:pPr>
              <w:jc w:val="right"/>
              <w:spacing w:after="0"/>
              <w:rPr>
                <w:sz w:val="20"/>
                <w:szCs w:val="20"/>
                <w:color w:val="auto"/>
              </w:rPr>
            </w:pPr>
            <w:r>
              <w:rPr>
                <w:rFonts w:ascii="Arial" w:cs="Arial" w:eastAsia="Arial" w:hAnsi="Arial"/>
                <w:sz w:val="16"/>
                <w:szCs w:val="16"/>
                <w:color w:val="auto"/>
              </w:rPr>
              <w:t>500,000</w:t>
            </w:r>
          </w:p>
        </w:tc>
      </w:tr>
      <w:tr>
        <w:trPr>
          <w:trHeight w:val="291"/>
        </w:trPr>
        <w:tc>
          <w:tcPr>
            <w:tcW w:w="5620" w:type="dxa"/>
            <w:vAlign w:val="bottom"/>
            <w:shd w:val="clear" w:color="auto" w:fill="F0F1F8"/>
          </w:tcPr>
          <w:p>
            <w:pPr>
              <w:ind w:left="60"/>
              <w:spacing w:after="0" w:line="291" w:lineRule="exact"/>
              <w:rPr>
                <w:sz w:val="20"/>
                <w:szCs w:val="20"/>
                <w:color w:val="auto"/>
              </w:rPr>
            </w:pPr>
            <w:r>
              <w:rPr>
                <w:rFonts w:ascii="Arial" w:cs="Arial" w:eastAsia="Arial" w:hAnsi="Arial"/>
                <w:sz w:val="16"/>
                <w:szCs w:val="16"/>
                <w:b w:val="1"/>
                <w:bCs w:val="1"/>
                <w:color w:val="auto"/>
              </w:rPr>
              <w:t>C. D. Baer Pettit</w:t>
            </w:r>
            <w:r>
              <w:rPr>
                <w:rFonts w:ascii="Arial" w:cs="Arial" w:eastAsia="Arial" w:hAnsi="Arial"/>
                <w:sz w:val="26"/>
                <w:szCs w:val="26"/>
                <w:b w:val="1"/>
                <w:bCs w:val="1"/>
                <w:color w:val="auto"/>
                <w:vertAlign w:val="superscript"/>
              </w:rPr>
              <w:t>(1)</w:t>
            </w:r>
          </w:p>
        </w:tc>
        <w:tc>
          <w:tcPr>
            <w:tcW w:w="5620" w:type="dxa"/>
            <w:vAlign w:val="bottom"/>
            <w:shd w:val="clear" w:color="auto" w:fill="F0F1F8"/>
          </w:tcPr>
          <w:p>
            <w:pPr>
              <w:jc w:val="right"/>
              <w:spacing w:after="0"/>
              <w:rPr>
                <w:sz w:val="20"/>
                <w:szCs w:val="20"/>
                <w:color w:val="auto"/>
              </w:rPr>
            </w:pPr>
            <w:r>
              <w:rPr>
                <w:rFonts w:ascii="Arial" w:cs="Arial" w:eastAsia="Arial" w:hAnsi="Arial"/>
                <w:sz w:val="16"/>
                <w:szCs w:val="16"/>
                <w:color w:val="auto"/>
              </w:rPr>
              <w:t>859,819</w:t>
            </w:r>
          </w:p>
        </w:tc>
      </w:tr>
      <w:tr>
        <w:trPr>
          <w:trHeight w:val="232"/>
        </w:trPr>
        <w:tc>
          <w:tcPr>
            <w:tcW w:w="5620" w:type="dxa"/>
            <w:vAlign w:val="bottom"/>
          </w:tcPr>
          <w:p>
            <w:pPr>
              <w:ind w:left="60"/>
              <w:spacing w:after="0"/>
              <w:rPr>
                <w:sz w:val="20"/>
                <w:szCs w:val="20"/>
                <w:color w:val="auto"/>
              </w:rPr>
            </w:pPr>
            <w:r>
              <w:rPr>
                <w:rFonts w:ascii="Arial" w:cs="Arial" w:eastAsia="Arial" w:hAnsi="Arial"/>
                <w:sz w:val="16"/>
                <w:szCs w:val="16"/>
                <w:b w:val="1"/>
                <w:bCs w:val="1"/>
                <w:color w:val="auto"/>
              </w:rPr>
              <w:t>Scott A. Crum</w:t>
            </w:r>
          </w:p>
        </w:tc>
        <w:tc>
          <w:tcPr>
            <w:tcW w:w="5620" w:type="dxa"/>
            <w:vAlign w:val="bottom"/>
          </w:tcPr>
          <w:p>
            <w:pPr>
              <w:jc w:val="right"/>
              <w:spacing w:after="0"/>
              <w:rPr>
                <w:sz w:val="20"/>
                <w:szCs w:val="20"/>
                <w:color w:val="auto"/>
              </w:rPr>
            </w:pPr>
            <w:r>
              <w:rPr>
                <w:rFonts w:ascii="Arial" w:cs="Arial" w:eastAsia="Arial" w:hAnsi="Arial"/>
                <w:sz w:val="16"/>
                <w:szCs w:val="16"/>
                <w:color w:val="auto"/>
              </w:rPr>
              <w:t>550,000</w:t>
            </w:r>
          </w:p>
        </w:tc>
      </w:tr>
      <w:tr>
        <w:trPr>
          <w:trHeight w:val="244"/>
        </w:trPr>
        <w:tc>
          <w:tcPr>
            <w:tcW w:w="5620" w:type="dxa"/>
            <w:vAlign w:val="bottom"/>
            <w:tcBorders>
              <w:bottom w:val="single" w:sz="8" w:color="auto"/>
            </w:tcBorders>
            <w:shd w:val="clear" w:color="auto" w:fill="F0F1F8"/>
          </w:tcPr>
          <w:p>
            <w:pPr>
              <w:ind w:left="60"/>
              <w:spacing w:after="0"/>
              <w:rPr>
                <w:sz w:val="20"/>
                <w:szCs w:val="20"/>
                <w:color w:val="auto"/>
              </w:rPr>
            </w:pPr>
            <w:r>
              <w:rPr>
                <w:rFonts w:ascii="Arial" w:cs="Arial" w:eastAsia="Arial" w:hAnsi="Arial"/>
                <w:sz w:val="16"/>
                <w:szCs w:val="16"/>
                <w:b w:val="1"/>
                <w:bCs w:val="1"/>
                <w:color w:val="auto"/>
              </w:rPr>
              <w:t>Robert J. Gutowski</w:t>
            </w:r>
          </w:p>
        </w:tc>
        <w:tc>
          <w:tcPr>
            <w:tcW w:w="5620" w:type="dxa"/>
            <w:vAlign w:val="bottom"/>
            <w:tcBorders>
              <w:bottom w:val="single" w:sz="8" w:color="auto"/>
            </w:tcBorders>
            <w:shd w:val="clear" w:color="auto" w:fill="F0F1F8"/>
          </w:tcPr>
          <w:p>
            <w:pPr>
              <w:jc w:val="right"/>
              <w:spacing w:after="0"/>
              <w:rPr>
                <w:sz w:val="20"/>
                <w:szCs w:val="20"/>
                <w:color w:val="auto"/>
              </w:rPr>
            </w:pPr>
            <w:r>
              <w:rPr>
                <w:rFonts w:ascii="Arial" w:cs="Arial" w:eastAsia="Arial" w:hAnsi="Arial"/>
                <w:sz w:val="16"/>
                <w:szCs w:val="16"/>
                <w:color w:val="auto"/>
              </w:rPr>
              <w:t>450,000</w:t>
            </w:r>
          </w:p>
        </w:tc>
      </w:tr>
    </w:tbl>
    <w:p>
      <w:pPr>
        <w:spacing w:after="0" w:line="58" w:lineRule="exact"/>
        <w:rPr>
          <w:sz w:val="20"/>
          <w:szCs w:val="20"/>
          <w:color w:val="auto"/>
        </w:rPr>
      </w:pPr>
    </w:p>
    <w:p>
      <w:pPr>
        <w:ind w:left="300" w:right="40" w:hanging="293"/>
        <w:spacing w:after="0" w:line="182" w:lineRule="auto"/>
        <w:tabs>
          <w:tab w:leader="none" w:pos="300" w:val="left"/>
        </w:tabs>
        <w:numPr>
          <w:ilvl w:val="0"/>
          <w:numId w:val="113"/>
        </w:numPr>
        <w:rPr>
          <w:rFonts w:ascii="Arial" w:cs="Arial" w:eastAsia="Arial" w:hAnsi="Arial"/>
          <w:sz w:val="24"/>
          <w:szCs w:val="24"/>
          <w:color w:val="auto"/>
          <w:vertAlign w:val="superscript"/>
        </w:rPr>
      </w:pPr>
      <w:r>
        <w:rPr>
          <w:rFonts w:ascii="Arial" w:cs="Arial" w:eastAsia="Arial" w:hAnsi="Arial"/>
          <w:sz w:val="14"/>
          <w:szCs w:val="14"/>
          <w:color w:val="auto"/>
        </w:rPr>
        <w:t>Base salary for Mr. Pettit was paid in British pounds sterling and converted to U.S. dollars using the fiscal year average of daily spot rates of £1 to $1.37571. Mr. Pettit’s 2021 base salary rate was £625,000.</w:t>
      </w:r>
    </w:p>
    <w:p>
      <w:pPr>
        <w:spacing w:after="0" w:line="164"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Variable Compensation</w:t>
      </w:r>
    </w:p>
    <w:p>
      <w:pPr>
        <w:spacing w:after="0" w:line="249"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The variable compensation actually paid to our NEOs is subject to performance metrics that are designed to (i) emphasize pay for performance, (ii) balance short-term and long-term incentives, and (iii) take into account input from our shareholders. The variable elements of our target-based incentive compensation program include:</w:t>
      </w:r>
    </w:p>
    <w:p>
      <w:pPr>
        <w:spacing w:after="0" w:line="148" w:lineRule="exact"/>
        <w:rPr>
          <w:sz w:val="20"/>
          <w:szCs w:val="20"/>
          <w:color w:val="auto"/>
        </w:rPr>
      </w:pPr>
    </w:p>
    <w:p>
      <w:pPr>
        <w:ind w:left="240" w:hanging="233"/>
        <w:spacing w:after="0"/>
        <w:tabs>
          <w:tab w:leader="none" w:pos="2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an annual cash incentive component; and</w:t>
      </w:r>
    </w:p>
    <w:p>
      <w:pPr>
        <w:spacing w:after="0" w:line="164" w:lineRule="exact"/>
        <w:rPr>
          <w:rFonts w:ascii="Arial" w:cs="Arial" w:eastAsia="Arial" w:hAnsi="Arial"/>
          <w:sz w:val="16"/>
          <w:szCs w:val="16"/>
          <w:color w:val="auto"/>
        </w:rPr>
      </w:pPr>
    </w:p>
    <w:p>
      <w:pPr>
        <w:ind w:left="240" w:hanging="233"/>
        <w:spacing w:after="0"/>
        <w:tabs>
          <w:tab w:leader="none" w:pos="2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 long-term equity incentive component.</w:t>
      </w:r>
    </w:p>
    <w:p>
      <w:pPr>
        <w:spacing w:after="0" w:line="164"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In determining target cash and equity incentive compensation amounts for each NEO, the Compensation Committee takes into account a number of factors, including: the differences in relative responsibilities; experience and performance in role; the ability to impact overall Company performance; Company, product segment and individual performance; and historical compensation and peer group analyses (used as a reference without benchmarking to a specified target).</w:t>
      </w:r>
    </w:p>
    <w:p>
      <w:pPr>
        <w:spacing w:after="0" w:line="150"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There is no minimum amount of variable compensation payable to the NEOs. The Compensation Committee makes determinations, in its discretion, as to the amounts of variable compensation awarded based on program metrics and individual performance, subject to the terms of any applicable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56515</wp:posOffset>
            </wp:positionV>
            <wp:extent cx="7154545" cy="209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00" w:type="dxa"/>
            <w:vAlign w:val="bottom"/>
            <w:tcBorders>
              <w:right w:val="single" w:sz="8" w:color="16479F"/>
            </w:tcBorders>
          </w:tcPr>
          <w:p>
            <w:pPr>
              <w:ind w:left="8700"/>
              <w:spacing w:after="0"/>
              <w:rPr>
                <w:sz w:val="20"/>
                <w:szCs w:val="20"/>
                <w:color w:val="auto"/>
              </w:rPr>
            </w:pPr>
            <w:r>
              <w:rPr>
                <w:rFonts w:ascii="Arial" w:cs="Arial" w:eastAsia="Arial" w:hAnsi="Arial"/>
                <w:sz w:val="14"/>
                <w:szCs w:val="14"/>
                <w:b w:val="1"/>
                <w:bCs w:val="1"/>
                <w:color w:val="16479F"/>
              </w:rPr>
              <w:t>2022 PROXY STATEMENT</w:t>
            </w:r>
          </w:p>
        </w:tc>
        <w:tc>
          <w:tcPr>
            <w:tcW w:w="640" w:type="dxa"/>
            <w:vAlign w:val="bottom"/>
          </w:tcPr>
          <w:p>
            <w:pPr>
              <w:jc w:val="right"/>
              <w:ind w:right="9"/>
              <w:spacing w:after="0"/>
              <w:rPr>
                <w:sz w:val="20"/>
                <w:szCs w:val="20"/>
                <w:color w:val="auto"/>
              </w:rPr>
            </w:pPr>
            <w:r>
              <w:rPr>
                <w:rFonts w:ascii="Arial" w:cs="Arial" w:eastAsia="Arial" w:hAnsi="Arial"/>
                <w:sz w:val="14"/>
                <w:szCs w:val="14"/>
                <w:b w:val="1"/>
                <w:bCs w:val="1"/>
                <w:color w:val="16479F"/>
              </w:rPr>
              <w:t>71</w:t>
            </w:r>
          </w:p>
        </w:tc>
      </w:tr>
      <w:tr>
        <w:trPr>
          <w:trHeight w:val="65"/>
        </w:trPr>
        <w:tc>
          <w:tcPr>
            <w:tcW w:w="10600" w:type="dxa"/>
            <w:vAlign w:val="bottom"/>
            <w:tcBorders>
              <w:bottom w:val="single" w:sz="8" w:color="16479F"/>
              <w:right w:val="single" w:sz="8" w:color="16479F"/>
            </w:tcBorders>
          </w:tcPr>
          <w:p>
            <w:pPr>
              <w:spacing w:after="0"/>
              <w:rPr>
                <w:sz w:val="5"/>
                <w:szCs w:val="5"/>
                <w:color w:val="auto"/>
              </w:rPr>
            </w:pPr>
          </w:p>
        </w:tc>
        <w:tc>
          <w:tcPr>
            <w:tcW w:w="640" w:type="dxa"/>
            <w:vAlign w:val="bottom"/>
            <w:tcBorders>
              <w:bottom w:val="single" w:sz="8" w:color="16479F"/>
            </w:tcBorders>
          </w:tcPr>
          <w:p>
            <w:pPr>
              <w:spacing w:after="0"/>
              <w:rPr>
                <w:sz w:val="5"/>
                <w:szCs w:val="5"/>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16479F"/>
        </w:rPr>
        <w:t>Annual Cash Incentives</w:t>
      </w:r>
    </w:p>
    <w:p>
      <w:pPr>
        <w:spacing w:after="0" w:line="248" w:lineRule="exact"/>
        <w:rPr>
          <w:sz w:val="20"/>
          <w:szCs w:val="20"/>
          <w:color w:val="auto"/>
        </w:rPr>
      </w:pPr>
    </w:p>
    <w:p>
      <w:pPr>
        <w:ind w:right="140"/>
        <w:spacing w:after="0" w:line="246" w:lineRule="auto"/>
        <w:rPr>
          <w:sz w:val="20"/>
          <w:szCs w:val="20"/>
          <w:color w:val="auto"/>
        </w:rPr>
      </w:pPr>
      <w:r>
        <w:rPr>
          <w:rFonts w:ascii="Arial" w:cs="Arial" w:eastAsia="Arial" w:hAnsi="Arial"/>
          <w:sz w:val="16"/>
          <w:szCs w:val="16"/>
          <w:color w:val="auto"/>
        </w:rPr>
        <w:t>The Company awards annual cash incentives pursuant to the Company’s AIP, which closely aligns management’s interests with those of shareholders by employing a formulaic approach that takes into account specific financial criteria and individual KPIs and DE&amp;I Goals when determining cash incentives. The Compensation Committee believes that subjecting 70% of the target cash incentive to pre-established performance targets further promotes shareholder value creation by more directly aligning executive compensation with Company performance and strategic goal attainment. Under the AIP, each NEO is eligible to earn an annual target cash incentive and may receive between 0% and 150% of their target cash incentive opportunity based on attainment of the level of certain financial performance metrics (together, weighted at 70%), individual KPIs (weighted at 20%) and DE&amp;I Goals (weighted at 10%). For 2021, the target cash incentive opportunity, metrics, and corresponding weightings for our NEOs are included in the table set forth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4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4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rPr>
              <w:t>Financial Component—Overall Weighting of 70%</w:t>
            </w: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21"/>
        </w:trPr>
        <w:tc>
          <w:tcPr>
            <w:tcW w:w="34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20" w:type="dxa"/>
            <w:vAlign w:val="bottom"/>
            <w:tcBorders>
              <w:top w:val="single" w:sz="8" w:color="16479F"/>
              <w:bottom w:val="single" w:sz="8" w:color="16479F"/>
            </w:tcBorders>
          </w:tcPr>
          <w:p>
            <w:pPr>
              <w:spacing w:after="0"/>
              <w:rPr>
                <w:sz w:val="19"/>
                <w:szCs w:val="19"/>
                <w:color w:val="auto"/>
              </w:rPr>
            </w:pPr>
          </w:p>
        </w:tc>
        <w:tc>
          <w:tcPr>
            <w:tcW w:w="1780" w:type="dxa"/>
            <w:vAlign w:val="bottom"/>
            <w:tcBorders>
              <w:top w:val="single" w:sz="8" w:color="16479F"/>
              <w:bottom w:val="single" w:sz="8" w:color="16479F"/>
            </w:tcBorders>
            <w:gridSpan w:val="2"/>
          </w:tcPr>
          <w:p>
            <w:pPr>
              <w:jc w:val="right"/>
              <w:ind w:right="322"/>
              <w:spacing w:after="0"/>
              <w:rPr>
                <w:sz w:val="20"/>
                <w:szCs w:val="20"/>
                <w:color w:val="auto"/>
              </w:rPr>
            </w:pPr>
            <w:r>
              <w:rPr>
                <w:rFonts w:ascii="Arial" w:cs="Arial" w:eastAsia="Arial" w:hAnsi="Arial"/>
                <w:sz w:val="14"/>
                <w:szCs w:val="14"/>
                <w:b w:val="1"/>
                <w:bCs w:val="1"/>
                <w:color w:val="auto"/>
              </w:rPr>
              <w:t>MSCI Metrics</w:t>
            </w:r>
          </w:p>
        </w:tc>
        <w:tc>
          <w:tcPr>
            <w:tcW w:w="820" w:type="dxa"/>
            <w:vAlign w:val="bottom"/>
            <w:tcBorders>
              <w:top w:val="single" w:sz="8" w:color="16479F"/>
              <w:bottom w:val="single" w:sz="8" w:color="16479F"/>
            </w:tcBorders>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174"/>
        </w:trPr>
        <w:tc>
          <w:tcPr>
            <w:tcW w:w="3440" w:type="dxa"/>
            <w:vAlign w:val="bottom"/>
          </w:tcPr>
          <w:p>
            <w:pPr>
              <w:spacing w:after="0"/>
              <w:rPr>
                <w:sz w:val="15"/>
                <w:szCs w:val="15"/>
                <w:color w:val="auto"/>
              </w:rPr>
            </w:pPr>
          </w:p>
        </w:tc>
        <w:tc>
          <w:tcPr>
            <w:tcW w:w="3040" w:type="dxa"/>
            <w:vAlign w:val="bottom"/>
            <w:gridSpan w:val="2"/>
          </w:tcPr>
          <w:p>
            <w:pPr>
              <w:jc w:val="right"/>
              <w:ind w:right="141"/>
              <w:spacing w:after="0"/>
              <w:rPr>
                <w:sz w:val="20"/>
                <w:szCs w:val="20"/>
                <w:color w:val="auto"/>
              </w:rPr>
            </w:pPr>
            <w:r>
              <w:rPr>
                <w:rFonts w:ascii="Arial" w:cs="Arial" w:eastAsia="Arial" w:hAnsi="Arial"/>
                <w:sz w:val="14"/>
                <w:szCs w:val="14"/>
                <w:b w:val="1"/>
                <w:bCs w:val="1"/>
                <w:color w:val="auto"/>
              </w:rPr>
              <w:t>2021 Target Cash</w:t>
            </w:r>
          </w:p>
        </w:tc>
        <w:tc>
          <w:tcPr>
            <w:tcW w:w="72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Arial" w:cs="Arial" w:eastAsia="Arial" w:hAnsi="Arial"/>
                <w:sz w:val="14"/>
                <w:szCs w:val="14"/>
                <w:b w:val="1"/>
                <w:bCs w:val="1"/>
                <w:color w:val="auto"/>
              </w:rPr>
              <w:t>Adjusted</w:t>
            </w:r>
          </w:p>
        </w:tc>
        <w:tc>
          <w:tcPr>
            <w:tcW w:w="940" w:type="dxa"/>
            <w:vAlign w:val="bottom"/>
          </w:tcPr>
          <w:p>
            <w:pPr>
              <w:jc w:val="right"/>
              <w:ind w:right="22"/>
              <w:spacing w:after="0"/>
              <w:rPr>
                <w:sz w:val="20"/>
                <w:szCs w:val="20"/>
                <w:color w:val="auto"/>
              </w:rPr>
            </w:pPr>
            <w:r>
              <w:rPr>
                <w:rFonts w:ascii="Arial" w:cs="Arial" w:eastAsia="Arial" w:hAnsi="Arial"/>
                <w:sz w:val="14"/>
                <w:szCs w:val="14"/>
                <w:b w:val="1"/>
                <w:bCs w:val="1"/>
                <w:color w:val="auto"/>
              </w:rPr>
              <w:t>Total Net</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Free Cash</w:t>
            </w:r>
          </w:p>
        </w:tc>
        <w:tc>
          <w:tcPr>
            <w:tcW w:w="7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DE&amp;I</w:t>
            </w:r>
          </w:p>
        </w:tc>
      </w:tr>
      <w:tr>
        <w:trPr>
          <w:trHeight w:val="208"/>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Name</w:t>
            </w:r>
          </w:p>
        </w:tc>
        <w:tc>
          <w:tcPr>
            <w:tcW w:w="1960" w:type="dxa"/>
            <w:vAlign w:val="bottom"/>
          </w:tcPr>
          <w:p>
            <w:pPr>
              <w:spacing w:after="0"/>
              <w:rPr>
                <w:sz w:val="18"/>
                <w:szCs w:val="18"/>
                <w:color w:val="auto"/>
              </w:rPr>
            </w:pPr>
          </w:p>
        </w:tc>
        <w:tc>
          <w:tcPr>
            <w:tcW w:w="1080" w:type="dxa"/>
            <w:vAlign w:val="bottom"/>
          </w:tcPr>
          <w:p>
            <w:pPr>
              <w:jc w:val="right"/>
              <w:ind w:right="141"/>
              <w:spacing w:after="0"/>
              <w:rPr>
                <w:sz w:val="20"/>
                <w:szCs w:val="20"/>
                <w:color w:val="auto"/>
              </w:rPr>
            </w:pPr>
            <w:r>
              <w:rPr>
                <w:rFonts w:ascii="Arial" w:cs="Arial" w:eastAsia="Arial" w:hAnsi="Arial"/>
                <w:sz w:val="14"/>
                <w:szCs w:val="14"/>
                <w:b w:val="1"/>
                <w:bCs w:val="1"/>
                <w:color w:val="auto"/>
              </w:rPr>
              <w:t>Incentive ($)</w:t>
            </w:r>
          </w:p>
        </w:tc>
        <w:tc>
          <w:tcPr>
            <w:tcW w:w="720" w:type="dxa"/>
            <w:vAlign w:val="bottom"/>
          </w:tcPr>
          <w:p>
            <w:pPr>
              <w:jc w:val="right"/>
              <w:ind w:right="22"/>
              <w:spacing w:after="0"/>
              <w:rPr>
                <w:sz w:val="20"/>
                <w:szCs w:val="20"/>
                <w:color w:val="auto"/>
              </w:rPr>
            </w:pPr>
            <w:r>
              <w:rPr>
                <w:rFonts w:ascii="Arial" w:cs="Arial" w:eastAsia="Arial" w:hAnsi="Arial"/>
                <w:sz w:val="14"/>
                <w:szCs w:val="14"/>
                <w:b w:val="1"/>
                <w:bCs w:val="1"/>
                <w:color w:val="auto"/>
              </w:rPr>
              <w:t>Revenue</w:t>
            </w:r>
          </w:p>
        </w:tc>
        <w:tc>
          <w:tcPr>
            <w:tcW w:w="840" w:type="dxa"/>
            <w:vAlign w:val="bottom"/>
          </w:tcPr>
          <w:p>
            <w:pPr>
              <w:jc w:val="right"/>
              <w:ind w:right="23"/>
              <w:spacing w:after="0"/>
              <w:rPr>
                <w:sz w:val="20"/>
                <w:szCs w:val="20"/>
                <w:color w:val="auto"/>
              </w:rPr>
            </w:pPr>
            <w:r>
              <w:rPr>
                <w:rFonts w:ascii="Arial" w:cs="Arial" w:eastAsia="Arial" w:hAnsi="Arial"/>
                <w:sz w:val="14"/>
                <w:szCs w:val="14"/>
                <w:b w:val="1"/>
                <w:bCs w:val="1"/>
                <w:color w:val="auto"/>
              </w:rPr>
              <w:t>EPS</w:t>
            </w:r>
          </w:p>
        </w:tc>
        <w:tc>
          <w:tcPr>
            <w:tcW w:w="940" w:type="dxa"/>
            <w:vAlign w:val="bottom"/>
          </w:tcPr>
          <w:p>
            <w:pPr>
              <w:jc w:val="right"/>
              <w:ind w:right="22"/>
              <w:spacing w:after="0"/>
              <w:rPr>
                <w:sz w:val="20"/>
                <w:szCs w:val="20"/>
                <w:color w:val="auto"/>
              </w:rPr>
            </w:pPr>
            <w:r>
              <w:rPr>
                <w:rFonts w:ascii="Arial" w:cs="Arial" w:eastAsia="Arial" w:hAnsi="Arial"/>
                <w:sz w:val="14"/>
                <w:szCs w:val="14"/>
                <w:b w:val="1"/>
                <w:bCs w:val="1"/>
                <w:color w:val="auto"/>
              </w:rPr>
              <w:t>New Sales</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Flow</w:t>
            </w:r>
          </w:p>
        </w:tc>
        <w:tc>
          <w:tcPr>
            <w:tcW w:w="700" w:type="dxa"/>
            <w:vAlign w:val="bottom"/>
          </w:tcPr>
          <w:p>
            <w:pPr>
              <w:jc w:val="right"/>
              <w:ind w:right="41"/>
              <w:spacing w:after="0"/>
              <w:rPr>
                <w:sz w:val="20"/>
                <w:szCs w:val="20"/>
                <w:color w:val="auto"/>
              </w:rPr>
            </w:pPr>
            <w:r>
              <w:rPr>
                <w:rFonts w:ascii="Arial" w:cs="Arial" w:eastAsia="Arial" w:hAnsi="Arial"/>
                <w:sz w:val="14"/>
                <w:szCs w:val="14"/>
                <w:b w:val="1"/>
                <w:bCs w:val="1"/>
                <w:color w:val="auto"/>
              </w:rPr>
              <w:t>KPIs</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Goals</w:t>
            </w:r>
          </w:p>
        </w:tc>
      </w:tr>
      <w:tr>
        <w:trPr>
          <w:trHeight w:val="241"/>
        </w:trPr>
        <w:tc>
          <w:tcPr>
            <w:tcW w:w="3440" w:type="dxa"/>
            <w:vAlign w:val="bottom"/>
            <w:tcBorders>
              <w:top w:val="single" w:sz="8" w:color="F0F1F8"/>
            </w:tcBorders>
            <w:shd w:val="clear" w:color="auto" w:fill="F0F1F8"/>
          </w:tcPr>
          <w:p>
            <w:pPr>
              <w:ind w:left="60"/>
              <w:spacing w:after="0"/>
              <w:rPr>
                <w:sz w:val="20"/>
                <w:szCs w:val="20"/>
                <w:color w:val="auto"/>
              </w:rPr>
            </w:pPr>
            <w:r>
              <w:rPr>
                <w:rFonts w:ascii="Arial" w:cs="Arial" w:eastAsia="Arial" w:hAnsi="Arial"/>
                <w:sz w:val="16"/>
                <w:szCs w:val="16"/>
                <w:b w:val="1"/>
                <w:bCs w:val="1"/>
                <w:color w:val="auto"/>
              </w:rPr>
              <w:t>Henry A. Fernandez</w:t>
            </w:r>
          </w:p>
        </w:tc>
        <w:tc>
          <w:tcPr>
            <w:tcW w:w="1960" w:type="dxa"/>
            <w:vAlign w:val="bottom"/>
            <w:tcBorders>
              <w:top w:val="single" w:sz="8" w:color="F0F1F8"/>
            </w:tcBorders>
            <w:shd w:val="clear" w:color="auto" w:fill="F0F1F8"/>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F0F1F8"/>
            </w:tcBorders>
            <w:shd w:val="clear" w:color="auto" w:fill="F0F1F8"/>
          </w:tcPr>
          <w:p>
            <w:pPr>
              <w:jc w:val="right"/>
              <w:ind w:right="141"/>
              <w:spacing w:after="0"/>
              <w:rPr>
                <w:sz w:val="20"/>
                <w:szCs w:val="20"/>
                <w:color w:val="auto"/>
              </w:rPr>
            </w:pPr>
            <w:r>
              <w:rPr>
                <w:rFonts w:ascii="Arial" w:cs="Arial" w:eastAsia="Arial" w:hAnsi="Arial"/>
                <w:sz w:val="16"/>
                <w:szCs w:val="16"/>
                <w:color w:val="auto"/>
              </w:rPr>
              <w:t>1,400,000</w:t>
            </w:r>
          </w:p>
        </w:tc>
        <w:tc>
          <w:tcPr>
            <w:tcW w:w="720" w:type="dxa"/>
            <w:vAlign w:val="bottom"/>
            <w:tcBorders>
              <w:top w:val="single" w:sz="8" w:color="16479F"/>
            </w:tcBorders>
            <w:shd w:val="clear" w:color="auto" w:fill="F0F1F8"/>
          </w:tcPr>
          <w:p>
            <w:pPr>
              <w:jc w:val="right"/>
              <w:ind w:right="22"/>
              <w:spacing w:after="0"/>
              <w:rPr>
                <w:sz w:val="20"/>
                <w:szCs w:val="20"/>
                <w:color w:val="auto"/>
              </w:rPr>
            </w:pPr>
            <w:r>
              <w:rPr>
                <w:rFonts w:ascii="Arial" w:cs="Arial" w:eastAsia="Arial" w:hAnsi="Arial"/>
                <w:sz w:val="16"/>
                <w:szCs w:val="16"/>
                <w:color w:val="auto"/>
              </w:rPr>
              <w:t>20.0%</w:t>
            </w:r>
          </w:p>
        </w:tc>
        <w:tc>
          <w:tcPr>
            <w:tcW w:w="840" w:type="dxa"/>
            <w:vAlign w:val="bottom"/>
            <w:tcBorders>
              <w:top w:val="single" w:sz="8" w:color="16479F"/>
            </w:tcBorders>
            <w:shd w:val="clear" w:color="auto" w:fill="F0F1F8"/>
          </w:tcPr>
          <w:p>
            <w:pPr>
              <w:jc w:val="right"/>
              <w:ind w:right="23"/>
              <w:spacing w:after="0"/>
              <w:rPr>
                <w:sz w:val="20"/>
                <w:szCs w:val="20"/>
                <w:color w:val="auto"/>
              </w:rPr>
            </w:pPr>
            <w:r>
              <w:rPr>
                <w:rFonts w:ascii="Arial" w:cs="Arial" w:eastAsia="Arial" w:hAnsi="Arial"/>
                <w:sz w:val="16"/>
                <w:szCs w:val="16"/>
                <w:color w:val="auto"/>
              </w:rPr>
              <w:t>30.0%</w:t>
            </w:r>
          </w:p>
        </w:tc>
        <w:tc>
          <w:tcPr>
            <w:tcW w:w="940" w:type="dxa"/>
            <w:vAlign w:val="bottom"/>
            <w:tcBorders>
              <w:top w:val="single" w:sz="8" w:color="16479F"/>
            </w:tcBorders>
            <w:shd w:val="clear" w:color="auto" w:fill="F0F1F8"/>
          </w:tcPr>
          <w:p>
            <w:pPr>
              <w:jc w:val="right"/>
              <w:ind w:right="22"/>
              <w:spacing w:after="0"/>
              <w:rPr>
                <w:sz w:val="20"/>
                <w:szCs w:val="20"/>
                <w:color w:val="auto"/>
              </w:rPr>
            </w:pPr>
            <w:r>
              <w:rPr>
                <w:rFonts w:ascii="Arial" w:cs="Arial" w:eastAsia="Arial" w:hAnsi="Arial"/>
                <w:sz w:val="16"/>
                <w:szCs w:val="16"/>
                <w:color w:val="auto"/>
              </w:rPr>
              <w:t>40.0%</w:t>
            </w:r>
          </w:p>
        </w:tc>
        <w:tc>
          <w:tcPr>
            <w:tcW w:w="820" w:type="dxa"/>
            <w:vAlign w:val="bottom"/>
            <w:tcBorders>
              <w:top w:val="single" w:sz="8" w:color="16479F"/>
            </w:tcBorders>
            <w:shd w:val="clear" w:color="auto" w:fill="F0F1F8"/>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top w:val="single" w:sz="8" w:color="F0F1F8"/>
            </w:tcBorders>
            <w:shd w:val="clear" w:color="auto" w:fill="F0F1F8"/>
          </w:tcPr>
          <w:p>
            <w:pPr>
              <w:spacing w:after="0"/>
              <w:rPr>
                <w:sz w:val="20"/>
                <w:szCs w:val="20"/>
                <w:color w:val="auto"/>
              </w:rPr>
            </w:pPr>
          </w:p>
        </w:tc>
        <w:tc>
          <w:tcPr>
            <w:tcW w:w="700" w:type="dxa"/>
            <w:vAlign w:val="bottom"/>
            <w:tcBorders>
              <w:top w:val="single" w:sz="8" w:color="F0F1F8"/>
            </w:tcBorders>
            <w:shd w:val="clear" w:color="auto" w:fill="F0F1F8"/>
          </w:tcPr>
          <w:p>
            <w:pPr>
              <w:jc w:val="right"/>
              <w:ind w:right="41"/>
              <w:spacing w:after="0"/>
              <w:rPr>
                <w:sz w:val="20"/>
                <w:szCs w:val="20"/>
                <w:color w:val="auto"/>
              </w:rPr>
            </w:pPr>
            <w:r>
              <w:rPr>
                <w:rFonts w:ascii="Arial" w:cs="Arial" w:eastAsia="Arial" w:hAnsi="Arial"/>
                <w:sz w:val="16"/>
                <w:szCs w:val="16"/>
                <w:color w:val="auto"/>
              </w:rPr>
              <w:t>20.0%</w:t>
            </w:r>
          </w:p>
        </w:tc>
        <w:tc>
          <w:tcPr>
            <w:tcW w:w="620" w:type="dxa"/>
            <w:vAlign w:val="bottom"/>
            <w:tcBorders>
              <w:top w:val="single" w:sz="8" w:color="F0F1F8"/>
            </w:tcBorders>
            <w:shd w:val="clear" w:color="auto" w:fill="F0F1F8"/>
          </w:tcPr>
          <w:p>
            <w:pPr>
              <w:jc w:val="right"/>
              <w:spacing w:after="0"/>
              <w:rPr>
                <w:sz w:val="20"/>
                <w:szCs w:val="20"/>
                <w:color w:val="auto"/>
              </w:rPr>
            </w:pPr>
            <w:r>
              <w:rPr>
                <w:rFonts w:ascii="Arial" w:cs="Arial" w:eastAsia="Arial" w:hAnsi="Arial"/>
                <w:sz w:val="16"/>
                <w:szCs w:val="16"/>
                <w:color w:val="auto"/>
              </w:rPr>
              <w:t>10.0%</w:t>
            </w:r>
          </w:p>
        </w:tc>
      </w:tr>
      <w:tr>
        <w:trPr>
          <w:trHeight w:val="232"/>
        </w:trPr>
        <w:tc>
          <w:tcPr>
            <w:tcW w:w="3440" w:type="dxa"/>
            <w:vAlign w:val="bottom"/>
          </w:tcPr>
          <w:p>
            <w:pPr>
              <w:ind w:left="60"/>
              <w:spacing w:after="0"/>
              <w:rPr>
                <w:sz w:val="20"/>
                <w:szCs w:val="20"/>
                <w:color w:val="auto"/>
              </w:rPr>
            </w:pPr>
            <w:r>
              <w:rPr>
                <w:rFonts w:ascii="Arial" w:cs="Arial" w:eastAsia="Arial" w:hAnsi="Arial"/>
                <w:sz w:val="16"/>
                <w:szCs w:val="16"/>
                <w:b w:val="1"/>
                <w:bCs w:val="1"/>
                <w:color w:val="auto"/>
              </w:rPr>
              <w:t>Andrew C. Wiechmann</w:t>
            </w:r>
          </w:p>
        </w:tc>
        <w:tc>
          <w:tcPr>
            <w:tcW w:w="19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41"/>
              <w:spacing w:after="0"/>
              <w:rPr>
                <w:sz w:val="20"/>
                <w:szCs w:val="20"/>
                <w:color w:val="auto"/>
              </w:rPr>
            </w:pPr>
            <w:r>
              <w:rPr>
                <w:rFonts w:ascii="Arial" w:cs="Arial" w:eastAsia="Arial" w:hAnsi="Arial"/>
                <w:sz w:val="16"/>
                <w:szCs w:val="16"/>
                <w:color w:val="auto"/>
              </w:rPr>
              <w:t>600,000</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20.0%</w:t>
            </w: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30.0%</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40.0%</w:t>
            </w:r>
          </w:p>
        </w:tc>
        <w:tc>
          <w:tcPr>
            <w:tcW w:w="82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20.0%</w:t>
            </w:r>
          </w:p>
        </w:tc>
        <w:tc>
          <w:tcPr>
            <w:tcW w:w="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91"/>
        </w:trPr>
        <w:tc>
          <w:tcPr>
            <w:tcW w:w="3440" w:type="dxa"/>
            <w:vAlign w:val="bottom"/>
            <w:shd w:val="clear" w:color="auto" w:fill="F0F1F8"/>
          </w:tcPr>
          <w:p>
            <w:pPr>
              <w:ind w:left="60"/>
              <w:spacing w:after="0" w:line="291" w:lineRule="exact"/>
              <w:rPr>
                <w:sz w:val="20"/>
                <w:szCs w:val="20"/>
                <w:color w:val="auto"/>
              </w:rPr>
            </w:pPr>
            <w:r>
              <w:rPr>
                <w:rFonts w:ascii="Arial" w:cs="Arial" w:eastAsia="Arial" w:hAnsi="Arial"/>
                <w:sz w:val="16"/>
                <w:szCs w:val="16"/>
                <w:b w:val="1"/>
                <w:bCs w:val="1"/>
                <w:color w:val="auto"/>
              </w:rPr>
              <w:t>C. D. Baer Pettit</w:t>
            </w:r>
            <w:r>
              <w:rPr>
                <w:rFonts w:ascii="Arial" w:cs="Arial" w:eastAsia="Arial" w:hAnsi="Arial"/>
                <w:sz w:val="26"/>
                <w:szCs w:val="26"/>
                <w:b w:val="1"/>
                <w:bCs w:val="1"/>
                <w:color w:val="auto"/>
                <w:vertAlign w:val="superscript"/>
              </w:rPr>
              <w:t>(1)</w:t>
            </w:r>
          </w:p>
        </w:tc>
        <w:tc>
          <w:tcPr>
            <w:tcW w:w="1960" w:type="dxa"/>
            <w:vAlign w:val="bottom"/>
            <w:shd w:val="clear" w:color="auto" w:fill="F0F1F8"/>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F0F1F8"/>
          </w:tcPr>
          <w:p>
            <w:pPr>
              <w:jc w:val="right"/>
              <w:ind w:right="141"/>
              <w:spacing w:after="0"/>
              <w:rPr>
                <w:sz w:val="20"/>
                <w:szCs w:val="20"/>
                <w:color w:val="auto"/>
              </w:rPr>
            </w:pPr>
            <w:r>
              <w:rPr>
                <w:rFonts w:ascii="Arial" w:cs="Arial" w:eastAsia="Arial" w:hAnsi="Arial"/>
                <w:sz w:val="16"/>
                <w:szCs w:val="16"/>
                <w:color w:val="auto"/>
              </w:rPr>
              <w:t>1,238,139</w:t>
            </w:r>
          </w:p>
        </w:tc>
        <w:tc>
          <w:tcPr>
            <w:tcW w:w="720" w:type="dxa"/>
            <w:vAlign w:val="bottom"/>
            <w:shd w:val="clear" w:color="auto" w:fill="F0F1F8"/>
          </w:tcPr>
          <w:p>
            <w:pPr>
              <w:jc w:val="right"/>
              <w:ind w:right="22"/>
              <w:spacing w:after="0"/>
              <w:rPr>
                <w:sz w:val="20"/>
                <w:szCs w:val="20"/>
                <w:color w:val="auto"/>
              </w:rPr>
            </w:pPr>
            <w:r>
              <w:rPr>
                <w:rFonts w:ascii="Arial" w:cs="Arial" w:eastAsia="Arial" w:hAnsi="Arial"/>
                <w:sz w:val="16"/>
                <w:szCs w:val="16"/>
                <w:color w:val="auto"/>
              </w:rPr>
              <w:t>20.0%</w:t>
            </w:r>
          </w:p>
        </w:tc>
        <w:tc>
          <w:tcPr>
            <w:tcW w:w="840" w:type="dxa"/>
            <w:vAlign w:val="bottom"/>
            <w:shd w:val="clear" w:color="auto" w:fill="F0F1F8"/>
          </w:tcPr>
          <w:p>
            <w:pPr>
              <w:jc w:val="right"/>
              <w:ind w:right="23"/>
              <w:spacing w:after="0"/>
              <w:rPr>
                <w:sz w:val="20"/>
                <w:szCs w:val="20"/>
                <w:color w:val="auto"/>
              </w:rPr>
            </w:pPr>
            <w:r>
              <w:rPr>
                <w:rFonts w:ascii="Arial" w:cs="Arial" w:eastAsia="Arial" w:hAnsi="Arial"/>
                <w:sz w:val="16"/>
                <w:szCs w:val="16"/>
                <w:color w:val="auto"/>
              </w:rPr>
              <w:t>30.0%</w:t>
            </w:r>
          </w:p>
        </w:tc>
        <w:tc>
          <w:tcPr>
            <w:tcW w:w="940" w:type="dxa"/>
            <w:vAlign w:val="bottom"/>
            <w:shd w:val="clear" w:color="auto" w:fill="F0F1F8"/>
          </w:tcPr>
          <w:p>
            <w:pPr>
              <w:jc w:val="right"/>
              <w:ind w:right="22"/>
              <w:spacing w:after="0"/>
              <w:rPr>
                <w:sz w:val="20"/>
                <w:szCs w:val="20"/>
                <w:color w:val="auto"/>
              </w:rPr>
            </w:pPr>
            <w:r>
              <w:rPr>
                <w:rFonts w:ascii="Arial" w:cs="Arial" w:eastAsia="Arial" w:hAnsi="Arial"/>
                <w:sz w:val="16"/>
                <w:szCs w:val="16"/>
                <w:color w:val="auto"/>
              </w:rPr>
              <w:t>40.0%</w:t>
            </w:r>
          </w:p>
        </w:tc>
        <w:tc>
          <w:tcPr>
            <w:tcW w:w="820" w:type="dxa"/>
            <w:vAlign w:val="bottom"/>
            <w:shd w:val="clear" w:color="auto" w:fill="F0F1F8"/>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F0F1F8"/>
          </w:tcPr>
          <w:p>
            <w:pPr>
              <w:spacing w:after="0"/>
              <w:rPr>
                <w:sz w:val="24"/>
                <w:szCs w:val="24"/>
                <w:color w:val="auto"/>
              </w:rPr>
            </w:pPr>
          </w:p>
        </w:tc>
        <w:tc>
          <w:tcPr>
            <w:tcW w:w="700" w:type="dxa"/>
            <w:vAlign w:val="bottom"/>
            <w:shd w:val="clear" w:color="auto" w:fill="F0F1F8"/>
          </w:tcPr>
          <w:p>
            <w:pPr>
              <w:jc w:val="right"/>
              <w:ind w:right="41"/>
              <w:spacing w:after="0"/>
              <w:rPr>
                <w:sz w:val="20"/>
                <w:szCs w:val="20"/>
                <w:color w:val="auto"/>
              </w:rPr>
            </w:pPr>
            <w:r>
              <w:rPr>
                <w:rFonts w:ascii="Arial" w:cs="Arial" w:eastAsia="Arial" w:hAnsi="Arial"/>
                <w:sz w:val="16"/>
                <w:szCs w:val="16"/>
                <w:color w:val="auto"/>
              </w:rPr>
              <w:t>20.0%</w:t>
            </w:r>
          </w:p>
        </w:tc>
        <w:tc>
          <w:tcPr>
            <w:tcW w:w="620" w:type="dxa"/>
            <w:vAlign w:val="bottom"/>
            <w:shd w:val="clear" w:color="auto" w:fill="F0F1F8"/>
          </w:tcPr>
          <w:p>
            <w:pPr>
              <w:jc w:val="right"/>
              <w:spacing w:after="0"/>
              <w:rPr>
                <w:sz w:val="20"/>
                <w:szCs w:val="20"/>
                <w:color w:val="auto"/>
              </w:rPr>
            </w:pPr>
            <w:r>
              <w:rPr>
                <w:rFonts w:ascii="Arial" w:cs="Arial" w:eastAsia="Arial" w:hAnsi="Arial"/>
                <w:sz w:val="16"/>
                <w:szCs w:val="16"/>
                <w:color w:val="auto"/>
              </w:rPr>
              <w:t>10.0%</w:t>
            </w:r>
          </w:p>
        </w:tc>
      </w:tr>
      <w:tr>
        <w:trPr>
          <w:trHeight w:val="232"/>
        </w:trPr>
        <w:tc>
          <w:tcPr>
            <w:tcW w:w="3440" w:type="dxa"/>
            <w:vAlign w:val="bottom"/>
          </w:tcPr>
          <w:p>
            <w:pPr>
              <w:ind w:left="60"/>
              <w:spacing w:after="0"/>
              <w:rPr>
                <w:sz w:val="20"/>
                <w:szCs w:val="20"/>
                <w:color w:val="auto"/>
              </w:rPr>
            </w:pPr>
            <w:r>
              <w:rPr>
                <w:rFonts w:ascii="Arial" w:cs="Arial" w:eastAsia="Arial" w:hAnsi="Arial"/>
                <w:sz w:val="16"/>
                <w:szCs w:val="16"/>
                <w:b w:val="1"/>
                <w:bCs w:val="1"/>
                <w:color w:val="auto"/>
              </w:rPr>
              <w:t>Scott A. Crum</w:t>
            </w:r>
          </w:p>
        </w:tc>
        <w:tc>
          <w:tcPr>
            <w:tcW w:w="19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41"/>
              <w:spacing w:after="0"/>
              <w:rPr>
                <w:sz w:val="20"/>
                <w:szCs w:val="20"/>
                <w:color w:val="auto"/>
              </w:rPr>
            </w:pPr>
            <w:r>
              <w:rPr>
                <w:rFonts w:ascii="Arial" w:cs="Arial" w:eastAsia="Arial" w:hAnsi="Arial"/>
                <w:sz w:val="16"/>
                <w:szCs w:val="16"/>
                <w:color w:val="auto"/>
              </w:rPr>
              <w:t>700,000</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20.0%</w:t>
            </w: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30.0%</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40.0%</w:t>
            </w:r>
          </w:p>
        </w:tc>
        <w:tc>
          <w:tcPr>
            <w:tcW w:w="82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20.0%</w:t>
            </w:r>
          </w:p>
        </w:tc>
        <w:tc>
          <w:tcPr>
            <w:tcW w:w="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44"/>
        </w:trPr>
        <w:tc>
          <w:tcPr>
            <w:tcW w:w="3440" w:type="dxa"/>
            <w:vAlign w:val="bottom"/>
            <w:tcBorders>
              <w:bottom w:val="single" w:sz="8" w:color="auto"/>
            </w:tcBorders>
            <w:shd w:val="clear" w:color="auto" w:fill="F0F1F8"/>
          </w:tcPr>
          <w:p>
            <w:pPr>
              <w:ind w:left="60"/>
              <w:spacing w:after="0"/>
              <w:rPr>
                <w:sz w:val="20"/>
                <w:szCs w:val="20"/>
                <w:color w:val="auto"/>
              </w:rPr>
            </w:pPr>
            <w:r>
              <w:rPr>
                <w:rFonts w:ascii="Arial" w:cs="Arial" w:eastAsia="Arial" w:hAnsi="Arial"/>
                <w:sz w:val="16"/>
                <w:szCs w:val="16"/>
                <w:b w:val="1"/>
                <w:bCs w:val="1"/>
                <w:color w:val="auto"/>
              </w:rPr>
              <w:t>Robert J. Gutowski</w:t>
            </w:r>
          </w:p>
        </w:tc>
        <w:tc>
          <w:tcPr>
            <w:tcW w:w="1960" w:type="dxa"/>
            <w:vAlign w:val="bottom"/>
            <w:tcBorders>
              <w:bottom w:val="single" w:sz="8" w:color="auto"/>
            </w:tcBorders>
            <w:shd w:val="clear" w:color="auto" w:fill="F0F1F8"/>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F0F1F8"/>
          </w:tcPr>
          <w:p>
            <w:pPr>
              <w:jc w:val="right"/>
              <w:ind w:right="141"/>
              <w:spacing w:after="0"/>
              <w:rPr>
                <w:sz w:val="20"/>
                <w:szCs w:val="20"/>
                <w:color w:val="auto"/>
              </w:rPr>
            </w:pPr>
            <w:r>
              <w:rPr>
                <w:rFonts w:ascii="Arial" w:cs="Arial" w:eastAsia="Arial" w:hAnsi="Arial"/>
                <w:sz w:val="16"/>
                <w:szCs w:val="16"/>
                <w:color w:val="auto"/>
              </w:rPr>
              <w:t>650,000</w:t>
            </w:r>
          </w:p>
        </w:tc>
        <w:tc>
          <w:tcPr>
            <w:tcW w:w="720" w:type="dxa"/>
            <w:vAlign w:val="bottom"/>
            <w:tcBorders>
              <w:bottom w:val="single" w:sz="8" w:color="auto"/>
            </w:tcBorders>
            <w:shd w:val="clear" w:color="auto" w:fill="F0F1F8"/>
          </w:tcPr>
          <w:p>
            <w:pPr>
              <w:jc w:val="right"/>
              <w:ind w:right="22"/>
              <w:spacing w:after="0"/>
              <w:rPr>
                <w:sz w:val="20"/>
                <w:szCs w:val="20"/>
                <w:color w:val="auto"/>
              </w:rPr>
            </w:pPr>
            <w:r>
              <w:rPr>
                <w:rFonts w:ascii="Arial" w:cs="Arial" w:eastAsia="Arial" w:hAnsi="Arial"/>
                <w:sz w:val="16"/>
                <w:szCs w:val="16"/>
                <w:color w:val="auto"/>
              </w:rPr>
              <w:t>20.0%</w:t>
            </w:r>
          </w:p>
        </w:tc>
        <w:tc>
          <w:tcPr>
            <w:tcW w:w="840" w:type="dxa"/>
            <w:vAlign w:val="bottom"/>
            <w:tcBorders>
              <w:bottom w:val="single" w:sz="8" w:color="auto"/>
            </w:tcBorders>
            <w:shd w:val="clear" w:color="auto" w:fill="F0F1F8"/>
          </w:tcPr>
          <w:p>
            <w:pPr>
              <w:jc w:val="right"/>
              <w:ind w:right="23"/>
              <w:spacing w:after="0"/>
              <w:rPr>
                <w:sz w:val="20"/>
                <w:szCs w:val="20"/>
                <w:color w:val="auto"/>
              </w:rPr>
            </w:pPr>
            <w:r>
              <w:rPr>
                <w:rFonts w:ascii="Arial" w:cs="Arial" w:eastAsia="Arial" w:hAnsi="Arial"/>
                <w:sz w:val="16"/>
                <w:szCs w:val="16"/>
                <w:color w:val="auto"/>
              </w:rPr>
              <w:t>30.0%</w:t>
            </w:r>
          </w:p>
        </w:tc>
        <w:tc>
          <w:tcPr>
            <w:tcW w:w="940" w:type="dxa"/>
            <w:vAlign w:val="bottom"/>
            <w:tcBorders>
              <w:bottom w:val="single" w:sz="8" w:color="auto"/>
            </w:tcBorders>
            <w:shd w:val="clear" w:color="auto" w:fill="F0F1F8"/>
          </w:tcPr>
          <w:p>
            <w:pPr>
              <w:jc w:val="right"/>
              <w:ind w:right="22"/>
              <w:spacing w:after="0"/>
              <w:rPr>
                <w:sz w:val="20"/>
                <w:szCs w:val="20"/>
                <w:color w:val="auto"/>
              </w:rPr>
            </w:pPr>
            <w:r>
              <w:rPr>
                <w:rFonts w:ascii="Arial" w:cs="Arial" w:eastAsia="Arial" w:hAnsi="Arial"/>
                <w:sz w:val="16"/>
                <w:szCs w:val="16"/>
                <w:color w:val="auto"/>
              </w:rPr>
              <w:t>40.0%</w:t>
            </w:r>
          </w:p>
        </w:tc>
        <w:tc>
          <w:tcPr>
            <w:tcW w:w="820" w:type="dxa"/>
            <w:vAlign w:val="bottom"/>
            <w:tcBorders>
              <w:bottom w:val="single" w:sz="8" w:color="auto"/>
            </w:tcBorders>
            <w:shd w:val="clear" w:color="auto" w:fill="F0F1F8"/>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auto"/>
            </w:tcBorders>
            <w:shd w:val="clear" w:color="auto" w:fill="F0F1F8"/>
          </w:tcPr>
          <w:p>
            <w:pPr>
              <w:spacing w:after="0"/>
              <w:rPr>
                <w:sz w:val="21"/>
                <w:szCs w:val="21"/>
                <w:color w:val="auto"/>
              </w:rPr>
            </w:pPr>
          </w:p>
        </w:tc>
        <w:tc>
          <w:tcPr>
            <w:tcW w:w="700" w:type="dxa"/>
            <w:vAlign w:val="bottom"/>
            <w:tcBorders>
              <w:bottom w:val="single" w:sz="8" w:color="auto"/>
            </w:tcBorders>
            <w:shd w:val="clear" w:color="auto" w:fill="F0F1F8"/>
          </w:tcPr>
          <w:p>
            <w:pPr>
              <w:jc w:val="right"/>
              <w:ind w:right="41"/>
              <w:spacing w:after="0"/>
              <w:rPr>
                <w:sz w:val="20"/>
                <w:szCs w:val="20"/>
                <w:color w:val="auto"/>
              </w:rPr>
            </w:pPr>
            <w:r>
              <w:rPr>
                <w:rFonts w:ascii="Arial" w:cs="Arial" w:eastAsia="Arial" w:hAnsi="Arial"/>
                <w:sz w:val="16"/>
                <w:szCs w:val="16"/>
                <w:color w:val="auto"/>
              </w:rPr>
              <w:t>20.0%</w:t>
            </w:r>
          </w:p>
        </w:tc>
        <w:tc>
          <w:tcPr>
            <w:tcW w:w="620" w:type="dxa"/>
            <w:vAlign w:val="bottom"/>
            <w:tcBorders>
              <w:bottom w:val="single" w:sz="8" w:color="auto"/>
            </w:tcBorders>
            <w:shd w:val="clear" w:color="auto" w:fill="F0F1F8"/>
          </w:tcPr>
          <w:p>
            <w:pPr>
              <w:jc w:val="right"/>
              <w:spacing w:after="0"/>
              <w:rPr>
                <w:sz w:val="20"/>
                <w:szCs w:val="20"/>
                <w:color w:val="auto"/>
              </w:rPr>
            </w:pPr>
            <w:r>
              <w:rPr>
                <w:rFonts w:ascii="Arial" w:cs="Arial" w:eastAsia="Arial" w:hAnsi="Arial"/>
                <w:sz w:val="16"/>
                <w:szCs w:val="16"/>
                <w:color w:val="auto"/>
              </w:rPr>
              <w:t>10.0%</w:t>
            </w:r>
          </w:p>
        </w:tc>
      </w:tr>
    </w:tbl>
    <w:p>
      <w:pPr>
        <w:spacing w:after="0" w:line="58" w:lineRule="exact"/>
        <w:rPr>
          <w:sz w:val="20"/>
          <w:szCs w:val="20"/>
          <w:color w:val="auto"/>
        </w:rPr>
      </w:pPr>
    </w:p>
    <w:p>
      <w:pPr>
        <w:ind w:left="300" w:right="240" w:hanging="293"/>
        <w:spacing w:after="0" w:line="182" w:lineRule="auto"/>
        <w:tabs>
          <w:tab w:leader="none" w:pos="300" w:val="left"/>
        </w:tabs>
        <w:numPr>
          <w:ilvl w:val="0"/>
          <w:numId w:val="115"/>
        </w:numPr>
        <w:rPr>
          <w:rFonts w:ascii="Arial" w:cs="Arial" w:eastAsia="Arial" w:hAnsi="Arial"/>
          <w:sz w:val="24"/>
          <w:szCs w:val="24"/>
          <w:color w:val="auto"/>
          <w:vertAlign w:val="superscript"/>
        </w:rPr>
      </w:pPr>
      <w:r>
        <w:rPr>
          <w:rFonts w:ascii="Arial" w:cs="Arial" w:eastAsia="Arial" w:hAnsi="Arial"/>
          <w:sz w:val="14"/>
          <w:szCs w:val="14"/>
          <w:color w:val="auto"/>
        </w:rPr>
        <w:t>The 2021 target annual cash incentive opportunity reflected in the table above for Mr. Pettit was converted from British pounds sterling to U.S. dollars using the fiscal year average of daily spot rates of £1 to $1.37571 for fiscal 2021. Mr. Pettit’s actual 2021 target cash incentive amount was £900,000.</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COMPONENT</w:t>
      </w:r>
    </w:p>
    <w:p>
      <w:pPr>
        <w:spacing w:after="0" w:line="206"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The threshold, target and maximum for each financial component making up the AIP, as well as the actual results attained for 2021, are included in the table set forth below.</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2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720" w:type="dxa"/>
            <w:vAlign w:val="bottom"/>
            <w:tcBorders>
              <w:bottom w:val="single" w:sz="8" w:color="16479F"/>
            </w:tcBorders>
            <w:gridSpan w:val="2"/>
          </w:tcPr>
          <w:p>
            <w:pPr>
              <w:jc w:val="right"/>
              <w:ind w:right="421"/>
              <w:spacing w:after="0"/>
              <w:rPr>
                <w:sz w:val="20"/>
                <w:szCs w:val="20"/>
                <w:color w:val="auto"/>
              </w:rPr>
            </w:pPr>
            <w:r>
              <w:rPr>
                <w:rFonts w:ascii="Arial" w:cs="Arial" w:eastAsia="Arial" w:hAnsi="Arial"/>
                <w:sz w:val="14"/>
                <w:szCs w:val="14"/>
                <w:b w:val="1"/>
                <w:bCs w:val="1"/>
                <w:color w:val="auto"/>
              </w:rPr>
              <w:t>Threshold</w:t>
            </w:r>
          </w:p>
        </w:tc>
        <w:tc>
          <w:tcPr>
            <w:tcW w:w="200" w:type="dxa"/>
            <w:vAlign w:val="bottom"/>
          </w:tcPr>
          <w:p>
            <w:pPr>
              <w:spacing w:after="0"/>
              <w:rPr>
                <w:sz w:val="23"/>
                <w:szCs w:val="23"/>
                <w:color w:val="auto"/>
              </w:rPr>
            </w:pPr>
          </w:p>
        </w:tc>
        <w:tc>
          <w:tcPr>
            <w:tcW w:w="680" w:type="dxa"/>
            <w:vAlign w:val="bottom"/>
            <w:tcBorders>
              <w:bottom w:val="single" w:sz="8" w:color="16479F"/>
            </w:tcBorders>
          </w:tcPr>
          <w:p>
            <w:pPr>
              <w:spacing w:after="0"/>
              <w:rPr>
                <w:sz w:val="23"/>
                <w:szCs w:val="23"/>
                <w:color w:val="auto"/>
              </w:rPr>
            </w:pPr>
          </w:p>
        </w:tc>
        <w:tc>
          <w:tcPr>
            <w:tcW w:w="1100" w:type="dxa"/>
            <w:vAlign w:val="bottom"/>
            <w:tcBorders>
              <w:bottom w:val="single" w:sz="8" w:color="16479F"/>
            </w:tcBorders>
          </w:tcPr>
          <w:p>
            <w:pPr>
              <w:jc w:val="right"/>
              <w:ind w:right="603"/>
              <w:spacing w:after="0"/>
              <w:rPr>
                <w:sz w:val="20"/>
                <w:szCs w:val="20"/>
                <w:color w:val="auto"/>
              </w:rPr>
            </w:pPr>
            <w:r>
              <w:rPr>
                <w:rFonts w:ascii="Arial" w:cs="Arial" w:eastAsia="Arial" w:hAnsi="Arial"/>
                <w:sz w:val="14"/>
                <w:szCs w:val="14"/>
                <w:b w:val="1"/>
                <w:bCs w:val="1"/>
                <w:color w:val="auto"/>
                <w:w w:val="93"/>
              </w:rPr>
              <w:t>Target</w:t>
            </w:r>
          </w:p>
        </w:tc>
        <w:tc>
          <w:tcPr>
            <w:tcW w:w="200" w:type="dxa"/>
            <w:vAlign w:val="bottom"/>
          </w:tcPr>
          <w:p>
            <w:pPr>
              <w:spacing w:after="0"/>
              <w:rPr>
                <w:sz w:val="23"/>
                <w:szCs w:val="23"/>
                <w:color w:val="auto"/>
              </w:rPr>
            </w:pPr>
          </w:p>
        </w:tc>
        <w:tc>
          <w:tcPr>
            <w:tcW w:w="1780" w:type="dxa"/>
            <w:vAlign w:val="bottom"/>
            <w:tcBorders>
              <w:bottom w:val="single" w:sz="8" w:color="16479F"/>
            </w:tcBorders>
            <w:gridSpan w:val="2"/>
          </w:tcPr>
          <w:p>
            <w:pPr>
              <w:jc w:val="right"/>
              <w:ind w:right="481"/>
              <w:spacing w:after="0"/>
              <w:rPr>
                <w:sz w:val="20"/>
                <w:szCs w:val="20"/>
                <w:color w:val="auto"/>
              </w:rPr>
            </w:pPr>
            <w:r>
              <w:rPr>
                <w:rFonts w:ascii="Arial" w:cs="Arial" w:eastAsia="Arial" w:hAnsi="Arial"/>
                <w:sz w:val="14"/>
                <w:szCs w:val="14"/>
                <w:b w:val="1"/>
                <w:bCs w:val="1"/>
                <w:color w:val="auto"/>
              </w:rPr>
              <w:t>Maximum</w:t>
            </w:r>
          </w:p>
        </w:tc>
        <w:tc>
          <w:tcPr>
            <w:tcW w:w="200" w:type="dxa"/>
            <w:vAlign w:val="bottom"/>
          </w:tcPr>
          <w:p>
            <w:pPr>
              <w:spacing w:after="0"/>
              <w:rPr>
                <w:sz w:val="23"/>
                <w:szCs w:val="23"/>
                <w:color w:val="auto"/>
              </w:rPr>
            </w:pPr>
          </w:p>
        </w:tc>
        <w:tc>
          <w:tcPr>
            <w:tcW w:w="1860" w:type="dxa"/>
            <w:vAlign w:val="bottom"/>
            <w:tcBorders>
              <w:bottom w:val="single" w:sz="8" w:color="16479F"/>
            </w:tcBorders>
            <w:gridSpan w:val="2"/>
          </w:tcPr>
          <w:p>
            <w:pPr>
              <w:jc w:val="right"/>
              <w:ind w:right="561"/>
              <w:spacing w:after="0"/>
              <w:rPr>
                <w:sz w:val="20"/>
                <w:szCs w:val="20"/>
                <w:color w:val="auto"/>
              </w:rPr>
            </w:pPr>
            <w:r>
              <w:rPr>
                <w:rFonts w:ascii="Arial" w:cs="Arial" w:eastAsia="Arial" w:hAnsi="Arial"/>
                <w:sz w:val="14"/>
                <w:szCs w:val="14"/>
                <w:b w:val="1"/>
                <w:bCs w:val="1"/>
                <w:color w:val="auto"/>
              </w:rPr>
              <w:t>Actual</w:t>
            </w:r>
            <w:r>
              <w:rPr>
                <w:rFonts w:ascii="Arial" w:cs="Arial" w:eastAsia="Arial" w:hAnsi="Arial"/>
                <w:sz w:val="23"/>
                <w:szCs w:val="23"/>
                <w:b w:val="1"/>
                <w:bCs w:val="1"/>
                <w:color w:val="auto"/>
                <w:vertAlign w:val="superscript"/>
              </w:rPr>
              <w:t>(2)</w:t>
            </w:r>
          </w:p>
        </w:tc>
      </w:tr>
      <w:tr>
        <w:trPr>
          <w:trHeight w:val="161"/>
        </w:trPr>
        <w:tc>
          <w:tcPr>
            <w:tcW w:w="2120" w:type="dxa"/>
            <w:vAlign w:val="bottom"/>
          </w:tcPr>
          <w:p>
            <w:pPr>
              <w:spacing w:after="0"/>
              <w:rPr>
                <w:sz w:val="13"/>
                <w:szCs w:val="13"/>
                <w:color w:val="auto"/>
              </w:rPr>
            </w:pPr>
          </w:p>
        </w:tc>
        <w:tc>
          <w:tcPr>
            <w:tcW w:w="1380" w:type="dxa"/>
            <w:vAlign w:val="bottom"/>
          </w:tcPr>
          <w:p>
            <w:pPr>
              <w:jc w:val="right"/>
              <w:ind w:right="123"/>
              <w:spacing w:after="0"/>
              <w:rPr>
                <w:sz w:val="20"/>
                <w:szCs w:val="20"/>
                <w:color w:val="auto"/>
              </w:rPr>
            </w:pPr>
            <w:r>
              <w:rPr>
                <w:rFonts w:ascii="Arial" w:cs="Arial" w:eastAsia="Arial" w:hAnsi="Arial"/>
                <w:sz w:val="14"/>
                <w:szCs w:val="14"/>
                <w:b w:val="1"/>
                <w:bCs w:val="1"/>
                <w:color w:val="auto"/>
              </w:rPr>
              <w:t>Target</w:t>
            </w:r>
          </w:p>
        </w:tc>
        <w:tc>
          <w:tcPr>
            <w:tcW w:w="19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 Of  Payout (% Of</w:t>
            </w:r>
          </w:p>
        </w:tc>
        <w:tc>
          <w:tcPr>
            <w:tcW w:w="19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 Of   Payout (% Of</w:t>
            </w:r>
          </w:p>
        </w:tc>
        <w:tc>
          <w:tcPr>
            <w:tcW w:w="19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 Of   Payout (% Of</w:t>
            </w:r>
          </w:p>
        </w:tc>
        <w:tc>
          <w:tcPr>
            <w:tcW w:w="1860" w:type="dxa"/>
            <w:vAlign w:val="bottom"/>
            <w:gridSpan w:val="2"/>
          </w:tcPr>
          <w:p>
            <w:pPr>
              <w:jc w:val="right"/>
              <w:spacing w:after="0"/>
              <w:rPr>
                <w:sz w:val="20"/>
                <w:szCs w:val="20"/>
                <w:color w:val="auto"/>
              </w:rPr>
            </w:pPr>
            <w:r>
              <w:rPr>
                <w:rFonts w:ascii="Arial" w:cs="Arial" w:eastAsia="Arial" w:hAnsi="Arial"/>
                <w:sz w:val="14"/>
                <w:szCs w:val="14"/>
                <w:b w:val="1"/>
                <w:bCs w:val="1"/>
                <w:color w:val="auto"/>
              </w:rPr>
              <w:t>% Of   Payout (% Of</w:t>
            </w:r>
          </w:p>
        </w:tc>
      </w:tr>
      <w:tr>
        <w:trPr>
          <w:trHeight w:val="208"/>
        </w:trPr>
        <w:tc>
          <w:tcPr>
            <w:tcW w:w="2120" w:type="dxa"/>
            <w:vAlign w:val="bottom"/>
            <w:tcBorders>
              <w:bottom w:val="single" w:sz="8" w:color="16479F"/>
            </w:tcBorders>
          </w:tcPr>
          <w:p>
            <w:pPr>
              <w:ind w:left="60"/>
              <w:spacing w:after="0"/>
              <w:rPr>
                <w:sz w:val="20"/>
                <w:szCs w:val="20"/>
                <w:color w:val="auto"/>
              </w:rPr>
            </w:pPr>
            <w:r>
              <w:rPr>
                <w:rFonts w:ascii="Arial" w:cs="Arial" w:eastAsia="Arial" w:hAnsi="Arial"/>
                <w:sz w:val="14"/>
                <w:szCs w:val="14"/>
                <w:b w:val="1"/>
                <w:bCs w:val="1"/>
                <w:color w:val="auto"/>
              </w:rPr>
              <w:t>Metrics</w:t>
            </w:r>
          </w:p>
        </w:tc>
        <w:tc>
          <w:tcPr>
            <w:tcW w:w="1380" w:type="dxa"/>
            <w:vAlign w:val="bottom"/>
            <w:tcBorders>
              <w:bottom w:val="single" w:sz="8" w:color="16479F"/>
            </w:tcBorders>
          </w:tcPr>
          <w:p>
            <w:pPr>
              <w:jc w:val="right"/>
              <w:ind w:right="123"/>
              <w:spacing w:after="0" w:line="201" w:lineRule="exact"/>
              <w:rPr>
                <w:sz w:val="20"/>
                <w:szCs w:val="20"/>
                <w:color w:val="auto"/>
              </w:rPr>
            </w:pPr>
            <w:r>
              <w:rPr>
                <w:rFonts w:ascii="Arial" w:cs="Arial" w:eastAsia="Arial" w:hAnsi="Arial"/>
                <w:sz w:val="14"/>
                <w:szCs w:val="14"/>
                <w:b w:val="1"/>
                <w:bCs w:val="1"/>
                <w:color w:val="auto"/>
              </w:rPr>
              <w:t>$mm</w:t>
            </w:r>
            <w:r>
              <w:rPr>
                <w:rFonts w:ascii="Arial" w:cs="Arial" w:eastAsia="Arial" w:hAnsi="Arial"/>
                <w:sz w:val="23"/>
                <w:szCs w:val="23"/>
                <w:b w:val="1"/>
                <w:bCs w:val="1"/>
                <w:color w:val="auto"/>
                <w:vertAlign w:val="superscript"/>
              </w:rPr>
              <w:t>(1)</w:t>
            </w:r>
          </w:p>
        </w:tc>
        <w:tc>
          <w:tcPr>
            <w:tcW w:w="760" w:type="dxa"/>
            <w:vAlign w:val="bottom"/>
            <w:tcBorders>
              <w:bottom w:val="single" w:sz="8" w:color="16479F"/>
            </w:tcBorders>
          </w:tcPr>
          <w:p>
            <w:pPr>
              <w:jc w:val="right"/>
              <w:ind w:right="4"/>
              <w:spacing w:after="0"/>
              <w:rPr>
                <w:sz w:val="20"/>
                <w:szCs w:val="20"/>
                <w:color w:val="auto"/>
              </w:rPr>
            </w:pPr>
            <w:r>
              <w:rPr>
                <w:rFonts w:ascii="Arial" w:cs="Arial" w:eastAsia="Arial" w:hAnsi="Arial"/>
                <w:sz w:val="14"/>
                <w:szCs w:val="14"/>
                <w:b w:val="1"/>
                <w:bCs w:val="1"/>
                <w:color w:val="auto"/>
              </w:rPr>
              <w:t>Target</w:t>
            </w:r>
          </w:p>
        </w:tc>
        <w:tc>
          <w:tcPr>
            <w:tcW w:w="1160" w:type="dxa"/>
            <w:vAlign w:val="bottom"/>
            <w:tcBorders>
              <w:bottom w:val="single" w:sz="8" w:color="16479F"/>
            </w:tcBorders>
            <w:gridSpan w:val="2"/>
          </w:tcPr>
          <w:p>
            <w:pPr>
              <w:jc w:val="right"/>
              <w:ind w:right="200"/>
              <w:spacing w:after="0"/>
              <w:rPr>
                <w:sz w:val="20"/>
                <w:szCs w:val="20"/>
                <w:color w:val="auto"/>
              </w:rPr>
            </w:pPr>
            <w:r>
              <w:rPr>
                <w:rFonts w:ascii="Arial" w:cs="Arial" w:eastAsia="Arial" w:hAnsi="Arial"/>
                <w:sz w:val="14"/>
                <w:szCs w:val="14"/>
                <w:b w:val="1"/>
                <w:bCs w:val="1"/>
                <w:color w:val="auto"/>
              </w:rPr>
              <w:t>Opportunity)</w:t>
            </w:r>
          </w:p>
        </w:tc>
        <w:tc>
          <w:tcPr>
            <w:tcW w:w="680" w:type="dxa"/>
            <w:vAlign w:val="bottom"/>
            <w:tcBorders>
              <w:bottom w:val="single" w:sz="8" w:color="16479F"/>
            </w:tcBorders>
          </w:tcPr>
          <w:p>
            <w:pPr>
              <w:jc w:val="right"/>
              <w:spacing w:after="0"/>
              <w:rPr>
                <w:sz w:val="20"/>
                <w:szCs w:val="20"/>
                <w:color w:val="auto"/>
              </w:rPr>
            </w:pPr>
            <w:r>
              <w:rPr>
                <w:rFonts w:ascii="Arial" w:cs="Arial" w:eastAsia="Arial" w:hAnsi="Arial"/>
                <w:sz w:val="14"/>
                <w:szCs w:val="14"/>
                <w:b w:val="1"/>
                <w:bCs w:val="1"/>
                <w:color w:val="auto"/>
              </w:rPr>
              <w:t>Target</w:t>
            </w:r>
          </w:p>
        </w:tc>
        <w:tc>
          <w:tcPr>
            <w:tcW w:w="1300" w:type="dxa"/>
            <w:vAlign w:val="bottom"/>
            <w:tcBorders>
              <w:bottom w:val="single" w:sz="8" w:color="16479F"/>
            </w:tcBorders>
            <w:gridSpan w:val="2"/>
          </w:tcPr>
          <w:p>
            <w:pPr>
              <w:jc w:val="right"/>
              <w:ind w:right="200"/>
              <w:spacing w:after="0"/>
              <w:rPr>
                <w:sz w:val="20"/>
                <w:szCs w:val="20"/>
                <w:color w:val="auto"/>
              </w:rPr>
            </w:pPr>
            <w:r>
              <w:rPr>
                <w:rFonts w:ascii="Arial" w:cs="Arial" w:eastAsia="Arial" w:hAnsi="Arial"/>
                <w:sz w:val="14"/>
                <w:szCs w:val="14"/>
                <w:b w:val="1"/>
                <w:bCs w:val="1"/>
                <w:color w:val="auto"/>
              </w:rPr>
              <w:t>Opportunity)</w:t>
            </w:r>
          </w:p>
        </w:tc>
        <w:tc>
          <w:tcPr>
            <w:tcW w:w="800" w:type="dxa"/>
            <w:vAlign w:val="bottom"/>
            <w:tcBorders>
              <w:bottom w:val="single" w:sz="8" w:color="16479F"/>
            </w:tcBorders>
          </w:tcPr>
          <w:p>
            <w:pPr>
              <w:jc w:val="right"/>
              <w:ind w:right="44"/>
              <w:spacing w:after="0"/>
              <w:rPr>
                <w:sz w:val="20"/>
                <w:szCs w:val="20"/>
                <w:color w:val="auto"/>
              </w:rPr>
            </w:pPr>
            <w:r>
              <w:rPr>
                <w:rFonts w:ascii="Arial" w:cs="Arial" w:eastAsia="Arial" w:hAnsi="Arial"/>
                <w:sz w:val="14"/>
                <w:szCs w:val="14"/>
                <w:b w:val="1"/>
                <w:bCs w:val="1"/>
                <w:color w:val="auto"/>
              </w:rPr>
              <w:t>Target</w:t>
            </w:r>
          </w:p>
        </w:tc>
        <w:tc>
          <w:tcPr>
            <w:tcW w:w="1180" w:type="dxa"/>
            <w:vAlign w:val="bottom"/>
            <w:tcBorders>
              <w:bottom w:val="single" w:sz="8" w:color="16479F"/>
            </w:tcBorders>
            <w:gridSpan w:val="2"/>
          </w:tcPr>
          <w:p>
            <w:pPr>
              <w:jc w:val="right"/>
              <w:ind w:right="200"/>
              <w:spacing w:after="0"/>
              <w:rPr>
                <w:sz w:val="20"/>
                <w:szCs w:val="20"/>
                <w:color w:val="auto"/>
              </w:rPr>
            </w:pPr>
            <w:r>
              <w:rPr>
                <w:rFonts w:ascii="Arial" w:cs="Arial" w:eastAsia="Arial" w:hAnsi="Arial"/>
                <w:sz w:val="14"/>
                <w:szCs w:val="14"/>
                <w:b w:val="1"/>
                <w:bCs w:val="1"/>
                <w:color w:val="auto"/>
              </w:rPr>
              <w:t>Opportunity)</w:t>
            </w:r>
          </w:p>
        </w:tc>
        <w:tc>
          <w:tcPr>
            <w:tcW w:w="820" w:type="dxa"/>
            <w:vAlign w:val="bottom"/>
            <w:tcBorders>
              <w:bottom w:val="single" w:sz="8" w:color="16479F"/>
            </w:tcBorders>
          </w:tcPr>
          <w:p>
            <w:pPr>
              <w:jc w:val="right"/>
              <w:ind w:right="44"/>
              <w:spacing w:after="0"/>
              <w:rPr>
                <w:sz w:val="20"/>
                <w:szCs w:val="20"/>
                <w:color w:val="auto"/>
              </w:rPr>
            </w:pPr>
            <w:r>
              <w:rPr>
                <w:rFonts w:ascii="Arial" w:cs="Arial" w:eastAsia="Arial" w:hAnsi="Arial"/>
                <w:sz w:val="14"/>
                <w:szCs w:val="14"/>
                <w:b w:val="1"/>
                <w:bCs w:val="1"/>
                <w:color w:val="auto"/>
              </w:rPr>
              <w:t>Target</w:t>
            </w:r>
          </w:p>
        </w:tc>
        <w:tc>
          <w:tcPr>
            <w:tcW w:w="1040" w:type="dxa"/>
            <w:vAlign w:val="bottom"/>
            <w:tcBorders>
              <w:bottom w:val="single" w:sz="8" w:color="16479F"/>
            </w:tcBorders>
          </w:tcPr>
          <w:p>
            <w:pPr>
              <w:jc w:val="right"/>
              <w:spacing w:after="0"/>
              <w:rPr>
                <w:sz w:val="20"/>
                <w:szCs w:val="20"/>
                <w:color w:val="auto"/>
              </w:rPr>
            </w:pPr>
            <w:r>
              <w:rPr>
                <w:rFonts w:ascii="Arial" w:cs="Arial" w:eastAsia="Arial" w:hAnsi="Arial"/>
                <w:sz w:val="14"/>
                <w:szCs w:val="14"/>
                <w:b w:val="1"/>
                <w:bCs w:val="1"/>
                <w:color w:val="auto"/>
              </w:rPr>
              <w:t>Opportunity)</w:t>
            </w:r>
          </w:p>
        </w:tc>
      </w:tr>
      <w:tr>
        <w:trPr>
          <w:trHeight w:val="211"/>
        </w:trPr>
        <w:tc>
          <w:tcPr>
            <w:tcW w:w="2120" w:type="dxa"/>
            <w:vAlign w:val="bottom"/>
          </w:tcPr>
          <w:p>
            <w:pPr>
              <w:ind w:left="60"/>
              <w:spacing w:after="0"/>
              <w:rPr>
                <w:sz w:val="20"/>
                <w:szCs w:val="20"/>
                <w:color w:val="auto"/>
              </w:rPr>
            </w:pPr>
            <w:r>
              <w:rPr>
                <w:rFonts w:ascii="Arial" w:cs="Arial" w:eastAsia="Arial" w:hAnsi="Arial"/>
                <w:sz w:val="16"/>
                <w:szCs w:val="16"/>
                <w:color w:val="auto"/>
              </w:rPr>
              <w:t>MSCI Revenue</w:t>
            </w:r>
          </w:p>
        </w:tc>
        <w:tc>
          <w:tcPr>
            <w:tcW w:w="1380" w:type="dxa"/>
            <w:vAlign w:val="bottom"/>
          </w:tcPr>
          <w:p>
            <w:pPr>
              <w:jc w:val="right"/>
              <w:ind w:right="123"/>
              <w:spacing w:after="0"/>
              <w:rPr>
                <w:sz w:val="20"/>
                <w:szCs w:val="20"/>
                <w:color w:val="auto"/>
              </w:rPr>
            </w:pPr>
            <w:r>
              <w:rPr>
                <w:rFonts w:ascii="Arial" w:cs="Arial" w:eastAsia="Arial" w:hAnsi="Arial"/>
                <w:sz w:val="16"/>
                <w:szCs w:val="16"/>
                <w:color w:val="auto"/>
              </w:rPr>
              <w:t>1,894.6</w:t>
            </w:r>
          </w:p>
        </w:tc>
        <w:tc>
          <w:tcPr>
            <w:tcW w:w="760" w:type="dxa"/>
            <w:vAlign w:val="bottom"/>
          </w:tcPr>
          <w:p>
            <w:pPr>
              <w:jc w:val="right"/>
              <w:ind w:right="4"/>
              <w:spacing w:after="0"/>
              <w:rPr>
                <w:sz w:val="20"/>
                <w:szCs w:val="20"/>
                <w:color w:val="auto"/>
              </w:rPr>
            </w:pPr>
            <w:r>
              <w:rPr>
                <w:rFonts w:ascii="Arial" w:cs="Arial" w:eastAsia="Arial" w:hAnsi="Arial"/>
                <w:sz w:val="16"/>
                <w:szCs w:val="16"/>
                <w:color w:val="auto"/>
              </w:rPr>
              <w:t>95%</w:t>
            </w:r>
          </w:p>
        </w:tc>
        <w:tc>
          <w:tcPr>
            <w:tcW w:w="960" w:type="dxa"/>
            <w:vAlign w:val="bottom"/>
          </w:tcPr>
          <w:p>
            <w:pPr>
              <w:jc w:val="right"/>
              <w:spacing w:after="0"/>
              <w:rPr>
                <w:sz w:val="20"/>
                <w:szCs w:val="20"/>
                <w:color w:val="auto"/>
              </w:rPr>
            </w:pPr>
            <w:r>
              <w:rPr>
                <w:rFonts w:ascii="Arial" w:cs="Arial" w:eastAsia="Arial" w:hAnsi="Arial"/>
                <w:sz w:val="16"/>
                <w:szCs w:val="16"/>
                <w:color w:val="auto"/>
              </w:rPr>
              <w:t>50%</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100%</w:t>
            </w:r>
          </w:p>
        </w:tc>
        <w:tc>
          <w:tcPr>
            <w:tcW w:w="1100" w:type="dxa"/>
            <w:vAlign w:val="bottom"/>
          </w:tcPr>
          <w:p>
            <w:pPr>
              <w:jc w:val="right"/>
              <w:spacing w:after="0"/>
              <w:rPr>
                <w:sz w:val="20"/>
                <w:szCs w:val="20"/>
                <w:color w:val="auto"/>
              </w:rPr>
            </w:pPr>
            <w:r>
              <w:rPr>
                <w:rFonts w:ascii="Arial" w:cs="Arial" w:eastAsia="Arial" w:hAnsi="Arial"/>
                <w:sz w:val="16"/>
                <w:szCs w:val="16"/>
                <w:color w:val="auto"/>
              </w:rPr>
              <w:t>100%</w:t>
            </w:r>
          </w:p>
        </w:tc>
        <w:tc>
          <w:tcPr>
            <w:tcW w:w="200" w:type="dxa"/>
            <w:vAlign w:val="bottom"/>
          </w:tcPr>
          <w:p>
            <w:pPr>
              <w:spacing w:after="0"/>
              <w:rPr>
                <w:sz w:val="18"/>
                <w:szCs w:val="18"/>
                <w:color w:val="auto"/>
              </w:rPr>
            </w:pPr>
          </w:p>
        </w:tc>
        <w:tc>
          <w:tcPr>
            <w:tcW w:w="800" w:type="dxa"/>
            <w:vAlign w:val="bottom"/>
          </w:tcPr>
          <w:p>
            <w:pPr>
              <w:jc w:val="right"/>
              <w:ind w:right="44"/>
              <w:spacing w:after="0"/>
              <w:rPr>
                <w:sz w:val="20"/>
                <w:szCs w:val="20"/>
                <w:color w:val="auto"/>
              </w:rPr>
            </w:pPr>
            <w:r>
              <w:rPr>
                <w:rFonts w:ascii="Arial" w:cs="Arial" w:eastAsia="Arial" w:hAnsi="Arial"/>
                <w:sz w:val="16"/>
                <w:szCs w:val="16"/>
                <w:color w:val="auto"/>
              </w:rPr>
              <w:t>105%</w:t>
            </w:r>
          </w:p>
        </w:tc>
        <w:tc>
          <w:tcPr>
            <w:tcW w:w="980" w:type="dxa"/>
            <w:vAlign w:val="bottom"/>
          </w:tcPr>
          <w:p>
            <w:pPr>
              <w:jc w:val="right"/>
              <w:spacing w:after="0"/>
              <w:rPr>
                <w:sz w:val="20"/>
                <w:szCs w:val="20"/>
                <w:color w:val="auto"/>
              </w:rPr>
            </w:pPr>
            <w:r>
              <w:rPr>
                <w:rFonts w:ascii="Arial" w:cs="Arial" w:eastAsia="Arial" w:hAnsi="Arial"/>
                <w:sz w:val="16"/>
                <w:szCs w:val="16"/>
                <w:color w:val="auto"/>
              </w:rPr>
              <w:t>150%</w:t>
            </w:r>
          </w:p>
        </w:tc>
        <w:tc>
          <w:tcPr>
            <w:tcW w:w="200" w:type="dxa"/>
            <w:vAlign w:val="bottom"/>
          </w:tcPr>
          <w:p>
            <w:pPr>
              <w:spacing w:after="0"/>
              <w:rPr>
                <w:sz w:val="18"/>
                <w:szCs w:val="18"/>
                <w:color w:val="auto"/>
              </w:rPr>
            </w:pPr>
          </w:p>
        </w:tc>
        <w:tc>
          <w:tcPr>
            <w:tcW w:w="820" w:type="dxa"/>
            <w:vAlign w:val="bottom"/>
          </w:tcPr>
          <w:p>
            <w:pPr>
              <w:jc w:val="right"/>
              <w:ind w:right="44"/>
              <w:spacing w:after="0"/>
              <w:rPr>
                <w:sz w:val="20"/>
                <w:szCs w:val="20"/>
                <w:color w:val="auto"/>
              </w:rPr>
            </w:pPr>
            <w:r>
              <w:rPr>
                <w:rFonts w:ascii="Arial" w:cs="Arial" w:eastAsia="Arial" w:hAnsi="Arial"/>
                <w:sz w:val="16"/>
                <w:szCs w:val="16"/>
                <w:color w:val="auto"/>
              </w:rPr>
              <w:t>107.9%</w:t>
            </w:r>
          </w:p>
        </w:tc>
        <w:tc>
          <w:tcPr>
            <w:tcW w:w="104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205"/>
        </w:trPr>
        <w:tc>
          <w:tcPr>
            <w:tcW w:w="2120" w:type="dxa"/>
            <w:vAlign w:val="bottom"/>
            <w:shd w:val="clear" w:color="auto" w:fill="F0F1F8"/>
          </w:tcPr>
          <w:p>
            <w:pPr>
              <w:ind w:left="60"/>
              <w:spacing w:after="0"/>
              <w:rPr>
                <w:sz w:val="20"/>
                <w:szCs w:val="20"/>
                <w:color w:val="auto"/>
              </w:rPr>
            </w:pPr>
            <w:r>
              <w:rPr>
                <w:rFonts w:ascii="Arial" w:cs="Arial" w:eastAsia="Arial" w:hAnsi="Arial"/>
                <w:sz w:val="16"/>
                <w:szCs w:val="16"/>
                <w:color w:val="auto"/>
              </w:rPr>
              <w:t>MSCI Adjusted</w:t>
            </w:r>
          </w:p>
        </w:tc>
        <w:tc>
          <w:tcPr>
            <w:tcW w:w="1380" w:type="dxa"/>
            <w:vAlign w:val="bottom"/>
            <w:shd w:val="clear" w:color="auto" w:fill="F0F1F8"/>
          </w:tcPr>
          <w:p>
            <w:pPr>
              <w:jc w:val="right"/>
              <w:ind w:right="123"/>
              <w:spacing w:after="0"/>
              <w:rPr>
                <w:sz w:val="20"/>
                <w:szCs w:val="20"/>
                <w:color w:val="auto"/>
              </w:rPr>
            </w:pPr>
            <w:r>
              <w:rPr>
                <w:rFonts w:ascii="Arial" w:cs="Arial" w:eastAsia="Arial" w:hAnsi="Arial"/>
                <w:sz w:val="16"/>
                <w:szCs w:val="16"/>
                <w:color w:val="auto"/>
              </w:rPr>
              <w:t>8.37</w:t>
            </w:r>
          </w:p>
        </w:tc>
        <w:tc>
          <w:tcPr>
            <w:tcW w:w="760" w:type="dxa"/>
            <w:vAlign w:val="bottom"/>
            <w:shd w:val="clear" w:color="auto" w:fill="F0F1F8"/>
          </w:tcPr>
          <w:p>
            <w:pPr>
              <w:jc w:val="right"/>
              <w:ind w:right="4"/>
              <w:spacing w:after="0"/>
              <w:rPr>
                <w:sz w:val="20"/>
                <w:szCs w:val="20"/>
                <w:color w:val="auto"/>
              </w:rPr>
            </w:pPr>
            <w:r>
              <w:rPr>
                <w:rFonts w:ascii="Arial" w:cs="Arial" w:eastAsia="Arial" w:hAnsi="Arial"/>
                <w:sz w:val="16"/>
                <w:szCs w:val="16"/>
                <w:color w:val="auto"/>
              </w:rPr>
              <w:t>90%</w:t>
            </w:r>
          </w:p>
        </w:tc>
        <w:tc>
          <w:tcPr>
            <w:tcW w:w="960" w:type="dxa"/>
            <w:vAlign w:val="bottom"/>
            <w:shd w:val="clear" w:color="auto" w:fill="F0F1F8"/>
          </w:tcPr>
          <w:p>
            <w:pPr>
              <w:jc w:val="right"/>
              <w:spacing w:after="0"/>
              <w:rPr>
                <w:sz w:val="20"/>
                <w:szCs w:val="20"/>
                <w:color w:val="auto"/>
              </w:rPr>
            </w:pPr>
            <w:r>
              <w:rPr>
                <w:rFonts w:ascii="Arial" w:cs="Arial" w:eastAsia="Arial" w:hAnsi="Arial"/>
                <w:sz w:val="16"/>
                <w:szCs w:val="16"/>
                <w:color w:val="auto"/>
              </w:rPr>
              <w:t>50%</w:t>
            </w:r>
          </w:p>
        </w:tc>
        <w:tc>
          <w:tcPr>
            <w:tcW w:w="200" w:type="dxa"/>
            <w:vAlign w:val="bottom"/>
            <w:shd w:val="clear" w:color="auto" w:fill="F0F1F8"/>
          </w:tcPr>
          <w:p>
            <w:pPr>
              <w:spacing w:after="0"/>
              <w:rPr>
                <w:sz w:val="17"/>
                <w:szCs w:val="17"/>
                <w:color w:val="auto"/>
              </w:rPr>
            </w:pPr>
          </w:p>
        </w:tc>
        <w:tc>
          <w:tcPr>
            <w:tcW w:w="680" w:type="dxa"/>
            <w:vAlign w:val="bottom"/>
            <w:shd w:val="clear" w:color="auto" w:fill="F0F1F8"/>
          </w:tcPr>
          <w:p>
            <w:pPr>
              <w:jc w:val="right"/>
              <w:spacing w:after="0"/>
              <w:rPr>
                <w:sz w:val="20"/>
                <w:szCs w:val="20"/>
                <w:color w:val="auto"/>
              </w:rPr>
            </w:pPr>
            <w:r>
              <w:rPr>
                <w:rFonts w:ascii="Arial" w:cs="Arial" w:eastAsia="Arial" w:hAnsi="Arial"/>
                <w:sz w:val="16"/>
                <w:szCs w:val="16"/>
                <w:color w:val="auto"/>
              </w:rPr>
              <w:t>100%</w:t>
            </w:r>
          </w:p>
        </w:tc>
        <w:tc>
          <w:tcPr>
            <w:tcW w:w="1100" w:type="dxa"/>
            <w:vAlign w:val="bottom"/>
            <w:shd w:val="clear" w:color="auto" w:fill="F0F1F8"/>
          </w:tcPr>
          <w:p>
            <w:pPr>
              <w:jc w:val="right"/>
              <w:spacing w:after="0"/>
              <w:rPr>
                <w:sz w:val="20"/>
                <w:szCs w:val="20"/>
                <w:color w:val="auto"/>
              </w:rPr>
            </w:pPr>
            <w:r>
              <w:rPr>
                <w:rFonts w:ascii="Arial" w:cs="Arial" w:eastAsia="Arial" w:hAnsi="Arial"/>
                <w:sz w:val="16"/>
                <w:szCs w:val="16"/>
                <w:color w:val="auto"/>
              </w:rPr>
              <w:t>100%</w:t>
            </w:r>
          </w:p>
        </w:tc>
        <w:tc>
          <w:tcPr>
            <w:tcW w:w="200" w:type="dxa"/>
            <w:vAlign w:val="bottom"/>
            <w:shd w:val="clear" w:color="auto" w:fill="F0F1F8"/>
          </w:tcPr>
          <w:p>
            <w:pPr>
              <w:spacing w:after="0"/>
              <w:rPr>
                <w:sz w:val="17"/>
                <w:szCs w:val="17"/>
                <w:color w:val="auto"/>
              </w:rPr>
            </w:pPr>
          </w:p>
        </w:tc>
        <w:tc>
          <w:tcPr>
            <w:tcW w:w="800" w:type="dxa"/>
            <w:vAlign w:val="bottom"/>
            <w:shd w:val="clear" w:color="auto" w:fill="F0F1F8"/>
          </w:tcPr>
          <w:p>
            <w:pPr>
              <w:jc w:val="right"/>
              <w:ind w:right="44"/>
              <w:spacing w:after="0"/>
              <w:rPr>
                <w:sz w:val="20"/>
                <w:szCs w:val="20"/>
                <w:color w:val="auto"/>
              </w:rPr>
            </w:pPr>
            <w:r>
              <w:rPr>
                <w:rFonts w:ascii="Arial" w:cs="Arial" w:eastAsia="Arial" w:hAnsi="Arial"/>
                <w:sz w:val="16"/>
                <w:szCs w:val="16"/>
                <w:color w:val="auto"/>
              </w:rPr>
              <w:t>110%</w:t>
            </w:r>
          </w:p>
        </w:tc>
        <w:tc>
          <w:tcPr>
            <w:tcW w:w="980" w:type="dxa"/>
            <w:vAlign w:val="bottom"/>
            <w:shd w:val="clear" w:color="auto" w:fill="F0F1F8"/>
          </w:tcPr>
          <w:p>
            <w:pPr>
              <w:jc w:val="right"/>
              <w:spacing w:after="0"/>
              <w:rPr>
                <w:sz w:val="20"/>
                <w:szCs w:val="20"/>
                <w:color w:val="auto"/>
              </w:rPr>
            </w:pPr>
            <w:r>
              <w:rPr>
                <w:rFonts w:ascii="Arial" w:cs="Arial" w:eastAsia="Arial" w:hAnsi="Arial"/>
                <w:sz w:val="16"/>
                <w:szCs w:val="16"/>
                <w:color w:val="auto"/>
              </w:rPr>
              <w:t>150%</w:t>
            </w:r>
          </w:p>
        </w:tc>
        <w:tc>
          <w:tcPr>
            <w:tcW w:w="200" w:type="dxa"/>
            <w:vAlign w:val="bottom"/>
            <w:shd w:val="clear" w:color="auto" w:fill="F0F1F8"/>
          </w:tcPr>
          <w:p>
            <w:pPr>
              <w:spacing w:after="0"/>
              <w:rPr>
                <w:sz w:val="17"/>
                <w:szCs w:val="17"/>
                <w:color w:val="auto"/>
              </w:rPr>
            </w:pPr>
          </w:p>
        </w:tc>
        <w:tc>
          <w:tcPr>
            <w:tcW w:w="820" w:type="dxa"/>
            <w:vAlign w:val="bottom"/>
            <w:shd w:val="clear" w:color="auto" w:fill="F0F1F8"/>
          </w:tcPr>
          <w:p>
            <w:pPr>
              <w:jc w:val="right"/>
              <w:ind w:right="44"/>
              <w:spacing w:after="0"/>
              <w:rPr>
                <w:sz w:val="20"/>
                <w:szCs w:val="20"/>
                <w:color w:val="auto"/>
              </w:rPr>
            </w:pPr>
            <w:r>
              <w:rPr>
                <w:rFonts w:ascii="Arial" w:cs="Arial" w:eastAsia="Arial" w:hAnsi="Arial"/>
                <w:sz w:val="16"/>
                <w:szCs w:val="16"/>
                <w:color w:val="auto"/>
              </w:rPr>
              <w:t>118.9%</w:t>
            </w:r>
          </w:p>
        </w:tc>
        <w:tc>
          <w:tcPr>
            <w:tcW w:w="1040" w:type="dxa"/>
            <w:vAlign w:val="bottom"/>
            <w:shd w:val="clear" w:color="auto" w:fill="F0F1F8"/>
          </w:tcPr>
          <w:p>
            <w:pPr>
              <w:jc w:val="right"/>
              <w:spacing w:after="0"/>
              <w:rPr>
                <w:sz w:val="20"/>
                <w:szCs w:val="20"/>
                <w:color w:val="auto"/>
              </w:rPr>
            </w:pPr>
            <w:r>
              <w:rPr>
                <w:rFonts w:ascii="Arial" w:cs="Arial" w:eastAsia="Arial" w:hAnsi="Arial"/>
                <w:sz w:val="16"/>
                <w:szCs w:val="16"/>
                <w:color w:val="auto"/>
              </w:rPr>
              <w:t>150%</w:t>
            </w:r>
          </w:p>
        </w:tc>
      </w:tr>
      <w:tr>
        <w:trPr>
          <w:trHeight w:val="199"/>
        </w:trPr>
        <w:tc>
          <w:tcPr>
            <w:tcW w:w="2120" w:type="dxa"/>
            <w:vAlign w:val="bottom"/>
            <w:shd w:val="clear" w:color="auto" w:fill="F0F1F8"/>
          </w:tcPr>
          <w:p>
            <w:pPr>
              <w:ind w:left="60"/>
              <w:spacing w:after="0"/>
              <w:rPr>
                <w:sz w:val="20"/>
                <w:szCs w:val="20"/>
                <w:color w:val="auto"/>
              </w:rPr>
            </w:pPr>
            <w:r>
              <w:rPr>
                <w:rFonts w:ascii="Arial" w:cs="Arial" w:eastAsia="Arial" w:hAnsi="Arial"/>
                <w:sz w:val="16"/>
                <w:szCs w:val="16"/>
                <w:color w:val="auto"/>
              </w:rPr>
              <w:t>Earnings Per Share</w:t>
            </w:r>
          </w:p>
        </w:tc>
        <w:tc>
          <w:tcPr>
            <w:tcW w:w="1380" w:type="dxa"/>
            <w:vAlign w:val="bottom"/>
            <w:shd w:val="clear" w:color="auto" w:fill="F0F1F8"/>
          </w:tcPr>
          <w:p>
            <w:pPr>
              <w:spacing w:after="0"/>
              <w:rPr>
                <w:sz w:val="17"/>
                <w:szCs w:val="17"/>
                <w:color w:val="auto"/>
              </w:rPr>
            </w:pPr>
          </w:p>
        </w:tc>
        <w:tc>
          <w:tcPr>
            <w:tcW w:w="760" w:type="dxa"/>
            <w:vAlign w:val="bottom"/>
            <w:shd w:val="clear" w:color="auto" w:fill="F0F1F8"/>
          </w:tcPr>
          <w:p>
            <w:pPr>
              <w:spacing w:after="0"/>
              <w:rPr>
                <w:sz w:val="17"/>
                <w:szCs w:val="17"/>
                <w:color w:val="auto"/>
              </w:rPr>
            </w:pPr>
          </w:p>
        </w:tc>
        <w:tc>
          <w:tcPr>
            <w:tcW w:w="960" w:type="dxa"/>
            <w:vAlign w:val="bottom"/>
            <w:shd w:val="clear" w:color="auto" w:fill="F0F1F8"/>
          </w:tcPr>
          <w:p>
            <w:pPr>
              <w:spacing w:after="0"/>
              <w:rPr>
                <w:sz w:val="17"/>
                <w:szCs w:val="17"/>
                <w:color w:val="auto"/>
              </w:rPr>
            </w:pPr>
          </w:p>
        </w:tc>
        <w:tc>
          <w:tcPr>
            <w:tcW w:w="200" w:type="dxa"/>
            <w:vAlign w:val="bottom"/>
            <w:shd w:val="clear" w:color="auto" w:fill="F0F1F8"/>
          </w:tcPr>
          <w:p>
            <w:pPr>
              <w:spacing w:after="0"/>
              <w:rPr>
                <w:sz w:val="17"/>
                <w:szCs w:val="17"/>
                <w:color w:val="auto"/>
              </w:rPr>
            </w:pPr>
          </w:p>
        </w:tc>
        <w:tc>
          <w:tcPr>
            <w:tcW w:w="680" w:type="dxa"/>
            <w:vAlign w:val="bottom"/>
            <w:shd w:val="clear" w:color="auto" w:fill="F0F1F8"/>
          </w:tcPr>
          <w:p>
            <w:pPr>
              <w:spacing w:after="0"/>
              <w:rPr>
                <w:sz w:val="17"/>
                <w:szCs w:val="17"/>
                <w:color w:val="auto"/>
              </w:rPr>
            </w:pPr>
          </w:p>
        </w:tc>
        <w:tc>
          <w:tcPr>
            <w:tcW w:w="1100" w:type="dxa"/>
            <w:vAlign w:val="bottom"/>
            <w:shd w:val="clear" w:color="auto" w:fill="F0F1F8"/>
          </w:tcPr>
          <w:p>
            <w:pPr>
              <w:spacing w:after="0"/>
              <w:rPr>
                <w:sz w:val="17"/>
                <w:szCs w:val="17"/>
                <w:color w:val="auto"/>
              </w:rPr>
            </w:pPr>
          </w:p>
        </w:tc>
        <w:tc>
          <w:tcPr>
            <w:tcW w:w="200" w:type="dxa"/>
            <w:vAlign w:val="bottom"/>
            <w:shd w:val="clear" w:color="auto" w:fill="F0F1F8"/>
          </w:tcPr>
          <w:p>
            <w:pPr>
              <w:spacing w:after="0"/>
              <w:rPr>
                <w:sz w:val="17"/>
                <w:szCs w:val="17"/>
                <w:color w:val="auto"/>
              </w:rPr>
            </w:pPr>
          </w:p>
        </w:tc>
        <w:tc>
          <w:tcPr>
            <w:tcW w:w="800" w:type="dxa"/>
            <w:vAlign w:val="bottom"/>
            <w:shd w:val="clear" w:color="auto" w:fill="F0F1F8"/>
          </w:tcPr>
          <w:p>
            <w:pPr>
              <w:spacing w:after="0"/>
              <w:rPr>
                <w:sz w:val="17"/>
                <w:szCs w:val="17"/>
                <w:color w:val="auto"/>
              </w:rPr>
            </w:pPr>
          </w:p>
        </w:tc>
        <w:tc>
          <w:tcPr>
            <w:tcW w:w="980" w:type="dxa"/>
            <w:vAlign w:val="bottom"/>
            <w:shd w:val="clear" w:color="auto" w:fill="F0F1F8"/>
          </w:tcPr>
          <w:p>
            <w:pPr>
              <w:spacing w:after="0"/>
              <w:rPr>
                <w:sz w:val="17"/>
                <w:szCs w:val="17"/>
                <w:color w:val="auto"/>
              </w:rPr>
            </w:pPr>
          </w:p>
        </w:tc>
        <w:tc>
          <w:tcPr>
            <w:tcW w:w="200" w:type="dxa"/>
            <w:vAlign w:val="bottom"/>
            <w:shd w:val="clear" w:color="auto" w:fill="F0F1F8"/>
          </w:tcPr>
          <w:p>
            <w:pPr>
              <w:spacing w:after="0"/>
              <w:rPr>
                <w:sz w:val="17"/>
                <w:szCs w:val="17"/>
                <w:color w:val="auto"/>
              </w:rPr>
            </w:pPr>
          </w:p>
        </w:tc>
        <w:tc>
          <w:tcPr>
            <w:tcW w:w="820" w:type="dxa"/>
            <w:vAlign w:val="bottom"/>
            <w:shd w:val="clear" w:color="auto" w:fill="F0F1F8"/>
          </w:tcPr>
          <w:p>
            <w:pPr>
              <w:spacing w:after="0"/>
              <w:rPr>
                <w:sz w:val="17"/>
                <w:szCs w:val="17"/>
                <w:color w:val="auto"/>
              </w:rPr>
            </w:pPr>
          </w:p>
        </w:tc>
        <w:tc>
          <w:tcPr>
            <w:tcW w:w="1040" w:type="dxa"/>
            <w:vAlign w:val="bottom"/>
            <w:shd w:val="clear" w:color="auto" w:fill="F0F1F8"/>
          </w:tcPr>
          <w:p>
            <w:pPr>
              <w:spacing w:after="0"/>
              <w:rPr>
                <w:sz w:val="17"/>
                <w:szCs w:val="17"/>
                <w:color w:val="auto"/>
              </w:rPr>
            </w:pPr>
          </w:p>
        </w:tc>
      </w:tr>
      <w:tr>
        <w:trPr>
          <w:trHeight w:val="209"/>
        </w:trPr>
        <w:tc>
          <w:tcPr>
            <w:tcW w:w="2120" w:type="dxa"/>
            <w:vAlign w:val="bottom"/>
          </w:tcPr>
          <w:p>
            <w:pPr>
              <w:ind w:left="60"/>
              <w:spacing w:after="0"/>
              <w:rPr>
                <w:sz w:val="20"/>
                <w:szCs w:val="20"/>
                <w:color w:val="auto"/>
              </w:rPr>
            </w:pPr>
            <w:r>
              <w:rPr>
                <w:rFonts w:ascii="Arial" w:cs="Arial" w:eastAsia="Arial" w:hAnsi="Arial"/>
                <w:sz w:val="16"/>
                <w:szCs w:val="16"/>
                <w:color w:val="auto"/>
              </w:rPr>
              <w:t>MSCI Total Net</w:t>
            </w:r>
          </w:p>
        </w:tc>
        <w:tc>
          <w:tcPr>
            <w:tcW w:w="1380" w:type="dxa"/>
            <w:vAlign w:val="bottom"/>
          </w:tcPr>
          <w:p>
            <w:pPr>
              <w:jc w:val="right"/>
              <w:ind w:right="123"/>
              <w:spacing w:after="0"/>
              <w:rPr>
                <w:sz w:val="20"/>
                <w:szCs w:val="20"/>
                <w:color w:val="auto"/>
              </w:rPr>
            </w:pPr>
            <w:r>
              <w:rPr>
                <w:rFonts w:ascii="Arial" w:cs="Arial" w:eastAsia="Arial" w:hAnsi="Arial"/>
                <w:sz w:val="16"/>
                <w:szCs w:val="16"/>
                <w:color w:val="auto"/>
              </w:rPr>
              <w:t>225.3</w:t>
            </w:r>
          </w:p>
        </w:tc>
        <w:tc>
          <w:tcPr>
            <w:tcW w:w="760" w:type="dxa"/>
            <w:vAlign w:val="bottom"/>
          </w:tcPr>
          <w:p>
            <w:pPr>
              <w:jc w:val="right"/>
              <w:ind w:right="4"/>
              <w:spacing w:after="0"/>
              <w:rPr>
                <w:sz w:val="20"/>
                <w:szCs w:val="20"/>
                <w:color w:val="auto"/>
              </w:rPr>
            </w:pPr>
            <w:r>
              <w:rPr>
                <w:rFonts w:ascii="Arial" w:cs="Arial" w:eastAsia="Arial" w:hAnsi="Arial"/>
                <w:sz w:val="16"/>
                <w:szCs w:val="16"/>
                <w:color w:val="auto"/>
              </w:rPr>
              <w:t>70%</w:t>
            </w:r>
          </w:p>
        </w:tc>
        <w:tc>
          <w:tcPr>
            <w:tcW w:w="960" w:type="dxa"/>
            <w:vAlign w:val="bottom"/>
          </w:tcPr>
          <w:p>
            <w:pPr>
              <w:jc w:val="right"/>
              <w:spacing w:after="0"/>
              <w:rPr>
                <w:sz w:val="20"/>
                <w:szCs w:val="20"/>
                <w:color w:val="auto"/>
              </w:rPr>
            </w:pPr>
            <w:r>
              <w:rPr>
                <w:rFonts w:ascii="Arial" w:cs="Arial" w:eastAsia="Arial" w:hAnsi="Arial"/>
                <w:sz w:val="16"/>
                <w:szCs w:val="16"/>
                <w:color w:val="auto"/>
              </w:rPr>
              <w:t>50%</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100%</w:t>
            </w:r>
          </w:p>
        </w:tc>
        <w:tc>
          <w:tcPr>
            <w:tcW w:w="1100" w:type="dxa"/>
            <w:vAlign w:val="bottom"/>
          </w:tcPr>
          <w:p>
            <w:pPr>
              <w:jc w:val="right"/>
              <w:spacing w:after="0"/>
              <w:rPr>
                <w:sz w:val="20"/>
                <w:szCs w:val="20"/>
                <w:color w:val="auto"/>
              </w:rPr>
            </w:pPr>
            <w:r>
              <w:rPr>
                <w:rFonts w:ascii="Arial" w:cs="Arial" w:eastAsia="Arial" w:hAnsi="Arial"/>
                <w:sz w:val="16"/>
                <w:szCs w:val="16"/>
                <w:color w:val="auto"/>
              </w:rPr>
              <w:t>100%</w:t>
            </w:r>
          </w:p>
        </w:tc>
        <w:tc>
          <w:tcPr>
            <w:tcW w:w="200" w:type="dxa"/>
            <w:vAlign w:val="bottom"/>
          </w:tcPr>
          <w:p>
            <w:pPr>
              <w:spacing w:after="0"/>
              <w:rPr>
                <w:sz w:val="18"/>
                <w:szCs w:val="18"/>
                <w:color w:val="auto"/>
              </w:rPr>
            </w:pPr>
          </w:p>
        </w:tc>
        <w:tc>
          <w:tcPr>
            <w:tcW w:w="800" w:type="dxa"/>
            <w:vAlign w:val="bottom"/>
          </w:tcPr>
          <w:p>
            <w:pPr>
              <w:jc w:val="right"/>
              <w:ind w:right="44"/>
              <w:spacing w:after="0"/>
              <w:rPr>
                <w:sz w:val="20"/>
                <w:szCs w:val="20"/>
                <w:color w:val="auto"/>
              </w:rPr>
            </w:pPr>
            <w:r>
              <w:rPr>
                <w:rFonts w:ascii="Arial" w:cs="Arial" w:eastAsia="Arial" w:hAnsi="Arial"/>
                <w:sz w:val="16"/>
                <w:szCs w:val="16"/>
                <w:color w:val="auto"/>
              </w:rPr>
              <w:t>130%</w:t>
            </w:r>
          </w:p>
        </w:tc>
        <w:tc>
          <w:tcPr>
            <w:tcW w:w="980" w:type="dxa"/>
            <w:vAlign w:val="bottom"/>
          </w:tcPr>
          <w:p>
            <w:pPr>
              <w:jc w:val="right"/>
              <w:spacing w:after="0"/>
              <w:rPr>
                <w:sz w:val="20"/>
                <w:szCs w:val="20"/>
                <w:color w:val="auto"/>
              </w:rPr>
            </w:pPr>
            <w:r>
              <w:rPr>
                <w:rFonts w:ascii="Arial" w:cs="Arial" w:eastAsia="Arial" w:hAnsi="Arial"/>
                <w:sz w:val="16"/>
                <w:szCs w:val="16"/>
                <w:color w:val="auto"/>
              </w:rPr>
              <w:t>150%</w:t>
            </w:r>
          </w:p>
        </w:tc>
        <w:tc>
          <w:tcPr>
            <w:tcW w:w="200" w:type="dxa"/>
            <w:vAlign w:val="bottom"/>
          </w:tcPr>
          <w:p>
            <w:pPr>
              <w:spacing w:after="0"/>
              <w:rPr>
                <w:sz w:val="18"/>
                <w:szCs w:val="18"/>
                <w:color w:val="auto"/>
              </w:rPr>
            </w:pPr>
          </w:p>
        </w:tc>
        <w:tc>
          <w:tcPr>
            <w:tcW w:w="820" w:type="dxa"/>
            <w:vAlign w:val="bottom"/>
          </w:tcPr>
          <w:p>
            <w:pPr>
              <w:jc w:val="right"/>
              <w:ind w:right="44"/>
              <w:spacing w:after="0"/>
              <w:rPr>
                <w:sz w:val="20"/>
                <w:szCs w:val="20"/>
                <w:color w:val="auto"/>
              </w:rPr>
            </w:pPr>
            <w:r>
              <w:rPr>
                <w:rFonts w:ascii="Arial" w:cs="Arial" w:eastAsia="Arial" w:hAnsi="Arial"/>
                <w:sz w:val="16"/>
                <w:szCs w:val="16"/>
                <w:color w:val="auto"/>
              </w:rPr>
              <w:t>112.3%</w:t>
            </w:r>
          </w:p>
        </w:tc>
        <w:tc>
          <w:tcPr>
            <w:tcW w:w="1040" w:type="dxa"/>
            <w:vAlign w:val="bottom"/>
          </w:tcPr>
          <w:p>
            <w:pPr>
              <w:jc w:val="right"/>
              <w:spacing w:after="0"/>
              <w:rPr>
                <w:sz w:val="20"/>
                <w:szCs w:val="20"/>
                <w:color w:val="auto"/>
              </w:rPr>
            </w:pPr>
            <w:r>
              <w:rPr>
                <w:rFonts w:ascii="Arial" w:cs="Arial" w:eastAsia="Arial" w:hAnsi="Arial"/>
                <w:sz w:val="16"/>
                <w:szCs w:val="16"/>
                <w:color w:val="auto"/>
              </w:rPr>
              <w:t>120.4%</w:t>
            </w:r>
          </w:p>
        </w:tc>
      </w:tr>
      <w:tr>
        <w:trPr>
          <w:trHeight w:val="217"/>
        </w:trPr>
        <w:tc>
          <w:tcPr>
            <w:tcW w:w="2120" w:type="dxa"/>
            <w:vAlign w:val="bottom"/>
          </w:tcPr>
          <w:p>
            <w:pPr>
              <w:ind w:left="60"/>
              <w:spacing w:after="0"/>
              <w:rPr>
                <w:sz w:val="20"/>
                <w:szCs w:val="20"/>
                <w:color w:val="auto"/>
              </w:rPr>
            </w:pPr>
            <w:r>
              <w:rPr>
                <w:rFonts w:ascii="Arial" w:cs="Arial" w:eastAsia="Arial" w:hAnsi="Arial"/>
                <w:sz w:val="16"/>
                <w:szCs w:val="16"/>
                <w:color w:val="auto"/>
              </w:rPr>
              <w:t>New Sales</w:t>
            </w:r>
          </w:p>
        </w:tc>
        <w:tc>
          <w:tcPr>
            <w:tcW w:w="1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4"/>
        </w:trPr>
        <w:tc>
          <w:tcPr>
            <w:tcW w:w="2120" w:type="dxa"/>
            <w:vAlign w:val="bottom"/>
            <w:tcBorders>
              <w:bottom w:val="single" w:sz="8" w:color="auto"/>
            </w:tcBorders>
            <w:shd w:val="clear" w:color="auto" w:fill="F0F1F8"/>
          </w:tcPr>
          <w:p>
            <w:pPr>
              <w:ind w:left="60"/>
              <w:spacing w:after="0"/>
              <w:rPr>
                <w:sz w:val="20"/>
                <w:szCs w:val="20"/>
                <w:color w:val="auto"/>
              </w:rPr>
            </w:pPr>
            <w:r>
              <w:rPr>
                <w:rFonts w:ascii="Arial" w:cs="Arial" w:eastAsia="Arial" w:hAnsi="Arial"/>
                <w:sz w:val="16"/>
                <w:szCs w:val="16"/>
                <w:color w:val="auto"/>
              </w:rPr>
              <w:t>Free Cash Flow</w:t>
            </w:r>
          </w:p>
        </w:tc>
        <w:tc>
          <w:tcPr>
            <w:tcW w:w="1380" w:type="dxa"/>
            <w:vAlign w:val="bottom"/>
            <w:tcBorders>
              <w:bottom w:val="single" w:sz="8" w:color="auto"/>
            </w:tcBorders>
            <w:shd w:val="clear" w:color="auto" w:fill="F0F1F8"/>
          </w:tcPr>
          <w:p>
            <w:pPr>
              <w:jc w:val="right"/>
              <w:ind w:right="123"/>
              <w:spacing w:after="0"/>
              <w:rPr>
                <w:sz w:val="20"/>
                <w:szCs w:val="20"/>
                <w:color w:val="auto"/>
              </w:rPr>
            </w:pPr>
            <w:r>
              <w:rPr>
                <w:rFonts w:ascii="Arial" w:cs="Arial" w:eastAsia="Arial" w:hAnsi="Arial"/>
                <w:sz w:val="16"/>
                <w:szCs w:val="16"/>
                <w:color w:val="auto"/>
              </w:rPr>
              <w:t>687.1</w:t>
            </w:r>
          </w:p>
        </w:tc>
        <w:tc>
          <w:tcPr>
            <w:tcW w:w="760" w:type="dxa"/>
            <w:vAlign w:val="bottom"/>
            <w:tcBorders>
              <w:bottom w:val="single" w:sz="8" w:color="auto"/>
            </w:tcBorders>
            <w:shd w:val="clear" w:color="auto" w:fill="F0F1F8"/>
          </w:tcPr>
          <w:p>
            <w:pPr>
              <w:jc w:val="right"/>
              <w:ind w:right="4"/>
              <w:spacing w:after="0"/>
              <w:rPr>
                <w:sz w:val="20"/>
                <w:szCs w:val="20"/>
                <w:color w:val="auto"/>
              </w:rPr>
            </w:pPr>
            <w:r>
              <w:rPr>
                <w:rFonts w:ascii="Arial" w:cs="Arial" w:eastAsia="Arial" w:hAnsi="Arial"/>
                <w:sz w:val="16"/>
                <w:szCs w:val="16"/>
                <w:color w:val="auto"/>
              </w:rPr>
              <w:t>85%</w:t>
            </w:r>
          </w:p>
        </w:tc>
        <w:tc>
          <w:tcPr>
            <w:tcW w:w="960" w:type="dxa"/>
            <w:vAlign w:val="bottom"/>
            <w:tcBorders>
              <w:bottom w:val="single" w:sz="8" w:color="auto"/>
            </w:tcBorders>
            <w:shd w:val="clear" w:color="auto" w:fill="F0F1F8"/>
          </w:tcPr>
          <w:p>
            <w:pPr>
              <w:jc w:val="right"/>
              <w:spacing w:after="0"/>
              <w:rPr>
                <w:sz w:val="20"/>
                <w:szCs w:val="20"/>
                <w:color w:val="auto"/>
              </w:rPr>
            </w:pPr>
            <w:r>
              <w:rPr>
                <w:rFonts w:ascii="Arial" w:cs="Arial" w:eastAsia="Arial" w:hAnsi="Arial"/>
                <w:sz w:val="16"/>
                <w:szCs w:val="16"/>
                <w:color w:val="auto"/>
              </w:rPr>
              <w:t>50%</w:t>
            </w:r>
          </w:p>
        </w:tc>
        <w:tc>
          <w:tcPr>
            <w:tcW w:w="200" w:type="dxa"/>
            <w:vAlign w:val="bottom"/>
            <w:tcBorders>
              <w:bottom w:val="single" w:sz="8" w:color="auto"/>
            </w:tcBorders>
            <w:shd w:val="clear" w:color="auto" w:fill="F0F1F8"/>
          </w:tcPr>
          <w:p>
            <w:pPr>
              <w:spacing w:after="0"/>
              <w:rPr>
                <w:sz w:val="18"/>
                <w:szCs w:val="18"/>
                <w:color w:val="auto"/>
              </w:rPr>
            </w:pPr>
          </w:p>
        </w:tc>
        <w:tc>
          <w:tcPr>
            <w:tcW w:w="680" w:type="dxa"/>
            <w:vAlign w:val="bottom"/>
            <w:tcBorders>
              <w:bottom w:val="single" w:sz="8" w:color="auto"/>
            </w:tcBorders>
            <w:shd w:val="clear" w:color="auto" w:fill="F0F1F8"/>
          </w:tcPr>
          <w:p>
            <w:pPr>
              <w:jc w:val="right"/>
              <w:spacing w:after="0"/>
              <w:rPr>
                <w:sz w:val="20"/>
                <w:szCs w:val="20"/>
                <w:color w:val="auto"/>
              </w:rPr>
            </w:pPr>
            <w:r>
              <w:rPr>
                <w:rFonts w:ascii="Arial" w:cs="Arial" w:eastAsia="Arial" w:hAnsi="Arial"/>
                <w:sz w:val="16"/>
                <w:szCs w:val="16"/>
                <w:color w:val="auto"/>
              </w:rPr>
              <w:t>100%</w:t>
            </w:r>
          </w:p>
        </w:tc>
        <w:tc>
          <w:tcPr>
            <w:tcW w:w="1100" w:type="dxa"/>
            <w:vAlign w:val="bottom"/>
            <w:tcBorders>
              <w:bottom w:val="single" w:sz="8" w:color="auto"/>
            </w:tcBorders>
            <w:shd w:val="clear" w:color="auto" w:fill="F0F1F8"/>
          </w:tcPr>
          <w:p>
            <w:pPr>
              <w:jc w:val="right"/>
              <w:spacing w:after="0"/>
              <w:rPr>
                <w:sz w:val="20"/>
                <w:szCs w:val="20"/>
                <w:color w:val="auto"/>
              </w:rPr>
            </w:pPr>
            <w:r>
              <w:rPr>
                <w:rFonts w:ascii="Arial" w:cs="Arial" w:eastAsia="Arial" w:hAnsi="Arial"/>
                <w:sz w:val="16"/>
                <w:szCs w:val="16"/>
                <w:color w:val="auto"/>
              </w:rPr>
              <w:t>100%</w:t>
            </w:r>
          </w:p>
        </w:tc>
        <w:tc>
          <w:tcPr>
            <w:tcW w:w="200" w:type="dxa"/>
            <w:vAlign w:val="bottom"/>
            <w:tcBorders>
              <w:bottom w:val="single" w:sz="8" w:color="auto"/>
            </w:tcBorders>
            <w:shd w:val="clear" w:color="auto" w:fill="F0F1F8"/>
          </w:tcPr>
          <w:p>
            <w:pPr>
              <w:spacing w:after="0"/>
              <w:rPr>
                <w:sz w:val="18"/>
                <w:szCs w:val="18"/>
                <w:color w:val="auto"/>
              </w:rPr>
            </w:pPr>
          </w:p>
        </w:tc>
        <w:tc>
          <w:tcPr>
            <w:tcW w:w="800" w:type="dxa"/>
            <w:vAlign w:val="bottom"/>
            <w:tcBorders>
              <w:bottom w:val="single" w:sz="8" w:color="auto"/>
            </w:tcBorders>
            <w:shd w:val="clear" w:color="auto" w:fill="F0F1F8"/>
          </w:tcPr>
          <w:p>
            <w:pPr>
              <w:jc w:val="right"/>
              <w:ind w:right="44"/>
              <w:spacing w:after="0"/>
              <w:rPr>
                <w:sz w:val="20"/>
                <w:szCs w:val="20"/>
                <w:color w:val="auto"/>
              </w:rPr>
            </w:pPr>
            <w:r>
              <w:rPr>
                <w:rFonts w:ascii="Arial" w:cs="Arial" w:eastAsia="Arial" w:hAnsi="Arial"/>
                <w:sz w:val="16"/>
                <w:szCs w:val="16"/>
                <w:color w:val="auto"/>
              </w:rPr>
              <w:t>115%</w:t>
            </w:r>
          </w:p>
        </w:tc>
        <w:tc>
          <w:tcPr>
            <w:tcW w:w="980" w:type="dxa"/>
            <w:vAlign w:val="bottom"/>
            <w:tcBorders>
              <w:bottom w:val="single" w:sz="8" w:color="auto"/>
            </w:tcBorders>
            <w:shd w:val="clear" w:color="auto" w:fill="F0F1F8"/>
          </w:tcPr>
          <w:p>
            <w:pPr>
              <w:jc w:val="right"/>
              <w:spacing w:after="0"/>
              <w:rPr>
                <w:sz w:val="20"/>
                <w:szCs w:val="20"/>
                <w:color w:val="auto"/>
              </w:rPr>
            </w:pPr>
            <w:r>
              <w:rPr>
                <w:rFonts w:ascii="Arial" w:cs="Arial" w:eastAsia="Arial" w:hAnsi="Arial"/>
                <w:sz w:val="16"/>
                <w:szCs w:val="16"/>
                <w:color w:val="auto"/>
              </w:rPr>
              <w:t>150%</w:t>
            </w:r>
          </w:p>
        </w:tc>
        <w:tc>
          <w:tcPr>
            <w:tcW w:w="200" w:type="dxa"/>
            <w:vAlign w:val="bottom"/>
            <w:tcBorders>
              <w:bottom w:val="single" w:sz="8" w:color="auto"/>
            </w:tcBorders>
            <w:shd w:val="clear" w:color="auto" w:fill="F0F1F8"/>
          </w:tcPr>
          <w:p>
            <w:pPr>
              <w:spacing w:after="0"/>
              <w:rPr>
                <w:sz w:val="18"/>
                <w:szCs w:val="18"/>
                <w:color w:val="auto"/>
              </w:rPr>
            </w:pPr>
          </w:p>
        </w:tc>
        <w:tc>
          <w:tcPr>
            <w:tcW w:w="820" w:type="dxa"/>
            <w:vAlign w:val="bottom"/>
            <w:tcBorders>
              <w:bottom w:val="single" w:sz="8" w:color="auto"/>
            </w:tcBorders>
            <w:shd w:val="clear" w:color="auto" w:fill="F0F1F8"/>
          </w:tcPr>
          <w:p>
            <w:pPr>
              <w:jc w:val="right"/>
              <w:ind w:right="44"/>
              <w:spacing w:after="0"/>
              <w:rPr>
                <w:sz w:val="20"/>
                <w:szCs w:val="20"/>
                <w:color w:val="auto"/>
              </w:rPr>
            </w:pPr>
            <w:r>
              <w:rPr>
                <w:rFonts w:ascii="Arial" w:cs="Arial" w:eastAsia="Arial" w:hAnsi="Arial"/>
                <w:sz w:val="16"/>
                <w:szCs w:val="16"/>
                <w:color w:val="auto"/>
              </w:rPr>
              <w:t>128.5%</w:t>
            </w:r>
          </w:p>
        </w:tc>
        <w:tc>
          <w:tcPr>
            <w:tcW w:w="1040" w:type="dxa"/>
            <w:vAlign w:val="bottom"/>
            <w:tcBorders>
              <w:bottom w:val="single" w:sz="8" w:color="auto"/>
            </w:tcBorders>
            <w:shd w:val="clear" w:color="auto" w:fill="F0F1F8"/>
          </w:tcPr>
          <w:p>
            <w:pPr>
              <w:jc w:val="right"/>
              <w:spacing w:after="0"/>
              <w:rPr>
                <w:sz w:val="20"/>
                <w:szCs w:val="20"/>
                <w:color w:val="auto"/>
              </w:rPr>
            </w:pPr>
            <w:r>
              <w:rPr>
                <w:rFonts w:ascii="Arial" w:cs="Arial" w:eastAsia="Arial" w:hAnsi="Arial"/>
                <w:sz w:val="16"/>
                <w:szCs w:val="16"/>
                <w:color w:val="auto"/>
              </w:rPr>
              <w:t>150%</w:t>
            </w:r>
          </w:p>
        </w:tc>
      </w:tr>
    </w:tbl>
    <w:p>
      <w:pPr>
        <w:ind w:left="300" w:hanging="293"/>
        <w:spacing w:after="0" w:line="199" w:lineRule="auto"/>
        <w:tabs>
          <w:tab w:leader="none" w:pos="300" w:val="left"/>
        </w:tabs>
        <w:numPr>
          <w:ilvl w:val="0"/>
          <w:numId w:val="116"/>
        </w:numPr>
        <w:rPr>
          <w:rFonts w:ascii="Arial" w:cs="Arial" w:eastAsia="Arial" w:hAnsi="Arial"/>
          <w:sz w:val="24"/>
          <w:szCs w:val="24"/>
          <w:color w:val="auto"/>
          <w:vertAlign w:val="superscript"/>
        </w:rPr>
      </w:pPr>
      <w:r>
        <w:rPr>
          <w:rFonts w:ascii="Arial" w:cs="Arial" w:eastAsia="Arial" w:hAnsi="Arial"/>
          <w:sz w:val="14"/>
          <w:szCs w:val="14"/>
          <w:color w:val="auto"/>
        </w:rPr>
        <w:t>Except Adjusted EPS, which is not stated in millions.</w:t>
      </w:r>
    </w:p>
    <w:p>
      <w:pPr>
        <w:spacing w:after="0" w:line="43" w:lineRule="exact"/>
        <w:rPr>
          <w:rFonts w:ascii="Arial" w:cs="Arial" w:eastAsia="Arial" w:hAnsi="Arial"/>
          <w:sz w:val="24"/>
          <w:szCs w:val="24"/>
          <w:color w:val="auto"/>
          <w:vertAlign w:val="superscript"/>
        </w:rPr>
      </w:pPr>
    </w:p>
    <w:p>
      <w:pPr>
        <w:ind w:left="300" w:right="20" w:hanging="293"/>
        <w:spacing w:after="0"/>
        <w:tabs>
          <w:tab w:leader="none" w:pos="300" w:val="left"/>
        </w:tabs>
        <w:numPr>
          <w:ilvl w:val="0"/>
          <w:numId w:val="116"/>
        </w:numPr>
        <w:rPr>
          <w:rFonts w:ascii="Arial" w:cs="Arial" w:eastAsia="Arial" w:hAnsi="Arial"/>
          <w:sz w:val="24"/>
          <w:szCs w:val="24"/>
          <w:color w:val="auto"/>
          <w:vertAlign w:val="superscript"/>
        </w:rPr>
      </w:pPr>
      <w:r>
        <w:rPr>
          <w:rFonts w:ascii="Arial" w:cs="Arial" w:eastAsia="Arial" w:hAnsi="Arial"/>
          <w:sz w:val="14"/>
          <w:szCs w:val="14"/>
          <w:color w:val="auto"/>
        </w:rPr>
        <w:t>In determining the actual results attained for the Total Net New Sales metric under the 2021 AIP, the Compensation Committee made an adjustment to the Company’s reported results in accordance with the terms of the AIP, which permits the Compensation Committee to make adjustments, in whole or in part, to any performance measures (and the methodologies relating to such measures) for certain events specified in the AIP. Specifically, the Compensation Committee made an adjustment to the reported results for the Total Net New Sales metric to recognize a one-time customer payment in 2021 of $18 million. The Compensation Committee made this adjustment because the customer payment resulted in economic benefits to the Company similar to a non-recurring sale, but, absent this adjustment, would not have been taken into account under the Total Net New Sales category in 2021 or future years given the nature of the performance metrics. Non-recurring sales are credited at 75% for the Total Net New Sales category for compensation purposes under the AIP. As a result, there was a positive adjustment to the achievement of the Total Net New Sales metric under the 2021 AIP of $13.5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90805</wp:posOffset>
            </wp:positionV>
            <wp:extent cx="7154545" cy="209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149860</wp:posOffset>
            </wp:positionV>
            <wp:extent cx="7133590" cy="21272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3590" cy="212725"/>
                    </a:xfrm>
                    <a:prstGeom prst="rect">
                      <a:avLst/>
                    </a:prstGeom>
                    <a:noFill/>
                  </pic:spPr>
                </pic:pic>
              </a:graphicData>
            </a:graphic>
          </wp:anchor>
        </w:drawing>
      </w:r>
    </w:p>
    <w:p>
      <w:pPr>
        <w:spacing w:after="0" w:line="283"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4"/>
          <w:szCs w:val="14"/>
          <w:b w:val="1"/>
          <w:bCs w:val="1"/>
          <w:color w:val="16479F"/>
        </w:rPr>
        <w:t>72</w:t>
      </w:r>
      <w:r>
        <w:rPr>
          <w:sz w:val="20"/>
          <w:szCs w:val="20"/>
          <w:color w:val="auto"/>
        </w:rPr>
        <w:tab/>
      </w:r>
      <w:r>
        <w:rPr>
          <w:rFonts w:ascii="Arial" w:cs="Arial" w:eastAsia="Arial" w:hAnsi="Arial"/>
          <w:sz w:val="14"/>
          <w:szCs w:val="14"/>
          <w:b w:val="1"/>
          <w:bCs w:val="1"/>
          <w:color w:val="16479F"/>
        </w:rPr>
        <w:t>MSCI  |  COMPENSATION MATTERS</w:t>
      </w:r>
    </w:p>
    <w:p>
      <w:pPr>
        <w:spacing w:after="0" w:line="269"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In determining the actual cash incentive amounts awarded under the 2021 AIP, the Compensation Committee made certain adjustments to the target financial metrics applicable to our NEOs in accordance with the terms of the AIP, which permits the Compensation Committee to make adjustments, in whole or in part, to any performance measures (including target performance levels) for certain events specified in the AIP. Specifically, the Compensation Committee made adjustments to the target metrics listed below to take into account the impact resulting from (1) the Company’s acquisition of RCA on September 13, 2021 and (2) accelerated cash tax payments that impacted the Company’s free cash flow in 2021 and that were not originally part of the Company’s operating plan.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Adjusted</w:t>
            </w:r>
          </w:p>
        </w:tc>
      </w:tr>
      <w:tr>
        <w:trPr>
          <w:trHeight w:val="161"/>
        </w:trPr>
        <w:tc>
          <w:tcPr>
            <w:tcW w:w="4780" w:type="dxa"/>
            <w:vAlign w:val="bottom"/>
          </w:tcPr>
          <w:p>
            <w:pPr>
              <w:spacing w:after="0"/>
              <w:rPr>
                <w:sz w:val="13"/>
                <w:szCs w:val="13"/>
                <w:color w:val="auto"/>
              </w:rPr>
            </w:pPr>
          </w:p>
        </w:tc>
        <w:tc>
          <w:tcPr>
            <w:tcW w:w="4080" w:type="dxa"/>
            <w:vAlign w:val="bottom"/>
          </w:tcPr>
          <w:p>
            <w:pPr>
              <w:jc w:val="right"/>
              <w:ind w:right="143"/>
              <w:spacing w:after="0"/>
              <w:rPr>
                <w:sz w:val="20"/>
                <w:szCs w:val="20"/>
                <w:color w:val="auto"/>
              </w:rPr>
            </w:pPr>
            <w:r>
              <w:rPr>
                <w:rFonts w:ascii="Arial" w:cs="Arial" w:eastAsia="Arial" w:hAnsi="Arial"/>
                <w:sz w:val="14"/>
                <w:szCs w:val="14"/>
                <w:b w:val="1"/>
                <w:bCs w:val="1"/>
                <w:color w:val="auto"/>
              </w:rPr>
              <w:t>Original Target</w:t>
            </w:r>
          </w:p>
        </w:tc>
        <w:tc>
          <w:tcPr>
            <w:tcW w:w="1420" w:type="dxa"/>
            <w:vAlign w:val="bottom"/>
          </w:tcPr>
          <w:p>
            <w:pPr>
              <w:jc w:val="right"/>
              <w:ind w:right="263"/>
              <w:spacing w:after="0"/>
              <w:rPr>
                <w:sz w:val="20"/>
                <w:szCs w:val="20"/>
                <w:color w:val="auto"/>
              </w:rPr>
            </w:pPr>
            <w:r>
              <w:rPr>
                <w:rFonts w:ascii="Arial" w:cs="Arial" w:eastAsia="Arial" w:hAnsi="Arial"/>
                <w:sz w:val="14"/>
                <w:szCs w:val="14"/>
                <w:b w:val="1"/>
                <w:bCs w:val="1"/>
                <w:color w:val="auto"/>
              </w:rPr>
              <w:t>Adjustments</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Target</w:t>
            </w:r>
          </w:p>
        </w:tc>
      </w:tr>
      <w:tr>
        <w:trPr>
          <w:trHeight w:val="208"/>
        </w:trPr>
        <w:tc>
          <w:tcPr>
            <w:tcW w:w="4780" w:type="dxa"/>
            <w:vAlign w:val="bottom"/>
            <w:tcBorders>
              <w:bottom w:val="single" w:sz="8" w:color="16479F"/>
            </w:tcBorders>
          </w:tcPr>
          <w:p>
            <w:pPr>
              <w:ind w:left="60"/>
              <w:spacing w:after="0"/>
              <w:rPr>
                <w:sz w:val="20"/>
                <w:szCs w:val="20"/>
                <w:color w:val="auto"/>
              </w:rPr>
            </w:pPr>
            <w:r>
              <w:rPr>
                <w:rFonts w:ascii="Arial" w:cs="Arial" w:eastAsia="Arial" w:hAnsi="Arial"/>
                <w:sz w:val="14"/>
                <w:szCs w:val="14"/>
                <w:b w:val="1"/>
                <w:bCs w:val="1"/>
                <w:color w:val="auto"/>
              </w:rPr>
              <w:t>Metrics</w:t>
            </w:r>
          </w:p>
        </w:tc>
        <w:tc>
          <w:tcPr>
            <w:tcW w:w="4080" w:type="dxa"/>
            <w:vAlign w:val="bottom"/>
            <w:tcBorders>
              <w:bottom w:val="single" w:sz="8" w:color="16479F"/>
            </w:tcBorders>
          </w:tcPr>
          <w:p>
            <w:pPr>
              <w:jc w:val="right"/>
              <w:ind w:right="143"/>
              <w:spacing w:after="0"/>
              <w:rPr>
                <w:sz w:val="20"/>
                <w:szCs w:val="20"/>
                <w:color w:val="auto"/>
              </w:rPr>
            </w:pPr>
            <w:r>
              <w:rPr>
                <w:rFonts w:ascii="Arial" w:cs="Arial" w:eastAsia="Arial" w:hAnsi="Arial"/>
                <w:sz w:val="14"/>
                <w:szCs w:val="14"/>
                <w:b w:val="1"/>
                <w:bCs w:val="1"/>
                <w:color w:val="auto"/>
              </w:rPr>
              <w:t>$mm</w:t>
            </w:r>
          </w:p>
        </w:tc>
        <w:tc>
          <w:tcPr>
            <w:tcW w:w="1420" w:type="dxa"/>
            <w:vAlign w:val="bottom"/>
            <w:tcBorders>
              <w:bottom w:val="single" w:sz="8" w:color="16479F"/>
            </w:tcBorders>
          </w:tcPr>
          <w:p>
            <w:pPr>
              <w:jc w:val="right"/>
              <w:ind w:right="263"/>
              <w:spacing w:after="0"/>
              <w:rPr>
                <w:sz w:val="20"/>
                <w:szCs w:val="20"/>
                <w:color w:val="auto"/>
              </w:rPr>
            </w:pPr>
            <w:r>
              <w:rPr>
                <w:rFonts w:ascii="Arial" w:cs="Arial" w:eastAsia="Arial" w:hAnsi="Arial"/>
                <w:sz w:val="14"/>
                <w:szCs w:val="14"/>
                <w:b w:val="1"/>
                <w:bCs w:val="1"/>
                <w:color w:val="auto"/>
              </w:rPr>
              <w:t>$mm</w:t>
            </w:r>
          </w:p>
        </w:tc>
        <w:tc>
          <w:tcPr>
            <w:tcW w:w="960" w:type="dxa"/>
            <w:vAlign w:val="bottom"/>
            <w:tcBorders>
              <w:bottom w:val="single" w:sz="8" w:color="16479F"/>
            </w:tcBorders>
          </w:tcPr>
          <w:p>
            <w:pPr>
              <w:jc w:val="right"/>
              <w:spacing w:after="0"/>
              <w:rPr>
                <w:sz w:val="20"/>
                <w:szCs w:val="20"/>
                <w:color w:val="auto"/>
              </w:rPr>
            </w:pPr>
            <w:r>
              <w:rPr>
                <w:rFonts w:ascii="Arial" w:cs="Arial" w:eastAsia="Arial" w:hAnsi="Arial"/>
                <w:sz w:val="14"/>
                <w:szCs w:val="14"/>
                <w:b w:val="1"/>
                <w:bCs w:val="1"/>
                <w:color w:val="auto"/>
              </w:rPr>
              <w:t>$mm</w:t>
            </w:r>
          </w:p>
        </w:tc>
      </w:tr>
      <w:tr>
        <w:trPr>
          <w:trHeight w:val="241"/>
        </w:trPr>
        <w:tc>
          <w:tcPr>
            <w:tcW w:w="4780" w:type="dxa"/>
            <w:vAlign w:val="bottom"/>
            <w:shd w:val="clear" w:color="auto" w:fill="F0F1F8"/>
          </w:tcPr>
          <w:p>
            <w:pPr>
              <w:ind w:left="60"/>
              <w:spacing w:after="0"/>
              <w:rPr>
                <w:sz w:val="20"/>
                <w:szCs w:val="20"/>
                <w:color w:val="auto"/>
              </w:rPr>
            </w:pPr>
            <w:r>
              <w:rPr>
                <w:rFonts w:ascii="Arial" w:cs="Arial" w:eastAsia="Arial" w:hAnsi="Arial"/>
                <w:sz w:val="16"/>
                <w:szCs w:val="16"/>
                <w:color w:val="auto"/>
              </w:rPr>
              <w:t>MSCI Revenue</w:t>
            </w:r>
          </w:p>
        </w:tc>
        <w:tc>
          <w:tcPr>
            <w:tcW w:w="4080" w:type="dxa"/>
            <w:vAlign w:val="bottom"/>
            <w:shd w:val="clear" w:color="auto" w:fill="F0F1F8"/>
          </w:tcPr>
          <w:p>
            <w:pPr>
              <w:jc w:val="right"/>
              <w:ind w:right="143"/>
              <w:spacing w:after="0"/>
              <w:rPr>
                <w:sz w:val="20"/>
                <w:szCs w:val="20"/>
                <w:color w:val="auto"/>
              </w:rPr>
            </w:pPr>
            <w:r>
              <w:rPr>
                <w:rFonts w:ascii="Arial" w:cs="Arial" w:eastAsia="Arial" w:hAnsi="Arial"/>
                <w:sz w:val="16"/>
                <w:szCs w:val="16"/>
                <w:color w:val="auto"/>
              </w:rPr>
              <w:t>1,872.4</w:t>
            </w:r>
          </w:p>
        </w:tc>
        <w:tc>
          <w:tcPr>
            <w:tcW w:w="1420" w:type="dxa"/>
            <w:vAlign w:val="bottom"/>
            <w:shd w:val="clear" w:color="auto" w:fill="F0F1F8"/>
          </w:tcPr>
          <w:p>
            <w:pPr>
              <w:jc w:val="right"/>
              <w:ind w:right="263"/>
              <w:spacing w:after="0"/>
              <w:rPr>
                <w:sz w:val="20"/>
                <w:szCs w:val="20"/>
                <w:color w:val="auto"/>
              </w:rPr>
            </w:pPr>
            <w:r>
              <w:rPr>
                <w:rFonts w:ascii="Arial" w:cs="Arial" w:eastAsia="Arial" w:hAnsi="Arial"/>
                <w:sz w:val="16"/>
                <w:szCs w:val="16"/>
                <w:color w:val="auto"/>
              </w:rPr>
              <w:t>+22.1</w:t>
            </w:r>
          </w:p>
        </w:tc>
        <w:tc>
          <w:tcPr>
            <w:tcW w:w="960" w:type="dxa"/>
            <w:vAlign w:val="bottom"/>
            <w:shd w:val="clear" w:color="auto" w:fill="F0F1F8"/>
          </w:tcPr>
          <w:p>
            <w:pPr>
              <w:jc w:val="right"/>
              <w:spacing w:after="0"/>
              <w:rPr>
                <w:sz w:val="20"/>
                <w:szCs w:val="20"/>
                <w:color w:val="auto"/>
              </w:rPr>
            </w:pPr>
            <w:r>
              <w:rPr>
                <w:rFonts w:ascii="Arial" w:cs="Arial" w:eastAsia="Arial" w:hAnsi="Arial"/>
                <w:sz w:val="16"/>
                <w:szCs w:val="16"/>
                <w:color w:val="auto"/>
              </w:rPr>
              <w:t>1,894.6</w:t>
            </w:r>
          </w:p>
        </w:tc>
      </w:tr>
      <w:tr>
        <w:trPr>
          <w:trHeight w:val="232"/>
        </w:trPr>
        <w:tc>
          <w:tcPr>
            <w:tcW w:w="4780" w:type="dxa"/>
            <w:vAlign w:val="bottom"/>
          </w:tcPr>
          <w:p>
            <w:pPr>
              <w:ind w:left="60"/>
              <w:spacing w:after="0"/>
              <w:rPr>
                <w:sz w:val="20"/>
                <w:szCs w:val="20"/>
                <w:color w:val="auto"/>
              </w:rPr>
            </w:pPr>
            <w:r>
              <w:rPr>
                <w:rFonts w:ascii="Arial" w:cs="Arial" w:eastAsia="Arial" w:hAnsi="Arial"/>
                <w:sz w:val="16"/>
                <w:szCs w:val="16"/>
                <w:color w:val="auto"/>
              </w:rPr>
              <w:t>MSCI Total Net New Sales</w:t>
            </w:r>
          </w:p>
        </w:tc>
        <w:tc>
          <w:tcPr>
            <w:tcW w:w="4080" w:type="dxa"/>
            <w:vAlign w:val="bottom"/>
          </w:tcPr>
          <w:p>
            <w:pPr>
              <w:jc w:val="right"/>
              <w:ind w:right="143"/>
              <w:spacing w:after="0"/>
              <w:rPr>
                <w:sz w:val="20"/>
                <w:szCs w:val="20"/>
                <w:color w:val="auto"/>
              </w:rPr>
            </w:pPr>
            <w:r>
              <w:rPr>
                <w:rFonts w:ascii="Arial" w:cs="Arial" w:eastAsia="Arial" w:hAnsi="Arial"/>
                <w:sz w:val="16"/>
                <w:szCs w:val="16"/>
                <w:color w:val="auto"/>
              </w:rPr>
              <w:t>222.2</w:t>
            </w:r>
          </w:p>
        </w:tc>
        <w:tc>
          <w:tcPr>
            <w:tcW w:w="1420" w:type="dxa"/>
            <w:vAlign w:val="bottom"/>
          </w:tcPr>
          <w:p>
            <w:pPr>
              <w:jc w:val="right"/>
              <w:ind w:right="263"/>
              <w:spacing w:after="0"/>
              <w:rPr>
                <w:sz w:val="20"/>
                <w:szCs w:val="20"/>
                <w:color w:val="auto"/>
              </w:rPr>
            </w:pPr>
            <w:r>
              <w:rPr>
                <w:rFonts w:ascii="Arial" w:cs="Arial" w:eastAsia="Arial" w:hAnsi="Arial"/>
                <w:sz w:val="16"/>
                <w:szCs w:val="16"/>
                <w:color w:val="auto"/>
              </w:rPr>
              <w:t>+3.1</w:t>
            </w:r>
          </w:p>
        </w:tc>
        <w:tc>
          <w:tcPr>
            <w:tcW w:w="960" w:type="dxa"/>
            <w:vAlign w:val="bottom"/>
          </w:tcPr>
          <w:p>
            <w:pPr>
              <w:jc w:val="right"/>
              <w:spacing w:after="0"/>
              <w:rPr>
                <w:sz w:val="20"/>
                <w:szCs w:val="20"/>
                <w:color w:val="auto"/>
              </w:rPr>
            </w:pPr>
            <w:r>
              <w:rPr>
                <w:rFonts w:ascii="Arial" w:cs="Arial" w:eastAsia="Arial" w:hAnsi="Arial"/>
                <w:sz w:val="16"/>
                <w:szCs w:val="16"/>
                <w:color w:val="auto"/>
              </w:rPr>
              <w:t>225.3</w:t>
            </w:r>
          </w:p>
        </w:tc>
      </w:tr>
      <w:tr>
        <w:trPr>
          <w:trHeight w:val="244"/>
        </w:trPr>
        <w:tc>
          <w:tcPr>
            <w:tcW w:w="4780" w:type="dxa"/>
            <w:vAlign w:val="bottom"/>
            <w:tcBorders>
              <w:bottom w:val="single" w:sz="8" w:color="auto"/>
            </w:tcBorders>
            <w:shd w:val="clear" w:color="auto" w:fill="F0F1F8"/>
          </w:tcPr>
          <w:p>
            <w:pPr>
              <w:ind w:left="60"/>
              <w:spacing w:after="0"/>
              <w:rPr>
                <w:sz w:val="20"/>
                <w:szCs w:val="20"/>
                <w:color w:val="auto"/>
              </w:rPr>
            </w:pPr>
            <w:r>
              <w:rPr>
                <w:rFonts w:ascii="Arial" w:cs="Arial" w:eastAsia="Arial" w:hAnsi="Arial"/>
                <w:sz w:val="16"/>
                <w:szCs w:val="16"/>
                <w:color w:val="auto"/>
              </w:rPr>
              <w:t>Free Cash Flow</w:t>
            </w:r>
          </w:p>
        </w:tc>
        <w:tc>
          <w:tcPr>
            <w:tcW w:w="4080" w:type="dxa"/>
            <w:vAlign w:val="bottom"/>
            <w:tcBorders>
              <w:bottom w:val="single" w:sz="8" w:color="auto"/>
            </w:tcBorders>
            <w:shd w:val="clear" w:color="auto" w:fill="F0F1F8"/>
          </w:tcPr>
          <w:p>
            <w:pPr>
              <w:jc w:val="right"/>
              <w:ind w:right="143"/>
              <w:spacing w:after="0"/>
              <w:rPr>
                <w:sz w:val="20"/>
                <w:szCs w:val="20"/>
                <w:color w:val="auto"/>
              </w:rPr>
            </w:pPr>
            <w:r>
              <w:rPr>
                <w:rFonts w:ascii="Arial" w:cs="Arial" w:eastAsia="Arial" w:hAnsi="Arial"/>
                <w:sz w:val="16"/>
                <w:szCs w:val="16"/>
                <w:color w:val="auto"/>
              </w:rPr>
              <w:t>790.1</w:t>
            </w:r>
          </w:p>
        </w:tc>
        <w:tc>
          <w:tcPr>
            <w:tcW w:w="1420" w:type="dxa"/>
            <w:vAlign w:val="bottom"/>
            <w:tcBorders>
              <w:bottom w:val="single" w:sz="8" w:color="auto"/>
            </w:tcBorders>
            <w:shd w:val="clear" w:color="auto" w:fill="F0F1F8"/>
          </w:tcPr>
          <w:p>
            <w:pPr>
              <w:jc w:val="right"/>
              <w:ind w:right="263"/>
              <w:spacing w:after="0"/>
              <w:rPr>
                <w:sz w:val="20"/>
                <w:szCs w:val="20"/>
                <w:color w:val="auto"/>
              </w:rPr>
            </w:pPr>
            <w:r>
              <w:rPr>
                <w:rFonts w:ascii="Arial" w:cs="Arial" w:eastAsia="Arial" w:hAnsi="Arial"/>
                <w:sz w:val="16"/>
                <w:szCs w:val="16"/>
                <w:color w:val="auto"/>
              </w:rPr>
              <w:t>-103.0</w:t>
            </w:r>
          </w:p>
        </w:tc>
        <w:tc>
          <w:tcPr>
            <w:tcW w:w="960" w:type="dxa"/>
            <w:vAlign w:val="bottom"/>
            <w:tcBorders>
              <w:bottom w:val="single" w:sz="8" w:color="auto"/>
            </w:tcBorders>
            <w:shd w:val="clear" w:color="auto" w:fill="F0F1F8"/>
          </w:tcPr>
          <w:p>
            <w:pPr>
              <w:jc w:val="right"/>
              <w:spacing w:after="0"/>
              <w:rPr>
                <w:sz w:val="20"/>
                <w:szCs w:val="20"/>
                <w:color w:val="auto"/>
              </w:rPr>
            </w:pPr>
            <w:r>
              <w:rPr>
                <w:rFonts w:ascii="Arial" w:cs="Arial" w:eastAsia="Arial" w:hAnsi="Arial"/>
                <w:sz w:val="16"/>
                <w:szCs w:val="16"/>
                <w:color w:val="auto"/>
              </w:rPr>
              <w:t>687.1</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KPI COMPONENT AND DE&amp;I GOALS COMPONENT</w:t>
      </w:r>
    </w:p>
    <w:p>
      <w:pPr>
        <w:spacing w:after="0" w:line="233"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The Compensation Committee believes that including KPIs (20% of the target AIP cash bonus amount) and DE&amp;I Goals (10% of the target AIP cash bonus amount) under the AIP provides an opportunity to assess individual results against specific goals as well as progress against multi-year efforts. The Compensation Committee regularly assesses the components and metrics used in the AIP and the weighting of those components and metrics, in addition to taking into account shareholder feedback.</w:t>
      </w:r>
    </w:p>
    <w:p>
      <w:pPr>
        <w:spacing w:after="0" w:line="150"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In 2021, we accelerated our commitment to advancing DE&amp;I by linking the AIP target compensation of each Managing Director, including each of our NEOs, to DE&amp;I progress. Our Managing Directors’ DE&amp;I Goals are intended to ensure long-term stability at the Company, align with our long-term strategy and enhance our DE&amp;I objectives. In particular, our CEO’s KPIs and DE&amp;I Goals are directly tied to long-term strategic transformation, succession planning, new-hire onboarding and strengthening MSCI’s culture of inclusion and belonging, all of which build a strong foundation for future growth.</w:t>
      </w:r>
    </w:p>
    <w:p>
      <w:pPr>
        <w:spacing w:after="0" w:line="150" w:lineRule="exact"/>
        <w:rPr>
          <w:sz w:val="20"/>
          <w:szCs w:val="20"/>
          <w:color w:val="auto"/>
        </w:rPr>
      </w:pPr>
    </w:p>
    <w:p>
      <w:pPr>
        <w:ind w:right="100"/>
        <w:spacing w:after="0" w:line="246" w:lineRule="auto"/>
        <w:rPr>
          <w:sz w:val="20"/>
          <w:szCs w:val="20"/>
          <w:color w:val="auto"/>
        </w:rPr>
      </w:pPr>
      <w:r>
        <w:rPr>
          <w:rFonts w:ascii="Arial" w:cs="Arial" w:eastAsia="Arial" w:hAnsi="Arial"/>
          <w:sz w:val="16"/>
          <w:szCs w:val="16"/>
          <w:color w:val="auto"/>
        </w:rPr>
        <w:t>We developed an Executive Accountability Framework (“EAF”) to establish the philosophy and process to assess each Managing Director’s progress against DE&amp;I Goals and overall DE&amp;I performance, considering specific goals set by each Managing Director at the beginning of the year. The EAF stresses that creating an inclusive environment is as important as improving diverse representation; therefore, Managing Directors are assessed on their qualitative and quantitative results with a range of potential outcomes including those relating to talent development, retention, hiring practices and engagement. In addition, leaders are assessed as to whether they consistently display inclusive leadership behaviors and drive activity that fosters an inclusive environment. Each NEO was assessed individually with further calibration across all NEOs. Performance recommendations were then made to the Compensation Committee, which reviewed and approved performance in respect of each NEO.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154545" cy="209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00" w:type="dxa"/>
            <w:vAlign w:val="bottom"/>
            <w:tcBorders>
              <w:right w:val="single" w:sz="8" w:color="16479F"/>
            </w:tcBorders>
          </w:tcPr>
          <w:p>
            <w:pPr>
              <w:ind w:left="8700"/>
              <w:spacing w:after="0"/>
              <w:rPr>
                <w:sz w:val="20"/>
                <w:szCs w:val="20"/>
                <w:color w:val="auto"/>
              </w:rPr>
            </w:pPr>
            <w:r>
              <w:rPr>
                <w:rFonts w:ascii="Arial" w:cs="Arial" w:eastAsia="Arial" w:hAnsi="Arial"/>
                <w:sz w:val="14"/>
                <w:szCs w:val="14"/>
                <w:b w:val="1"/>
                <w:bCs w:val="1"/>
                <w:color w:val="16479F"/>
              </w:rPr>
              <w:t>2022 PROXY STATEMENT</w:t>
            </w:r>
          </w:p>
        </w:tc>
        <w:tc>
          <w:tcPr>
            <w:tcW w:w="640" w:type="dxa"/>
            <w:vAlign w:val="bottom"/>
          </w:tcPr>
          <w:p>
            <w:pPr>
              <w:jc w:val="right"/>
              <w:ind w:right="9"/>
              <w:spacing w:after="0"/>
              <w:rPr>
                <w:sz w:val="20"/>
                <w:szCs w:val="20"/>
                <w:color w:val="auto"/>
              </w:rPr>
            </w:pPr>
            <w:r>
              <w:rPr>
                <w:rFonts w:ascii="Arial" w:cs="Arial" w:eastAsia="Arial" w:hAnsi="Arial"/>
                <w:sz w:val="14"/>
                <w:szCs w:val="14"/>
                <w:b w:val="1"/>
                <w:bCs w:val="1"/>
                <w:color w:val="16479F"/>
              </w:rPr>
              <w:t>73</w:t>
            </w:r>
          </w:p>
        </w:tc>
      </w:tr>
      <w:tr>
        <w:trPr>
          <w:trHeight w:val="65"/>
        </w:trPr>
        <w:tc>
          <w:tcPr>
            <w:tcW w:w="10600" w:type="dxa"/>
            <w:vAlign w:val="bottom"/>
            <w:tcBorders>
              <w:bottom w:val="single" w:sz="8" w:color="16479F"/>
              <w:right w:val="single" w:sz="8" w:color="16479F"/>
            </w:tcBorders>
          </w:tcPr>
          <w:p>
            <w:pPr>
              <w:spacing w:after="0"/>
              <w:rPr>
                <w:sz w:val="5"/>
                <w:szCs w:val="5"/>
                <w:color w:val="auto"/>
              </w:rPr>
            </w:pPr>
          </w:p>
        </w:tc>
        <w:tc>
          <w:tcPr>
            <w:tcW w:w="640" w:type="dxa"/>
            <w:vAlign w:val="bottom"/>
            <w:tcBorders>
              <w:bottom w:val="single" w:sz="8" w:color="16479F"/>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153035</wp:posOffset>
            </wp:positionV>
            <wp:extent cx="7133590" cy="153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3590" cy="153035"/>
                    </a:xfrm>
                    <a:prstGeom prst="rect">
                      <a:avLst/>
                    </a:prstGeom>
                    <a:noFill/>
                  </pic:spPr>
                </pic:pic>
              </a:graphicData>
            </a:graphic>
          </wp:anchor>
        </w:drawing>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FFFFFF"/>
        </w:rPr>
        <w:t>HENRY A. FERNANDEZ, CHAIRMAN OF THE BOARD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30480</wp:posOffset>
            </wp:positionV>
            <wp:extent cx="7133590" cy="28397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3590" cy="283972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11" w:lineRule="exact"/>
        <w:rPr>
          <w:sz w:val="20"/>
          <w:szCs w:val="20"/>
          <w:color w:val="auto"/>
        </w:rPr>
      </w:pPr>
    </w:p>
    <w:p>
      <w:pPr>
        <w:jc w:val="both"/>
        <w:ind w:left="100"/>
        <w:spacing w:after="0" w:line="263" w:lineRule="auto"/>
        <w:rPr>
          <w:sz w:val="20"/>
          <w:szCs w:val="20"/>
          <w:color w:val="auto"/>
        </w:rPr>
      </w:pPr>
      <w:r>
        <w:rPr>
          <w:rFonts w:ascii="Arial" w:cs="Arial" w:eastAsia="Arial" w:hAnsi="Arial"/>
          <w:sz w:val="16"/>
          <w:szCs w:val="16"/>
          <w:b w:val="1"/>
          <w:bCs w:val="1"/>
          <w:color w:val="16479F"/>
        </w:rPr>
        <w:t>Drive exceptional financial performance and enhance capital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00" w:right="80"/>
        <w:spacing w:after="0" w:line="257" w:lineRule="auto"/>
        <w:rPr>
          <w:sz w:val="20"/>
          <w:szCs w:val="20"/>
          <w:color w:val="auto"/>
        </w:rPr>
      </w:pPr>
      <w:r>
        <w:rPr>
          <w:rFonts w:ascii="Arial" w:cs="Arial" w:eastAsia="Arial" w:hAnsi="Arial"/>
          <w:sz w:val="16"/>
          <w:szCs w:val="16"/>
          <w:b w:val="1"/>
          <w:bCs w:val="1"/>
          <w:color w:val="16479F"/>
        </w:rPr>
        <w:t>Drive shareholder value through strategic partnerships and product launches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00" w:right="60"/>
        <w:spacing w:after="0" w:line="257" w:lineRule="auto"/>
        <w:rPr>
          <w:sz w:val="20"/>
          <w:szCs w:val="20"/>
          <w:color w:val="auto"/>
        </w:rPr>
      </w:pPr>
      <w:r>
        <w:rPr>
          <w:rFonts w:ascii="Arial" w:cs="Arial" w:eastAsia="Arial" w:hAnsi="Arial"/>
          <w:sz w:val="16"/>
          <w:szCs w:val="16"/>
          <w:b w:val="1"/>
          <w:bCs w:val="1"/>
          <w:color w:val="16479F"/>
        </w:rPr>
        <w:t>Advance MSCI’s climate capabilities and helped clients transition to a Net-Zero world</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left="241" w:right="240" w:hanging="223"/>
        <w:spacing w:after="0" w:line="256" w:lineRule="auto"/>
        <w:tabs>
          <w:tab w:leader="none" w:pos="248" w:val="left"/>
        </w:tabs>
        <w:numPr>
          <w:ilvl w:val="1"/>
          <w:numId w:val="117"/>
        </w:numPr>
        <w:rPr>
          <w:rFonts w:ascii="Arial" w:cs="Arial" w:eastAsia="Arial" w:hAnsi="Arial"/>
          <w:sz w:val="16"/>
          <w:szCs w:val="16"/>
          <w:b w:val="1"/>
          <w:bCs w:val="1"/>
          <w:color w:val="16479F"/>
        </w:rPr>
      </w:pPr>
      <w:r>
        <w:rPr>
          <w:rFonts w:ascii="Arial" w:cs="Arial" w:eastAsia="Arial" w:hAnsi="Arial"/>
          <w:sz w:val="16"/>
          <w:szCs w:val="16"/>
          <w:color w:val="auto"/>
        </w:rPr>
        <w:t>Achieved exceptional results in 2021, demonstrating the strength of an ambitious strategy, key long-term investments and consistent execution, along with unprecedented demand for the Company’s solutions.</w:t>
      </w:r>
    </w:p>
    <w:p>
      <w:pPr>
        <w:spacing w:after="0" w:line="143" w:lineRule="exact"/>
        <w:rPr>
          <w:rFonts w:ascii="Arial" w:cs="Arial" w:eastAsia="Arial" w:hAnsi="Arial"/>
          <w:sz w:val="16"/>
          <w:szCs w:val="16"/>
          <w:b w:val="1"/>
          <w:bCs w:val="1"/>
          <w:color w:val="16479F"/>
        </w:rPr>
      </w:pPr>
    </w:p>
    <w:p>
      <w:pPr>
        <w:ind w:left="241" w:hanging="223"/>
        <w:spacing w:after="0"/>
        <w:tabs>
          <w:tab w:leader="none" w:pos="241" w:val="left"/>
        </w:tabs>
        <w:numPr>
          <w:ilvl w:val="1"/>
          <w:numId w:val="117"/>
        </w:numPr>
        <w:rPr>
          <w:rFonts w:ascii="Arial" w:cs="Arial" w:eastAsia="Arial" w:hAnsi="Arial"/>
          <w:sz w:val="16"/>
          <w:szCs w:val="16"/>
          <w:b w:val="1"/>
          <w:bCs w:val="1"/>
          <w:color w:val="16479F"/>
        </w:rPr>
      </w:pPr>
      <w:r>
        <w:rPr>
          <w:rFonts w:ascii="Arial" w:cs="Arial" w:eastAsia="Arial" w:hAnsi="Arial"/>
          <w:sz w:val="16"/>
          <w:szCs w:val="16"/>
          <w:color w:val="auto"/>
        </w:rPr>
        <w:t>Highlights include the following (versus 2020):</w:t>
      </w:r>
    </w:p>
    <w:p>
      <w:pPr>
        <w:spacing w:after="0" w:line="164" w:lineRule="exact"/>
        <w:rPr>
          <w:rFonts w:ascii="Arial" w:cs="Arial" w:eastAsia="Arial" w:hAnsi="Arial"/>
          <w:sz w:val="16"/>
          <w:szCs w:val="16"/>
          <w:b w:val="1"/>
          <w:bCs w:val="1"/>
          <w:color w:val="16479F"/>
        </w:rPr>
      </w:pPr>
    </w:p>
    <w:p>
      <w:pPr>
        <w:ind w:left="461" w:hanging="228"/>
        <w:spacing w:after="0"/>
        <w:tabs>
          <w:tab w:leader="none" w:pos="461" w:val="left"/>
        </w:tabs>
        <w:numPr>
          <w:ilvl w:val="2"/>
          <w:numId w:val="117"/>
        </w:numPr>
        <w:rPr>
          <w:rFonts w:ascii="Arial" w:cs="Arial" w:eastAsia="Arial" w:hAnsi="Arial"/>
          <w:sz w:val="16"/>
          <w:szCs w:val="16"/>
          <w:b w:val="1"/>
          <w:bCs w:val="1"/>
          <w:color w:val="16479F"/>
        </w:rPr>
      </w:pPr>
      <w:r>
        <w:rPr>
          <w:rFonts w:ascii="Arial" w:cs="Arial" w:eastAsia="Arial" w:hAnsi="Arial"/>
          <w:sz w:val="16"/>
          <w:szCs w:val="16"/>
          <w:color w:val="auto"/>
        </w:rPr>
        <w:t>2021 Full-Year Operating Revenue of $2.04 billion, up 20.5%.</w:t>
      </w:r>
    </w:p>
    <w:p>
      <w:pPr>
        <w:spacing w:after="0" w:line="164" w:lineRule="exact"/>
        <w:rPr>
          <w:rFonts w:ascii="Arial" w:cs="Arial" w:eastAsia="Arial" w:hAnsi="Arial"/>
          <w:sz w:val="16"/>
          <w:szCs w:val="16"/>
          <w:b w:val="1"/>
          <w:bCs w:val="1"/>
          <w:color w:val="16479F"/>
        </w:rPr>
      </w:pPr>
    </w:p>
    <w:p>
      <w:pPr>
        <w:ind w:left="461" w:hanging="228"/>
        <w:spacing w:after="0"/>
        <w:tabs>
          <w:tab w:leader="none" w:pos="461" w:val="left"/>
        </w:tabs>
        <w:numPr>
          <w:ilvl w:val="2"/>
          <w:numId w:val="117"/>
        </w:numPr>
        <w:rPr>
          <w:rFonts w:ascii="Arial" w:cs="Arial" w:eastAsia="Arial" w:hAnsi="Arial"/>
          <w:sz w:val="16"/>
          <w:szCs w:val="16"/>
          <w:b w:val="1"/>
          <w:bCs w:val="1"/>
          <w:color w:val="16479F"/>
        </w:rPr>
      </w:pPr>
      <w:r>
        <w:rPr>
          <w:rFonts w:ascii="Arial" w:cs="Arial" w:eastAsia="Arial" w:hAnsi="Arial"/>
          <w:sz w:val="16"/>
          <w:szCs w:val="16"/>
          <w:color w:val="auto"/>
        </w:rPr>
        <w:t>2021 Full-Year Net New Sales up 48.7%.</w:t>
      </w:r>
    </w:p>
    <w:p>
      <w:pPr>
        <w:spacing w:after="0" w:line="161" w:lineRule="exact"/>
        <w:rPr>
          <w:rFonts w:ascii="Arial" w:cs="Arial" w:eastAsia="Arial" w:hAnsi="Arial"/>
          <w:sz w:val="16"/>
          <w:szCs w:val="16"/>
          <w:b w:val="1"/>
          <w:bCs w:val="1"/>
          <w:color w:val="16479F"/>
        </w:rPr>
      </w:pPr>
    </w:p>
    <w:p>
      <w:pPr>
        <w:ind w:left="461" w:hanging="228"/>
        <w:spacing w:after="0"/>
        <w:tabs>
          <w:tab w:leader="none" w:pos="461" w:val="left"/>
        </w:tabs>
        <w:numPr>
          <w:ilvl w:val="2"/>
          <w:numId w:val="117"/>
        </w:numPr>
        <w:rPr>
          <w:rFonts w:ascii="Arial" w:cs="Arial" w:eastAsia="Arial" w:hAnsi="Arial"/>
          <w:sz w:val="16"/>
          <w:szCs w:val="16"/>
          <w:b w:val="1"/>
          <w:bCs w:val="1"/>
          <w:color w:val="16479F"/>
        </w:rPr>
      </w:pPr>
      <w:r>
        <w:rPr>
          <w:rFonts w:ascii="Arial" w:cs="Arial" w:eastAsia="Arial" w:hAnsi="Arial"/>
          <w:sz w:val="16"/>
          <w:szCs w:val="16"/>
          <w:color w:val="auto"/>
        </w:rPr>
        <w:t>2021 Full-Year Adjusted EPS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up 27.1%.</w:t>
      </w:r>
    </w:p>
    <w:p>
      <w:pPr>
        <w:spacing w:after="0" w:line="89" w:lineRule="exact"/>
        <w:rPr>
          <w:rFonts w:ascii="Arial" w:cs="Arial" w:eastAsia="Arial" w:hAnsi="Arial"/>
          <w:sz w:val="16"/>
          <w:szCs w:val="16"/>
          <w:b w:val="1"/>
          <w:bCs w:val="1"/>
          <w:color w:val="16479F"/>
        </w:rPr>
      </w:pPr>
    </w:p>
    <w:p>
      <w:pPr>
        <w:ind w:left="461" w:hanging="228"/>
        <w:spacing w:after="0"/>
        <w:tabs>
          <w:tab w:leader="none" w:pos="461" w:val="left"/>
        </w:tabs>
        <w:numPr>
          <w:ilvl w:val="2"/>
          <w:numId w:val="117"/>
        </w:numPr>
        <w:rPr>
          <w:rFonts w:ascii="Arial" w:cs="Arial" w:eastAsia="Arial" w:hAnsi="Arial"/>
          <w:sz w:val="16"/>
          <w:szCs w:val="16"/>
          <w:b w:val="1"/>
          <w:bCs w:val="1"/>
          <w:color w:val="16479F"/>
        </w:rPr>
      </w:pPr>
      <w:r>
        <w:rPr>
          <w:rFonts w:ascii="Arial" w:cs="Arial" w:eastAsia="Arial" w:hAnsi="Arial"/>
          <w:sz w:val="16"/>
          <w:szCs w:val="16"/>
          <w:color w:val="auto"/>
        </w:rPr>
        <w:t>2021 Full-Year Free Cash Flow</w:t>
      </w:r>
      <w:r>
        <w:rPr>
          <w:rFonts w:ascii="Arial" w:cs="Arial" w:eastAsia="Arial" w:hAnsi="Arial"/>
          <w:sz w:val="26"/>
          <w:szCs w:val="26"/>
          <w:color w:val="auto"/>
          <w:vertAlign w:val="superscript"/>
        </w:rPr>
        <w:t>*</w:t>
      </w:r>
      <w:r>
        <w:rPr>
          <w:rFonts w:ascii="Arial" w:cs="Arial" w:eastAsia="Arial" w:hAnsi="Arial"/>
          <w:sz w:val="16"/>
          <w:szCs w:val="16"/>
          <w:color w:val="auto"/>
        </w:rPr>
        <w:t xml:space="preserve"> up 16.2%.</w:t>
      </w:r>
    </w:p>
    <w:p>
      <w:pPr>
        <w:spacing w:after="0" w:line="91" w:lineRule="exact"/>
        <w:rPr>
          <w:rFonts w:ascii="Arial" w:cs="Arial" w:eastAsia="Arial" w:hAnsi="Arial"/>
          <w:sz w:val="16"/>
          <w:szCs w:val="16"/>
          <w:b w:val="1"/>
          <w:bCs w:val="1"/>
          <w:color w:val="16479F"/>
        </w:rPr>
      </w:pPr>
    </w:p>
    <w:p>
      <w:pPr>
        <w:ind w:left="241" w:hanging="223"/>
        <w:spacing w:after="0"/>
        <w:tabs>
          <w:tab w:leader="none" w:pos="241" w:val="left"/>
        </w:tabs>
        <w:numPr>
          <w:ilvl w:val="1"/>
          <w:numId w:val="117"/>
        </w:numPr>
        <w:rPr>
          <w:rFonts w:ascii="Arial" w:cs="Arial" w:eastAsia="Arial" w:hAnsi="Arial"/>
          <w:sz w:val="16"/>
          <w:szCs w:val="16"/>
          <w:b w:val="1"/>
          <w:bCs w:val="1"/>
          <w:color w:val="16479F"/>
        </w:rPr>
      </w:pPr>
      <w:r>
        <w:rPr>
          <w:rFonts w:ascii="Arial" w:cs="Arial" w:eastAsia="Arial" w:hAnsi="Arial"/>
          <w:sz w:val="16"/>
          <w:szCs w:val="16"/>
          <w:color w:val="auto"/>
        </w:rPr>
        <w:t>Expanded MSCI’s role as a change agent for the global investment industry.</w:t>
      </w:r>
    </w:p>
    <w:p>
      <w:pPr>
        <w:spacing w:after="0" w:line="164" w:lineRule="exact"/>
        <w:rPr>
          <w:rFonts w:ascii="Arial" w:cs="Arial" w:eastAsia="Arial" w:hAnsi="Arial"/>
          <w:sz w:val="16"/>
          <w:szCs w:val="16"/>
          <w:b w:val="1"/>
          <w:bCs w:val="1"/>
          <w:color w:val="16479F"/>
        </w:rPr>
      </w:pPr>
    </w:p>
    <w:p>
      <w:pPr>
        <w:ind w:left="241" w:right="400" w:hanging="223"/>
        <w:spacing w:after="0" w:line="256" w:lineRule="auto"/>
        <w:tabs>
          <w:tab w:leader="none" w:pos="257" w:val="left"/>
        </w:tabs>
        <w:numPr>
          <w:ilvl w:val="1"/>
          <w:numId w:val="117"/>
        </w:numPr>
        <w:rPr>
          <w:rFonts w:ascii="Arial" w:cs="Arial" w:eastAsia="Arial" w:hAnsi="Arial"/>
          <w:sz w:val="16"/>
          <w:szCs w:val="16"/>
          <w:b w:val="1"/>
          <w:bCs w:val="1"/>
          <w:color w:val="16479F"/>
        </w:rPr>
      </w:pPr>
      <w:r>
        <w:rPr>
          <w:rFonts w:ascii="Arial" w:cs="Arial" w:eastAsia="Arial" w:hAnsi="Arial"/>
          <w:sz w:val="16"/>
          <w:szCs w:val="16"/>
          <w:color w:val="auto"/>
        </w:rPr>
        <w:t>Led strategic progress in providing the common language and tools investors use for indexation, risk management, factors, ESG, climate and other key investment categories.</w:t>
      </w:r>
    </w:p>
    <w:p>
      <w:pPr>
        <w:spacing w:after="0" w:line="143" w:lineRule="exact"/>
        <w:rPr>
          <w:rFonts w:ascii="Arial" w:cs="Arial" w:eastAsia="Arial" w:hAnsi="Arial"/>
          <w:sz w:val="16"/>
          <w:szCs w:val="16"/>
          <w:b w:val="1"/>
          <w:bCs w:val="1"/>
          <w:color w:val="16479F"/>
        </w:rPr>
      </w:pPr>
    </w:p>
    <w:p>
      <w:pPr>
        <w:ind w:left="241" w:right="80" w:hanging="223"/>
        <w:spacing w:after="0" w:line="256" w:lineRule="auto"/>
        <w:tabs>
          <w:tab w:leader="none" w:pos="257" w:val="left"/>
        </w:tabs>
        <w:numPr>
          <w:ilvl w:val="1"/>
          <w:numId w:val="117"/>
        </w:numPr>
        <w:rPr>
          <w:rFonts w:ascii="Arial" w:cs="Arial" w:eastAsia="Arial" w:hAnsi="Arial"/>
          <w:sz w:val="16"/>
          <w:szCs w:val="16"/>
          <w:b w:val="1"/>
          <w:bCs w:val="1"/>
          <w:color w:val="16479F"/>
        </w:rPr>
      </w:pPr>
      <w:r>
        <w:rPr>
          <w:rFonts w:ascii="Arial" w:cs="Arial" w:eastAsia="Arial" w:hAnsi="Arial"/>
          <w:sz w:val="16"/>
          <w:szCs w:val="16"/>
          <w:color w:val="auto"/>
        </w:rPr>
        <w:t>Oversaw “triple crown” investments to help fuel future growth and meet client demand, including through the acquisition of Real Capital Analytics, a global commercial real estate data provider.</w:t>
      </w:r>
    </w:p>
    <w:p>
      <w:pPr>
        <w:spacing w:after="0" w:line="143" w:lineRule="exact"/>
        <w:rPr>
          <w:rFonts w:ascii="Arial" w:cs="Arial" w:eastAsia="Arial" w:hAnsi="Arial"/>
          <w:sz w:val="16"/>
          <w:szCs w:val="16"/>
          <w:b w:val="1"/>
          <w:bCs w:val="1"/>
          <w:color w:val="16479F"/>
        </w:rPr>
      </w:pPr>
    </w:p>
    <w:p>
      <w:pPr>
        <w:ind w:left="261" w:right="120" w:hanging="261"/>
        <w:spacing w:after="0" w:line="250" w:lineRule="auto"/>
        <w:tabs>
          <w:tab w:leader="none" w:pos="224" w:val="left"/>
        </w:tabs>
        <w:numPr>
          <w:ilvl w:val="0"/>
          <w:numId w:val="117"/>
        </w:numPr>
        <w:rPr>
          <w:rFonts w:ascii="Arial" w:cs="Arial" w:eastAsia="Arial" w:hAnsi="Arial"/>
          <w:sz w:val="16"/>
          <w:szCs w:val="16"/>
          <w:b w:val="1"/>
          <w:bCs w:val="1"/>
          <w:color w:val="16479F"/>
        </w:rPr>
      </w:pPr>
      <w:r>
        <w:rPr>
          <w:rFonts w:ascii="Arial" w:cs="Arial" w:eastAsia="Arial" w:hAnsi="Arial"/>
          <w:sz w:val="16"/>
          <w:szCs w:val="16"/>
          <w:color w:val="auto"/>
        </w:rPr>
        <w:t>Returned capital to shareholders, including opportunistically repurchasing approximately $140 million of MSCI common stock and returning approximately $300 million to shareholders in the form of quarterly dividends (increase of approximately 23% versus 2020).</w:t>
      </w:r>
    </w:p>
    <w:p>
      <w:pPr>
        <w:spacing w:after="0" w:line="121" w:lineRule="exact"/>
        <w:rPr>
          <w:rFonts w:ascii="Arial" w:cs="Arial" w:eastAsia="Arial" w:hAnsi="Arial"/>
          <w:sz w:val="16"/>
          <w:szCs w:val="16"/>
          <w:b w:val="1"/>
          <w:bCs w:val="1"/>
          <w:color w:val="16479F"/>
        </w:rPr>
      </w:pPr>
    </w:p>
    <w:p>
      <w:pPr>
        <w:ind w:left="241" w:right="400" w:hanging="223"/>
        <w:spacing w:after="0" w:line="256" w:lineRule="auto"/>
        <w:tabs>
          <w:tab w:leader="none" w:pos="257" w:val="left"/>
        </w:tabs>
        <w:numPr>
          <w:ilvl w:val="1"/>
          <w:numId w:val="117"/>
        </w:numPr>
        <w:rPr>
          <w:rFonts w:ascii="Arial" w:cs="Arial" w:eastAsia="Arial" w:hAnsi="Arial"/>
          <w:sz w:val="16"/>
          <w:szCs w:val="16"/>
          <w:b w:val="1"/>
          <w:bCs w:val="1"/>
          <w:color w:val="16479F"/>
        </w:rPr>
      </w:pPr>
      <w:r>
        <w:rPr>
          <w:rFonts w:ascii="Arial" w:cs="Arial" w:eastAsia="Arial" w:hAnsi="Arial"/>
          <w:sz w:val="16"/>
          <w:szCs w:val="16"/>
          <w:color w:val="auto"/>
        </w:rPr>
        <w:t>Prioritized the development and introduction of new products and services to accelerate growth, and launched new partnerships to capture emerging opportunities. Examples include:</w:t>
      </w:r>
    </w:p>
    <w:p>
      <w:pPr>
        <w:spacing w:after="0" w:line="143" w:lineRule="exact"/>
        <w:rPr>
          <w:rFonts w:ascii="Arial" w:cs="Arial" w:eastAsia="Arial" w:hAnsi="Arial"/>
          <w:sz w:val="16"/>
          <w:szCs w:val="16"/>
          <w:b w:val="1"/>
          <w:bCs w:val="1"/>
          <w:color w:val="16479F"/>
        </w:rPr>
      </w:pPr>
    </w:p>
    <w:p>
      <w:pPr>
        <w:ind w:left="461" w:hanging="228"/>
        <w:spacing w:after="0"/>
        <w:tabs>
          <w:tab w:leader="none" w:pos="461" w:val="left"/>
        </w:tabs>
        <w:numPr>
          <w:ilvl w:val="2"/>
          <w:numId w:val="117"/>
        </w:numPr>
        <w:rPr>
          <w:rFonts w:ascii="Arial" w:cs="Arial" w:eastAsia="Arial" w:hAnsi="Arial"/>
          <w:sz w:val="16"/>
          <w:szCs w:val="16"/>
          <w:color w:val="16479F"/>
        </w:rPr>
      </w:pPr>
      <w:r>
        <w:rPr>
          <w:rFonts w:ascii="Arial" w:cs="Arial" w:eastAsia="Arial" w:hAnsi="Arial"/>
          <w:sz w:val="16"/>
          <w:szCs w:val="16"/>
          <w:color w:val="auto"/>
        </w:rPr>
        <w:t>Launched new ISaaS products, including Data Explorer, Climate Lab Enterprise and Index Builder.</w:t>
      </w:r>
    </w:p>
    <w:p>
      <w:pPr>
        <w:spacing w:after="0" w:line="164" w:lineRule="exact"/>
        <w:rPr>
          <w:rFonts w:ascii="Arial" w:cs="Arial" w:eastAsia="Arial" w:hAnsi="Arial"/>
          <w:sz w:val="16"/>
          <w:szCs w:val="16"/>
          <w:color w:val="16479F"/>
        </w:rPr>
      </w:pPr>
    </w:p>
    <w:p>
      <w:pPr>
        <w:jc w:val="both"/>
        <w:ind w:left="441" w:hanging="208"/>
        <w:spacing w:after="0" w:line="250" w:lineRule="auto"/>
        <w:tabs>
          <w:tab w:leader="none" w:pos="457" w:val="left"/>
        </w:tabs>
        <w:numPr>
          <w:ilvl w:val="2"/>
          <w:numId w:val="117"/>
        </w:numPr>
        <w:rPr>
          <w:rFonts w:ascii="Arial" w:cs="Arial" w:eastAsia="Arial" w:hAnsi="Arial"/>
          <w:sz w:val="16"/>
          <w:szCs w:val="16"/>
          <w:color w:val="16479F"/>
        </w:rPr>
      </w:pPr>
      <w:r>
        <w:rPr>
          <w:rFonts w:ascii="Arial" w:cs="Arial" w:eastAsia="Arial" w:hAnsi="Arial"/>
          <w:sz w:val="16"/>
          <w:szCs w:val="16"/>
          <w:color w:val="auto"/>
        </w:rPr>
        <w:t>Entered into new partnership agreement with Royalty Pharma plc to expand MSCI’s existing thematic index suite with new indexes that aim to represent the performance of long-term, cutting-edge companies that are expected to disrupt the biopharmaceuticals and life sciences industries.</w:t>
      </w:r>
    </w:p>
    <w:p>
      <w:pPr>
        <w:spacing w:after="0" w:line="148" w:lineRule="exact"/>
        <w:rPr>
          <w:rFonts w:ascii="Arial" w:cs="Arial" w:eastAsia="Arial" w:hAnsi="Arial"/>
          <w:sz w:val="16"/>
          <w:szCs w:val="16"/>
          <w:color w:val="16479F"/>
        </w:rPr>
      </w:pPr>
    </w:p>
    <w:p>
      <w:pPr>
        <w:ind w:left="441" w:right="240" w:hanging="208"/>
        <w:spacing w:after="0" w:line="256" w:lineRule="auto"/>
        <w:tabs>
          <w:tab w:leader="none" w:pos="457" w:val="left"/>
        </w:tabs>
        <w:numPr>
          <w:ilvl w:val="2"/>
          <w:numId w:val="117"/>
        </w:numPr>
        <w:rPr>
          <w:rFonts w:ascii="Arial" w:cs="Arial" w:eastAsia="Arial" w:hAnsi="Arial"/>
          <w:sz w:val="16"/>
          <w:szCs w:val="16"/>
          <w:color w:val="16479F"/>
        </w:rPr>
      </w:pPr>
      <w:r>
        <w:rPr>
          <w:rFonts w:ascii="Arial" w:cs="Arial" w:eastAsia="Arial" w:hAnsi="Arial"/>
          <w:sz w:val="16"/>
          <w:szCs w:val="16"/>
          <w:color w:val="auto"/>
        </w:rPr>
        <w:t>Licensed China A 50 Connect Index to HKEX, leading to the most successful launch ever of an MSCI index-linked futures contract.</w:t>
      </w:r>
    </w:p>
    <w:p>
      <w:pPr>
        <w:spacing w:after="0" w:line="143" w:lineRule="exact"/>
        <w:rPr>
          <w:rFonts w:ascii="Arial" w:cs="Arial" w:eastAsia="Arial" w:hAnsi="Arial"/>
          <w:sz w:val="16"/>
          <w:szCs w:val="16"/>
          <w:color w:val="16479F"/>
        </w:rPr>
      </w:pPr>
    </w:p>
    <w:p>
      <w:pPr>
        <w:ind w:left="461" w:hanging="228"/>
        <w:spacing w:after="0"/>
        <w:tabs>
          <w:tab w:leader="none" w:pos="461" w:val="left"/>
        </w:tabs>
        <w:numPr>
          <w:ilvl w:val="2"/>
          <w:numId w:val="117"/>
        </w:numPr>
        <w:rPr>
          <w:rFonts w:ascii="Arial" w:cs="Arial" w:eastAsia="Arial" w:hAnsi="Arial"/>
          <w:sz w:val="16"/>
          <w:szCs w:val="16"/>
          <w:color w:val="16479F"/>
        </w:rPr>
      </w:pPr>
      <w:r>
        <w:rPr>
          <w:rFonts w:ascii="Arial" w:cs="Arial" w:eastAsia="Arial" w:hAnsi="Arial"/>
          <w:sz w:val="16"/>
          <w:szCs w:val="16"/>
          <w:color w:val="auto"/>
        </w:rPr>
        <w:t>Jointly created the MSCI COLCAP Index with the Colombia Stock Exchange.</w:t>
      </w:r>
    </w:p>
    <w:p>
      <w:pPr>
        <w:spacing w:after="0" w:line="164" w:lineRule="exact"/>
        <w:rPr>
          <w:rFonts w:ascii="Arial" w:cs="Arial" w:eastAsia="Arial" w:hAnsi="Arial"/>
          <w:sz w:val="16"/>
          <w:szCs w:val="16"/>
          <w:color w:val="16479F"/>
        </w:rPr>
      </w:pPr>
    </w:p>
    <w:p>
      <w:pPr>
        <w:jc w:val="both"/>
        <w:ind w:left="441" w:right="160" w:hanging="208"/>
        <w:spacing w:after="0" w:line="250" w:lineRule="auto"/>
        <w:tabs>
          <w:tab w:leader="none" w:pos="448" w:val="left"/>
        </w:tabs>
        <w:numPr>
          <w:ilvl w:val="2"/>
          <w:numId w:val="117"/>
        </w:numPr>
        <w:rPr>
          <w:rFonts w:ascii="Arial" w:cs="Arial" w:eastAsia="Arial" w:hAnsi="Arial"/>
          <w:sz w:val="16"/>
          <w:szCs w:val="16"/>
          <w:color w:val="16479F"/>
        </w:rPr>
      </w:pPr>
      <w:r>
        <w:rPr>
          <w:rFonts w:ascii="Arial" w:cs="Arial" w:eastAsia="Arial" w:hAnsi="Arial"/>
          <w:sz w:val="16"/>
          <w:szCs w:val="16"/>
          <w:color w:val="auto"/>
        </w:rPr>
        <w:t>Advanced the Company’s long-term strategy through a partnership agreement with Goldman Sachs Global Markets to distribute portfolio-level Barra factor analytics to clients via its Marquee platform, its digital storefront for Goldman Sachs, and select third-party content.</w:t>
      </w:r>
    </w:p>
    <w:p>
      <w:pPr>
        <w:spacing w:after="0" w:line="121" w:lineRule="exact"/>
        <w:rPr>
          <w:rFonts w:ascii="Arial" w:cs="Arial" w:eastAsia="Arial" w:hAnsi="Arial"/>
          <w:sz w:val="16"/>
          <w:szCs w:val="16"/>
          <w:color w:val="16479F"/>
        </w:rPr>
      </w:pPr>
    </w:p>
    <w:p>
      <w:pPr>
        <w:ind w:left="241" w:right="240" w:hanging="223"/>
        <w:spacing w:after="0" w:line="250" w:lineRule="auto"/>
        <w:tabs>
          <w:tab w:leader="none" w:pos="257" w:val="left"/>
        </w:tabs>
        <w:numPr>
          <w:ilvl w:val="1"/>
          <w:numId w:val="117"/>
        </w:numPr>
        <w:rPr>
          <w:rFonts w:ascii="Arial" w:cs="Arial" w:eastAsia="Arial" w:hAnsi="Arial"/>
          <w:sz w:val="16"/>
          <w:szCs w:val="16"/>
          <w:b w:val="1"/>
          <w:bCs w:val="1"/>
          <w:color w:val="16479F"/>
        </w:rPr>
      </w:pPr>
      <w:r>
        <w:rPr>
          <w:rFonts w:ascii="Arial" w:cs="Arial" w:eastAsia="Arial" w:hAnsi="Arial"/>
          <w:sz w:val="16"/>
          <w:szCs w:val="16"/>
          <w:color w:val="auto"/>
        </w:rPr>
        <w:t>Continued to steer MSCI’s leadership in providing the transparency clients need to better integrate ESG and climate risks and opportunities into investment processes. Launched several significant ESG and Climate tools and solutions, including:</w:t>
      </w:r>
    </w:p>
    <w:p>
      <w:pPr>
        <w:spacing w:after="0" w:line="148" w:lineRule="exact"/>
        <w:rPr>
          <w:rFonts w:ascii="Arial" w:cs="Arial" w:eastAsia="Arial" w:hAnsi="Arial"/>
          <w:sz w:val="16"/>
          <w:szCs w:val="16"/>
          <w:b w:val="1"/>
          <w:bCs w:val="1"/>
          <w:color w:val="16479F"/>
        </w:rPr>
      </w:pPr>
    </w:p>
    <w:p>
      <w:pPr>
        <w:jc w:val="both"/>
        <w:ind w:left="441" w:right="520" w:hanging="208"/>
        <w:spacing w:after="0" w:line="250" w:lineRule="auto"/>
        <w:tabs>
          <w:tab w:leader="none" w:pos="457" w:val="left"/>
        </w:tabs>
        <w:numPr>
          <w:ilvl w:val="2"/>
          <w:numId w:val="117"/>
        </w:numPr>
        <w:rPr>
          <w:rFonts w:ascii="Arial" w:cs="Arial" w:eastAsia="Arial" w:hAnsi="Arial"/>
          <w:sz w:val="16"/>
          <w:szCs w:val="16"/>
          <w:b w:val="1"/>
          <w:bCs w:val="1"/>
          <w:color w:val="16479F"/>
        </w:rPr>
      </w:pPr>
      <w:r>
        <w:rPr>
          <w:rFonts w:ascii="Arial" w:cs="Arial" w:eastAsia="Arial" w:hAnsi="Arial"/>
          <w:sz w:val="16"/>
          <w:szCs w:val="16"/>
          <w:color w:val="auto"/>
        </w:rPr>
        <w:t>Net-Zero Tracker, a quarterly gauge of progress by public companies toward curbing climate risk. The Tracker calculates the individual and aggregate emissions of all MSCI ACWI-IMI companies and highlights leading and lagging companies and sectors in the path towards net-zero emissions.</w:t>
      </w:r>
    </w:p>
    <w:p>
      <w:pPr>
        <w:spacing w:after="0" w:line="148" w:lineRule="exact"/>
        <w:rPr>
          <w:rFonts w:ascii="Arial" w:cs="Arial" w:eastAsia="Arial" w:hAnsi="Arial"/>
          <w:sz w:val="16"/>
          <w:szCs w:val="16"/>
          <w:b w:val="1"/>
          <w:bCs w:val="1"/>
          <w:color w:val="16479F"/>
        </w:rPr>
      </w:pPr>
    </w:p>
    <w:p>
      <w:pPr>
        <w:ind w:left="461" w:hanging="228"/>
        <w:spacing w:after="0"/>
        <w:tabs>
          <w:tab w:leader="none" w:pos="461" w:val="left"/>
        </w:tabs>
        <w:numPr>
          <w:ilvl w:val="2"/>
          <w:numId w:val="117"/>
        </w:numPr>
        <w:rPr>
          <w:rFonts w:ascii="Arial" w:cs="Arial" w:eastAsia="Arial" w:hAnsi="Arial"/>
          <w:sz w:val="16"/>
          <w:szCs w:val="16"/>
          <w:b w:val="1"/>
          <w:bCs w:val="1"/>
          <w:color w:val="16479F"/>
        </w:rPr>
      </w:pPr>
      <w:r>
        <w:rPr>
          <w:rFonts w:ascii="Arial" w:cs="Arial" w:eastAsia="Arial" w:hAnsi="Arial"/>
          <w:sz w:val="16"/>
          <w:szCs w:val="16"/>
          <w:color w:val="auto"/>
        </w:rPr>
        <w:t>Climate Lab Enterprise, which helps investors monitor and manage climate-related risks.</w:t>
      </w:r>
    </w:p>
    <w:p>
      <w:pPr>
        <w:spacing w:after="0" w:line="164" w:lineRule="exact"/>
        <w:rPr>
          <w:rFonts w:ascii="Arial" w:cs="Arial" w:eastAsia="Arial" w:hAnsi="Arial"/>
          <w:sz w:val="16"/>
          <w:szCs w:val="16"/>
          <w:b w:val="1"/>
          <w:bCs w:val="1"/>
          <w:color w:val="16479F"/>
        </w:rPr>
      </w:pPr>
    </w:p>
    <w:p>
      <w:pPr>
        <w:ind w:left="441" w:right="180" w:hanging="208"/>
        <w:spacing w:after="0" w:line="256" w:lineRule="auto"/>
        <w:tabs>
          <w:tab w:leader="none" w:pos="457" w:val="left"/>
        </w:tabs>
        <w:numPr>
          <w:ilvl w:val="2"/>
          <w:numId w:val="117"/>
        </w:numPr>
        <w:rPr>
          <w:rFonts w:ascii="Arial" w:cs="Arial" w:eastAsia="Arial" w:hAnsi="Arial"/>
          <w:sz w:val="16"/>
          <w:szCs w:val="16"/>
          <w:b w:val="1"/>
          <w:bCs w:val="1"/>
          <w:color w:val="16479F"/>
        </w:rPr>
      </w:pPr>
      <w:r>
        <w:rPr>
          <w:rFonts w:ascii="Arial" w:cs="Arial" w:eastAsia="Arial" w:hAnsi="Arial"/>
          <w:sz w:val="16"/>
          <w:szCs w:val="16"/>
          <w:color w:val="auto"/>
        </w:rPr>
        <w:t>Implied Temperature Rise, a search tool that computes and discloses how the emissions trajectories of companies, portfolios and funds align with different global temperature pathways.</w:t>
      </w:r>
    </w:p>
    <w:p>
      <w:pPr>
        <w:spacing w:after="0" w:line="143" w:lineRule="exact"/>
        <w:rPr>
          <w:rFonts w:ascii="Arial" w:cs="Arial" w:eastAsia="Arial" w:hAnsi="Arial"/>
          <w:sz w:val="16"/>
          <w:szCs w:val="16"/>
          <w:b w:val="1"/>
          <w:bCs w:val="1"/>
          <w:color w:val="16479F"/>
        </w:rPr>
      </w:pPr>
    </w:p>
    <w:p>
      <w:pPr>
        <w:ind w:left="441" w:right="260" w:hanging="208"/>
        <w:spacing w:after="0" w:line="250" w:lineRule="auto"/>
        <w:tabs>
          <w:tab w:leader="none" w:pos="457" w:val="left"/>
        </w:tabs>
        <w:numPr>
          <w:ilvl w:val="2"/>
          <w:numId w:val="117"/>
        </w:numPr>
        <w:rPr>
          <w:rFonts w:ascii="Arial" w:cs="Arial" w:eastAsia="Arial" w:hAnsi="Arial"/>
          <w:sz w:val="16"/>
          <w:szCs w:val="16"/>
          <w:b w:val="1"/>
          <w:bCs w:val="1"/>
          <w:color w:val="16479F"/>
        </w:rPr>
      </w:pPr>
      <w:r>
        <w:rPr>
          <w:rFonts w:ascii="Arial" w:cs="Arial" w:eastAsia="Arial" w:hAnsi="Arial"/>
          <w:sz w:val="16"/>
          <w:szCs w:val="16"/>
          <w:color w:val="auto"/>
        </w:rPr>
        <w:t>Carbon Footprinting of Private Equity and Debt Funds, a product jointly developed with Burgiss and MSCI’s ESG team, which measures the carbon emissions of 15,000 private companies and the carbon intensity of nearly 4,000 private equity and debt funds.</w:t>
      </w:r>
    </w:p>
    <w:p>
      <w:pPr>
        <w:spacing w:after="0" w:line="148" w:lineRule="exact"/>
        <w:rPr>
          <w:rFonts w:ascii="Arial" w:cs="Arial" w:eastAsia="Arial" w:hAnsi="Arial"/>
          <w:sz w:val="16"/>
          <w:szCs w:val="16"/>
          <w:b w:val="1"/>
          <w:bCs w:val="1"/>
          <w:color w:val="16479F"/>
        </w:rPr>
      </w:pPr>
    </w:p>
    <w:p>
      <w:pPr>
        <w:ind w:left="241" w:right="240" w:hanging="223"/>
        <w:spacing w:after="0" w:line="250" w:lineRule="auto"/>
        <w:tabs>
          <w:tab w:leader="none" w:pos="257" w:val="left"/>
        </w:tabs>
        <w:numPr>
          <w:ilvl w:val="1"/>
          <w:numId w:val="117"/>
        </w:numPr>
        <w:rPr>
          <w:rFonts w:ascii="Arial" w:cs="Arial" w:eastAsia="Arial" w:hAnsi="Arial"/>
          <w:sz w:val="16"/>
          <w:szCs w:val="16"/>
          <w:b w:val="1"/>
          <w:bCs w:val="1"/>
          <w:color w:val="16479F"/>
        </w:rPr>
      </w:pPr>
      <w:r>
        <w:rPr>
          <w:rFonts w:ascii="Arial" w:cs="Arial" w:eastAsia="Arial" w:hAnsi="Arial"/>
          <w:sz w:val="16"/>
          <w:szCs w:val="16"/>
          <w:color w:val="auto"/>
        </w:rPr>
        <w:t>Prioritized MSCI’s own climate goals through a more robust commitment to corporate responsibility, including by the introduction of MSCI’s goal of net-zero carbon emissions by 2040 throughout its global operations and by becoming a founding member of the Net Zero Financial Service Providers Alliance.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-1543685</wp:posOffset>
            </wp:positionH>
            <wp:positionV relativeFrom="paragraph">
              <wp:posOffset>-2355215</wp:posOffset>
            </wp:positionV>
            <wp:extent cx="7133590" cy="23806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3590" cy="23806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20" w:space="319"/>
            <w:col w:w="8801"/>
          </w:cols>
          <w:pgMar w:left="320" w:top="121" w:right="339" w:bottom="1440" w:gutter="0" w:footer="0" w:header="0"/>
          <w:type w:val="continuous"/>
        </w:sectPr>
      </w:pPr>
    </w:p>
    <w:p>
      <w:pPr>
        <w:spacing w:after="0" w:line="45" w:lineRule="exact"/>
        <w:rPr>
          <w:sz w:val="20"/>
          <w:szCs w:val="20"/>
          <w:color w:val="auto"/>
        </w:rPr>
      </w:pPr>
    </w:p>
    <w:p>
      <w:pPr>
        <w:ind w:left="200" w:hanging="193"/>
        <w:spacing w:after="0"/>
        <w:tabs>
          <w:tab w:leader="none" w:pos="20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“Adjusted EPS” and “free cash flow” are non-GAAP financial measures. See Annex B for definitions and reconciliations of all non-GAAP financial measures referenced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62865</wp:posOffset>
            </wp:positionV>
            <wp:extent cx="7154545" cy="209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4" w:name="page75"/>
    <w:bookmarkEnd w:id="74"/>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149860</wp:posOffset>
            </wp:positionV>
            <wp:extent cx="7133590" cy="21272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3590" cy="212725"/>
                    </a:xfrm>
                    <a:prstGeom prst="rect">
                      <a:avLst/>
                    </a:prstGeom>
                    <a:noFill/>
                  </pic:spPr>
                </pic:pic>
              </a:graphicData>
            </a:graphic>
          </wp:anchor>
        </w:drawing>
      </w:r>
    </w:p>
    <w:p>
      <w:pPr>
        <w:spacing w:after="0" w:line="283"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4"/>
          <w:szCs w:val="14"/>
          <w:b w:val="1"/>
          <w:bCs w:val="1"/>
          <w:color w:val="16479F"/>
        </w:rPr>
        <w:t>74</w:t>
      </w:r>
      <w:r>
        <w:rPr>
          <w:sz w:val="20"/>
          <w:szCs w:val="20"/>
          <w:color w:val="auto"/>
        </w:rPr>
        <w:tab/>
      </w:r>
      <w:r>
        <w:rPr>
          <w:rFonts w:ascii="Arial" w:cs="Arial" w:eastAsia="Arial" w:hAnsi="Arial"/>
          <w:sz w:val="14"/>
          <w:szCs w:val="14"/>
          <w:b w:val="1"/>
          <w:bCs w:val="1"/>
          <w:color w:val="16479F"/>
        </w:rPr>
        <w:t>MSCI  |  COMPENSATION MATTERS</w:t>
      </w:r>
    </w:p>
    <w:p>
      <w:pPr>
        <w:sectPr>
          <w:pgSz w:w="11900" w:h="16838" w:orient="portrait"/>
          <w:cols w:equalWidth="0" w:num="1">
            <w:col w:w="11140"/>
          </w:cols>
          <w:pgMar w:left="320" w:top="121" w:right="439" w:bottom="1440" w:gutter="0" w:footer="0" w:header="0"/>
        </w:sectPr>
      </w:pPr>
    </w:p>
    <w:p>
      <w:pPr>
        <w:spacing w:after="0" w:line="330" w:lineRule="exact"/>
        <w:rPr>
          <w:sz w:val="20"/>
          <w:szCs w:val="20"/>
          <w:color w:val="auto"/>
        </w:rPr>
      </w:pPr>
    </w:p>
    <w:p>
      <w:pPr>
        <w:ind w:left="100"/>
        <w:spacing w:after="0" w:line="257" w:lineRule="auto"/>
        <w:rPr>
          <w:sz w:val="20"/>
          <w:szCs w:val="20"/>
          <w:color w:val="auto"/>
        </w:rPr>
      </w:pPr>
      <w:r>
        <w:rPr>
          <w:rFonts w:ascii="Arial" w:cs="Arial" w:eastAsia="Arial" w:hAnsi="Arial"/>
          <w:sz w:val="16"/>
          <w:szCs w:val="16"/>
          <w:b w:val="1"/>
          <w:bCs w:val="1"/>
          <w:color w:val="16479F"/>
        </w:rPr>
        <w:t>Strengthen MSCI’s commitment to building a diverse, equitable and inclusive culture</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ind w:left="223" w:hanging="223"/>
        <w:spacing w:after="0"/>
        <w:tabs>
          <w:tab w:leader="none" w:pos="223" w:val="left"/>
        </w:tabs>
        <w:numPr>
          <w:ilvl w:val="0"/>
          <w:numId w:val="119"/>
        </w:numPr>
        <w:rPr>
          <w:rFonts w:ascii="Arial" w:cs="Arial" w:eastAsia="Arial" w:hAnsi="Arial"/>
          <w:sz w:val="16"/>
          <w:szCs w:val="16"/>
          <w:b w:val="1"/>
          <w:bCs w:val="1"/>
          <w:color w:val="16479F"/>
        </w:rPr>
      </w:pPr>
      <w:r>
        <w:rPr>
          <w:rFonts w:ascii="Arial" w:cs="Arial" w:eastAsia="Arial" w:hAnsi="Arial"/>
          <w:sz w:val="16"/>
          <w:szCs w:val="16"/>
          <w:color w:val="auto"/>
        </w:rPr>
        <w:t>Championed and intensified the focus across MSCI on DE&amp;I outcomes. Amplified engagement and accountability:</w:t>
      </w:r>
    </w:p>
    <w:p>
      <w:pPr>
        <w:spacing w:after="0" w:line="164" w:lineRule="exact"/>
        <w:rPr>
          <w:rFonts w:ascii="Arial" w:cs="Arial" w:eastAsia="Arial" w:hAnsi="Arial"/>
          <w:sz w:val="16"/>
          <w:szCs w:val="16"/>
          <w:b w:val="1"/>
          <w:bCs w:val="1"/>
          <w:color w:val="16479F"/>
        </w:rPr>
      </w:pPr>
    </w:p>
    <w:p>
      <w:pPr>
        <w:ind w:left="443" w:hanging="228"/>
        <w:spacing w:after="0"/>
        <w:tabs>
          <w:tab w:leader="none" w:pos="443" w:val="left"/>
        </w:tabs>
        <w:numPr>
          <w:ilvl w:val="1"/>
          <w:numId w:val="119"/>
        </w:numPr>
        <w:rPr>
          <w:rFonts w:ascii="Arial" w:cs="Arial" w:eastAsia="Arial" w:hAnsi="Arial"/>
          <w:sz w:val="16"/>
          <w:szCs w:val="16"/>
          <w:b w:val="1"/>
          <w:bCs w:val="1"/>
          <w:color w:val="16479F"/>
        </w:rPr>
      </w:pPr>
      <w:r>
        <w:rPr>
          <w:rFonts w:ascii="Arial" w:cs="Arial" w:eastAsia="Arial" w:hAnsi="Arial"/>
          <w:sz w:val="16"/>
          <w:szCs w:val="16"/>
          <w:color w:val="auto"/>
        </w:rPr>
        <w:t>Appointed first Chief Diversity Officer.</w:t>
      </w:r>
    </w:p>
    <w:p>
      <w:pPr>
        <w:spacing w:after="0" w:line="164" w:lineRule="exact"/>
        <w:rPr>
          <w:rFonts w:ascii="Arial" w:cs="Arial" w:eastAsia="Arial" w:hAnsi="Arial"/>
          <w:sz w:val="16"/>
          <w:szCs w:val="16"/>
          <w:b w:val="1"/>
          <w:bCs w:val="1"/>
          <w:color w:val="16479F"/>
        </w:rPr>
      </w:pPr>
    </w:p>
    <w:p>
      <w:pPr>
        <w:ind w:left="423" w:right="560" w:hanging="208"/>
        <w:spacing w:after="0" w:line="256" w:lineRule="auto"/>
        <w:tabs>
          <w:tab w:leader="none" w:pos="439" w:val="left"/>
        </w:tabs>
        <w:numPr>
          <w:ilvl w:val="1"/>
          <w:numId w:val="119"/>
        </w:numPr>
        <w:rPr>
          <w:rFonts w:ascii="Arial" w:cs="Arial" w:eastAsia="Arial" w:hAnsi="Arial"/>
          <w:sz w:val="16"/>
          <w:szCs w:val="16"/>
          <w:b w:val="1"/>
          <w:bCs w:val="1"/>
          <w:color w:val="16479F"/>
        </w:rPr>
      </w:pPr>
      <w:r>
        <w:rPr>
          <w:rFonts w:ascii="Arial" w:cs="Arial" w:eastAsia="Arial" w:hAnsi="Arial"/>
          <w:sz w:val="16"/>
          <w:szCs w:val="16"/>
          <w:color w:val="auto"/>
        </w:rPr>
        <w:t>Introduced DE&amp;I Executive Accountability Framework, aligned with the firm’s compensation process and the introduction of individual DE&amp;I Goals for senior leaders tied to incentive compensation.</w:t>
      </w:r>
    </w:p>
    <w:p>
      <w:pPr>
        <w:spacing w:after="0" w:line="143" w:lineRule="exact"/>
        <w:rPr>
          <w:rFonts w:ascii="Arial" w:cs="Arial" w:eastAsia="Arial" w:hAnsi="Arial"/>
          <w:sz w:val="16"/>
          <w:szCs w:val="16"/>
          <w:b w:val="1"/>
          <w:bCs w:val="1"/>
          <w:color w:val="16479F"/>
        </w:rPr>
      </w:pPr>
    </w:p>
    <w:p>
      <w:pPr>
        <w:ind w:left="423" w:right="180" w:hanging="208"/>
        <w:spacing w:after="0" w:line="250" w:lineRule="auto"/>
        <w:tabs>
          <w:tab w:leader="none" w:pos="439" w:val="left"/>
        </w:tabs>
        <w:numPr>
          <w:ilvl w:val="1"/>
          <w:numId w:val="119"/>
        </w:numPr>
        <w:rPr>
          <w:rFonts w:ascii="Arial" w:cs="Arial" w:eastAsia="Arial" w:hAnsi="Arial"/>
          <w:sz w:val="16"/>
          <w:szCs w:val="16"/>
          <w:b w:val="1"/>
          <w:bCs w:val="1"/>
          <w:color w:val="16479F"/>
        </w:rPr>
      </w:pPr>
      <w:r>
        <w:rPr>
          <w:rFonts w:ascii="Arial" w:cs="Arial" w:eastAsia="Arial" w:hAnsi="Arial"/>
          <w:sz w:val="16"/>
          <w:szCs w:val="16"/>
          <w:color w:val="auto"/>
        </w:rPr>
        <w:t>Enhanced commitment and approach to identifying and attracting senior diverse talent, which resulted in hiring 11 Managing Directors across functions and geographies, many from diverse or under-represented backgrounds, including four female and three Black executives.</w:t>
      </w:r>
    </w:p>
    <w:p>
      <w:pPr>
        <w:spacing w:after="0" w:line="148" w:lineRule="exact"/>
        <w:rPr>
          <w:rFonts w:ascii="Arial" w:cs="Arial" w:eastAsia="Arial" w:hAnsi="Arial"/>
          <w:sz w:val="16"/>
          <w:szCs w:val="16"/>
          <w:b w:val="1"/>
          <w:bCs w:val="1"/>
          <w:color w:val="16479F"/>
        </w:rPr>
      </w:pPr>
    </w:p>
    <w:p>
      <w:pPr>
        <w:ind w:left="223" w:hanging="223"/>
        <w:spacing w:after="0"/>
        <w:tabs>
          <w:tab w:leader="none" w:pos="223" w:val="left"/>
        </w:tabs>
        <w:numPr>
          <w:ilvl w:val="0"/>
          <w:numId w:val="119"/>
        </w:numPr>
        <w:rPr>
          <w:rFonts w:ascii="Arial" w:cs="Arial" w:eastAsia="Arial" w:hAnsi="Arial"/>
          <w:sz w:val="16"/>
          <w:szCs w:val="16"/>
          <w:b w:val="1"/>
          <w:bCs w:val="1"/>
          <w:color w:val="16479F"/>
        </w:rPr>
      </w:pPr>
      <w:r>
        <w:rPr>
          <w:rFonts w:ascii="Arial" w:cs="Arial" w:eastAsia="Arial" w:hAnsi="Arial"/>
          <w:sz w:val="16"/>
          <w:szCs w:val="16"/>
          <w:color w:val="auto"/>
        </w:rPr>
        <w:t>Strengthened MSCI’s culture of inclusion and belonging:</w:t>
      </w:r>
    </w:p>
    <w:p>
      <w:pPr>
        <w:spacing w:after="0" w:line="164" w:lineRule="exact"/>
        <w:rPr>
          <w:rFonts w:ascii="Arial" w:cs="Arial" w:eastAsia="Arial" w:hAnsi="Arial"/>
          <w:sz w:val="16"/>
          <w:szCs w:val="16"/>
          <w:b w:val="1"/>
          <w:bCs w:val="1"/>
          <w:color w:val="16479F"/>
        </w:rPr>
      </w:pPr>
    </w:p>
    <w:p>
      <w:pPr>
        <w:ind w:left="443" w:hanging="228"/>
        <w:spacing w:after="0"/>
        <w:tabs>
          <w:tab w:leader="none" w:pos="443" w:val="left"/>
        </w:tabs>
        <w:numPr>
          <w:ilvl w:val="1"/>
          <w:numId w:val="119"/>
        </w:numPr>
        <w:rPr>
          <w:rFonts w:ascii="Arial" w:cs="Arial" w:eastAsia="Arial" w:hAnsi="Arial"/>
          <w:sz w:val="16"/>
          <w:szCs w:val="16"/>
          <w:b w:val="1"/>
          <w:bCs w:val="1"/>
          <w:color w:val="16479F"/>
        </w:rPr>
      </w:pPr>
      <w:r>
        <w:rPr>
          <w:rFonts w:ascii="Arial" w:cs="Arial" w:eastAsia="Arial" w:hAnsi="Arial"/>
          <w:sz w:val="16"/>
          <w:szCs w:val="16"/>
          <w:color w:val="auto"/>
        </w:rPr>
        <w:t>Conducted listening tour with 16 local offices, where DE&amp;I was a key topic of discussion.</w:t>
      </w:r>
    </w:p>
    <w:p>
      <w:pPr>
        <w:spacing w:after="0" w:line="164" w:lineRule="exact"/>
        <w:rPr>
          <w:rFonts w:ascii="Arial" w:cs="Arial" w:eastAsia="Arial" w:hAnsi="Arial"/>
          <w:sz w:val="16"/>
          <w:szCs w:val="16"/>
          <w:b w:val="1"/>
          <w:bCs w:val="1"/>
          <w:color w:val="16479F"/>
        </w:rPr>
      </w:pPr>
    </w:p>
    <w:p>
      <w:pPr>
        <w:ind w:left="423" w:hanging="208"/>
        <w:spacing w:after="0" w:line="256" w:lineRule="auto"/>
        <w:tabs>
          <w:tab w:leader="none" w:pos="439" w:val="left"/>
        </w:tabs>
        <w:numPr>
          <w:ilvl w:val="1"/>
          <w:numId w:val="119"/>
        </w:numPr>
        <w:rPr>
          <w:rFonts w:ascii="Arial" w:cs="Arial" w:eastAsia="Arial" w:hAnsi="Arial"/>
          <w:sz w:val="16"/>
          <w:szCs w:val="16"/>
          <w:b w:val="1"/>
          <w:bCs w:val="1"/>
          <w:color w:val="16479F"/>
        </w:rPr>
      </w:pPr>
      <w:r>
        <w:rPr>
          <w:rFonts w:ascii="Arial" w:cs="Arial" w:eastAsia="Arial" w:hAnsi="Arial"/>
          <w:sz w:val="16"/>
          <w:szCs w:val="16"/>
          <w:color w:val="auto"/>
        </w:rPr>
        <w:t>Hosted a global conversation with the MSCI Pride ERG leaders to gather feedback on important issues affecting the LGBTQ+ community.</w:t>
      </w:r>
    </w:p>
    <w:p>
      <w:pPr>
        <w:spacing w:after="0" w:line="143" w:lineRule="exact"/>
        <w:rPr>
          <w:rFonts w:ascii="Arial" w:cs="Arial" w:eastAsia="Arial" w:hAnsi="Arial"/>
          <w:sz w:val="16"/>
          <w:szCs w:val="16"/>
          <w:b w:val="1"/>
          <w:bCs w:val="1"/>
          <w:color w:val="16479F"/>
        </w:rPr>
      </w:pPr>
    </w:p>
    <w:p>
      <w:pPr>
        <w:ind w:left="423" w:right="360" w:hanging="208"/>
        <w:spacing w:after="0" w:line="256" w:lineRule="auto"/>
        <w:tabs>
          <w:tab w:leader="none" w:pos="439" w:val="left"/>
        </w:tabs>
        <w:numPr>
          <w:ilvl w:val="1"/>
          <w:numId w:val="119"/>
        </w:numPr>
        <w:rPr>
          <w:rFonts w:ascii="Arial" w:cs="Arial" w:eastAsia="Arial" w:hAnsi="Arial"/>
          <w:sz w:val="16"/>
          <w:szCs w:val="16"/>
          <w:b w:val="1"/>
          <w:bCs w:val="1"/>
          <w:color w:val="16479F"/>
        </w:rPr>
      </w:pPr>
      <w:r>
        <w:rPr>
          <w:rFonts w:ascii="Arial" w:cs="Arial" w:eastAsia="Arial" w:hAnsi="Arial"/>
          <w:sz w:val="16"/>
          <w:szCs w:val="16"/>
          <w:color w:val="auto"/>
        </w:rPr>
        <w:t>Conducted a fireside chat at the 4th Annual Global DE&amp;I Summit in November, celebrating and recognizing the achievements of the Executive Diversity Council and employee resource group leaders.</w:t>
      </w:r>
    </w:p>
    <w:p>
      <w:pPr>
        <w:spacing w:after="0" w:line="143" w:lineRule="exact"/>
        <w:rPr>
          <w:rFonts w:ascii="Arial" w:cs="Arial" w:eastAsia="Arial" w:hAnsi="Arial"/>
          <w:sz w:val="16"/>
          <w:szCs w:val="16"/>
          <w:b w:val="1"/>
          <w:bCs w:val="1"/>
          <w:color w:val="16479F"/>
        </w:rPr>
      </w:pPr>
    </w:p>
    <w:p>
      <w:pPr>
        <w:ind w:left="223" w:hanging="223"/>
        <w:spacing w:after="0"/>
        <w:tabs>
          <w:tab w:leader="none" w:pos="223" w:val="left"/>
        </w:tabs>
        <w:numPr>
          <w:ilvl w:val="0"/>
          <w:numId w:val="119"/>
        </w:numPr>
        <w:rPr>
          <w:rFonts w:ascii="Arial" w:cs="Arial" w:eastAsia="Arial" w:hAnsi="Arial"/>
          <w:sz w:val="16"/>
          <w:szCs w:val="16"/>
          <w:b w:val="1"/>
          <w:bCs w:val="1"/>
          <w:color w:val="16479F"/>
        </w:rPr>
      </w:pPr>
      <w:r>
        <w:rPr>
          <w:rFonts w:ascii="Arial" w:cs="Arial" w:eastAsia="Arial" w:hAnsi="Arial"/>
          <w:sz w:val="16"/>
          <w:szCs w:val="16"/>
          <w:color w:val="auto"/>
        </w:rPr>
        <w:t>Focused on employee engagement and empowerment:</w:t>
      </w:r>
    </w:p>
    <w:p>
      <w:pPr>
        <w:spacing w:after="0" w:line="164" w:lineRule="exact"/>
        <w:rPr>
          <w:rFonts w:ascii="Arial" w:cs="Arial" w:eastAsia="Arial" w:hAnsi="Arial"/>
          <w:sz w:val="16"/>
          <w:szCs w:val="16"/>
          <w:b w:val="1"/>
          <w:bCs w:val="1"/>
          <w:color w:val="16479F"/>
        </w:rPr>
      </w:pPr>
    </w:p>
    <w:p>
      <w:pPr>
        <w:ind w:left="423" w:right="260" w:hanging="208"/>
        <w:spacing w:after="0" w:line="256" w:lineRule="auto"/>
        <w:tabs>
          <w:tab w:leader="none" w:pos="439" w:val="left"/>
        </w:tabs>
        <w:numPr>
          <w:ilvl w:val="1"/>
          <w:numId w:val="119"/>
        </w:numPr>
        <w:rPr>
          <w:rFonts w:ascii="Arial" w:cs="Arial" w:eastAsia="Arial" w:hAnsi="Arial"/>
          <w:sz w:val="16"/>
          <w:szCs w:val="16"/>
          <w:b w:val="1"/>
          <w:bCs w:val="1"/>
          <w:color w:val="16479F"/>
        </w:rPr>
      </w:pPr>
      <w:r>
        <w:rPr>
          <w:rFonts w:ascii="Arial" w:cs="Arial" w:eastAsia="Arial" w:hAnsi="Arial"/>
          <w:sz w:val="16"/>
          <w:szCs w:val="16"/>
          <w:color w:val="auto"/>
        </w:rPr>
        <w:t>Drove MSCI’s Future of Work transformation through the development of a forward-looking, hybrid-work strategy centered on client-centricity, trust and empowerment.</w:t>
      </w:r>
    </w:p>
    <w:p>
      <w:pPr>
        <w:spacing w:after="0" w:line="143" w:lineRule="exact"/>
        <w:rPr>
          <w:rFonts w:ascii="Arial" w:cs="Arial" w:eastAsia="Arial" w:hAnsi="Arial"/>
          <w:sz w:val="16"/>
          <w:szCs w:val="16"/>
          <w:b w:val="1"/>
          <w:bCs w:val="1"/>
          <w:color w:val="16479F"/>
        </w:rPr>
      </w:pPr>
    </w:p>
    <w:p>
      <w:pPr>
        <w:ind w:left="423" w:right="380" w:hanging="208"/>
        <w:spacing w:after="0" w:line="250" w:lineRule="auto"/>
        <w:tabs>
          <w:tab w:leader="none" w:pos="430" w:val="left"/>
        </w:tabs>
        <w:numPr>
          <w:ilvl w:val="1"/>
          <w:numId w:val="119"/>
        </w:numPr>
        <w:rPr>
          <w:rFonts w:ascii="Arial" w:cs="Arial" w:eastAsia="Arial" w:hAnsi="Arial"/>
          <w:sz w:val="16"/>
          <w:szCs w:val="16"/>
          <w:b w:val="1"/>
          <w:bCs w:val="1"/>
          <w:color w:val="16479F"/>
        </w:rPr>
      </w:pPr>
      <w:r>
        <w:rPr>
          <w:rFonts w:ascii="Arial" w:cs="Arial" w:eastAsia="Arial" w:hAnsi="Arial"/>
          <w:sz w:val="16"/>
          <w:szCs w:val="16"/>
          <w:color w:val="auto"/>
        </w:rPr>
        <w:t>According to our December 2021 employee engagement survey (not including employees from newly acquired companies), the percentage of respondents characterized as fully engaged equaled the highest since we implemented the survey.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-1555115</wp:posOffset>
            </wp:positionH>
            <wp:positionV relativeFrom="paragraph">
              <wp:posOffset>24765</wp:posOffset>
            </wp:positionV>
            <wp:extent cx="7133590" cy="508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3590" cy="50800"/>
                    </a:xfrm>
                    <a:prstGeom prst="rect">
                      <a:avLst/>
                    </a:prstGeom>
                    <a:noFill/>
                  </pic:spPr>
                </pic:pic>
              </a:graphicData>
            </a:graphic>
          </wp:anchor>
        </w:drawing>
        <w:drawing>
          <wp:anchor simplePos="0" relativeHeight="251657728" behindDoc="1" locked="0" layoutInCell="0" allowOverlap="1">
            <wp:simplePos x="0" y="0"/>
            <wp:positionH relativeFrom="column">
              <wp:posOffset>-1557655</wp:posOffset>
            </wp:positionH>
            <wp:positionV relativeFrom="paragraph">
              <wp:posOffset>141605</wp:posOffset>
            </wp:positionV>
            <wp:extent cx="7154545" cy="209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2">
            <w:col w:w="2060" w:space="397"/>
            <w:col w:w="8683"/>
          </w:cols>
          <w:pgMar w:left="320" w:top="121" w:right="439" w:bottom="1440" w:gutter="0" w:footer="0" w:header="0"/>
          <w:type w:val="continuous"/>
        </w:sectPr>
      </w:pPr>
    </w:p>
    <w:bookmarkStart w:id="75" w:name="page76"/>
    <w:bookmarkEnd w:id="75"/>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00" w:type="dxa"/>
            <w:vAlign w:val="bottom"/>
            <w:tcBorders>
              <w:right w:val="single" w:sz="8" w:color="16479F"/>
            </w:tcBorders>
          </w:tcPr>
          <w:p>
            <w:pPr>
              <w:ind w:left="8700"/>
              <w:spacing w:after="0"/>
              <w:rPr>
                <w:sz w:val="20"/>
                <w:szCs w:val="20"/>
                <w:color w:val="auto"/>
              </w:rPr>
            </w:pPr>
            <w:r>
              <w:rPr>
                <w:rFonts w:ascii="Arial" w:cs="Arial" w:eastAsia="Arial" w:hAnsi="Arial"/>
                <w:sz w:val="14"/>
                <w:szCs w:val="14"/>
                <w:b w:val="1"/>
                <w:bCs w:val="1"/>
                <w:color w:val="16479F"/>
              </w:rPr>
              <w:t>2022 PROXY STATEMENT</w:t>
            </w:r>
          </w:p>
        </w:tc>
        <w:tc>
          <w:tcPr>
            <w:tcW w:w="640" w:type="dxa"/>
            <w:vAlign w:val="bottom"/>
          </w:tcPr>
          <w:p>
            <w:pPr>
              <w:jc w:val="right"/>
              <w:ind w:right="9"/>
              <w:spacing w:after="0"/>
              <w:rPr>
                <w:sz w:val="20"/>
                <w:szCs w:val="20"/>
                <w:color w:val="auto"/>
              </w:rPr>
            </w:pPr>
            <w:r>
              <w:rPr>
                <w:rFonts w:ascii="Arial" w:cs="Arial" w:eastAsia="Arial" w:hAnsi="Arial"/>
                <w:sz w:val="14"/>
                <w:szCs w:val="14"/>
                <w:b w:val="1"/>
                <w:bCs w:val="1"/>
                <w:color w:val="16479F"/>
              </w:rPr>
              <w:t>75</w:t>
            </w:r>
          </w:p>
        </w:tc>
      </w:tr>
      <w:tr>
        <w:trPr>
          <w:trHeight w:val="65"/>
        </w:trPr>
        <w:tc>
          <w:tcPr>
            <w:tcW w:w="10600" w:type="dxa"/>
            <w:vAlign w:val="bottom"/>
            <w:tcBorders>
              <w:bottom w:val="single" w:sz="8" w:color="16479F"/>
              <w:right w:val="single" w:sz="8" w:color="16479F"/>
            </w:tcBorders>
          </w:tcPr>
          <w:p>
            <w:pPr>
              <w:spacing w:after="0"/>
              <w:rPr>
                <w:sz w:val="5"/>
                <w:szCs w:val="5"/>
                <w:color w:val="auto"/>
              </w:rPr>
            </w:pPr>
          </w:p>
        </w:tc>
        <w:tc>
          <w:tcPr>
            <w:tcW w:w="640" w:type="dxa"/>
            <w:vAlign w:val="bottom"/>
            <w:tcBorders>
              <w:bottom w:val="single" w:sz="8" w:color="16479F"/>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153035</wp:posOffset>
            </wp:positionV>
            <wp:extent cx="7133590" cy="153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3590" cy="153035"/>
                    </a:xfrm>
                    <a:prstGeom prst="rect">
                      <a:avLst/>
                    </a:prstGeom>
                    <a:noFill/>
                  </pic:spPr>
                </pic:pic>
              </a:graphicData>
            </a:graphic>
          </wp:anchor>
        </w:drawing>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FFFFFF"/>
        </w:rPr>
        <w:t>ANDREW C. WIECHMANN,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30480</wp:posOffset>
            </wp:positionV>
            <wp:extent cx="7133590" cy="11055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3590" cy="11055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11" w:lineRule="exact"/>
        <w:rPr>
          <w:sz w:val="20"/>
          <w:szCs w:val="20"/>
          <w:color w:val="auto"/>
        </w:rPr>
      </w:pPr>
    </w:p>
    <w:p>
      <w:pPr>
        <w:ind w:left="100" w:right="160"/>
        <w:spacing w:after="0" w:line="317" w:lineRule="auto"/>
        <w:rPr>
          <w:sz w:val="20"/>
          <w:szCs w:val="20"/>
          <w:color w:val="auto"/>
        </w:rPr>
      </w:pPr>
      <w:r>
        <w:rPr>
          <w:rFonts w:ascii="Arial" w:cs="Arial" w:eastAsia="Arial" w:hAnsi="Arial"/>
          <w:sz w:val="15"/>
          <w:szCs w:val="15"/>
          <w:b w:val="1"/>
          <w:bCs w:val="1"/>
          <w:color w:val="16479F"/>
        </w:rPr>
        <w:t>Drive financial management excellence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00" w:right="120"/>
        <w:spacing w:after="0" w:line="257" w:lineRule="auto"/>
        <w:rPr>
          <w:sz w:val="20"/>
          <w:szCs w:val="20"/>
          <w:color w:val="auto"/>
        </w:rPr>
      </w:pPr>
      <w:r>
        <w:rPr>
          <w:rFonts w:ascii="Arial" w:cs="Arial" w:eastAsia="Arial" w:hAnsi="Arial"/>
          <w:sz w:val="16"/>
          <w:szCs w:val="16"/>
          <w:b w:val="1"/>
          <w:bCs w:val="1"/>
          <w:color w:val="16479F"/>
        </w:rPr>
        <w:t>Champion continued transformation of the finance organization and firmwide processes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00"/>
        <w:spacing w:after="0" w:line="263" w:lineRule="auto"/>
        <w:rPr>
          <w:sz w:val="20"/>
          <w:szCs w:val="20"/>
          <w:color w:val="auto"/>
        </w:rPr>
      </w:pPr>
      <w:r>
        <w:rPr>
          <w:rFonts w:ascii="Arial" w:cs="Arial" w:eastAsia="Arial" w:hAnsi="Arial"/>
          <w:sz w:val="16"/>
          <w:szCs w:val="16"/>
          <w:b w:val="1"/>
          <w:bCs w:val="1"/>
          <w:color w:val="16479F"/>
        </w:rPr>
        <w:t>Enhance capital discipline and further optimize capital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00" w:right="280"/>
        <w:spacing w:after="0" w:line="279" w:lineRule="auto"/>
        <w:rPr>
          <w:sz w:val="20"/>
          <w:szCs w:val="20"/>
          <w:color w:val="auto"/>
        </w:rPr>
      </w:pPr>
      <w:r>
        <w:rPr>
          <w:rFonts w:ascii="Arial" w:cs="Arial" w:eastAsia="Arial" w:hAnsi="Arial"/>
          <w:sz w:val="15"/>
          <w:szCs w:val="15"/>
          <w:b w:val="1"/>
          <w:bCs w:val="1"/>
          <w:color w:val="16479F"/>
        </w:rPr>
        <w:t>Further instill firmwide culture of mergers, partnerships and acquisitions (“MP&amp;A”)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00" w:right="100"/>
        <w:spacing w:after="0" w:line="257" w:lineRule="auto"/>
        <w:rPr>
          <w:sz w:val="20"/>
          <w:szCs w:val="20"/>
          <w:color w:val="auto"/>
        </w:rPr>
      </w:pPr>
      <w:r>
        <w:rPr>
          <w:rFonts w:ascii="Arial" w:cs="Arial" w:eastAsia="Arial" w:hAnsi="Arial"/>
          <w:sz w:val="16"/>
          <w:szCs w:val="16"/>
          <w:b w:val="1"/>
          <w:bCs w:val="1"/>
          <w:color w:val="16479F"/>
        </w:rPr>
        <w:t>Enhance diverse representation within the finance organization and throughout MSCI</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left="223" w:right="420" w:hanging="223"/>
        <w:spacing w:after="0" w:line="256" w:lineRule="auto"/>
        <w:tabs>
          <w:tab w:leader="none" w:pos="239" w:val="left"/>
        </w:tabs>
        <w:numPr>
          <w:ilvl w:val="0"/>
          <w:numId w:val="120"/>
        </w:numPr>
        <w:rPr>
          <w:rFonts w:ascii="Arial" w:cs="Arial" w:eastAsia="Arial" w:hAnsi="Arial"/>
          <w:sz w:val="16"/>
          <w:szCs w:val="16"/>
          <w:b w:val="1"/>
          <w:bCs w:val="1"/>
          <w:color w:val="16479F"/>
        </w:rPr>
      </w:pPr>
      <w:r>
        <w:rPr>
          <w:rFonts w:ascii="Arial" w:cs="Arial" w:eastAsia="Arial" w:hAnsi="Arial"/>
          <w:sz w:val="16"/>
          <w:szCs w:val="16"/>
          <w:color w:val="auto"/>
        </w:rPr>
        <w:t>Established “Finance at the Front” initiative to drive deeper insights, enhanced decision making, proactive focus on business improvement and achievement of financial targets.</w:t>
      </w:r>
    </w:p>
    <w:p>
      <w:pPr>
        <w:spacing w:after="0" w:line="143" w:lineRule="exact"/>
        <w:rPr>
          <w:rFonts w:ascii="Arial" w:cs="Arial" w:eastAsia="Arial" w:hAnsi="Arial"/>
          <w:sz w:val="16"/>
          <w:szCs w:val="16"/>
          <w:b w:val="1"/>
          <w:bCs w:val="1"/>
          <w:color w:val="16479F"/>
        </w:rPr>
      </w:pPr>
    </w:p>
    <w:p>
      <w:pPr>
        <w:ind w:left="223" w:right="520" w:hanging="223"/>
        <w:spacing w:after="0" w:line="256" w:lineRule="auto"/>
        <w:tabs>
          <w:tab w:leader="none" w:pos="239" w:val="left"/>
        </w:tabs>
        <w:numPr>
          <w:ilvl w:val="0"/>
          <w:numId w:val="120"/>
        </w:numPr>
        <w:rPr>
          <w:rFonts w:ascii="Arial" w:cs="Arial" w:eastAsia="Arial" w:hAnsi="Arial"/>
          <w:sz w:val="16"/>
          <w:szCs w:val="16"/>
          <w:b w:val="1"/>
          <w:bCs w:val="1"/>
          <w:color w:val="16479F"/>
        </w:rPr>
      </w:pPr>
      <w:r>
        <w:rPr>
          <w:rFonts w:ascii="Arial" w:cs="Arial" w:eastAsia="Arial" w:hAnsi="Arial"/>
          <w:sz w:val="16"/>
          <w:szCs w:val="16"/>
          <w:color w:val="auto"/>
        </w:rPr>
        <w:t>Drove enhancements to overall financial management process, including the internal capital allocation process to ensure a rigorous and intense focus on triple-crown investment activity and firm-wide efficiencies.</w:t>
      </w:r>
    </w:p>
    <w:p>
      <w:pPr>
        <w:spacing w:after="0" w:line="143" w:lineRule="exact"/>
        <w:rPr>
          <w:rFonts w:ascii="Arial" w:cs="Arial" w:eastAsia="Arial" w:hAnsi="Arial"/>
          <w:sz w:val="16"/>
          <w:szCs w:val="16"/>
          <w:b w:val="1"/>
          <w:bCs w:val="1"/>
          <w:color w:val="16479F"/>
        </w:rPr>
      </w:pPr>
    </w:p>
    <w:p>
      <w:pPr>
        <w:ind w:left="223" w:right="60" w:hanging="223"/>
        <w:spacing w:after="0" w:line="250" w:lineRule="auto"/>
        <w:tabs>
          <w:tab w:leader="none" w:pos="239" w:val="left"/>
        </w:tabs>
        <w:numPr>
          <w:ilvl w:val="0"/>
          <w:numId w:val="120"/>
        </w:numPr>
        <w:rPr>
          <w:rFonts w:ascii="Arial" w:cs="Arial" w:eastAsia="Arial" w:hAnsi="Arial"/>
          <w:sz w:val="16"/>
          <w:szCs w:val="16"/>
          <w:b w:val="1"/>
          <w:bCs w:val="1"/>
          <w:color w:val="16479F"/>
        </w:rPr>
      </w:pPr>
      <w:r>
        <w:rPr>
          <w:rFonts w:ascii="Arial" w:cs="Arial" w:eastAsia="Arial" w:hAnsi="Arial"/>
          <w:sz w:val="16"/>
          <w:szCs w:val="16"/>
          <w:color w:val="auto"/>
        </w:rPr>
        <w:t>Proactively managed investments and firm resources to capitalize on market opportunities, drive financial performance and ensure strong execution, with a focus on value creation, helping to drive record financial results for 2021 across key metrics.</w:t>
      </w:r>
    </w:p>
    <w:p>
      <w:pPr>
        <w:spacing w:after="0" w:line="94" w:lineRule="exact"/>
        <w:rPr>
          <w:rFonts w:ascii="Arial" w:cs="Arial" w:eastAsia="Arial" w:hAnsi="Arial"/>
          <w:sz w:val="16"/>
          <w:szCs w:val="16"/>
          <w:b w:val="1"/>
          <w:bCs w:val="1"/>
          <w:color w:val="16479F"/>
        </w:rPr>
      </w:pPr>
    </w:p>
    <w:p>
      <w:pPr>
        <w:ind w:left="223" w:hanging="223"/>
        <w:spacing w:after="0"/>
        <w:tabs>
          <w:tab w:leader="none" w:pos="223" w:val="left"/>
        </w:tabs>
        <w:numPr>
          <w:ilvl w:val="0"/>
          <w:numId w:val="120"/>
        </w:numPr>
        <w:rPr>
          <w:rFonts w:ascii="Arial" w:cs="Arial" w:eastAsia="Arial" w:hAnsi="Arial"/>
          <w:sz w:val="16"/>
          <w:szCs w:val="16"/>
          <w:b w:val="1"/>
          <w:bCs w:val="1"/>
          <w:color w:val="16479F"/>
        </w:rPr>
      </w:pPr>
      <w:r>
        <w:rPr>
          <w:rFonts w:ascii="Arial" w:cs="Arial" w:eastAsia="Arial" w:hAnsi="Arial"/>
          <w:sz w:val="16"/>
          <w:szCs w:val="16"/>
          <w:color w:val="auto"/>
        </w:rPr>
        <w:t>Continued intense focus on process simplification and automation to improve efficiency.</w:t>
      </w:r>
    </w:p>
    <w:p>
      <w:pPr>
        <w:spacing w:after="0" w:line="164" w:lineRule="exact"/>
        <w:rPr>
          <w:rFonts w:ascii="Arial" w:cs="Arial" w:eastAsia="Arial" w:hAnsi="Arial"/>
          <w:sz w:val="16"/>
          <w:szCs w:val="16"/>
          <w:b w:val="1"/>
          <w:bCs w:val="1"/>
          <w:color w:val="16479F"/>
        </w:rPr>
      </w:pPr>
    </w:p>
    <w:p>
      <w:pPr>
        <w:ind w:left="223" w:hanging="223"/>
        <w:spacing w:after="0"/>
        <w:tabs>
          <w:tab w:leader="none" w:pos="223" w:val="left"/>
        </w:tabs>
        <w:numPr>
          <w:ilvl w:val="0"/>
          <w:numId w:val="120"/>
        </w:numPr>
        <w:rPr>
          <w:rFonts w:ascii="Arial" w:cs="Arial" w:eastAsia="Arial" w:hAnsi="Arial"/>
          <w:sz w:val="16"/>
          <w:szCs w:val="16"/>
          <w:b w:val="1"/>
          <w:bCs w:val="1"/>
          <w:color w:val="16479F"/>
        </w:rPr>
      </w:pPr>
      <w:r>
        <w:rPr>
          <w:rFonts w:ascii="Arial" w:cs="Arial" w:eastAsia="Arial" w:hAnsi="Arial"/>
          <w:sz w:val="16"/>
          <w:szCs w:val="16"/>
          <w:color w:val="auto"/>
        </w:rPr>
        <w:t>Rationalized, simplified and automated internal reporting.</w:t>
      </w:r>
    </w:p>
    <w:p>
      <w:pPr>
        <w:spacing w:after="0" w:line="164" w:lineRule="exact"/>
        <w:rPr>
          <w:rFonts w:ascii="Arial" w:cs="Arial" w:eastAsia="Arial" w:hAnsi="Arial"/>
          <w:sz w:val="16"/>
          <w:szCs w:val="16"/>
          <w:b w:val="1"/>
          <w:bCs w:val="1"/>
          <w:color w:val="16479F"/>
        </w:rPr>
      </w:pPr>
    </w:p>
    <w:p>
      <w:pPr>
        <w:ind w:left="223" w:right="720" w:hanging="223"/>
        <w:spacing w:after="0" w:line="256" w:lineRule="auto"/>
        <w:tabs>
          <w:tab w:leader="none" w:pos="239" w:val="left"/>
        </w:tabs>
        <w:numPr>
          <w:ilvl w:val="0"/>
          <w:numId w:val="120"/>
        </w:numPr>
        <w:rPr>
          <w:rFonts w:ascii="Arial" w:cs="Arial" w:eastAsia="Arial" w:hAnsi="Arial"/>
          <w:sz w:val="16"/>
          <w:szCs w:val="16"/>
          <w:b w:val="1"/>
          <w:bCs w:val="1"/>
          <w:color w:val="16479F"/>
        </w:rPr>
      </w:pPr>
      <w:r>
        <w:rPr>
          <w:rFonts w:ascii="Arial" w:cs="Arial" w:eastAsia="Arial" w:hAnsi="Arial"/>
          <w:sz w:val="16"/>
          <w:szCs w:val="16"/>
          <w:color w:val="auto"/>
        </w:rPr>
        <w:t>Oversaw successful deployment of enhanced revenue management system and broader subscription revenue processes.</w:t>
      </w:r>
    </w:p>
    <w:p>
      <w:pPr>
        <w:spacing w:after="0" w:line="143" w:lineRule="exact"/>
        <w:rPr>
          <w:rFonts w:ascii="Arial" w:cs="Arial" w:eastAsia="Arial" w:hAnsi="Arial"/>
          <w:sz w:val="16"/>
          <w:szCs w:val="16"/>
          <w:b w:val="1"/>
          <w:bCs w:val="1"/>
          <w:color w:val="16479F"/>
        </w:rPr>
      </w:pPr>
    </w:p>
    <w:p>
      <w:pPr>
        <w:ind w:left="223" w:right="660" w:hanging="223"/>
        <w:spacing w:after="0" w:line="256" w:lineRule="auto"/>
        <w:tabs>
          <w:tab w:leader="none" w:pos="239" w:val="left"/>
        </w:tabs>
        <w:numPr>
          <w:ilvl w:val="0"/>
          <w:numId w:val="120"/>
        </w:numPr>
        <w:rPr>
          <w:rFonts w:ascii="Arial" w:cs="Arial" w:eastAsia="Arial" w:hAnsi="Arial"/>
          <w:sz w:val="16"/>
          <w:szCs w:val="16"/>
          <w:b w:val="1"/>
          <w:bCs w:val="1"/>
          <w:color w:val="16479F"/>
        </w:rPr>
      </w:pPr>
      <w:r>
        <w:rPr>
          <w:rFonts w:ascii="Arial" w:cs="Arial" w:eastAsia="Arial" w:hAnsi="Arial"/>
          <w:sz w:val="16"/>
          <w:szCs w:val="16"/>
          <w:color w:val="auto"/>
        </w:rPr>
        <w:t>Drove alignment and enhanced decision making through key metric visibility, improved forecasting and process discipline.</w:t>
      </w:r>
    </w:p>
    <w:p>
      <w:pPr>
        <w:spacing w:after="0" w:line="143" w:lineRule="exact"/>
        <w:rPr>
          <w:rFonts w:ascii="Arial" w:cs="Arial" w:eastAsia="Arial" w:hAnsi="Arial"/>
          <w:sz w:val="16"/>
          <w:szCs w:val="16"/>
          <w:b w:val="1"/>
          <w:bCs w:val="1"/>
          <w:color w:val="16479F"/>
        </w:rPr>
      </w:pPr>
    </w:p>
    <w:p>
      <w:pPr>
        <w:ind w:left="223" w:right="220" w:hanging="223"/>
        <w:spacing w:after="0" w:line="256" w:lineRule="auto"/>
        <w:tabs>
          <w:tab w:leader="none" w:pos="239" w:val="left"/>
        </w:tabs>
        <w:numPr>
          <w:ilvl w:val="0"/>
          <w:numId w:val="120"/>
        </w:numPr>
        <w:rPr>
          <w:rFonts w:ascii="Arial" w:cs="Arial" w:eastAsia="Arial" w:hAnsi="Arial"/>
          <w:sz w:val="16"/>
          <w:szCs w:val="16"/>
          <w:b w:val="1"/>
          <w:bCs w:val="1"/>
          <w:color w:val="16479F"/>
        </w:rPr>
      </w:pPr>
      <w:r>
        <w:rPr>
          <w:rFonts w:ascii="Arial" w:cs="Arial" w:eastAsia="Arial" w:hAnsi="Arial"/>
          <w:sz w:val="16"/>
          <w:szCs w:val="16"/>
          <w:color w:val="auto"/>
        </w:rPr>
        <w:t>Incorporated risk management in operating rhythm to ensure broader awareness around and intentionality in levels of Company risk.</w:t>
      </w:r>
    </w:p>
    <w:p>
      <w:pPr>
        <w:spacing w:after="0" w:line="143" w:lineRule="exact"/>
        <w:rPr>
          <w:rFonts w:ascii="Arial" w:cs="Arial" w:eastAsia="Arial" w:hAnsi="Arial"/>
          <w:sz w:val="16"/>
          <w:szCs w:val="16"/>
          <w:b w:val="1"/>
          <w:bCs w:val="1"/>
          <w:color w:val="16479F"/>
        </w:rPr>
      </w:pPr>
    </w:p>
    <w:p>
      <w:pPr>
        <w:ind w:left="223" w:right="120" w:hanging="223"/>
        <w:spacing w:after="0" w:line="256" w:lineRule="auto"/>
        <w:tabs>
          <w:tab w:leader="none" w:pos="239" w:val="left"/>
        </w:tabs>
        <w:numPr>
          <w:ilvl w:val="0"/>
          <w:numId w:val="120"/>
        </w:numPr>
        <w:rPr>
          <w:rFonts w:ascii="Arial" w:cs="Arial" w:eastAsia="Arial" w:hAnsi="Arial"/>
          <w:sz w:val="16"/>
          <w:szCs w:val="16"/>
          <w:b w:val="1"/>
          <w:bCs w:val="1"/>
          <w:color w:val="16479F"/>
        </w:rPr>
      </w:pPr>
      <w:r>
        <w:rPr>
          <w:rFonts w:ascii="Arial" w:cs="Arial" w:eastAsia="Arial" w:hAnsi="Arial"/>
          <w:sz w:val="16"/>
          <w:szCs w:val="16"/>
          <w:color w:val="auto"/>
        </w:rPr>
        <w:t>Continued buildout of business intelligence capabilities to enhance understanding of markets and competitors, improve decision making and optimize outcomes.</w:t>
      </w:r>
    </w:p>
    <w:p>
      <w:pPr>
        <w:spacing w:after="0" w:line="89" w:lineRule="exact"/>
        <w:rPr>
          <w:rFonts w:ascii="Arial" w:cs="Arial" w:eastAsia="Arial" w:hAnsi="Arial"/>
          <w:sz w:val="16"/>
          <w:szCs w:val="16"/>
          <w:b w:val="1"/>
          <w:bCs w:val="1"/>
          <w:color w:val="16479F"/>
        </w:rPr>
      </w:pPr>
    </w:p>
    <w:p>
      <w:pPr>
        <w:ind w:left="223" w:right="820" w:hanging="223"/>
        <w:spacing w:after="0" w:line="256" w:lineRule="auto"/>
        <w:tabs>
          <w:tab w:leader="none" w:pos="230" w:val="left"/>
        </w:tabs>
        <w:numPr>
          <w:ilvl w:val="0"/>
          <w:numId w:val="120"/>
        </w:numPr>
        <w:rPr>
          <w:rFonts w:ascii="Arial" w:cs="Arial" w:eastAsia="Arial" w:hAnsi="Arial"/>
          <w:sz w:val="16"/>
          <w:szCs w:val="16"/>
          <w:b w:val="1"/>
          <w:bCs w:val="1"/>
          <w:color w:val="16479F"/>
        </w:rPr>
      </w:pPr>
      <w:r>
        <w:rPr>
          <w:rFonts w:ascii="Arial" w:cs="Arial" w:eastAsia="Arial" w:hAnsi="Arial"/>
          <w:sz w:val="16"/>
          <w:szCs w:val="16"/>
          <w:color w:val="auto"/>
        </w:rPr>
        <w:t>Advanced firmwide focus on optimizing cash flow dynamics of the business through proactive working capital management and enhanced client contract discipline.</w:t>
      </w:r>
    </w:p>
    <w:p>
      <w:pPr>
        <w:spacing w:after="0" w:line="143" w:lineRule="exact"/>
        <w:rPr>
          <w:rFonts w:ascii="Arial" w:cs="Arial" w:eastAsia="Arial" w:hAnsi="Arial"/>
          <w:sz w:val="16"/>
          <w:szCs w:val="16"/>
          <w:b w:val="1"/>
          <w:bCs w:val="1"/>
          <w:color w:val="16479F"/>
        </w:rPr>
      </w:pPr>
    </w:p>
    <w:p>
      <w:pPr>
        <w:ind w:left="223" w:hanging="223"/>
        <w:spacing w:after="0"/>
        <w:tabs>
          <w:tab w:leader="none" w:pos="223" w:val="left"/>
        </w:tabs>
        <w:numPr>
          <w:ilvl w:val="0"/>
          <w:numId w:val="120"/>
        </w:numPr>
        <w:rPr>
          <w:rFonts w:ascii="Arial" w:cs="Arial" w:eastAsia="Arial" w:hAnsi="Arial"/>
          <w:sz w:val="16"/>
          <w:szCs w:val="16"/>
          <w:b w:val="1"/>
          <w:bCs w:val="1"/>
          <w:color w:val="16479F"/>
        </w:rPr>
      </w:pPr>
      <w:r>
        <w:rPr>
          <w:rFonts w:ascii="Arial" w:cs="Arial" w:eastAsia="Arial" w:hAnsi="Arial"/>
          <w:sz w:val="16"/>
          <w:szCs w:val="16"/>
          <w:color w:val="auto"/>
        </w:rPr>
        <w:t>Capitalized on attractive market opportunities to enhance credit profile, lower cost of capital and extend maturities.</w:t>
      </w:r>
    </w:p>
    <w:p>
      <w:pPr>
        <w:spacing w:after="0" w:line="164" w:lineRule="exact"/>
        <w:rPr>
          <w:rFonts w:ascii="Arial" w:cs="Arial" w:eastAsia="Arial" w:hAnsi="Arial"/>
          <w:sz w:val="16"/>
          <w:szCs w:val="16"/>
          <w:b w:val="1"/>
          <w:bCs w:val="1"/>
          <w:color w:val="16479F"/>
        </w:rPr>
      </w:pPr>
    </w:p>
    <w:p>
      <w:pPr>
        <w:ind w:left="423" w:right="40" w:hanging="208"/>
        <w:spacing w:after="0" w:line="256" w:lineRule="auto"/>
        <w:tabs>
          <w:tab w:leader="none" w:pos="439" w:val="left"/>
        </w:tabs>
        <w:numPr>
          <w:ilvl w:val="1"/>
          <w:numId w:val="120"/>
        </w:numPr>
        <w:rPr>
          <w:rFonts w:ascii="Arial" w:cs="Arial" w:eastAsia="Arial" w:hAnsi="Arial"/>
          <w:sz w:val="16"/>
          <w:szCs w:val="16"/>
          <w:b w:val="1"/>
          <w:bCs w:val="1"/>
          <w:color w:val="16479F"/>
        </w:rPr>
      </w:pPr>
      <w:r>
        <w:rPr>
          <w:rFonts w:ascii="Arial" w:cs="Arial" w:eastAsia="Arial" w:hAnsi="Arial"/>
          <w:sz w:val="16"/>
          <w:szCs w:val="16"/>
          <w:color w:val="auto"/>
        </w:rPr>
        <w:t>Executed $1.8 billion of new financing transactions, including refinancing $1 billion of outstanding debt, and extended the life of our revolving credit facility.</w:t>
      </w:r>
    </w:p>
    <w:p>
      <w:pPr>
        <w:spacing w:after="0" w:line="143" w:lineRule="exact"/>
        <w:rPr>
          <w:rFonts w:ascii="Arial" w:cs="Arial" w:eastAsia="Arial" w:hAnsi="Arial"/>
          <w:sz w:val="16"/>
          <w:szCs w:val="16"/>
          <w:b w:val="1"/>
          <w:bCs w:val="1"/>
          <w:color w:val="16479F"/>
        </w:rPr>
      </w:pPr>
    </w:p>
    <w:p>
      <w:pPr>
        <w:ind w:left="423" w:right="540" w:hanging="208"/>
        <w:spacing w:after="0" w:line="256" w:lineRule="auto"/>
        <w:tabs>
          <w:tab w:leader="none" w:pos="439" w:val="left"/>
        </w:tabs>
        <w:numPr>
          <w:ilvl w:val="1"/>
          <w:numId w:val="120"/>
        </w:numPr>
        <w:rPr>
          <w:rFonts w:ascii="Arial" w:cs="Arial" w:eastAsia="Arial" w:hAnsi="Arial"/>
          <w:sz w:val="16"/>
          <w:szCs w:val="16"/>
          <w:b w:val="1"/>
          <w:bCs w:val="1"/>
          <w:color w:val="16479F"/>
        </w:rPr>
      </w:pPr>
      <w:r>
        <w:rPr>
          <w:rFonts w:ascii="Arial" w:cs="Arial" w:eastAsia="Arial" w:hAnsi="Arial"/>
          <w:sz w:val="16"/>
          <w:szCs w:val="16"/>
          <w:color w:val="auto"/>
        </w:rPr>
        <w:t>Meaningfully extended debt maturities (with the earliest maturity being eight years out) and materially reduced weighted average cost of debt.</w:t>
      </w:r>
    </w:p>
    <w:p>
      <w:pPr>
        <w:spacing w:after="0" w:line="143" w:lineRule="exact"/>
        <w:rPr>
          <w:rFonts w:ascii="Arial" w:cs="Arial" w:eastAsia="Arial" w:hAnsi="Arial"/>
          <w:sz w:val="16"/>
          <w:szCs w:val="16"/>
          <w:b w:val="1"/>
          <w:bCs w:val="1"/>
          <w:color w:val="16479F"/>
        </w:rPr>
      </w:pPr>
    </w:p>
    <w:p>
      <w:pPr>
        <w:ind w:left="443" w:hanging="228"/>
        <w:spacing w:after="0"/>
        <w:tabs>
          <w:tab w:leader="none" w:pos="443" w:val="left"/>
        </w:tabs>
        <w:numPr>
          <w:ilvl w:val="1"/>
          <w:numId w:val="120"/>
        </w:numPr>
        <w:rPr>
          <w:rFonts w:ascii="Arial" w:cs="Arial" w:eastAsia="Arial" w:hAnsi="Arial"/>
          <w:sz w:val="16"/>
          <w:szCs w:val="16"/>
          <w:b w:val="1"/>
          <w:bCs w:val="1"/>
          <w:color w:val="16479F"/>
        </w:rPr>
      </w:pPr>
      <w:r>
        <w:rPr>
          <w:rFonts w:ascii="Arial" w:cs="Arial" w:eastAsia="Arial" w:hAnsi="Arial"/>
          <w:sz w:val="16"/>
          <w:szCs w:val="16"/>
          <w:color w:val="auto"/>
        </w:rPr>
        <w:t>Achieved an investment grade rating from Fitch and an upgrade from Moody’s.</w:t>
      </w:r>
    </w:p>
    <w:p>
      <w:pPr>
        <w:spacing w:after="0" w:line="110" w:lineRule="exact"/>
        <w:rPr>
          <w:rFonts w:ascii="Arial" w:cs="Arial" w:eastAsia="Arial" w:hAnsi="Arial"/>
          <w:sz w:val="16"/>
          <w:szCs w:val="16"/>
          <w:b w:val="1"/>
          <w:bCs w:val="1"/>
          <w:color w:val="16479F"/>
        </w:rPr>
      </w:pPr>
    </w:p>
    <w:p>
      <w:pPr>
        <w:ind w:left="223" w:right="660" w:hanging="223"/>
        <w:spacing w:after="0" w:line="256" w:lineRule="auto"/>
        <w:tabs>
          <w:tab w:leader="none" w:pos="239" w:val="left"/>
        </w:tabs>
        <w:numPr>
          <w:ilvl w:val="0"/>
          <w:numId w:val="120"/>
        </w:numPr>
        <w:rPr>
          <w:rFonts w:ascii="Arial" w:cs="Arial" w:eastAsia="Arial" w:hAnsi="Arial"/>
          <w:sz w:val="16"/>
          <w:szCs w:val="16"/>
          <w:b w:val="1"/>
          <w:bCs w:val="1"/>
          <w:color w:val="16479F"/>
        </w:rPr>
      </w:pPr>
      <w:r>
        <w:rPr>
          <w:rFonts w:ascii="Arial" w:cs="Arial" w:eastAsia="Arial" w:hAnsi="Arial"/>
          <w:sz w:val="16"/>
          <w:szCs w:val="16"/>
          <w:color w:val="auto"/>
        </w:rPr>
        <w:t>Drove enhanced firmwide focus on MP&amp;A to accelerate key strategic growth areas and enable further business expansion.</w:t>
      </w:r>
    </w:p>
    <w:p>
      <w:pPr>
        <w:spacing w:after="0" w:line="143" w:lineRule="exact"/>
        <w:rPr>
          <w:rFonts w:ascii="Arial" w:cs="Arial" w:eastAsia="Arial" w:hAnsi="Arial"/>
          <w:sz w:val="16"/>
          <w:szCs w:val="16"/>
          <w:b w:val="1"/>
          <w:bCs w:val="1"/>
          <w:color w:val="16479F"/>
        </w:rPr>
      </w:pPr>
    </w:p>
    <w:p>
      <w:pPr>
        <w:ind w:left="423" w:right="400" w:hanging="208"/>
        <w:spacing w:after="0" w:line="256" w:lineRule="auto"/>
        <w:tabs>
          <w:tab w:leader="none" w:pos="439" w:val="left"/>
        </w:tabs>
        <w:numPr>
          <w:ilvl w:val="1"/>
          <w:numId w:val="120"/>
        </w:numPr>
        <w:rPr>
          <w:rFonts w:ascii="Arial" w:cs="Arial" w:eastAsia="Arial" w:hAnsi="Arial"/>
          <w:sz w:val="16"/>
          <w:szCs w:val="16"/>
          <w:b w:val="1"/>
          <w:bCs w:val="1"/>
          <w:color w:val="16479F"/>
        </w:rPr>
      </w:pPr>
      <w:r>
        <w:rPr>
          <w:rFonts w:ascii="Arial" w:cs="Arial" w:eastAsia="Arial" w:hAnsi="Arial"/>
          <w:sz w:val="16"/>
          <w:szCs w:val="16"/>
          <w:color w:val="auto"/>
        </w:rPr>
        <w:t>Formalized processes with product and functional leaders to develop and manage MP&amp;A opportunity pipeline in order to drive focus and accountability.</w:t>
      </w:r>
    </w:p>
    <w:p>
      <w:pPr>
        <w:spacing w:after="0" w:line="143" w:lineRule="exact"/>
        <w:rPr>
          <w:rFonts w:ascii="Arial" w:cs="Arial" w:eastAsia="Arial" w:hAnsi="Arial"/>
          <w:sz w:val="16"/>
          <w:szCs w:val="16"/>
          <w:b w:val="1"/>
          <w:bCs w:val="1"/>
          <w:color w:val="16479F"/>
        </w:rPr>
      </w:pPr>
    </w:p>
    <w:p>
      <w:pPr>
        <w:ind w:left="443" w:hanging="228"/>
        <w:spacing w:after="0"/>
        <w:tabs>
          <w:tab w:leader="none" w:pos="443" w:val="left"/>
        </w:tabs>
        <w:numPr>
          <w:ilvl w:val="1"/>
          <w:numId w:val="120"/>
        </w:numPr>
        <w:rPr>
          <w:rFonts w:ascii="Arial" w:cs="Arial" w:eastAsia="Arial" w:hAnsi="Arial"/>
          <w:sz w:val="16"/>
          <w:szCs w:val="16"/>
          <w:b w:val="1"/>
          <w:bCs w:val="1"/>
          <w:color w:val="16479F"/>
        </w:rPr>
      </w:pPr>
      <w:r>
        <w:rPr>
          <w:rFonts w:ascii="Arial" w:cs="Arial" w:eastAsia="Arial" w:hAnsi="Arial"/>
          <w:sz w:val="16"/>
          <w:szCs w:val="16"/>
          <w:color w:val="auto"/>
        </w:rPr>
        <w:t>Successfully attracted and onboarded key new Strategy and Corporate Development hire to help drive MP&amp;A culture.</w:t>
      </w:r>
    </w:p>
    <w:p>
      <w:pPr>
        <w:spacing w:after="0" w:line="164" w:lineRule="exact"/>
        <w:rPr>
          <w:rFonts w:ascii="Arial" w:cs="Arial" w:eastAsia="Arial" w:hAnsi="Arial"/>
          <w:sz w:val="16"/>
          <w:szCs w:val="16"/>
          <w:b w:val="1"/>
          <w:bCs w:val="1"/>
          <w:color w:val="16479F"/>
        </w:rPr>
      </w:pPr>
    </w:p>
    <w:p>
      <w:pPr>
        <w:ind w:left="423" w:right="300" w:hanging="208"/>
        <w:spacing w:after="0" w:line="256" w:lineRule="auto"/>
        <w:tabs>
          <w:tab w:leader="none" w:pos="439" w:val="left"/>
        </w:tabs>
        <w:numPr>
          <w:ilvl w:val="1"/>
          <w:numId w:val="120"/>
        </w:numPr>
        <w:rPr>
          <w:rFonts w:ascii="Arial" w:cs="Arial" w:eastAsia="Arial" w:hAnsi="Arial"/>
          <w:sz w:val="16"/>
          <w:szCs w:val="16"/>
          <w:b w:val="1"/>
          <w:bCs w:val="1"/>
          <w:color w:val="16479F"/>
        </w:rPr>
      </w:pPr>
      <w:r>
        <w:rPr>
          <w:rFonts w:ascii="Arial" w:cs="Arial" w:eastAsia="Arial" w:hAnsi="Arial"/>
          <w:sz w:val="16"/>
          <w:szCs w:val="16"/>
          <w:color w:val="auto"/>
        </w:rPr>
        <w:t>Successfully executed and drove value realization of two acquisitions, two minority investments and 20+ strategic partnerships in priority areas.</w:t>
      </w:r>
    </w:p>
    <w:p>
      <w:pPr>
        <w:spacing w:after="0" w:line="143" w:lineRule="exact"/>
        <w:rPr>
          <w:rFonts w:ascii="Arial" w:cs="Arial" w:eastAsia="Arial" w:hAnsi="Arial"/>
          <w:sz w:val="16"/>
          <w:szCs w:val="16"/>
          <w:b w:val="1"/>
          <w:bCs w:val="1"/>
          <w:color w:val="16479F"/>
        </w:rPr>
      </w:pPr>
    </w:p>
    <w:p>
      <w:pPr>
        <w:ind w:left="423" w:right="200" w:hanging="208"/>
        <w:spacing w:after="0" w:line="256" w:lineRule="auto"/>
        <w:tabs>
          <w:tab w:leader="none" w:pos="439" w:val="left"/>
        </w:tabs>
        <w:numPr>
          <w:ilvl w:val="1"/>
          <w:numId w:val="120"/>
        </w:numPr>
        <w:rPr>
          <w:rFonts w:ascii="Arial" w:cs="Arial" w:eastAsia="Arial" w:hAnsi="Arial"/>
          <w:sz w:val="16"/>
          <w:szCs w:val="16"/>
          <w:b w:val="1"/>
          <w:bCs w:val="1"/>
          <w:color w:val="16479F"/>
        </w:rPr>
      </w:pPr>
      <w:r>
        <w:rPr>
          <w:rFonts w:ascii="Arial" w:cs="Arial" w:eastAsia="Arial" w:hAnsi="Arial"/>
          <w:sz w:val="16"/>
          <w:szCs w:val="16"/>
          <w:color w:val="auto"/>
        </w:rPr>
        <w:t>Implemented new policies and procedures for engaging with existing and prospective partners to ensure alignment with MSCI’s corporate responsibility objectives.</w:t>
      </w:r>
    </w:p>
    <w:p>
      <w:pPr>
        <w:spacing w:after="0" w:line="89" w:lineRule="exact"/>
        <w:rPr>
          <w:rFonts w:ascii="Arial" w:cs="Arial" w:eastAsia="Arial" w:hAnsi="Arial"/>
          <w:sz w:val="16"/>
          <w:szCs w:val="16"/>
          <w:b w:val="1"/>
          <w:bCs w:val="1"/>
          <w:color w:val="16479F"/>
        </w:rPr>
      </w:pPr>
    </w:p>
    <w:p>
      <w:pPr>
        <w:ind w:left="223" w:right="160" w:hanging="223"/>
        <w:spacing w:after="0" w:line="256" w:lineRule="auto"/>
        <w:tabs>
          <w:tab w:leader="none" w:pos="230" w:val="left"/>
        </w:tabs>
        <w:numPr>
          <w:ilvl w:val="0"/>
          <w:numId w:val="120"/>
        </w:numPr>
        <w:rPr>
          <w:rFonts w:ascii="Arial" w:cs="Arial" w:eastAsia="Arial" w:hAnsi="Arial"/>
          <w:sz w:val="16"/>
          <w:szCs w:val="16"/>
          <w:b w:val="1"/>
          <w:bCs w:val="1"/>
          <w:color w:val="16479F"/>
        </w:rPr>
      </w:pPr>
      <w:r>
        <w:rPr>
          <w:rFonts w:ascii="Arial" w:cs="Arial" w:eastAsia="Arial" w:hAnsi="Arial"/>
          <w:sz w:val="16"/>
          <w:szCs w:val="16"/>
          <w:color w:val="auto"/>
        </w:rPr>
        <w:t>As a result of expanded recruiting outreach to broader qualified talent pool, increased diversity in Finance organization globally.</w:t>
      </w:r>
    </w:p>
    <w:p>
      <w:pPr>
        <w:spacing w:after="0" w:line="143" w:lineRule="exact"/>
        <w:rPr>
          <w:rFonts w:ascii="Arial" w:cs="Arial" w:eastAsia="Arial" w:hAnsi="Arial"/>
          <w:sz w:val="16"/>
          <w:szCs w:val="16"/>
          <w:b w:val="1"/>
          <w:bCs w:val="1"/>
          <w:color w:val="16479F"/>
        </w:rPr>
      </w:pPr>
    </w:p>
    <w:p>
      <w:pPr>
        <w:ind w:left="223" w:right="400" w:hanging="223"/>
        <w:spacing w:after="0" w:line="256" w:lineRule="auto"/>
        <w:tabs>
          <w:tab w:leader="none" w:pos="239" w:val="left"/>
        </w:tabs>
        <w:numPr>
          <w:ilvl w:val="0"/>
          <w:numId w:val="120"/>
        </w:numPr>
        <w:rPr>
          <w:rFonts w:ascii="Arial" w:cs="Arial" w:eastAsia="Arial" w:hAnsi="Arial"/>
          <w:sz w:val="16"/>
          <w:szCs w:val="16"/>
          <w:b w:val="1"/>
          <w:bCs w:val="1"/>
          <w:color w:val="16479F"/>
        </w:rPr>
      </w:pPr>
      <w:r>
        <w:rPr>
          <w:rFonts w:ascii="Arial" w:cs="Arial" w:eastAsia="Arial" w:hAnsi="Arial"/>
          <w:sz w:val="16"/>
          <w:szCs w:val="16"/>
          <w:color w:val="auto"/>
        </w:rPr>
        <w:t>Championed diversity in all talent development, promotion and succession decisions in the Finance organization to ensure all talent is being appropriately considered and supported.</w:t>
      </w:r>
    </w:p>
    <w:p>
      <w:pPr>
        <w:spacing w:after="0" w:line="143" w:lineRule="exact"/>
        <w:rPr>
          <w:rFonts w:ascii="Arial" w:cs="Arial" w:eastAsia="Arial" w:hAnsi="Arial"/>
          <w:sz w:val="16"/>
          <w:szCs w:val="16"/>
          <w:b w:val="1"/>
          <w:bCs w:val="1"/>
          <w:color w:val="16479F"/>
        </w:rPr>
      </w:pPr>
    </w:p>
    <w:p>
      <w:pPr>
        <w:ind w:left="223" w:hanging="223"/>
        <w:spacing w:after="0"/>
        <w:tabs>
          <w:tab w:leader="none" w:pos="223" w:val="left"/>
        </w:tabs>
        <w:numPr>
          <w:ilvl w:val="0"/>
          <w:numId w:val="120"/>
        </w:numPr>
        <w:rPr>
          <w:rFonts w:ascii="Arial" w:cs="Arial" w:eastAsia="Arial" w:hAnsi="Arial"/>
          <w:sz w:val="16"/>
          <w:szCs w:val="16"/>
          <w:b w:val="1"/>
          <w:bCs w:val="1"/>
          <w:color w:val="16479F"/>
        </w:rPr>
      </w:pPr>
      <w:r>
        <w:rPr>
          <w:rFonts w:ascii="Arial" w:cs="Arial" w:eastAsia="Arial" w:hAnsi="Arial"/>
          <w:sz w:val="16"/>
          <w:szCs w:val="16"/>
          <w:color w:val="auto"/>
        </w:rPr>
        <w:t>Acted as Executive Sponsor of All Abilities Network.</w:t>
      </w:r>
    </w:p>
    <w:p>
      <w:pPr>
        <w:spacing w:after="0" w:line="164" w:lineRule="exact"/>
        <w:rPr>
          <w:rFonts w:ascii="Arial" w:cs="Arial" w:eastAsia="Arial" w:hAnsi="Arial"/>
          <w:sz w:val="16"/>
          <w:szCs w:val="16"/>
          <w:b w:val="1"/>
          <w:bCs w:val="1"/>
          <w:color w:val="16479F"/>
        </w:rPr>
      </w:pPr>
    </w:p>
    <w:p>
      <w:pPr>
        <w:ind w:left="223" w:right="280" w:hanging="223"/>
        <w:spacing w:after="0" w:line="256" w:lineRule="auto"/>
        <w:tabs>
          <w:tab w:leader="none" w:pos="230" w:val="left"/>
        </w:tabs>
        <w:numPr>
          <w:ilvl w:val="0"/>
          <w:numId w:val="120"/>
        </w:numPr>
        <w:rPr>
          <w:rFonts w:ascii="Arial" w:cs="Arial" w:eastAsia="Arial" w:hAnsi="Arial"/>
          <w:sz w:val="16"/>
          <w:szCs w:val="16"/>
          <w:b w:val="1"/>
          <w:bCs w:val="1"/>
          <w:color w:val="16479F"/>
        </w:rPr>
      </w:pPr>
      <w:r>
        <w:rPr>
          <w:rFonts w:ascii="Arial" w:cs="Arial" w:eastAsia="Arial" w:hAnsi="Arial"/>
          <w:sz w:val="16"/>
          <w:szCs w:val="16"/>
          <w:color w:val="auto"/>
        </w:rPr>
        <w:t>Active participant as speaker/sponsor of ERGs: Women’s Leadership Forum, MSCI Pride, Black Leadership Network and All Abilities Network; participant in 4th Annual Global DE&amp;I Summit.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-1555115</wp:posOffset>
            </wp:positionH>
            <wp:positionV relativeFrom="paragraph">
              <wp:posOffset>-4161155</wp:posOffset>
            </wp:positionV>
            <wp:extent cx="7133590" cy="14281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3590" cy="1428115"/>
                    </a:xfrm>
                    <a:prstGeom prst="rect">
                      <a:avLst/>
                    </a:prstGeom>
                    <a:noFill/>
                  </pic:spPr>
                </pic:pic>
              </a:graphicData>
            </a:graphic>
          </wp:anchor>
        </w:drawing>
        <w:drawing>
          <wp:anchor simplePos="0" relativeHeight="251657728" behindDoc="1" locked="0" layoutInCell="0" allowOverlap="1">
            <wp:simplePos x="0" y="0"/>
            <wp:positionH relativeFrom="column">
              <wp:posOffset>-1557655</wp:posOffset>
            </wp:positionH>
            <wp:positionV relativeFrom="paragraph">
              <wp:posOffset>-1184910</wp:posOffset>
            </wp:positionV>
            <wp:extent cx="7154545" cy="134556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4545" cy="1345565"/>
                    </a:xfrm>
                    <a:prstGeom prst="rect">
                      <a:avLst/>
                    </a:prstGeom>
                    <a:noFill/>
                  </pic:spPr>
                </pic:pic>
              </a:graphicData>
            </a:graphic>
          </wp:anchor>
        </w:drawing>
      </w:r>
    </w:p>
    <w:p>
      <w:pPr>
        <w:sectPr>
          <w:pgSz w:w="11900" w:h="16838" w:orient="portrait"/>
          <w:cols w:equalWidth="0" w:num="2">
            <w:col w:w="2100" w:space="357"/>
            <w:col w:w="8783"/>
          </w:cols>
          <w:pgMar w:left="320" w:top="121" w:right="339" w:bottom="1440" w:gutter="0" w:footer="0" w:header="0"/>
          <w:type w:val="continuous"/>
        </w:sectPr>
      </w:pPr>
    </w:p>
    <w:bookmarkStart w:id="76" w:name="page77"/>
    <w:bookmarkEnd w:id="76"/>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149860</wp:posOffset>
            </wp:positionV>
            <wp:extent cx="7133590" cy="21272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3590" cy="212725"/>
                    </a:xfrm>
                    <a:prstGeom prst="rect">
                      <a:avLst/>
                    </a:prstGeom>
                    <a:noFill/>
                  </pic:spPr>
                </pic:pic>
              </a:graphicData>
            </a:graphic>
          </wp:anchor>
        </w:drawing>
      </w:r>
    </w:p>
    <w:p>
      <w:pPr>
        <w:spacing w:after="0" w:line="283"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4"/>
          <w:szCs w:val="14"/>
          <w:b w:val="1"/>
          <w:bCs w:val="1"/>
          <w:color w:val="16479F"/>
        </w:rPr>
        <w:t>76</w:t>
      </w:r>
      <w:r>
        <w:rPr>
          <w:sz w:val="20"/>
          <w:szCs w:val="20"/>
          <w:color w:val="auto"/>
        </w:rPr>
        <w:tab/>
      </w:r>
      <w:r>
        <w:rPr>
          <w:rFonts w:ascii="Arial" w:cs="Arial" w:eastAsia="Arial" w:hAnsi="Arial"/>
          <w:sz w:val="14"/>
          <w:szCs w:val="14"/>
          <w:b w:val="1"/>
          <w:bCs w:val="1"/>
          <w:color w:val="16479F"/>
        </w:rPr>
        <w:t>MSCI  |  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220980</wp:posOffset>
            </wp:positionV>
            <wp:extent cx="7133590" cy="153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3590" cy="153035"/>
                    </a:xfrm>
                    <a:prstGeom prst="rect">
                      <a:avLst/>
                    </a:prstGeom>
                    <a:noFill/>
                  </pic:spPr>
                </pic:pic>
              </a:graphicData>
            </a:graphic>
          </wp:anchor>
        </w:drawing>
      </w:r>
    </w:p>
    <w:p>
      <w:pPr>
        <w:spacing w:after="0" w:line="336"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FFFFFF"/>
        </w:rPr>
        <w:t>BAER PETTIT, PRESIDENT &amp;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38100</wp:posOffset>
            </wp:positionV>
            <wp:extent cx="7133590" cy="12071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3590" cy="120713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122" w:lineRule="exact"/>
        <w:rPr>
          <w:sz w:val="20"/>
          <w:szCs w:val="20"/>
          <w:color w:val="auto"/>
        </w:rPr>
      </w:pPr>
    </w:p>
    <w:p>
      <w:pPr>
        <w:ind w:left="100" w:right="240"/>
        <w:spacing w:after="0" w:line="282" w:lineRule="auto"/>
        <w:rPr>
          <w:sz w:val="20"/>
          <w:szCs w:val="20"/>
          <w:color w:val="auto"/>
        </w:rPr>
      </w:pPr>
      <w:r>
        <w:rPr>
          <w:rFonts w:ascii="Arial" w:cs="Arial" w:eastAsia="Arial" w:hAnsi="Arial"/>
          <w:sz w:val="16"/>
          <w:szCs w:val="16"/>
          <w:b w:val="1"/>
          <w:bCs w:val="1"/>
          <w:color w:val="16479F"/>
        </w:rPr>
        <w:t>Prioritize investment targets to drive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00" w:right="260"/>
        <w:spacing w:after="0" w:line="282" w:lineRule="auto"/>
        <w:rPr>
          <w:sz w:val="20"/>
          <w:szCs w:val="20"/>
          <w:color w:val="auto"/>
        </w:rPr>
      </w:pPr>
      <w:r>
        <w:rPr>
          <w:rFonts w:ascii="Arial" w:cs="Arial" w:eastAsia="Arial" w:hAnsi="Arial"/>
          <w:sz w:val="16"/>
          <w:szCs w:val="16"/>
          <w:b w:val="1"/>
          <w:bCs w:val="1"/>
          <w:color w:val="16479F"/>
        </w:rPr>
        <w:t>Accelerate technology transformation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00"/>
        <w:spacing w:after="0" w:line="257" w:lineRule="auto"/>
        <w:rPr>
          <w:sz w:val="20"/>
          <w:szCs w:val="20"/>
          <w:color w:val="auto"/>
        </w:rPr>
      </w:pPr>
      <w:r>
        <w:rPr>
          <w:rFonts w:ascii="Arial" w:cs="Arial" w:eastAsia="Arial" w:hAnsi="Arial"/>
          <w:sz w:val="16"/>
          <w:szCs w:val="16"/>
          <w:b w:val="1"/>
          <w:bCs w:val="1"/>
          <w:color w:val="16479F"/>
        </w:rPr>
        <w:t>Focus on being partner of choice and helping our clients build better portfolios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0" w:right="100"/>
        <w:spacing w:after="0" w:line="263" w:lineRule="auto"/>
        <w:rPr>
          <w:sz w:val="20"/>
          <w:szCs w:val="20"/>
          <w:color w:val="auto"/>
        </w:rPr>
      </w:pPr>
      <w:r>
        <w:rPr>
          <w:rFonts w:ascii="Arial" w:cs="Arial" w:eastAsia="Arial" w:hAnsi="Arial"/>
          <w:sz w:val="16"/>
          <w:szCs w:val="16"/>
          <w:b w:val="1"/>
          <w:bCs w:val="1"/>
          <w:color w:val="16479F"/>
        </w:rPr>
        <w:t>Instill practices that support an inclusive and innovative culture</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223" w:hanging="223"/>
        <w:spacing w:after="0"/>
        <w:tabs>
          <w:tab w:leader="none" w:pos="223" w:val="left"/>
        </w:tabs>
        <w:numPr>
          <w:ilvl w:val="0"/>
          <w:numId w:val="121"/>
        </w:numPr>
        <w:rPr>
          <w:rFonts w:ascii="Arial" w:cs="Arial" w:eastAsia="Arial" w:hAnsi="Arial"/>
          <w:sz w:val="16"/>
          <w:szCs w:val="16"/>
          <w:b w:val="1"/>
          <w:bCs w:val="1"/>
          <w:color w:val="16479F"/>
        </w:rPr>
      </w:pPr>
      <w:r>
        <w:rPr>
          <w:rFonts w:ascii="Arial" w:cs="Arial" w:eastAsia="Arial" w:hAnsi="Arial"/>
          <w:sz w:val="16"/>
          <w:szCs w:val="16"/>
          <w:color w:val="auto"/>
        </w:rPr>
        <w:t>Drove greater investment into high growth areas and delivered strong financial and operating results:</w:t>
      </w:r>
    </w:p>
    <w:p>
      <w:pPr>
        <w:spacing w:after="0" w:line="164" w:lineRule="exact"/>
        <w:rPr>
          <w:rFonts w:ascii="Arial" w:cs="Arial" w:eastAsia="Arial" w:hAnsi="Arial"/>
          <w:sz w:val="16"/>
          <w:szCs w:val="16"/>
          <w:b w:val="1"/>
          <w:bCs w:val="1"/>
          <w:color w:val="16479F"/>
        </w:rPr>
      </w:pPr>
    </w:p>
    <w:p>
      <w:pPr>
        <w:ind w:left="443" w:hanging="228"/>
        <w:spacing w:after="0"/>
        <w:tabs>
          <w:tab w:leader="none" w:pos="443" w:val="left"/>
        </w:tabs>
        <w:numPr>
          <w:ilvl w:val="1"/>
          <w:numId w:val="121"/>
        </w:numPr>
        <w:rPr>
          <w:rFonts w:ascii="Arial" w:cs="Arial" w:eastAsia="Arial" w:hAnsi="Arial"/>
          <w:sz w:val="16"/>
          <w:szCs w:val="16"/>
          <w:b w:val="1"/>
          <w:bCs w:val="1"/>
          <w:color w:val="16479F"/>
        </w:rPr>
      </w:pPr>
      <w:r>
        <w:rPr>
          <w:rFonts w:ascii="Arial" w:cs="Arial" w:eastAsia="Arial" w:hAnsi="Arial"/>
          <w:sz w:val="16"/>
          <w:szCs w:val="16"/>
          <w:color w:val="auto"/>
        </w:rPr>
        <w:t>Drove record financial results and growth in 2021 across key metrics.</w:t>
      </w:r>
    </w:p>
    <w:p>
      <w:pPr>
        <w:spacing w:after="0" w:line="164" w:lineRule="exact"/>
        <w:rPr>
          <w:rFonts w:ascii="Arial" w:cs="Arial" w:eastAsia="Arial" w:hAnsi="Arial"/>
          <w:sz w:val="16"/>
          <w:szCs w:val="16"/>
          <w:b w:val="1"/>
          <w:bCs w:val="1"/>
          <w:color w:val="16479F"/>
        </w:rPr>
      </w:pPr>
    </w:p>
    <w:p>
      <w:pPr>
        <w:ind w:left="443" w:hanging="228"/>
        <w:spacing w:after="0"/>
        <w:tabs>
          <w:tab w:leader="none" w:pos="443" w:val="left"/>
        </w:tabs>
        <w:numPr>
          <w:ilvl w:val="1"/>
          <w:numId w:val="121"/>
        </w:numPr>
        <w:rPr>
          <w:rFonts w:ascii="Arial" w:cs="Arial" w:eastAsia="Arial" w:hAnsi="Arial"/>
          <w:sz w:val="16"/>
          <w:szCs w:val="16"/>
          <w:b w:val="1"/>
          <w:bCs w:val="1"/>
          <w:color w:val="16479F"/>
        </w:rPr>
      </w:pPr>
      <w:r>
        <w:rPr>
          <w:rFonts w:ascii="Arial" w:cs="Arial" w:eastAsia="Arial" w:hAnsi="Arial"/>
          <w:sz w:val="16"/>
          <w:szCs w:val="16"/>
          <w:color w:val="auto"/>
        </w:rPr>
        <w:t>Oversaw the execution of record sales and performance against key operating metrics in 2021.</w:t>
      </w:r>
    </w:p>
    <w:p>
      <w:pPr>
        <w:spacing w:after="0" w:line="164" w:lineRule="exact"/>
        <w:rPr>
          <w:rFonts w:ascii="Arial" w:cs="Arial" w:eastAsia="Arial" w:hAnsi="Arial"/>
          <w:sz w:val="16"/>
          <w:szCs w:val="16"/>
          <w:b w:val="1"/>
          <w:bCs w:val="1"/>
          <w:color w:val="16479F"/>
        </w:rPr>
      </w:pPr>
    </w:p>
    <w:p>
      <w:pPr>
        <w:ind w:left="443" w:hanging="228"/>
        <w:spacing w:after="0"/>
        <w:tabs>
          <w:tab w:leader="none" w:pos="443" w:val="left"/>
        </w:tabs>
        <w:numPr>
          <w:ilvl w:val="1"/>
          <w:numId w:val="121"/>
        </w:numPr>
        <w:rPr>
          <w:rFonts w:ascii="Arial" w:cs="Arial" w:eastAsia="Arial" w:hAnsi="Arial"/>
          <w:sz w:val="16"/>
          <w:szCs w:val="16"/>
          <w:b w:val="1"/>
          <w:bCs w:val="1"/>
          <w:color w:val="16479F"/>
        </w:rPr>
      </w:pPr>
      <w:r>
        <w:rPr>
          <w:rFonts w:ascii="Arial" w:cs="Arial" w:eastAsia="Arial" w:hAnsi="Arial"/>
          <w:sz w:val="16"/>
          <w:szCs w:val="16"/>
          <w:color w:val="auto"/>
        </w:rPr>
        <w:t>Oversaw an increase in MSCI’s footprint in private assets through the acquisition of Real Capital Analytics.</w:t>
      </w:r>
    </w:p>
    <w:p>
      <w:pPr>
        <w:spacing w:after="0" w:line="164" w:lineRule="exact"/>
        <w:rPr>
          <w:rFonts w:ascii="Arial" w:cs="Arial" w:eastAsia="Arial" w:hAnsi="Arial"/>
          <w:sz w:val="16"/>
          <w:szCs w:val="16"/>
          <w:b w:val="1"/>
          <w:bCs w:val="1"/>
          <w:color w:val="16479F"/>
        </w:rPr>
      </w:pPr>
    </w:p>
    <w:p>
      <w:pPr>
        <w:ind w:left="423" w:right="380" w:hanging="208"/>
        <w:spacing w:after="0" w:line="256" w:lineRule="auto"/>
        <w:tabs>
          <w:tab w:leader="none" w:pos="439" w:val="left"/>
        </w:tabs>
        <w:numPr>
          <w:ilvl w:val="1"/>
          <w:numId w:val="121"/>
        </w:numPr>
        <w:rPr>
          <w:rFonts w:ascii="Arial" w:cs="Arial" w:eastAsia="Arial" w:hAnsi="Arial"/>
          <w:sz w:val="16"/>
          <w:szCs w:val="16"/>
          <w:b w:val="1"/>
          <w:bCs w:val="1"/>
          <w:color w:val="16479F"/>
        </w:rPr>
      </w:pPr>
      <w:r>
        <w:rPr>
          <w:rFonts w:ascii="Arial" w:cs="Arial" w:eastAsia="Arial" w:hAnsi="Arial"/>
          <w:sz w:val="16"/>
          <w:szCs w:val="16"/>
          <w:color w:val="auto"/>
        </w:rPr>
        <w:t>Drove the 2022 Operating Plan process by emphasizing critical growth areas, with a heightened focus on client-centricity. Continued to identify and prioritize efficiencies to create additional investment capacity.</w:t>
      </w:r>
    </w:p>
    <w:p>
      <w:pPr>
        <w:spacing w:after="0" w:line="116" w:lineRule="exact"/>
        <w:rPr>
          <w:rFonts w:ascii="Arial" w:cs="Arial" w:eastAsia="Arial" w:hAnsi="Arial"/>
          <w:sz w:val="16"/>
          <w:szCs w:val="16"/>
          <w:b w:val="1"/>
          <w:bCs w:val="1"/>
          <w:color w:val="16479F"/>
        </w:rPr>
      </w:pPr>
    </w:p>
    <w:p>
      <w:pPr>
        <w:ind w:left="223" w:right="220" w:hanging="223"/>
        <w:spacing w:after="0" w:line="256" w:lineRule="auto"/>
        <w:tabs>
          <w:tab w:leader="none" w:pos="236" w:val="left"/>
        </w:tabs>
        <w:numPr>
          <w:ilvl w:val="0"/>
          <w:numId w:val="121"/>
        </w:numPr>
        <w:rPr>
          <w:rFonts w:ascii="Arial" w:cs="Arial" w:eastAsia="Arial" w:hAnsi="Arial"/>
          <w:sz w:val="16"/>
          <w:szCs w:val="16"/>
          <w:b w:val="1"/>
          <w:bCs w:val="1"/>
          <w:color w:val="16479F"/>
        </w:rPr>
      </w:pPr>
      <w:r>
        <w:rPr>
          <w:rFonts w:ascii="Arial" w:cs="Arial" w:eastAsia="Arial" w:hAnsi="Arial"/>
          <w:sz w:val="16"/>
          <w:szCs w:val="16"/>
          <w:color w:val="auto"/>
        </w:rPr>
        <w:t>Transformed technology function by strengthening technology leadership team through key hires in ESG and Climate and Index, and by targeting greater investment into critical technology initiatives:</w:t>
      </w:r>
    </w:p>
    <w:p>
      <w:pPr>
        <w:spacing w:after="0" w:line="143" w:lineRule="exact"/>
        <w:rPr>
          <w:rFonts w:ascii="Arial" w:cs="Arial" w:eastAsia="Arial" w:hAnsi="Arial"/>
          <w:sz w:val="16"/>
          <w:szCs w:val="16"/>
          <w:b w:val="1"/>
          <w:bCs w:val="1"/>
          <w:color w:val="16479F"/>
        </w:rPr>
      </w:pPr>
    </w:p>
    <w:p>
      <w:pPr>
        <w:ind w:left="443" w:hanging="228"/>
        <w:spacing w:after="0"/>
        <w:tabs>
          <w:tab w:leader="none" w:pos="443" w:val="left"/>
        </w:tabs>
        <w:numPr>
          <w:ilvl w:val="1"/>
          <w:numId w:val="121"/>
        </w:numPr>
        <w:rPr>
          <w:rFonts w:ascii="Arial" w:cs="Arial" w:eastAsia="Arial" w:hAnsi="Arial"/>
          <w:sz w:val="16"/>
          <w:szCs w:val="16"/>
          <w:b w:val="1"/>
          <w:bCs w:val="1"/>
          <w:color w:val="16479F"/>
        </w:rPr>
      </w:pPr>
      <w:r>
        <w:rPr>
          <w:rFonts w:ascii="Arial" w:cs="Arial" w:eastAsia="Arial" w:hAnsi="Arial"/>
          <w:sz w:val="16"/>
          <w:szCs w:val="16"/>
          <w:color w:val="auto"/>
        </w:rPr>
        <w:t>Directed investment into new ISaaS offerings.</w:t>
      </w:r>
    </w:p>
    <w:p>
      <w:pPr>
        <w:spacing w:after="0" w:line="164" w:lineRule="exact"/>
        <w:rPr>
          <w:rFonts w:ascii="Arial" w:cs="Arial" w:eastAsia="Arial" w:hAnsi="Arial"/>
          <w:sz w:val="16"/>
          <w:szCs w:val="16"/>
          <w:b w:val="1"/>
          <w:bCs w:val="1"/>
          <w:color w:val="16479F"/>
        </w:rPr>
      </w:pPr>
    </w:p>
    <w:p>
      <w:pPr>
        <w:ind w:left="443" w:hanging="228"/>
        <w:spacing w:after="0"/>
        <w:tabs>
          <w:tab w:leader="none" w:pos="443" w:val="left"/>
        </w:tabs>
        <w:numPr>
          <w:ilvl w:val="1"/>
          <w:numId w:val="121"/>
        </w:numPr>
        <w:rPr>
          <w:rFonts w:ascii="Arial" w:cs="Arial" w:eastAsia="Arial" w:hAnsi="Arial"/>
          <w:sz w:val="16"/>
          <w:szCs w:val="16"/>
          <w:b w:val="1"/>
          <w:bCs w:val="1"/>
          <w:color w:val="16479F"/>
        </w:rPr>
      </w:pPr>
      <w:r>
        <w:rPr>
          <w:rFonts w:ascii="Arial" w:cs="Arial" w:eastAsia="Arial" w:hAnsi="Arial"/>
          <w:sz w:val="16"/>
          <w:szCs w:val="16"/>
          <w:color w:val="auto"/>
        </w:rPr>
        <w:t>Oversaw the development and release of new thematic indexes via Barra Portfolio Manager.</w:t>
      </w:r>
    </w:p>
    <w:p>
      <w:pPr>
        <w:spacing w:after="0" w:line="164" w:lineRule="exact"/>
        <w:rPr>
          <w:rFonts w:ascii="Arial" w:cs="Arial" w:eastAsia="Arial" w:hAnsi="Arial"/>
          <w:sz w:val="16"/>
          <w:szCs w:val="16"/>
          <w:b w:val="1"/>
          <w:bCs w:val="1"/>
          <w:color w:val="16479F"/>
        </w:rPr>
      </w:pPr>
    </w:p>
    <w:p>
      <w:pPr>
        <w:ind w:left="423" w:right="280" w:hanging="208"/>
        <w:spacing w:after="0" w:line="256" w:lineRule="auto"/>
        <w:tabs>
          <w:tab w:leader="none" w:pos="439" w:val="left"/>
        </w:tabs>
        <w:numPr>
          <w:ilvl w:val="1"/>
          <w:numId w:val="121"/>
        </w:numPr>
        <w:rPr>
          <w:rFonts w:ascii="Arial" w:cs="Arial" w:eastAsia="Arial" w:hAnsi="Arial"/>
          <w:sz w:val="16"/>
          <w:szCs w:val="16"/>
          <w:b w:val="1"/>
          <w:bCs w:val="1"/>
          <w:color w:val="16479F"/>
        </w:rPr>
      </w:pPr>
      <w:r>
        <w:rPr>
          <w:rFonts w:ascii="Arial" w:cs="Arial" w:eastAsia="Arial" w:hAnsi="Arial"/>
          <w:sz w:val="16"/>
          <w:szCs w:val="16"/>
          <w:color w:val="auto"/>
        </w:rPr>
        <w:t>Drove progress on cloud migration across multiple product lines in a cost-efficient manner, including the complete migration of ESG and Climate applications and services.</w:t>
      </w:r>
    </w:p>
    <w:p>
      <w:pPr>
        <w:spacing w:after="0" w:line="116" w:lineRule="exact"/>
        <w:rPr>
          <w:rFonts w:ascii="Arial" w:cs="Arial" w:eastAsia="Arial" w:hAnsi="Arial"/>
          <w:sz w:val="16"/>
          <w:szCs w:val="16"/>
          <w:b w:val="1"/>
          <w:bCs w:val="1"/>
          <w:color w:val="16479F"/>
        </w:rPr>
      </w:pPr>
    </w:p>
    <w:p>
      <w:pPr>
        <w:ind w:left="223" w:hanging="223"/>
        <w:spacing w:after="0" w:line="256" w:lineRule="auto"/>
        <w:tabs>
          <w:tab w:leader="none" w:pos="239" w:val="left"/>
        </w:tabs>
        <w:numPr>
          <w:ilvl w:val="0"/>
          <w:numId w:val="121"/>
        </w:numPr>
        <w:rPr>
          <w:rFonts w:ascii="Arial" w:cs="Arial" w:eastAsia="Arial" w:hAnsi="Arial"/>
          <w:sz w:val="16"/>
          <w:szCs w:val="16"/>
          <w:b w:val="1"/>
          <w:bCs w:val="1"/>
          <w:color w:val="16479F"/>
        </w:rPr>
      </w:pPr>
      <w:r>
        <w:rPr>
          <w:rFonts w:ascii="Arial" w:cs="Arial" w:eastAsia="Arial" w:hAnsi="Arial"/>
          <w:sz w:val="16"/>
          <w:szCs w:val="16"/>
          <w:color w:val="auto"/>
        </w:rPr>
        <w:t>Oversaw improvements to client experience by simplifying contract structures, promoting greater automation and adding tools to help clients find relevant content more efficiently.</w:t>
      </w:r>
    </w:p>
    <w:p>
      <w:pPr>
        <w:spacing w:after="0" w:line="143" w:lineRule="exact"/>
        <w:rPr>
          <w:rFonts w:ascii="Arial" w:cs="Arial" w:eastAsia="Arial" w:hAnsi="Arial"/>
          <w:sz w:val="16"/>
          <w:szCs w:val="16"/>
          <w:b w:val="1"/>
          <w:bCs w:val="1"/>
          <w:color w:val="16479F"/>
        </w:rPr>
      </w:pPr>
    </w:p>
    <w:p>
      <w:pPr>
        <w:ind w:left="223" w:hanging="223"/>
        <w:spacing w:after="0"/>
        <w:tabs>
          <w:tab w:leader="none" w:pos="223" w:val="left"/>
        </w:tabs>
        <w:numPr>
          <w:ilvl w:val="0"/>
          <w:numId w:val="121"/>
        </w:numPr>
        <w:rPr>
          <w:rFonts w:ascii="Arial" w:cs="Arial" w:eastAsia="Arial" w:hAnsi="Arial"/>
          <w:sz w:val="16"/>
          <w:szCs w:val="16"/>
          <w:b w:val="1"/>
          <w:bCs w:val="1"/>
          <w:color w:val="16479F"/>
        </w:rPr>
      </w:pPr>
      <w:r>
        <w:rPr>
          <w:rFonts w:ascii="Arial" w:cs="Arial" w:eastAsia="Arial" w:hAnsi="Arial"/>
          <w:sz w:val="16"/>
          <w:szCs w:val="16"/>
          <w:color w:val="auto"/>
        </w:rPr>
        <w:t>Optimized incentive compensation programs within the Client Coverage organization to drive focus on client-centricity.</w:t>
      </w:r>
    </w:p>
    <w:p>
      <w:pPr>
        <w:spacing w:after="0" w:line="164" w:lineRule="exact"/>
        <w:rPr>
          <w:rFonts w:ascii="Arial" w:cs="Arial" w:eastAsia="Arial" w:hAnsi="Arial"/>
          <w:sz w:val="16"/>
          <w:szCs w:val="16"/>
          <w:b w:val="1"/>
          <w:bCs w:val="1"/>
          <w:color w:val="16479F"/>
        </w:rPr>
      </w:pPr>
    </w:p>
    <w:p>
      <w:pPr>
        <w:ind w:left="223" w:right="320" w:hanging="223"/>
        <w:spacing w:after="0" w:line="256" w:lineRule="auto"/>
        <w:tabs>
          <w:tab w:leader="none" w:pos="239" w:val="left"/>
        </w:tabs>
        <w:numPr>
          <w:ilvl w:val="0"/>
          <w:numId w:val="121"/>
        </w:numPr>
        <w:rPr>
          <w:rFonts w:ascii="Arial" w:cs="Arial" w:eastAsia="Arial" w:hAnsi="Arial"/>
          <w:sz w:val="16"/>
          <w:szCs w:val="16"/>
          <w:b w:val="1"/>
          <w:bCs w:val="1"/>
          <w:color w:val="16479F"/>
        </w:rPr>
      </w:pPr>
      <w:r>
        <w:rPr>
          <w:rFonts w:ascii="Arial" w:cs="Arial" w:eastAsia="Arial" w:hAnsi="Arial"/>
          <w:sz w:val="16"/>
          <w:szCs w:val="16"/>
          <w:color w:val="auto"/>
        </w:rPr>
        <w:t>Prioritized the “Wealth” client segment, leveraging our various tools and solutions to better capitalize on the growing demand for customization in investment processes.</w:t>
      </w:r>
    </w:p>
    <w:p>
      <w:pPr>
        <w:spacing w:after="0" w:line="143" w:lineRule="exact"/>
        <w:rPr>
          <w:rFonts w:ascii="Arial" w:cs="Arial" w:eastAsia="Arial" w:hAnsi="Arial"/>
          <w:sz w:val="16"/>
          <w:szCs w:val="16"/>
          <w:b w:val="1"/>
          <w:bCs w:val="1"/>
          <w:color w:val="16479F"/>
        </w:rPr>
      </w:pPr>
    </w:p>
    <w:p>
      <w:pPr>
        <w:ind w:left="223" w:right="560" w:hanging="223"/>
        <w:spacing w:after="0" w:line="256" w:lineRule="auto"/>
        <w:tabs>
          <w:tab w:leader="none" w:pos="239" w:val="left"/>
        </w:tabs>
        <w:numPr>
          <w:ilvl w:val="0"/>
          <w:numId w:val="121"/>
        </w:numPr>
        <w:rPr>
          <w:rFonts w:ascii="Arial" w:cs="Arial" w:eastAsia="Arial" w:hAnsi="Arial"/>
          <w:sz w:val="16"/>
          <w:szCs w:val="16"/>
          <w:b w:val="1"/>
          <w:bCs w:val="1"/>
          <w:color w:val="16479F"/>
        </w:rPr>
      </w:pPr>
      <w:r>
        <w:rPr>
          <w:rFonts w:ascii="Arial" w:cs="Arial" w:eastAsia="Arial" w:hAnsi="Arial"/>
          <w:sz w:val="16"/>
          <w:szCs w:val="16"/>
          <w:color w:val="auto"/>
        </w:rPr>
        <w:t>Prioritized focus on new research, including related to ESG and Climate and Thematics, to provide clarity on key investment problems.</w:t>
      </w:r>
    </w:p>
    <w:p>
      <w:pPr>
        <w:spacing w:after="0" w:line="143" w:lineRule="exact"/>
        <w:rPr>
          <w:rFonts w:ascii="Arial" w:cs="Arial" w:eastAsia="Arial" w:hAnsi="Arial"/>
          <w:sz w:val="16"/>
          <w:szCs w:val="16"/>
          <w:b w:val="1"/>
          <w:bCs w:val="1"/>
          <w:color w:val="16479F"/>
        </w:rPr>
      </w:pPr>
    </w:p>
    <w:p>
      <w:pPr>
        <w:ind w:left="223" w:right="20" w:hanging="223"/>
        <w:spacing w:after="0" w:line="256" w:lineRule="auto"/>
        <w:tabs>
          <w:tab w:leader="none" w:pos="239" w:val="left"/>
        </w:tabs>
        <w:numPr>
          <w:ilvl w:val="0"/>
          <w:numId w:val="121"/>
        </w:numPr>
        <w:rPr>
          <w:rFonts w:ascii="Arial" w:cs="Arial" w:eastAsia="Arial" w:hAnsi="Arial"/>
          <w:sz w:val="16"/>
          <w:szCs w:val="16"/>
          <w:b w:val="1"/>
          <w:bCs w:val="1"/>
          <w:color w:val="16479F"/>
        </w:rPr>
      </w:pPr>
      <w:r>
        <w:rPr>
          <w:rFonts w:ascii="Arial" w:cs="Arial" w:eastAsia="Arial" w:hAnsi="Arial"/>
          <w:sz w:val="16"/>
          <w:szCs w:val="16"/>
          <w:color w:val="auto"/>
        </w:rPr>
        <w:t>Developed new ESG and Climate solutions, including through the launch of the first Paris Aligned Fixed Income indexes in the market.</w:t>
      </w:r>
    </w:p>
    <w:p>
      <w:pPr>
        <w:spacing w:after="0" w:line="116" w:lineRule="exact"/>
        <w:rPr>
          <w:rFonts w:ascii="Arial" w:cs="Arial" w:eastAsia="Arial" w:hAnsi="Arial"/>
          <w:sz w:val="16"/>
          <w:szCs w:val="16"/>
          <w:b w:val="1"/>
          <w:bCs w:val="1"/>
          <w:color w:val="16479F"/>
        </w:rPr>
      </w:pPr>
    </w:p>
    <w:p>
      <w:pPr>
        <w:ind w:left="223" w:right="780" w:hanging="223"/>
        <w:spacing w:after="0" w:line="256" w:lineRule="auto"/>
        <w:tabs>
          <w:tab w:leader="none" w:pos="230" w:val="left"/>
        </w:tabs>
        <w:numPr>
          <w:ilvl w:val="0"/>
          <w:numId w:val="121"/>
        </w:numPr>
        <w:rPr>
          <w:rFonts w:ascii="Arial" w:cs="Arial" w:eastAsia="Arial" w:hAnsi="Arial"/>
          <w:sz w:val="16"/>
          <w:szCs w:val="16"/>
          <w:b w:val="1"/>
          <w:bCs w:val="1"/>
          <w:color w:val="16479F"/>
        </w:rPr>
      </w:pPr>
      <w:r>
        <w:rPr>
          <w:rFonts w:ascii="Arial" w:cs="Arial" w:eastAsia="Arial" w:hAnsi="Arial"/>
          <w:sz w:val="16"/>
          <w:szCs w:val="16"/>
          <w:color w:val="auto"/>
        </w:rPr>
        <w:t>Actively supported efforts to ensure that all Managing Directors have, and are measured against, specific and individualized DE&amp;I Goals.</w:t>
      </w:r>
    </w:p>
    <w:p>
      <w:pPr>
        <w:spacing w:after="0" w:line="143" w:lineRule="exact"/>
        <w:rPr>
          <w:rFonts w:ascii="Arial" w:cs="Arial" w:eastAsia="Arial" w:hAnsi="Arial"/>
          <w:sz w:val="16"/>
          <w:szCs w:val="16"/>
          <w:b w:val="1"/>
          <w:bCs w:val="1"/>
          <w:color w:val="16479F"/>
        </w:rPr>
      </w:pPr>
    </w:p>
    <w:p>
      <w:pPr>
        <w:ind w:left="223" w:right="160" w:hanging="223"/>
        <w:spacing w:after="0" w:line="256" w:lineRule="auto"/>
        <w:tabs>
          <w:tab w:leader="none" w:pos="239" w:val="left"/>
        </w:tabs>
        <w:numPr>
          <w:ilvl w:val="0"/>
          <w:numId w:val="121"/>
        </w:numPr>
        <w:rPr>
          <w:rFonts w:ascii="Arial" w:cs="Arial" w:eastAsia="Arial" w:hAnsi="Arial"/>
          <w:sz w:val="16"/>
          <w:szCs w:val="16"/>
          <w:b w:val="1"/>
          <w:bCs w:val="1"/>
          <w:color w:val="16479F"/>
        </w:rPr>
      </w:pPr>
      <w:r>
        <w:rPr>
          <w:rFonts w:ascii="Arial" w:cs="Arial" w:eastAsia="Arial" w:hAnsi="Arial"/>
          <w:sz w:val="16"/>
          <w:szCs w:val="16"/>
          <w:color w:val="auto"/>
        </w:rPr>
        <w:t>Served as executive sponsor for the Pride and Allies ERGs, including by hosting a town hall and speaking at the Pride and Allies Summit.</w:t>
      </w:r>
    </w:p>
    <w:p>
      <w:pPr>
        <w:spacing w:after="0" w:line="143" w:lineRule="exact"/>
        <w:rPr>
          <w:rFonts w:ascii="Arial" w:cs="Arial" w:eastAsia="Arial" w:hAnsi="Arial"/>
          <w:sz w:val="16"/>
          <w:szCs w:val="16"/>
          <w:b w:val="1"/>
          <w:bCs w:val="1"/>
          <w:color w:val="16479F"/>
        </w:rPr>
      </w:pPr>
    </w:p>
    <w:p>
      <w:pPr>
        <w:ind w:left="223" w:right="100" w:hanging="223"/>
        <w:spacing w:after="0" w:line="256" w:lineRule="auto"/>
        <w:tabs>
          <w:tab w:leader="none" w:pos="239" w:val="left"/>
        </w:tabs>
        <w:numPr>
          <w:ilvl w:val="0"/>
          <w:numId w:val="121"/>
        </w:numPr>
        <w:rPr>
          <w:rFonts w:ascii="Arial" w:cs="Arial" w:eastAsia="Arial" w:hAnsi="Arial"/>
          <w:sz w:val="16"/>
          <w:szCs w:val="16"/>
          <w:b w:val="1"/>
          <w:bCs w:val="1"/>
          <w:color w:val="16479F"/>
        </w:rPr>
      </w:pPr>
      <w:r>
        <w:rPr>
          <w:rFonts w:ascii="Arial" w:cs="Arial" w:eastAsia="Arial" w:hAnsi="Arial"/>
          <w:sz w:val="16"/>
          <w:szCs w:val="16"/>
          <w:color w:val="auto"/>
        </w:rPr>
        <w:t>Conducted career conversations to support internal succession planning for key roles within the Research and Product functions.</w:t>
      </w:r>
    </w:p>
    <w:p>
      <w:pPr>
        <w:spacing w:after="0" w:line="143" w:lineRule="exact"/>
        <w:rPr>
          <w:rFonts w:ascii="Arial" w:cs="Arial" w:eastAsia="Arial" w:hAnsi="Arial"/>
          <w:sz w:val="16"/>
          <w:szCs w:val="16"/>
          <w:b w:val="1"/>
          <w:bCs w:val="1"/>
          <w:color w:val="16479F"/>
        </w:rPr>
      </w:pPr>
    </w:p>
    <w:p>
      <w:pPr>
        <w:ind w:left="223" w:right="220" w:hanging="223"/>
        <w:spacing w:after="0" w:line="256" w:lineRule="auto"/>
        <w:tabs>
          <w:tab w:leader="none" w:pos="239" w:val="left"/>
        </w:tabs>
        <w:numPr>
          <w:ilvl w:val="0"/>
          <w:numId w:val="121"/>
        </w:numPr>
        <w:rPr>
          <w:rFonts w:ascii="Arial" w:cs="Arial" w:eastAsia="Arial" w:hAnsi="Arial"/>
          <w:sz w:val="16"/>
          <w:szCs w:val="16"/>
          <w:b w:val="1"/>
          <w:bCs w:val="1"/>
          <w:color w:val="16479F"/>
        </w:rPr>
      </w:pPr>
      <w:r>
        <w:rPr>
          <w:rFonts w:ascii="Arial" w:cs="Arial" w:eastAsia="Arial" w:hAnsi="Arial"/>
          <w:sz w:val="16"/>
          <w:szCs w:val="16"/>
          <w:color w:val="auto"/>
        </w:rPr>
        <w:t>Supported development of a leadership profile to evaluate candidates more objectively for assessment, selection and promotion.</w:t>
      </w:r>
    </w:p>
    <w:p>
      <w:pPr>
        <w:spacing w:after="0" w:line="143" w:lineRule="exact"/>
        <w:rPr>
          <w:rFonts w:ascii="Arial" w:cs="Arial" w:eastAsia="Arial" w:hAnsi="Arial"/>
          <w:sz w:val="16"/>
          <w:szCs w:val="16"/>
          <w:b w:val="1"/>
          <w:bCs w:val="1"/>
          <w:color w:val="16479F"/>
        </w:rPr>
      </w:pPr>
    </w:p>
    <w:p>
      <w:pPr>
        <w:ind w:left="223" w:right="380" w:hanging="223"/>
        <w:spacing w:after="0" w:line="250" w:lineRule="auto"/>
        <w:tabs>
          <w:tab w:leader="none" w:pos="239" w:val="left"/>
        </w:tabs>
        <w:numPr>
          <w:ilvl w:val="0"/>
          <w:numId w:val="121"/>
        </w:numPr>
        <w:rPr>
          <w:rFonts w:ascii="Arial" w:cs="Arial" w:eastAsia="Arial" w:hAnsi="Arial"/>
          <w:sz w:val="16"/>
          <w:szCs w:val="16"/>
          <w:b w:val="1"/>
          <w:bCs w:val="1"/>
          <w:color w:val="16479F"/>
        </w:rPr>
      </w:pPr>
      <w:r>
        <w:rPr>
          <w:rFonts w:ascii="Arial" w:cs="Arial" w:eastAsia="Arial" w:hAnsi="Arial"/>
          <w:sz w:val="16"/>
          <w:szCs w:val="16"/>
          <w:color w:val="auto"/>
        </w:rPr>
        <w:t>Oversaw use of MSCI’s innovation ‘Breakthrough’ methodology in numerous areas, including talent attraction and mobility, Future of Work challenges and DE&amp;I initiatives, resulting in the establishment of transformational practices around recruiting and hybrid-work collaboration.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-1555115</wp:posOffset>
            </wp:positionH>
            <wp:positionV relativeFrom="paragraph">
              <wp:posOffset>-3341370</wp:posOffset>
            </wp:positionV>
            <wp:extent cx="7133590" cy="15646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3590" cy="1564640"/>
                    </a:xfrm>
                    <a:prstGeom prst="rect">
                      <a:avLst/>
                    </a:prstGeom>
                    <a:noFill/>
                  </pic:spPr>
                </pic:pic>
              </a:graphicData>
            </a:graphic>
          </wp:anchor>
        </w:drawing>
        <w:drawing>
          <wp:anchor simplePos="0" relativeHeight="251657728" behindDoc="1" locked="0" layoutInCell="0" allowOverlap="1">
            <wp:simplePos x="0" y="0"/>
            <wp:positionH relativeFrom="column">
              <wp:posOffset>-1555115</wp:posOffset>
            </wp:positionH>
            <wp:positionV relativeFrom="paragraph">
              <wp:posOffset>24765</wp:posOffset>
            </wp:positionV>
            <wp:extent cx="7133590" cy="508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3590" cy="50800"/>
                    </a:xfrm>
                    <a:prstGeom prst="rect">
                      <a:avLst/>
                    </a:prstGeom>
                    <a:noFill/>
                  </pic:spPr>
                </pic:pic>
              </a:graphicData>
            </a:graphic>
          </wp:anchor>
        </w:drawing>
        <w:drawing>
          <wp:anchor simplePos="0" relativeHeight="251657728" behindDoc="1" locked="0" layoutInCell="0" allowOverlap="1">
            <wp:simplePos x="0" y="0"/>
            <wp:positionH relativeFrom="column">
              <wp:posOffset>-1557655</wp:posOffset>
            </wp:positionH>
            <wp:positionV relativeFrom="paragraph">
              <wp:posOffset>141605</wp:posOffset>
            </wp:positionV>
            <wp:extent cx="7154545" cy="209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2">
            <w:col w:w="2080" w:space="377"/>
            <w:col w:w="8763"/>
          </w:cols>
          <w:pgMar w:left="320" w:top="121" w:right="359" w:bottom="1440" w:gutter="0" w:footer="0" w:header="0"/>
          <w:type w:val="continuous"/>
        </w:sectPr>
      </w:pPr>
    </w:p>
    <w:bookmarkStart w:id="77" w:name="page78"/>
    <w:bookmarkEnd w:id="77"/>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00" w:type="dxa"/>
            <w:vAlign w:val="bottom"/>
            <w:tcBorders>
              <w:right w:val="single" w:sz="8" w:color="16479F"/>
            </w:tcBorders>
          </w:tcPr>
          <w:p>
            <w:pPr>
              <w:ind w:left="8700"/>
              <w:spacing w:after="0"/>
              <w:rPr>
                <w:sz w:val="20"/>
                <w:szCs w:val="20"/>
                <w:color w:val="auto"/>
              </w:rPr>
            </w:pPr>
            <w:r>
              <w:rPr>
                <w:rFonts w:ascii="Arial" w:cs="Arial" w:eastAsia="Arial" w:hAnsi="Arial"/>
                <w:sz w:val="14"/>
                <w:szCs w:val="14"/>
                <w:b w:val="1"/>
                <w:bCs w:val="1"/>
                <w:color w:val="16479F"/>
              </w:rPr>
              <w:t>2022 PROXY STATEMENT</w:t>
            </w:r>
          </w:p>
        </w:tc>
        <w:tc>
          <w:tcPr>
            <w:tcW w:w="640" w:type="dxa"/>
            <w:vAlign w:val="bottom"/>
          </w:tcPr>
          <w:p>
            <w:pPr>
              <w:jc w:val="right"/>
              <w:ind w:right="9"/>
              <w:spacing w:after="0"/>
              <w:rPr>
                <w:sz w:val="20"/>
                <w:szCs w:val="20"/>
                <w:color w:val="auto"/>
              </w:rPr>
            </w:pPr>
            <w:r>
              <w:rPr>
                <w:rFonts w:ascii="Arial" w:cs="Arial" w:eastAsia="Arial" w:hAnsi="Arial"/>
                <w:sz w:val="14"/>
                <w:szCs w:val="14"/>
                <w:b w:val="1"/>
                <w:bCs w:val="1"/>
                <w:color w:val="16479F"/>
              </w:rPr>
              <w:t>77</w:t>
            </w:r>
          </w:p>
        </w:tc>
      </w:tr>
      <w:tr>
        <w:trPr>
          <w:trHeight w:val="65"/>
        </w:trPr>
        <w:tc>
          <w:tcPr>
            <w:tcW w:w="10600" w:type="dxa"/>
            <w:vAlign w:val="bottom"/>
            <w:tcBorders>
              <w:bottom w:val="single" w:sz="8" w:color="16479F"/>
              <w:right w:val="single" w:sz="8" w:color="16479F"/>
            </w:tcBorders>
          </w:tcPr>
          <w:p>
            <w:pPr>
              <w:spacing w:after="0"/>
              <w:rPr>
                <w:sz w:val="5"/>
                <w:szCs w:val="5"/>
                <w:color w:val="auto"/>
              </w:rPr>
            </w:pPr>
          </w:p>
        </w:tc>
        <w:tc>
          <w:tcPr>
            <w:tcW w:w="640" w:type="dxa"/>
            <w:vAlign w:val="bottom"/>
            <w:tcBorders>
              <w:bottom w:val="single" w:sz="8" w:color="16479F"/>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153035</wp:posOffset>
            </wp:positionV>
            <wp:extent cx="7133590" cy="1530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3590" cy="153035"/>
                    </a:xfrm>
                    <a:prstGeom prst="rect">
                      <a:avLst/>
                    </a:prstGeom>
                    <a:noFill/>
                  </pic:spPr>
                </pic:pic>
              </a:graphicData>
            </a:graphic>
          </wp:anchor>
        </w:drawing>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FFFFFF"/>
        </w:rPr>
        <w:t>SCOTT A. CRUM, CHIEF HUMAN RESOURCES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30480</wp:posOffset>
            </wp:positionV>
            <wp:extent cx="7133590" cy="179387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3590" cy="1793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11" w:lineRule="exact"/>
        <w:rPr>
          <w:sz w:val="20"/>
          <w:szCs w:val="20"/>
          <w:color w:val="auto"/>
        </w:rPr>
      </w:pPr>
    </w:p>
    <w:p>
      <w:pPr>
        <w:ind w:left="100" w:right="280"/>
        <w:spacing w:after="0" w:line="282" w:lineRule="auto"/>
        <w:rPr>
          <w:sz w:val="20"/>
          <w:szCs w:val="20"/>
          <w:color w:val="auto"/>
        </w:rPr>
      </w:pPr>
      <w:r>
        <w:rPr>
          <w:rFonts w:ascii="Arial" w:cs="Arial" w:eastAsia="Arial" w:hAnsi="Arial"/>
          <w:sz w:val="16"/>
          <w:szCs w:val="16"/>
          <w:b w:val="1"/>
          <w:bCs w:val="1"/>
          <w:color w:val="16479F"/>
        </w:rPr>
        <w:t>Strengthen our senior talent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00" w:right="220"/>
        <w:spacing w:after="0" w:line="263" w:lineRule="auto"/>
        <w:rPr>
          <w:sz w:val="20"/>
          <w:szCs w:val="20"/>
          <w:color w:val="auto"/>
        </w:rPr>
      </w:pPr>
      <w:r>
        <w:rPr>
          <w:rFonts w:ascii="Arial" w:cs="Arial" w:eastAsia="Arial" w:hAnsi="Arial"/>
          <w:sz w:val="16"/>
          <w:szCs w:val="16"/>
          <w:b w:val="1"/>
          <w:bCs w:val="1"/>
          <w:color w:val="16479F"/>
        </w:rPr>
        <w:t>Advance our culture of diversity, equity and inclusion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00"/>
        <w:spacing w:after="0" w:line="289" w:lineRule="auto"/>
        <w:rPr>
          <w:sz w:val="20"/>
          <w:szCs w:val="20"/>
          <w:color w:val="auto"/>
        </w:rPr>
      </w:pPr>
      <w:r>
        <w:rPr>
          <w:rFonts w:ascii="Arial" w:cs="Arial" w:eastAsia="Arial" w:hAnsi="Arial"/>
          <w:sz w:val="15"/>
          <w:szCs w:val="15"/>
          <w:b w:val="1"/>
          <w:bCs w:val="1"/>
          <w:color w:val="16479F"/>
        </w:rPr>
        <w:t>Continue to support and enhance our performance and growth culture</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left="223" w:right="200" w:hanging="223"/>
        <w:spacing w:after="0" w:line="256" w:lineRule="auto"/>
        <w:tabs>
          <w:tab w:leader="none" w:pos="239" w:val="left"/>
        </w:tabs>
        <w:numPr>
          <w:ilvl w:val="0"/>
          <w:numId w:val="122"/>
        </w:numPr>
        <w:rPr>
          <w:rFonts w:ascii="Arial" w:cs="Arial" w:eastAsia="Arial" w:hAnsi="Arial"/>
          <w:sz w:val="16"/>
          <w:szCs w:val="16"/>
          <w:b w:val="1"/>
          <w:bCs w:val="1"/>
          <w:color w:val="16479F"/>
        </w:rPr>
      </w:pPr>
      <w:r>
        <w:rPr>
          <w:rFonts w:ascii="Arial" w:cs="Arial" w:eastAsia="Arial" w:hAnsi="Arial"/>
          <w:sz w:val="16"/>
          <w:szCs w:val="16"/>
          <w:color w:val="auto"/>
        </w:rPr>
        <w:t>Significantly accelerated Executive Committee succession and progression planning by focusing on preparing internal senior talent and identifying external pipeline of senior talent.</w:t>
      </w:r>
    </w:p>
    <w:p>
      <w:pPr>
        <w:spacing w:after="0" w:line="143" w:lineRule="exact"/>
        <w:rPr>
          <w:rFonts w:ascii="Arial" w:cs="Arial" w:eastAsia="Arial" w:hAnsi="Arial"/>
          <w:sz w:val="16"/>
          <w:szCs w:val="16"/>
          <w:b w:val="1"/>
          <w:bCs w:val="1"/>
          <w:color w:val="16479F"/>
        </w:rPr>
      </w:pPr>
    </w:p>
    <w:p>
      <w:pPr>
        <w:ind w:left="223" w:right="40" w:hanging="223"/>
        <w:spacing w:after="0" w:line="256" w:lineRule="auto"/>
        <w:tabs>
          <w:tab w:leader="none" w:pos="239" w:val="left"/>
        </w:tabs>
        <w:numPr>
          <w:ilvl w:val="0"/>
          <w:numId w:val="122"/>
        </w:numPr>
        <w:rPr>
          <w:rFonts w:ascii="Arial" w:cs="Arial" w:eastAsia="Arial" w:hAnsi="Arial"/>
          <w:sz w:val="16"/>
          <w:szCs w:val="16"/>
          <w:b w:val="1"/>
          <w:bCs w:val="1"/>
          <w:color w:val="16479F"/>
        </w:rPr>
      </w:pPr>
      <w:r>
        <w:rPr>
          <w:rFonts w:ascii="Arial" w:cs="Arial" w:eastAsia="Arial" w:hAnsi="Arial"/>
          <w:sz w:val="16"/>
          <w:szCs w:val="16"/>
          <w:color w:val="auto"/>
        </w:rPr>
        <w:t>Created Managing Director and Executive Committee success profiles, which will serve as the basis for future selection, promotion and progression decisions.</w:t>
      </w:r>
    </w:p>
    <w:p>
      <w:pPr>
        <w:spacing w:after="0" w:line="143" w:lineRule="exact"/>
        <w:rPr>
          <w:rFonts w:ascii="Arial" w:cs="Arial" w:eastAsia="Arial" w:hAnsi="Arial"/>
          <w:sz w:val="16"/>
          <w:szCs w:val="16"/>
          <w:b w:val="1"/>
          <w:bCs w:val="1"/>
          <w:color w:val="16479F"/>
        </w:rPr>
      </w:pPr>
    </w:p>
    <w:p>
      <w:pPr>
        <w:ind w:left="223" w:hanging="223"/>
        <w:spacing w:after="0"/>
        <w:tabs>
          <w:tab w:leader="none" w:pos="223" w:val="left"/>
        </w:tabs>
        <w:numPr>
          <w:ilvl w:val="0"/>
          <w:numId w:val="122"/>
        </w:numPr>
        <w:rPr>
          <w:rFonts w:ascii="Arial" w:cs="Arial" w:eastAsia="Arial" w:hAnsi="Arial"/>
          <w:sz w:val="16"/>
          <w:szCs w:val="16"/>
          <w:b w:val="1"/>
          <w:bCs w:val="1"/>
          <w:color w:val="16479F"/>
        </w:rPr>
      </w:pPr>
      <w:r>
        <w:rPr>
          <w:rFonts w:ascii="Arial" w:cs="Arial" w:eastAsia="Arial" w:hAnsi="Arial"/>
          <w:sz w:val="16"/>
          <w:szCs w:val="16"/>
          <w:color w:val="auto"/>
        </w:rPr>
        <w:t>Developed Managing Director assessment, selection, promotion and progression methodology.</w:t>
      </w:r>
    </w:p>
    <w:p>
      <w:pPr>
        <w:spacing w:after="0" w:line="164" w:lineRule="exact"/>
        <w:rPr>
          <w:rFonts w:ascii="Arial" w:cs="Arial" w:eastAsia="Arial" w:hAnsi="Arial"/>
          <w:sz w:val="16"/>
          <w:szCs w:val="16"/>
          <w:b w:val="1"/>
          <w:bCs w:val="1"/>
          <w:color w:val="16479F"/>
        </w:rPr>
      </w:pPr>
    </w:p>
    <w:p>
      <w:pPr>
        <w:ind w:left="223" w:hanging="223"/>
        <w:spacing w:after="0"/>
        <w:tabs>
          <w:tab w:leader="none" w:pos="223" w:val="left"/>
        </w:tabs>
        <w:numPr>
          <w:ilvl w:val="0"/>
          <w:numId w:val="122"/>
        </w:numPr>
        <w:rPr>
          <w:rFonts w:ascii="Arial" w:cs="Arial" w:eastAsia="Arial" w:hAnsi="Arial"/>
          <w:sz w:val="16"/>
          <w:szCs w:val="16"/>
          <w:b w:val="1"/>
          <w:bCs w:val="1"/>
          <w:color w:val="16479F"/>
        </w:rPr>
      </w:pPr>
      <w:r>
        <w:rPr>
          <w:rFonts w:ascii="Arial" w:cs="Arial" w:eastAsia="Arial" w:hAnsi="Arial"/>
          <w:sz w:val="16"/>
          <w:szCs w:val="16"/>
          <w:color w:val="auto"/>
        </w:rPr>
        <w:t>Hired 11 Managing Directors in 2021, with strong diversity across both gender and ethnicity.</w:t>
      </w:r>
    </w:p>
    <w:p>
      <w:pPr>
        <w:spacing w:after="0" w:line="164" w:lineRule="exact"/>
        <w:rPr>
          <w:rFonts w:ascii="Arial" w:cs="Arial" w:eastAsia="Arial" w:hAnsi="Arial"/>
          <w:sz w:val="16"/>
          <w:szCs w:val="16"/>
          <w:b w:val="1"/>
          <w:bCs w:val="1"/>
          <w:color w:val="16479F"/>
        </w:rPr>
      </w:pPr>
    </w:p>
    <w:p>
      <w:pPr>
        <w:ind w:left="223" w:right="400" w:hanging="223"/>
        <w:spacing w:after="0" w:line="274" w:lineRule="auto"/>
        <w:tabs>
          <w:tab w:leader="none" w:pos="230" w:val="left"/>
        </w:tabs>
        <w:numPr>
          <w:ilvl w:val="0"/>
          <w:numId w:val="122"/>
        </w:numPr>
        <w:rPr>
          <w:rFonts w:ascii="Arial" w:cs="Arial" w:eastAsia="Arial" w:hAnsi="Arial"/>
          <w:sz w:val="16"/>
          <w:szCs w:val="16"/>
          <w:b w:val="1"/>
          <w:bCs w:val="1"/>
          <w:color w:val="16479F"/>
        </w:rPr>
      </w:pPr>
      <w:r>
        <w:rPr>
          <w:rFonts w:ascii="Arial" w:cs="Arial" w:eastAsia="Arial" w:hAnsi="Arial"/>
          <w:sz w:val="16"/>
          <w:szCs w:val="16"/>
          <w:color w:val="auto"/>
        </w:rPr>
        <w:t>Developed rigorous approach for identifying specific capability gaps for converting learning programs, including our flagship leadership and management programs, to virtual.</w:t>
      </w:r>
    </w:p>
    <w:p>
      <w:pPr>
        <w:spacing w:after="0" w:line="128" w:lineRule="exact"/>
        <w:rPr>
          <w:rFonts w:ascii="Arial" w:cs="Arial" w:eastAsia="Arial" w:hAnsi="Arial"/>
          <w:sz w:val="16"/>
          <w:szCs w:val="16"/>
          <w:b w:val="1"/>
          <w:bCs w:val="1"/>
          <w:color w:val="16479F"/>
        </w:rPr>
      </w:pPr>
    </w:p>
    <w:p>
      <w:pPr>
        <w:ind w:left="223" w:right="340" w:hanging="223"/>
        <w:spacing w:after="0" w:line="256" w:lineRule="auto"/>
        <w:tabs>
          <w:tab w:leader="none" w:pos="239" w:val="left"/>
        </w:tabs>
        <w:numPr>
          <w:ilvl w:val="0"/>
          <w:numId w:val="122"/>
        </w:numPr>
        <w:rPr>
          <w:rFonts w:ascii="Arial" w:cs="Arial" w:eastAsia="Arial" w:hAnsi="Arial"/>
          <w:sz w:val="16"/>
          <w:szCs w:val="16"/>
          <w:b w:val="1"/>
          <w:bCs w:val="1"/>
          <w:color w:val="16479F"/>
        </w:rPr>
      </w:pPr>
      <w:r>
        <w:rPr>
          <w:rFonts w:ascii="Arial" w:cs="Arial" w:eastAsia="Arial" w:hAnsi="Arial"/>
          <w:sz w:val="16"/>
          <w:szCs w:val="16"/>
          <w:color w:val="auto"/>
        </w:rPr>
        <w:t>Expanded learning offerings, including programs to support our Future of Work implementation, inclusive leadership efforts and the well-being of our people.</w:t>
      </w:r>
    </w:p>
    <w:p>
      <w:pPr>
        <w:spacing w:after="0" w:line="116" w:lineRule="exact"/>
        <w:rPr>
          <w:rFonts w:ascii="Arial" w:cs="Arial" w:eastAsia="Arial" w:hAnsi="Arial"/>
          <w:sz w:val="16"/>
          <w:szCs w:val="16"/>
          <w:b w:val="1"/>
          <w:bCs w:val="1"/>
          <w:color w:val="16479F"/>
        </w:rPr>
      </w:pPr>
    </w:p>
    <w:p>
      <w:pPr>
        <w:ind w:left="223" w:right="540" w:hanging="223"/>
        <w:spacing w:after="0" w:line="256" w:lineRule="auto"/>
        <w:tabs>
          <w:tab w:leader="none" w:pos="230" w:val="left"/>
        </w:tabs>
        <w:numPr>
          <w:ilvl w:val="0"/>
          <w:numId w:val="122"/>
        </w:numPr>
        <w:rPr>
          <w:rFonts w:ascii="Arial" w:cs="Arial" w:eastAsia="Arial" w:hAnsi="Arial"/>
          <w:sz w:val="16"/>
          <w:szCs w:val="16"/>
          <w:b w:val="1"/>
          <w:bCs w:val="1"/>
          <w:color w:val="16479F"/>
        </w:rPr>
      </w:pPr>
      <w:r>
        <w:rPr>
          <w:rFonts w:ascii="Arial" w:cs="Arial" w:eastAsia="Arial" w:hAnsi="Arial"/>
          <w:sz w:val="16"/>
          <w:szCs w:val="16"/>
          <w:color w:val="auto"/>
        </w:rPr>
        <w:t>Appointed MSCI’s first Chief Diversity Officer, responsible for operating across MSCI to align our DE&amp;I goals with business outcomes.</w:t>
      </w:r>
    </w:p>
    <w:p>
      <w:pPr>
        <w:spacing w:after="0" w:line="143" w:lineRule="exact"/>
        <w:rPr>
          <w:rFonts w:ascii="Arial" w:cs="Arial" w:eastAsia="Arial" w:hAnsi="Arial"/>
          <w:sz w:val="16"/>
          <w:szCs w:val="16"/>
          <w:b w:val="1"/>
          <w:bCs w:val="1"/>
          <w:color w:val="16479F"/>
        </w:rPr>
      </w:pPr>
    </w:p>
    <w:p>
      <w:pPr>
        <w:ind w:left="223" w:hanging="223"/>
        <w:spacing w:after="0"/>
        <w:tabs>
          <w:tab w:leader="none" w:pos="223" w:val="left"/>
        </w:tabs>
        <w:numPr>
          <w:ilvl w:val="0"/>
          <w:numId w:val="122"/>
        </w:numPr>
        <w:rPr>
          <w:rFonts w:ascii="Arial" w:cs="Arial" w:eastAsia="Arial" w:hAnsi="Arial"/>
          <w:sz w:val="16"/>
          <w:szCs w:val="16"/>
          <w:b w:val="1"/>
          <w:bCs w:val="1"/>
          <w:color w:val="16479F"/>
        </w:rPr>
      </w:pPr>
      <w:r>
        <w:rPr>
          <w:rFonts w:ascii="Arial" w:cs="Arial" w:eastAsia="Arial" w:hAnsi="Arial"/>
          <w:sz w:val="16"/>
          <w:szCs w:val="16"/>
          <w:color w:val="auto"/>
        </w:rPr>
        <w:t>Introduced DE&amp;I metrics for Managing Directors tied to 10% of target annual cash incentive compensation.</w:t>
      </w:r>
    </w:p>
    <w:p>
      <w:pPr>
        <w:spacing w:after="0" w:line="164" w:lineRule="exact"/>
        <w:rPr>
          <w:rFonts w:ascii="Arial" w:cs="Arial" w:eastAsia="Arial" w:hAnsi="Arial"/>
          <w:sz w:val="16"/>
          <w:szCs w:val="16"/>
          <w:b w:val="1"/>
          <w:bCs w:val="1"/>
          <w:color w:val="16479F"/>
        </w:rPr>
      </w:pPr>
    </w:p>
    <w:p>
      <w:pPr>
        <w:ind w:left="223" w:hanging="223"/>
        <w:spacing w:after="0"/>
        <w:tabs>
          <w:tab w:leader="none" w:pos="223" w:val="left"/>
        </w:tabs>
        <w:numPr>
          <w:ilvl w:val="0"/>
          <w:numId w:val="122"/>
        </w:numPr>
        <w:rPr>
          <w:rFonts w:ascii="Arial" w:cs="Arial" w:eastAsia="Arial" w:hAnsi="Arial"/>
          <w:sz w:val="16"/>
          <w:szCs w:val="16"/>
          <w:b w:val="1"/>
          <w:bCs w:val="1"/>
          <w:color w:val="16479F"/>
        </w:rPr>
      </w:pPr>
      <w:r>
        <w:rPr>
          <w:rFonts w:ascii="Arial" w:cs="Arial" w:eastAsia="Arial" w:hAnsi="Arial"/>
          <w:sz w:val="16"/>
          <w:szCs w:val="16"/>
          <w:color w:val="auto"/>
        </w:rPr>
        <w:t>Hired thirty-six interns to the One MSCI internship program in New York, Chicago and London.</w:t>
      </w:r>
    </w:p>
    <w:p>
      <w:pPr>
        <w:spacing w:after="0" w:line="164" w:lineRule="exact"/>
        <w:rPr>
          <w:rFonts w:ascii="Arial" w:cs="Arial" w:eastAsia="Arial" w:hAnsi="Arial"/>
          <w:sz w:val="16"/>
          <w:szCs w:val="16"/>
          <w:b w:val="1"/>
          <w:bCs w:val="1"/>
          <w:color w:val="16479F"/>
        </w:rPr>
      </w:pPr>
    </w:p>
    <w:p>
      <w:pPr>
        <w:ind w:left="223" w:hanging="223"/>
        <w:spacing w:after="0"/>
        <w:tabs>
          <w:tab w:leader="none" w:pos="223" w:val="left"/>
        </w:tabs>
        <w:numPr>
          <w:ilvl w:val="0"/>
          <w:numId w:val="122"/>
        </w:numPr>
        <w:rPr>
          <w:rFonts w:ascii="Arial" w:cs="Arial" w:eastAsia="Arial" w:hAnsi="Arial"/>
          <w:sz w:val="16"/>
          <w:szCs w:val="16"/>
          <w:b w:val="1"/>
          <w:bCs w:val="1"/>
          <w:color w:val="16479F"/>
        </w:rPr>
      </w:pPr>
      <w:r>
        <w:rPr>
          <w:rFonts w:ascii="Arial" w:cs="Arial" w:eastAsia="Arial" w:hAnsi="Arial"/>
          <w:sz w:val="16"/>
          <w:szCs w:val="16"/>
          <w:color w:val="auto"/>
        </w:rPr>
        <w:t>Launched three new ERGs in 2021: Asian Support Network, All Abilities Network and Hola! MSCI.</w:t>
      </w:r>
    </w:p>
    <w:p>
      <w:pPr>
        <w:spacing w:after="0" w:line="164" w:lineRule="exact"/>
        <w:rPr>
          <w:rFonts w:ascii="Arial" w:cs="Arial" w:eastAsia="Arial" w:hAnsi="Arial"/>
          <w:sz w:val="16"/>
          <w:szCs w:val="16"/>
          <w:b w:val="1"/>
          <w:bCs w:val="1"/>
          <w:color w:val="16479F"/>
        </w:rPr>
      </w:pPr>
    </w:p>
    <w:p>
      <w:pPr>
        <w:ind w:left="223" w:right="80" w:hanging="223"/>
        <w:spacing w:after="0" w:line="256" w:lineRule="auto"/>
        <w:tabs>
          <w:tab w:leader="none" w:pos="239" w:val="left"/>
        </w:tabs>
        <w:numPr>
          <w:ilvl w:val="0"/>
          <w:numId w:val="122"/>
        </w:numPr>
        <w:rPr>
          <w:rFonts w:ascii="Arial" w:cs="Arial" w:eastAsia="Arial" w:hAnsi="Arial"/>
          <w:sz w:val="16"/>
          <w:szCs w:val="16"/>
          <w:b w:val="1"/>
          <w:bCs w:val="1"/>
          <w:color w:val="16479F"/>
        </w:rPr>
      </w:pPr>
      <w:r>
        <w:rPr>
          <w:rFonts w:ascii="Arial" w:cs="Arial" w:eastAsia="Arial" w:hAnsi="Arial"/>
          <w:sz w:val="16"/>
          <w:szCs w:val="16"/>
          <w:color w:val="auto"/>
        </w:rPr>
        <w:t>Offered unconscious bias training to all employees globally, using a science-based approach with practical applications, to raise awareness of bias and create a more inclusive culture.</w:t>
      </w:r>
    </w:p>
    <w:p>
      <w:pPr>
        <w:spacing w:after="0" w:line="143" w:lineRule="exact"/>
        <w:rPr>
          <w:rFonts w:ascii="Arial" w:cs="Arial" w:eastAsia="Arial" w:hAnsi="Arial"/>
          <w:sz w:val="16"/>
          <w:szCs w:val="16"/>
          <w:b w:val="1"/>
          <w:bCs w:val="1"/>
          <w:color w:val="16479F"/>
        </w:rPr>
      </w:pPr>
    </w:p>
    <w:p>
      <w:pPr>
        <w:ind w:left="223" w:hanging="223"/>
        <w:spacing w:after="0"/>
        <w:tabs>
          <w:tab w:leader="none" w:pos="223" w:val="left"/>
        </w:tabs>
        <w:numPr>
          <w:ilvl w:val="0"/>
          <w:numId w:val="122"/>
        </w:numPr>
        <w:rPr>
          <w:rFonts w:ascii="Arial" w:cs="Arial" w:eastAsia="Arial" w:hAnsi="Arial"/>
          <w:sz w:val="16"/>
          <w:szCs w:val="16"/>
          <w:b w:val="1"/>
          <w:bCs w:val="1"/>
          <w:color w:val="16479F"/>
        </w:rPr>
      </w:pPr>
      <w:r>
        <w:rPr>
          <w:rFonts w:ascii="Arial" w:cs="Arial" w:eastAsia="Arial" w:hAnsi="Arial"/>
          <w:sz w:val="16"/>
          <w:szCs w:val="16"/>
          <w:color w:val="auto"/>
        </w:rPr>
        <w:t>Enhanced pay equity practices for all female new hires.</w:t>
      </w:r>
    </w:p>
    <w:p>
      <w:pPr>
        <w:spacing w:after="0" w:line="137" w:lineRule="exact"/>
        <w:rPr>
          <w:rFonts w:ascii="Arial" w:cs="Arial" w:eastAsia="Arial" w:hAnsi="Arial"/>
          <w:sz w:val="16"/>
          <w:szCs w:val="16"/>
          <w:b w:val="1"/>
          <w:bCs w:val="1"/>
          <w:color w:val="16479F"/>
        </w:rPr>
      </w:pPr>
    </w:p>
    <w:p>
      <w:pPr>
        <w:ind w:left="223" w:right="280" w:hanging="223"/>
        <w:spacing w:after="0" w:line="256" w:lineRule="auto"/>
        <w:tabs>
          <w:tab w:leader="none" w:pos="239" w:val="left"/>
        </w:tabs>
        <w:numPr>
          <w:ilvl w:val="0"/>
          <w:numId w:val="122"/>
        </w:numPr>
        <w:rPr>
          <w:rFonts w:ascii="Arial" w:cs="Arial" w:eastAsia="Arial" w:hAnsi="Arial"/>
          <w:sz w:val="16"/>
          <w:szCs w:val="16"/>
          <w:b w:val="1"/>
          <w:bCs w:val="1"/>
          <w:color w:val="16479F"/>
        </w:rPr>
      </w:pPr>
      <w:r>
        <w:rPr>
          <w:rFonts w:ascii="Arial" w:cs="Arial" w:eastAsia="Arial" w:hAnsi="Arial"/>
          <w:sz w:val="16"/>
          <w:szCs w:val="16"/>
          <w:color w:val="auto"/>
        </w:rPr>
        <w:t>Developed and implemented our comprehensive Future of Work program that contained vision, principles and global guidelines.</w:t>
      </w:r>
    </w:p>
    <w:p>
      <w:pPr>
        <w:spacing w:after="0" w:line="143" w:lineRule="exact"/>
        <w:rPr>
          <w:rFonts w:ascii="Arial" w:cs="Arial" w:eastAsia="Arial" w:hAnsi="Arial"/>
          <w:sz w:val="16"/>
          <w:szCs w:val="16"/>
          <w:b w:val="1"/>
          <w:bCs w:val="1"/>
          <w:color w:val="16479F"/>
        </w:rPr>
      </w:pPr>
    </w:p>
    <w:p>
      <w:pPr>
        <w:ind w:left="223" w:hanging="223"/>
        <w:spacing w:after="0"/>
        <w:tabs>
          <w:tab w:leader="none" w:pos="223" w:val="left"/>
        </w:tabs>
        <w:numPr>
          <w:ilvl w:val="0"/>
          <w:numId w:val="122"/>
        </w:numPr>
        <w:rPr>
          <w:rFonts w:ascii="Arial" w:cs="Arial" w:eastAsia="Arial" w:hAnsi="Arial"/>
          <w:sz w:val="16"/>
          <w:szCs w:val="16"/>
          <w:b w:val="1"/>
          <w:bCs w:val="1"/>
          <w:color w:val="16479F"/>
        </w:rPr>
      </w:pPr>
      <w:r>
        <w:rPr>
          <w:rFonts w:ascii="Arial" w:cs="Arial" w:eastAsia="Arial" w:hAnsi="Arial"/>
          <w:sz w:val="16"/>
          <w:szCs w:val="16"/>
          <w:color w:val="auto"/>
        </w:rPr>
        <w:t>Led organizational design initiative, which yielded new organizational design and senior leadership structure.</w:t>
      </w:r>
    </w:p>
    <w:p>
      <w:pPr>
        <w:spacing w:after="0" w:line="164" w:lineRule="exact"/>
        <w:rPr>
          <w:rFonts w:ascii="Arial" w:cs="Arial" w:eastAsia="Arial" w:hAnsi="Arial"/>
          <w:sz w:val="16"/>
          <w:szCs w:val="16"/>
          <w:b w:val="1"/>
          <w:bCs w:val="1"/>
          <w:color w:val="16479F"/>
        </w:rPr>
      </w:pPr>
    </w:p>
    <w:p>
      <w:pPr>
        <w:ind w:left="223" w:hanging="223"/>
        <w:spacing w:after="0"/>
        <w:tabs>
          <w:tab w:leader="none" w:pos="223" w:val="left"/>
        </w:tabs>
        <w:numPr>
          <w:ilvl w:val="0"/>
          <w:numId w:val="122"/>
        </w:numPr>
        <w:rPr>
          <w:rFonts w:ascii="Arial" w:cs="Arial" w:eastAsia="Arial" w:hAnsi="Arial"/>
          <w:sz w:val="16"/>
          <w:szCs w:val="16"/>
          <w:b w:val="1"/>
          <w:bCs w:val="1"/>
          <w:color w:val="16479F"/>
        </w:rPr>
      </w:pPr>
      <w:r>
        <w:rPr>
          <w:rFonts w:ascii="Arial" w:cs="Arial" w:eastAsia="Arial" w:hAnsi="Arial"/>
          <w:sz w:val="16"/>
          <w:szCs w:val="16"/>
          <w:color w:val="auto"/>
        </w:rPr>
        <w:t>Redesigned our long-term incentive program to further support an “owner-operator” culture.</w:t>
      </w:r>
    </w:p>
    <w:p>
      <w:pPr>
        <w:spacing w:after="0" w:line="164" w:lineRule="exact"/>
        <w:rPr>
          <w:rFonts w:ascii="Arial" w:cs="Arial" w:eastAsia="Arial" w:hAnsi="Arial"/>
          <w:sz w:val="16"/>
          <w:szCs w:val="16"/>
          <w:b w:val="1"/>
          <w:bCs w:val="1"/>
          <w:color w:val="16479F"/>
        </w:rPr>
      </w:pPr>
    </w:p>
    <w:p>
      <w:pPr>
        <w:ind w:left="223" w:hanging="223"/>
        <w:spacing w:after="0"/>
        <w:tabs>
          <w:tab w:leader="none" w:pos="223" w:val="left"/>
        </w:tabs>
        <w:numPr>
          <w:ilvl w:val="0"/>
          <w:numId w:val="122"/>
        </w:numPr>
        <w:rPr>
          <w:rFonts w:ascii="Arial" w:cs="Arial" w:eastAsia="Arial" w:hAnsi="Arial"/>
          <w:sz w:val="16"/>
          <w:szCs w:val="16"/>
          <w:b w:val="1"/>
          <w:bCs w:val="1"/>
          <w:color w:val="16479F"/>
        </w:rPr>
      </w:pPr>
      <w:r>
        <w:rPr>
          <w:rFonts w:ascii="Arial" w:cs="Arial" w:eastAsia="Arial" w:hAnsi="Arial"/>
          <w:sz w:val="16"/>
          <w:szCs w:val="16"/>
          <w:color w:val="auto"/>
        </w:rPr>
        <w:t>Positioned MSCI as a place for climate-focused talent to build their careers.</w:t>
      </w:r>
    </w:p>
    <w:p>
      <w:pPr>
        <w:spacing w:after="0" w:line="164" w:lineRule="exact"/>
        <w:rPr>
          <w:rFonts w:ascii="Arial" w:cs="Arial" w:eastAsia="Arial" w:hAnsi="Arial"/>
          <w:sz w:val="16"/>
          <w:szCs w:val="16"/>
          <w:b w:val="1"/>
          <w:bCs w:val="1"/>
          <w:color w:val="16479F"/>
        </w:rPr>
      </w:pPr>
    </w:p>
    <w:p>
      <w:pPr>
        <w:ind w:left="223" w:hanging="223"/>
        <w:spacing w:after="0"/>
        <w:tabs>
          <w:tab w:leader="none" w:pos="223" w:val="left"/>
        </w:tabs>
        <w:numPr>
          <w:ilvl w:val="0"/>
          <w:numId w:val="122"/>
        </w:numPr>
        <w:rPr>
          <w:rFonts w:ascii="Arial" w:cs="Arial" w:eastAsia="Arial" w:hAnsi="Arial"/>
          <w:sz w:val="16"/>
          <w:szCs w:val="16"/>
          <w:b w:val="1"/>
          <w:bCs w:val="1"/>
          <w:color w:val="16479F"/>
        </w:rPr>
      </w:pPr>
      <w:r>
        <w:rPr>
          <w:rFonts w:ascii="Arial" w:cs="Arial" w:eastAsia="Arial" w:hAnsi="Arial"/>
          <w:sz w:val="16"/>
          <w:szCs w:val="16"/>
          <w:color w:val="auto"/>
        </w:rPr>
        <w:t>Using MSCI’s “Breakthrough Methodology,” transformed the way MSCI attracts and recruits.</w:t>
      </w:r>
    </w:p>
    <w:p>
      <w:pPr>
        <w:spacing w:after="0" w:line="164" w:lineRule="exact"/>
        <w:rPr>
          <w:rFonts w:ascii="Arial" w:cs="Arial" w:eastAsia="Arial" w:hAnsi="Arial"/>
          <w:sz w:val="16"/>
          <w:szCs w:val="16"/>
          <w:b w:val="1"/>
          <w:bCs w:val="1"/>
          <w:color w:val="16479F"/>
        </w:rPr>
      </w:pPr>
    </w:p>
    <w:p>
      <w:pPr>
        <w:ind w:left="223" w:hanging="223"/>
        <w:spacing w:after="0"/>
        <w:tabs>
          <w:tab w:leader="none" w:pos="223" w:val="left"/>
        </w:tabs>
        <w:numPr>
          <w:ilvl w:val="0"/>
          <w:numId w:val="122"/>
        </w:numPr>
        <w:rPr>
          <w:rFonts w:ascii="Arial" w:cs="Arial" w:eastAsia="Arial" w:hAnsi="Arial"/>
          <w:sz w:val="16"/>
          <w:szCs w:val="16"/>
          <w:b w:val="1"/>
          <w:bCs w:val="1"/>
          <w:color w:val="16479F"/>
        </w:rPr>
      </w:pPr>
      <w:r>
        <w:rPr>
          <w:rFonts w:ascii="Arial" w:cs="Arial" w:eastAsia="Arial" w:hAnsi="Arial"/>
          <w:sz w:val="16"/>
          <w:szCs w:val="16"/>
          <w:color w:val="auto"/>
        </w:rPr>
        <w:t>Sponsored initiatives focused on increasing speed and quality of hiring.</w:t>
      </w:r>
    </w:p>
    <w:p>
      <w:pPr>
        <w:spacing w:after="0" w:line="164" w:lineRule="exact"/>
        <w:rPr>
          <w:rFonts w:ascii="Arial" w:cs="Arial" w:eastAsia="Arial" w:hAnsi="Arial"/>
          <w:sz w:val="16"/>
          <w:szCs w:val="16"/>
          <w:b w:val="1"/>
          <w:bCs w:val="1"/>
          <w:color w:val="16479F"/>
        </w:rPr>
      </w:pPr>
    </w:p>
    <w:p>
      <w:pPr>
        <w:ind w:left="223" w:right="300" w:hanging="223"/>
        <w:spacing w:after="0" w:line="250" w:lineRule="auto"/>
        <w:tabs>
          <w:tab w:leader="none" w:pos="239" w:val="left"/>
        </w:tabs>
        <w:numPr>
          <w:ilvl w:val="0"/>
          <w:numId w:val="122"/>
        </w:numPr>
        <w:rPr>
          <w:rFonts w:ascii="Arial" w:cs="Arial" w:eastAsia="Arial" w:hAnsi="Arial"/>
          <w:sz w:val="16"/>
          <w:szCs w:val="16"/>
          <w:b w:val="1"/>
          <w:bCs w:val="1"/>
          <w:color w:val="16479F"/>
        </w:rPr>
      </w:pPr>
      <w:r>
        <w:rPr>
          <w:rFonts w:ascii="Arial" w:cs="Arial" w:eastAsia="Arial" w:hAnsi="Arial"/>
          <w:sz w:val="16"/>
          <w:szCs w:val="16"/>
          <w:color w:val="auto"/>
        </w:rPr>
        <w:t>Established Human Resources Operational Effectiveness Team to allow various teams within the Human Resources organization to work under a singular vision of driving the creation and adoption of innovative data, technology and operational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-1557655</wp:posOffset>
            </wp:positionH>
            <wp:positionV relativeFrom="paragraph">
              <wp:posOffset>-1861820</wp:posOffset>
            </wp:positionV>
            <wp:extent cx="7154545" cy="20256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4545" cy="2025650"/>
                    </a:xfrm>
                    <a:prstGeom prst="rect">
                      <a:avLst/>
                    </a:prstGeom>
                    <a:noFill/>
                  </pic:spPr>
                </pic:pic>
              </a:graphicData>
            </a:graphic>
          </wp:anchor>
        </w:drawing>
      </w:r>
    </w:p>
    <w:p>
      <w:pPr>
        <w:sectPr>
          <w:pgSz w:w="11900" w:h="16838" w:orient="portrait"/>
          <w:cols w:equalWidth="0" w:num="2">
            <w:col w:w="2060" w:space="397"/>
            <w:col w:w="8783"/>
          </w:cols>
          <w:pgMar w:left="320" w:top="121" w:right="339" w:bottom="1440" w:gutter="0" w:footer="0" w:header="0"/>
          <w:type w:val="continuous"/>
        </w:sectPr>
      </w:pPr>
    </w:p>
    <w:bookmarkStart w:id="78" w:name="page79"/>
    <w:bookmarkEnd w:id="78"/>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149860</wp:posOffset>
            </wp:positionV>
            <wp:extent cx="7133590" cy="21272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3590" cy="212725"/>
                    </a:xfrm>
                    <a:prstGeom prst="rect">
                      <a:avLst/>
                    </a:prstGeom>
                    <a:noFill/>
                  </pic:spPr>
                </pic:pic>
              </a:graphicData>
            </a:graphic>
          </wp:anchor>
        </w:drawing>
      </w:r>
    </w:p>
    <w:p>
      <w:pPr>
        <w:spacing w:after="0" w:line="283"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4"/>
          <w:szCs w:val="14"/>
          <w:b w:val="1"/>
          <w:bCs w:val="1"/>
          <w:color w:val="16479F"/>
        </w:rPr>
        <w:t>78</w:t>
      </w:r>
      <w:r>
        <w:rPr>
          <w:sz w:val="20"/>
          <w:szCs w:val="20"/>
          <w:color w:val="auto"/>
        </w:rPr>
        <w:tab/>
      </w:r>
      <w:r>
        <w:rPr>
          <w:rFonts w:ascii="Arial" w:cs="Arial" w:eastAsia="Arial" w:hAnsi="Arial"/>
          <w:sz w:val="14"/>
          <w:szCs w:val="14"/>
          <w:b w:val="1"/>
          <w:bCs w:val="1"/>
          <w:color w:val="16479F"/>
        </w:rPr>
        <w:t>MSCI  |  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220980</wp:posOffset>
            </wp:positionV>
            <wp:extent cx="7133590" cy="1530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3590" cy="153035"/>
                    </a:xfrm>
                    <a:prstGeom prst="rect">
                      <a:avLst/>
                    </a:prstGeom>
                    <a:noFill/>
                  </pic:spPr>
                </pic:pic>
              </a:graphicData>
            </a:graphic>
          </wp:anchor>
        </w:drawing>
      </w:r>
    </w:p>
    <w:p>
      <w:pPr>
        <w:spacing w:after="0" w:line="33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FFFFFF"/>
        </w:rPr>
        <w:t>ROBERT J. GUTOWSKI,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30480</wp:posOffset>
            </wp:positionV>
            <wp:extent cx="7133590" cy="8845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3590" cy="8845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111" w:lineRule="exact"/>
        <w:rPr>
          <w:sz w:val="20"/>
          <w:szCs w:val="20"/>
          <w:color w:val="auto"/>
        </w:rPr>
      </w:pPr>
    </w:p>
    <w:p>
      <w:pPr>
        <w:ind w:left="100" w:right="240"/>
        <w:spacing w:after="0" w:line="252" w:lineRule="auto"/>
        <w:rPr>
          <w:sz w:val="20"/>
          <w:szCs w:val="20"/>
          <w:color w:val="auto"/>
        </w:rPr>
      </w:pPr>
      <w:r>
        <w:rPr>
          <w:rFonts w:ascii="Arial" w:cs="Arial" w:eastAsia="Arial" w:hAnsi="Arial"/>
          <w:sz w:val="16"/>
          <w:szCs w:val="16"/>
          <w:b w:val="1"/>
          <w:bCs w:val="1"/>
          <w:color w:val="16479F"/>
        </w:rPr>
        <w:t>Enhance corporate governance and responsibility practices and profile, including advancing ESG and climate initiatives</w:t>
      </w:r>
    </w:p>
    <w:p>
      <w:pPr>
        <w:spacing w:after="0" w:line="233" w:lineRule="exact"/>
        <w:rPr>
          <w:sz w:val="20"/>
          <w:szCs w:val="20"/>
          <w:color w:val="auto"/>
        </w:rPr>
      </w:pPr>
    </w:p>
    <w:p>
      <w:pPr>
        <w:ind w:left="100" w:right="300"/>
        <w:spacing w:after="0" w:line="254" w:lineRule="auto"/>
        <w:rPr>
          <w:sz w:val="20"/>
          <w:szCs w:val="20"/>
          <w:color w:val="auto"/>
        </w:rPr>
      </w:pPr>
      <w:r>
        <w:rPr>
          <w:rFonts w:ascii="Arial" w:cs="Arial" w:eastAsia="Arial" w:hAnsi="Arial"/>
          <w:sz w:val="16"/>
          <w:szCs w:val="16"/>
          <w:b w:val="1"/>
          <w:bCs w:val="1"/>
          <w:color w:val="16479F"/>
        </w:rPr>
        <w:t>Lead development of client contracting efficiencies to improve client experience and accelerate/grow sales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00" w:right="100"/>
        <w:spacing w:after="0" w:line="263" w:lineRule="auto"/>
        <w:rPr>
          <w:sz w:val="20"/>
          <w:szCs w:val="20"/>
          <w:color w:val="auto"/>
        </w:rPr>
      </w:pPr>
      <w:r>
        <w:rPr>
          <w:rFonts w:ascii="Arial" w:cs="Arial" w:eastAsia="Arial" w:hAnsi="Arial"/>
          <w:sz w:val="16"/>
          <w:szCs w:val="16"/>
          <w:b w:val="1"/>
          <w:bCs w:val="1"/>
          <w:color w:val="16479F"/>
        </w:rPr>
        <w:t>Expand engagement with regulators and policymakers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00" w:right="40"/>
        <w:spacing w:after="0" w:line="289" w:lineRule="auto"/>
        <w:rPr>
          <w:sz w:val="20"/>
          <w:szCs w:val="20"/>
          <w:color w:val="auto"/>
        </w:rPr>
      </w:pPr>
      <w:r>
        <w:rPr>
          <w:rFonts w:ascii="Arial" w:cs="Arial" w:eastAsia="Arial" w:hAnsi="Arial"/>
          <w:sz w:val="15"/>
          <w:szCs w:val="15"/>
          <w:b w:val="1"/>
          <w:bCs w:val="1"/>
          <w:color w:val="16479F"/>
        </w:rPr>
        <w:t>Embrace technology and innovation to drive operational improvements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00"/>
        <w:spacing w:after="0" w:line="252" w:lineRule="auto"/>
        <w:rPr>
          <w:sz w:val="20"/>
          <w:szCs w:val="20"/>
          <w:color w:val="auto"/>
        </w:rPr>
      </w:pPr>
      <w:r>
        <w:rPr>
          <w:rFonts w:ascii="Arial" w:cs="Arial" w:eastAsia="Arial" w:hAnsi="Arial"/>
          <w:sz w:val="16"/>
          <w:szCs w:val="16"/>
          <w:b w:val="1"/>
          <w:bCs w:val="1"/>
          <w:color w:val="16479F"/>
        </w:rPr>
        <w:t>Actively champion and promote a department and company commitment to a culture of DE&amp;I that moves from awareness to action</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left="223" w:hanging="223"/>
        <w:spacing w:after="0"/>
        <w:tabs>
          <w:tab w:leader="none" w:pos="223" w:val="left"/>
        </w:tabs>
        <w:numPr>
          <w:ilvl w:val="0"/>
          <w:numId w:val="123"/>
        </w:numPr>
        <w:rPr>
          <w:rFonts w:ascii="Arial" w:cs="Arial" w:eastAsia="Arial" w:hAnsi="Arial"/>
          <w:sz w:val="16"/>
          <w:szCs w:val="16"/>
          <w:b w:val="1"/>
          <w:bCs w:val="1"/>
          <w:color w:val="16479F"/>
        </w:rPr>
      </w:pPr>
      <w:r>
        <w:rPr>
          <w:rFonts w:ascii="Arial" w:cs="Arial" w:eastAsia="Arial" w:hAnsi="Arial"/>
          <w:sz w:val="16"/>
          <w:szCs w:val="16"/>
          <w:color w:val="auto"/>
        </w:rPr>
        <w:t>Advised on and championed increased ESG reporting and related shareholder engagement.</w:t>
      </w:r>
    </w:p>
    <w:p>
      <w:pPr>
        <w:spacing w:after="0" w:line="164" w:lineRule="exact"/>
        <w:rPr>
          <w:rFonts w:ascii="Arial" w:cs="Arial" w:eastAsia="Arial" w:hAnsi="Arial"/>
          <w:sz w:val="16"/>
          <w:szCs w:val="16"/>
          <w:b w:val="1"/>
          <w:bCs w:val="1"/>
          <w:color w:val="16479F"/>
        </w:rPr>
      </w:pPr>
    </w:p>
    <w:p>
      <w:pPr>
        <w:ind w:left="223" w:right="400" w:hanging="223"/>
        <w:spacing w:after="0" w:line="256" w:lineRule="auto"/>
        <w:tabs>
          <w:tab w:leader="none" w:pos="239" w:val="left"/>
        </w:tabs>
        <w:numPr>
          <w:ilvl w:val="0"/>
          <w:numId w:val="123"/>
        </w:numPr>
        <w:rPr>
          <w:rFonts w:ascii="Arial" w:cs="Arial" w:eastAsia="Arial" w:hAnsi="Arial"/>
          <w:sz w:val="16"/>
          <w:szCs w:val="16"/>
          <w:b w:val="1"/>
          <w:bCs w:val="1"/>
          <w:color w:val="16479F"/>
        </w:rPr>
      </w:pPr>
      <w:r>
        <w:rPr>
          <w:rFonts w:ascii="Arial" w:cs="Arial" w:eastAsia="Arial" w:hAnsi="Arial"/>
          <w:sz w:val="16"/>
          <w:szCs w:val="16"/>
          <w:color w:val="auto"/>
        </w:rPr>
        <w:t>Counseled Chief Responsibility Officer and CRC on climate initiatives, including net-zero commitments and related company policies, activities and initiatives.</w:t>
      </w:r>
    </w:p>
    <w:p>
      <w:pPr>
        <w:spacing w:after="0" w:line="143" w:lineRule="exact"/>
        <w:rPr>
          <w:rFonts w:ascii="Arial" w:cs="Arial" w:eastAsia="Arial" w:hAnsi="Arial"/>
          <w:sz w:val="16"/>
          <w:szCs w:val="16"/>
          <w:b w:val="1"/>
          <w:bCs w:val="1"/>
          <w:color w:val="16479F"/>
        </w:rPr>
      </w:pPr>
    </w:p>
    <w:p>
      <w:pPr>
        <w:ind w:left="223" w:right="40" w:hanging="223"/>
        <w:spacing w:after="0" w:line="256" w:lineRule="auto"/>
        <w:tabs>
          <w:tab w:leader="none" w:pos="239" w:val="left"/>
        </w:tabs>
        <w:numPr>
          <w:ilvl w:val="0"/>
          <w:numId w:val="123"/>
        </w:numPr>
        <w:rPr>
          <w:rFonts w:ascii="Arial" w:cs="Arial" w:eastAsia="Arial" w:hAnsi="Arial"/>
          <w:sz w:val="16"/>
          <w:szCs w:val="16"/>
          <w:b w:val="1"/>
          <w:bCs w:val="1"/>
          <w:color w:val="16479F"/>
        </w:rPr>
      </w:pPr>
      <w:r>
        <w:rPr>
          <w:rFonts w:ascii="Arial" w:cs="Arial" w:eastAsia="Arial" w:hAnsi="Arial"/>
          <w:sz w:val="16"/>
          <w:szCs w:val="16"/>
          <w:color w:val="auto"/>
        </w:rPr>
        <w:t>Managed compliance with global legal requirements related to pandemic response, including advising on return-to-work protocols and implementation of MSCI’s Future of Work program across more than 20 countries.</w:t>
      </w:r>
    </w:p>
    <w:p>
      <w:pPr>
        <w:spacing w:after="0" w:line="116" w:lineRule="exact"/>
        <w:rPr>
          <w:rFonts w:ascii="Arial" w:cs="Arial" w:eastAsia="Arial" w:hAnsi="Arial"/>
          <w:sz w:val="16"/>
          <w:szCs w:val="16"/>
          <w:b w:val="1"/>
          <w:bCs w:val="1"/>
          <w:color w:val="16479F"/>
        </w:rPr>
      </w:pPr>
    </w:p>
    <w:p>
      <w:pPr>
        <w:ind w:left="223" w:hanging="223"/>
        <w:spacing w:after="0"/>
        <w:tabs>
          <w:tab w:leader="none" w:pos="223" w:val="left"/>
        </w:tabs>
        <w:numPr>
          <w:ilvl w:val="0"/>
          <w:numId w:val="123"/>
        </w:numPr>
        <w:rPr>
          <w:rFonts w:ascii="Arial" w:cs="Arial" w:eastAsia="Arial" w:hAnsi="Arial"/>
          <w:sz w:val="16"/>
          <w:szCs w:val="16"/>
          <w:b w:val="1"/>
          <w:bCs w:val="1"/>
          <w:color w:val="16479F"/>
        </w:rPr>
      </w:pPr>
      <w:r>
        <w:rPr>
          <w:rFonts w:ascii="Arial" w:cs="Arial" w:eastAsia="Arial" w:hAnsi="Arial"/>
          <w:sz w:val="16"/>
          <w:szCs w:val="16"/>
          <w:color w:val="auto"/>
        </w:rPr>
        <w:t>Improved client contract automation processes.</w:t>
      </w:r>
    </w:p>
    <w:p>
      <w:pPr>
        <w:spacing w:after="0" w:line="164" w:lineRule="exact"/>
        <w:rPr>
          <w:rFonts w:ascii="Arial" w:cs="Arial" w:eastAsia="Arial" w:hAnsi="Arial"/>
          <w:sz w:val="16"/>
          <w:szCs w:val="16"/>
          <w:b w:val="1"/>
          <w:bCs w:val="1"/>
          <w:color w:val="16479F"/>
        </w:rPr>
      </w:pPr>
    </w:p>
    <w:p>
      <w:pPr>
        <w:ind w:left="223" w:hanging="223"/>
        <w:spacing w:after="0"/>
        <w:tabs>
          <w:tab w:leader="none" w:pos="223" w:val="left"/>
        </w:tabs>
        <w:numPr>
          <w:ilvl w:val="0"/>
          <w:numId w:val="123"/>
        </w:numPr>
        <w:rPr>
          <w:rFonts w:ascii="Arial" w:cs="Arial" w:eastAsia="Arial" w:hAnsi="Arial"/>
          <w:sz w:val="16"/>
          <w:szCs w:val="16"/>
          <w:b w:val="1"/>
          <w:bCs w:val="1"/>
          <w:color w:val="16479F"/>
        </w:rPr>
      </w:pPr>
      <w:r>
        <w:rPr>
          <w:rFonts w:ascii="Arial" w:cs="Arial" w:eastAsia="Arial" w:hAnsi="Arial"/>
          <w:sz w:val="16"/>
          <w:szCs w:val="16"/>
          <w:color w:val="auto"/>
        </w:rPr>
        <w:t>Increased deal speed and capacity.</w:t>
      </w:r>
    </w:p>
    <w:p>
      <w:pPr>
        <w:spacing w:after="0" w:line="164" w:lineRule="exact"/>
        <w:rPr>
          <w:rFonts w:ascii="Arial" w:cs="Arial" w:eastAsia="Arial" w:hAnsi="Arial"/>
          <w:sz w:val="16"/>
          <w:szCs w:val="16"/>
          <w:b w:val="1"/>
          <w:bCs w:val="1"/>
          <w:color w:val="16479F"/>
        </w:rPr>
      </w:pPr>
    </w:p>
    <w:p>
      <w:pPr>
        <w:ind w:left="223" w:hanging="223"/>
        <w:spacing w:after="0"/>
        <w:tabs>
          <w:tab w:leader="none" w:pos="223" w:val="left"/>
        </w:tabs>
        <w:numPr>
          <w:ilvl w:val="0"/>
          <w:numId w:val="123"/>
        </w:numPr>
        <w:rPr>
          <w:rFonts w:ascii="Arial" w:cs="Arial" w:eastAsia="Arial" w:hAnsi="Arial"/>
          <w:sz w:val="16"/>
          <w:szCs w:val="16"/>
          <w:b w:val="1"/>
          <w:bCs w:val="1"/>
          <w:color w:val="16479F"/>
        </w:rPr>
      </w:pPr>
      <w:r>
        <w:rPr>
          <w:rFonts w:ascii="Arial" w:cs="Arial" w:eastAsia="Arial" w:hAnsi="Arial"/>
          <w:sz w:val="16"/>
          <w:szCs w:val="16"/>
          <w:color w:val="auto"/>
        </w:rPr>
        <w:t>Simplified contract structures and ease of licensing across multiple product lines under a single client contract.</w:t>
      </w:r>
    </w:p>
    <w:p>
      <w:pPr>
        <w:spacing w:after="0" w:line="164" w:lineRule="exact"/>
        <w:rPr>
          <w:rFonts w:ascii="Arial" w:cs="Arial" w:eastAsia="Arial" w:hAnsi="Arial"/>
          <w:sz w:val="16"/>
          <w:szCs w:val="16"/>
          <w:b w:val="1"/>
          <w:bCs w:val="1"/>
          <w:color w:val="16479F"/>
        </w:rPr>
      </w:pPr>
    </w:p>
    <w:p>
      <w:pPr>
        <w:ind w:left="223" w:hanging="223"/>
        <w:spacing w:after="0"/>
        <w:tabs>
          <w:tab w:leader="none" w:pos="223" w:val="left"/>
        </w:tabs>
        <w:numPr>
          <w:ilvl w:val="0"/>
          <w:numId w:val="123"/>
        </w:numPr>
        <w:rPr>
          <w:rFonts w:ascii="Arial" w:cs="Arial" w:eastAsia="Arial" w:hAnsi="Arial"/>
          <w:sz w:val="16"/>
          <w:szCs w:val="16"/>
          <w:b w:val="1"/>
          <w:bCs w:val="1"/>
          <w:color w:val="16479F"/>
        </w:rPr>
      </w:pPr>
      <w:r>
        <w:rPr>
          <w:rFonts w:ascii="Arial" w:cs="Arial" w:eastAsia="Arial" w:hAnsi="Arial"/>
          <w:sz w:val="16"/>
          <w:szCs w:val="16"/>
          <w:color w:val="auto"/>
        </w:rPr>
        <w:t>Facilitated enterprise scale transactions and relationships.</w:t>
      </w:r>
    </w:p>
    <w:p>
      <w:pPr>
        <w:spacing w:after="0" w:line="164" w:lineRule="exact"/>
        <w:rPr>
          <w:rFonts w:ascii="Arial" w:cs="Arial" w:eastAsia="Arial" w:hAnsi="Arial"/>
          <w:sz w:val="16"/>
          <w:szCs w:val="16"/>
          <w:b w:val="1"/>
          <w:bCs w:val="1"/>
          <w:color w:val="16479F"/>
        </w:rPr>
      </w:pPr>
    </w:p>
    <w:p>
      <w:pPr>
        <w:ind w:left="223" w:hanging="223"/>
        <w:spacing w:after="0"/>
        <w:tabs>
          <w:tab w:leader="none" w:pos="223" w:val="left"/>
        </w:tabs>
        <w:numPr>
          <w:ilvl w:val="0"/>
          <w:numId w:val="123"/>
        </w:numPr>
        <w:rPr>
          <w:rFonts w:ascii="Arial" w:cs="Arial" w:eastAsia="Arial" w:hAnsi="Arial"/>
          <w:sz w:val="16"/>
          <w:szCs w:val="16"/>
          <w:b w:val="1"/>
          <w:bCs w:val="1"/>
          <w:color w:val="16479F"/>
        </w:rPr>
      </w:pPr>
      <w:r>
        <w:rPr>
          <w:rFonts w:ascii="Arial" w:cs="Arial" w:eastAsia="Arial" w:hAnsi="Arial"/>
          <w:sz w:val="16"/>
          <w:szCs w:val="16"/>
          <w:color w:val="auto"/>
        </w:rPr>
        <w:t>Enhanced cross-functional coordination of contract lifecycle from contract inception through signature and booking.</w:t>
      </w:r>
    </w:p>
    <w:p>
      <w:pPr>
        <w:spacing w:after="0" w:line="137" w:lineRule="exact"/>
        <w:rPr>
          <w:rFonts w:ascii="Arial" w:cs="Arial" w:eastAsia="Arial" w:hAnsi="Arial"/>
          <w:sz w:val="16"/>
          <w:szCs w:val="16"/>
          <w:b w:val="1"/>
          <w:bCs w:val="1"/>
          <w:color w:val="16479F"/>
        </w:rPr>
      </w:pPr>
    </w:p>
    <w:p>
      <w:pPr>
        <w:ind w:left="223" w:hanging="223"/>
        <w:spacing w:after="0"/>
        <w:tabs>
          <w:tab w:leader="none" w:pos="223" w:val="left"/>
        </w:tabs>
        <w:numPr>
          <w:ilvl w:val="0"/>
          <w:numId w:val="123"/>
        </w:numPr>
        <w:rPr>
          <w:rFonts w:ascii="Arial" w:cs="Arial" w:eastAsia="Arial" w:hAnsi="Arial"/>
          <w:sz w:val="16"/>
          <w:szCs w:val="16"/>
          <w:b w:val="1"/>
          <w:bCs w:val="1"/>
          <w:color w:val="16479F"/>
        </w:rPr>
      </w:pPr>
      <w:r>
        <w:rPr>
          <w:rFonts w:ascii="Arial" w:cs="Arial" w:eastAsia="Arial" w:hAnsi="Arial"/>
          <w:sz w:val="16"/>
          <w:szCs w:val="16"/>
          <w:color w:val="auto"/>
        </w:rPr>
        <w:t>Successfully onboarded a Head of Government and Regulatory Affairs to coordinate proactive engagement globally.</w:t>
      </w:r>
    </w:p>
    <w:p>
      <w:pPr>
        <w:spacing w:after="0" w:line="164" w:lineRule="exact"/>
        <w:rPr>
          <w:rFonts w:ascii="Arial" w:cs="Arial" w:eastAsia="Arial" w:hAnsi="Arial"/>
          <w:sz w:val="16"/>
          <w:szCs w:val="16"/>
          <w:b w:val="1"/>
          <w:bCs w:val="1"/>
          <w:color w:val="16479F"/>
        </w:rPr>
      </w:pPr>
    </w:p>
    <w:p>
      <w:pPr>
        <w:ind w:left="223" w:right="320" w:hanging="223"/>
        <w:spacing w:after="0" w:line="256" w:lineRule="auto"/>
        <w:tabs>
          <w:tab w:leader="none" w:pos="239" w:val="left"/>
        </w:tabs>
        <w:numPr>
          <w:ilvl w:val="0"/>
          <w:numId w:val="123"/>
        </w:numPr>
        <w:rPr>
          <w:rFonts w:ascii="Arial" w:cs="Arial" w:eastAsia="Arial" w:hAnsi="Arial"/>
          <w:sz w:val="16"/>
          <w:szCs w:val="16"/>
          <w:b w:val="1"/>
          <w:bCs w:val="1"/>
          <w:color w:val="16479F"/>
        </w:rPr>
      </w:pPr>
      <w:r>
        <w:rPr>
          <w:rFonts w:ascii="Arial" w:cs="Arial" w:eastAsia="Arial" w:hAnsi="Arial"/>
          <w:sz w:val="16"/>
          <w:szCs w:val="16"/>
          <w:color w:val="auto"/>
        </w:rPr>
        <w:t>Established productive relationships and open dialogues with key regulators in multiple jurisdictions, with a focus on enhancing their understanding of the scope, role and uses of our ESG and climate and index products.</w:t>
      </w:r>
    </w:p>
    <w:p>
      <w:pPr>
        <w:spacing w:after="0" w:line="143" w:lineRule="exact"/>
        <w:rPr>
          <w:rFonts w:ascii="Arial" w:cs="Arial" w:eastAsia="Arial" w:hAnsi="Arial"/>
          <w:sz w:val="16"/>
          <w:szCs w:val="16"/>
          <w:b w:val="1"/>
          <w:bCs w:val="1"/>
          <w:color w:val="16479F"/>
        </w:rPr>
      </w:pPr>
    </w:p>
    <w:p>
      <w:pPr>
        <w:ind w:left="223" w:right="440" w:hanging="223"/>
        <w:spacing w:after="0" w:line="256" w:lineRule="auto"/>
        <w:tabs>
          <w:tab w:leader="none" w:pos="239" w:val="left"/>
        </w:tabs>
        <w:numPr>
          <w:ilvl w:val="0"/>
          <w:numId w:val="123"/>
        </w:numPr>
        <w:rPr>
          <w:rFonts w:ascii="Arial" w:cs="Arial" w:eastAsia="Arial" w:hAnsi="Arial"/>
          <w:sz w:val="16"/>
          <w:szCs w:val="16"/>
          <w:b w:val="1"/>
          <w:bCs w:val="1"/>
          <w:color w:val="16479F"/>
        </w:rPr>
      </w:pPr>
      <w:r>
        <w:rPr>
          <w:rFonts w:ascii="Arial" w:cs="Arial" w:eastAsia="Arial" w:hAnsi="Arial"/>
          <w:sz w:val="16"/>
          <w:szCs w:val="16"/>
          <w:color w:val="auto"/>
        </w:rPr>
        <w:t>Established MSCI as a trusted resource by providing expert research, data and insights to policymakers regarding market practices.</w:t>
      </w:r>
    </w:p>
    <w:p>
      <w:pPr>
        <w:spacing w:after="0" w:line="116" w:lineRule="exact"/>
        <w:rPr>
          <w:rFonts w:ascii="Arial" w:cs="Arial" w:eastAsia="Arial" w:hAnsi="Arial"/>
          <w:sz w:val="16"/>
          <w:szCs w:val="16"/>
          <w:b w:val="1"/>
          <w:bCs w:val="1"/>
          <w:color w:val="16479F"/>
        </w:rPr>
      </w:pPr>
    </w:p>
    <w:p>
      <w:pPr>
        <w:ind w:left="223" w:right="240" w:hanging="223"/>
        <w:spacing w:after="0" w:line="256" w:lineRule="auto"/>
        <w:tabs>
          <w:tab w:leader="none" w:pos="230" w:val="left"/>
        </w:tabs>
        <w:numPr>
          <w:ilvl w:val="0"/>
          <w:numId w:val="123"/>
        </w:numPr>
        <w:rPr>
          <w:rFonts w:ascii="Arial" w:cs="Arial" w:eastAsia="Arial" w:hAnsi="Arial"/>
          <w:sz w:val="16"/>
          <w:szCs w:val="16"/>
          <w:b w:val="1"/>
          <w:bCs w:val="1"/>
          <w:color w:val="16479F"/>
        </w:rPr>
      </w:pPr>
      <w:r>
        <w:rPr>
          <w:rFonts w:ascii="Arial" w:cs="Arial" w:eastAsia="Arial" w:hAnsi="Arial"/>
          <w:sz w:val="16"/>
          <w:szCs w:val="16"/>
          <w:color w:val="auto"/>
        </w:rPr>
        <w:t>Assessed technology stack across both Compliance and Internal Audit to improve scale and speed of monitoring and testing activities.</w:t>
      </w:r>
    </w:p>
    <w:p>
      <w:pPr>
        <w:spacing w:after="0" w:line="143" w:lineRule="exact"/>
        <w:rPr>
          <w:rFonts w:ascii="Arial" w:cs="Arial" w:eastAsia="Arial" w:hAnsi="Arial"/>
          <w:sz w:val="16"/>
          <w:szCs w:val="16"/>
          <w:b w:val="1"/>
          <w:bCs w:val="1"/>
          <w:color w:val="16479F"/>
        </w:rPr>
      </w:pPr>
    </w:p>
    <w:p>
      <w:pPr>
        <w:ind w:left="223" w:right="140" w:hanging="223"/>
        <w:spacing w:after="0" w:line="256" w:lineRule="auto"/>
        <w:tabs>
          <w:tab w:leader="none" w:pos="239" w:val="left"/>
        </w:tabs>
        <w:numPr>
          <w:ilvl w:val="0"/>
          <w:numId w:val="123"/>
        </w:numPr>
        <w:rPr>
          <w:rFonts w:ascii="Arial" w:cs="Arial" w:eastAsia="Arial" w:hAnsi="Arial"/>
          <w:sz w:val="16"/>
          <w:szCs w:val="16"/>
          <w:b w:val="1"/>
          <w:bCs w:val="1"/>
          <w:color w:val="16479F"/>
        </w:rPr>
      </w:pPr>
      <w:r>
        <w:rPr>
          <w:rFonts w:ascii="Arial" w:cs="Arial" w:eastAsia="Arial" w:hAnsi="Arial"/>
          <w:sz w:val="16"/>
          <w:szCs w:val="16"/>
          <w:color w:val="auto"/>
        </w:rPr>
        <w:t>Benchmarked against market leading enabling technology tools, which include Power BI, artificial intelligence/machine learning, data analytics and robotic process automation.</w:t>
      </w:r>
    </w:p>
    <w:p>
      <w:pPr>
        <w:spacing w:after="0" w:line="143" w:lineRule="exact"/>
        <w:rPr>
          <w:rFonts w:ascii="Arial" w:cs="Arial" w:eastAsia="Arial" w:hAnsi="Arial"/>
          <w:sz w:val="16"/>
          <w:szCs w:val="16"/>
          <w:b w:val="1"/>
          <w:bCs w:val="1"/>
          <w:color w:val="16479F"/>
        </w:rPr>
      </w:pPr>
    </w:p>
    <w:p>
      <w:pPr>
        <w:ind w:left="223" w:right="500" w:hanging="223"/>
        <w:spacing w:after="0" w:line="256" w:lineRule="auto"/>
        <w:tabs>
          <w:tab w:leader="none" w:pos="239" w:val="left"/>
        </w:tabs>
        <w:numPr>
          <w:ilvl w:val="0"/>
          <w:numId w:val="123"/>
        </w:numPr>
        <w:rPr>
          <w:rFonts w:ascii="Arial" w:cs="Arial" w:eastAsia="Arial" w:hAnsi="Arial"/>
          <w:sz w:val="16"/>
          <w:szCs w:val="16"/>
          <w:b w:val="1"/>
          <w:bCs w:val="1"/>
          <w:color w:val="16479F"/>
        </w:rPr>
      </w:pPr>
      <w:r>
        <w:rPr>
          <w:rFonts w:ascii="Arial" w:cs="Arial" w:eastAsia="Arial" w:hAnsi="Arial"/>
          <w:sz w:val="16"/>
          <w:szCs w:val="16"/>
          <w:color w:val="auto"/>
        </w:rPr>
        <w:t>Evaluated program design, implementation and effectiveness against regulatory guidance and published areas of regulatory scrutiny and focus.</w:t>
      </w:r>
    </w:p>
    <w:p>
      <w:pPr>
        <w:spacing w:after="0" w:line="116" w:lineRule="exact"/>
        <w:rPr>
          <w:rFonts w:ascii="Arial" w:cs="Arial" w:eastAsia="Arial" w:hAnsi="Arial"/>
          <w:sz w:val="16"/>
          <w:szCs w:val="16"/>
          <w:b w:val="1"/>
          <w:bCs w:val="1"/>
          <w:color w:val="16479F"/>
        </w:rPr>
      </w:pPr>
    </w:p>
    <w:p>
      <w:pPr>
        <w:ind w:left="223" w:right="400" w:hanging="223"/>
        <w:spacing w:after="0" w:line="256" w:lineRule="auto"/>
        <w:tabs>
          <w:tab w:leader="none" w:pos="239" w:val="left"/>
        </w:tabs>
        <w:numPr>
          <w:ilvl w:val="0"/>
          <w:numId w:val="123"/>
        </w:numPr>
        <w:rPr>
          <w:rFonts w:ascii="Arial" w:cs="Arial" w:eastAsia="Arial" w:hAnsi="Arial"/>
          <w:sz w:val="16"/>
          <w:szCs w:val="16"/>
          <w:b w:val="1"/>
          <w:bCs w:val="1"/>
          <w:color w:val="16479F"/>
        </w:rPr>
      </w:pPr>
      <w:r>
        <w:rPr>
          <w:rFonts w:ascii="Arial" w:cs="Arial" w:eastAsia="Arial" w:hAnsi="Arial"/>
          <w:sz w:val="16"/>
          <w:szCs w:val="16"/>
          <w:color w:val="auto"/>
        </w:rPr>
        <w:t>Closely partnered with and advised Chief Diversity Officer on DE&amp;I initiatives and disclosures, including pay equity, diversity reporting, goal setting, ERG programming and recruiting activities.</w:t>
      </w:r>
    </w:p>
    <w:p>
      <w:pPr>
        <w:spacing w:after="0" w:line="143" w:lineRule="exact"/>
        <w:rPr>
          <w:rFonts w:ascii="Arial" w:cs="Arial" w:eastAsia="Arial" w:hAnsi="Arial"/>
          <w:sz w:val="16"/>
          <w:szCs w:val="16"/>
          <w:b w:val="1"/>
          <w:bCs w:val="1"/>
          <w:color w:val="16479F"/>
        </w:rPr>
      </w:pPr>
    </w:p>
    <w:p>
      <w:pPr>
        <w:ind w:left="223" w:right="640" w:hanging="223"/>
        <w:spacing w:after="0" w:line="256" w:lineRule="auto"/>
        <w:tabs>
          <w:tab w:leader="none" w:pos="239" w:val="left"/>
        </w:tabs>
        <w:numPr>
          <w:ilvl w:val="0"/>
          <w:numId w:val="123"/>
        </w:numPr>
        <w:rPr>
          <w:rFonts w:ascii="Arial" w:cs="Arial" w:eastAsia="Arial" w:hAnsi="Arial"/>
          <w:sz w:val="16"/>
          <w:szCs w:val="16"/>
          <w:color w:val="16479F"/>
        </w:rPr>
      </w:pPr>
      <w:r>
        <w:rPr>
          <w:rFonts w:ascii="Arial" w:cs="Arial" w:eastAsia="Arial" w:hAnsi="Arial"/>
          <w:sz w:val="16"/>
          <w:szCs w:val="16"/>
          <w:color w:val="auto"/>
        </w:rPr>
        <w:t>Served as Executive Sponsor and vocal advocate for the Black Leadership Network, an MSCI ERG focused on enhancing the recruitment, development, retention and promotion of Black employees.</w:t>
      </w:r>
    </w:p>
    <w:p>
      <w:pPr>
        <w:spacing w:after="0" w:line="143" w:lineRule="exact"/>
        <w:rPr>
          <w:rFonts w:ascii="Arial" w:cs="Arial" w:eastAsia="Arial" w:hAnsi="Arial"/>
          <w:sz w:val="16"/>
          <w:szCs w:val="16"/>
          <w:color w:val="16479F"/>
        </w:rPr>
      </w:pPr>
    </w:p>
    <w:p>
      <w:pPr>
        <w:ind w:left="223" w:hanging="223"/>
        <w:spacing w:after="0" w:line="250" w:lineRule="auto"/>
        <w:tabs>
          <w:tab w:leader="none" w:pos="239" w:val="left"/>
        </w:tabs>
        <w:numPr>
          <w:ilvl w:val="0"/>
          <w:numId w:val="123"/>
        </w:numPr>
        <w:rPr>
          <w:rFonts w:ascii="Arial" w:cs="Arial" w:eastAsia="Arial" w:hAnsi="Arial"/>
          <w:sz w:val="16"/>
          <w:szCs w:val="16"/>
          <w:color w:val="16479F"/>
        </w:rPr>
      </w:pPr>
      <w:r>
        <w:rPr>
          <w:rFonts w:ascii="Arial" w:cs="Arial" w:eastAsia="Arial" w:hAnsi="Arial"/>
          <w:sz w:val="16"/>
          <w:szCs w:val="16"/>
          <w:color w:val="auto"/>
        </w:rPr>
        <w:t>Raised MSCI’s DE&amp;I leadership profile by becoming a signatory to the General Counsel Pledge to support the American Bar Association’s Resolution 113, which aims to enhance diversity in the legal profession through law firm disclosure of diversity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-1555115</wp:posOffset>
            </wp:positionH>
            <wp:positionV relativeFrom="paragraph">
              <wp:posOffset>-2984500</wp:posOffset>
            </wp:positionV>
            <wp:extent cx="7133590" cy="8845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3590" cy="884555"/>
                    </a:xfrm>
                    <a:prstGeom prst="rect">
                      <a:avLst/>
                    </a:prstGeom>
                    <a:noFill/>
                  </pic:spPr>
                </pic:pic>
              </a:graphicData>
            </a:graphic>
          </wp:anchor>
        </w:drawing>
        <w:drawing>
          <wp:anchor simplePos="0" relativeHeight="251657728" behindDoc="1" locked="0" layoutInCell="0" allowOverlap="1">
            <wp:simplePos x="0" y="0"/>
            <wp:positionH relativeFrom="column">
              <wp:posOffset>-1557655</wp:posOffset>
            </wp:positionH>
            <wp:positionV relativeFrom="paragraph">
              <wp:posOffset>-1096645</wp:posOffset>
            </wp:positionV>
            <wp:extent cx="7154545" cy="126047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4545" cy="1260475"/>
                    </a:xfrm>
                    <a:prstGeom prst="rect">
                      <a:avLst/>
                    </a:prstGeom>
                    <a:noFill/>
                  </pic:spPr>
                </pic:pic>
              </a:graphicData>
            </a:graphic>
          </wp:anchor>
        </w:drawing>
      </w:r>
    </w:p>
    <w:p>
      <w:pPr>
        <w:sectPr>
          <w:pgSz w:w="11900" w:h="16838" w:orient="portrait"/>
          <w:cols w:equalWidth="0" w:num="2">
            <w:col w:w="2140" w:space="317"/>
            <w:col w:w="8763"/>
          </w:cols>
          <w:pgMar w:left="320" w:top="121" w:right="359" w:bottom="1440" w:gutter="0" w:footer="0" w:header="0"/>
          <w:type w:val="continuous"/>
        </w:sectPr>
      </w:pPr>
    </w:p>
    <w:bookmarkStart w:id="79" w:name="page80"/>
    <w:bookmarkEnd w:id="79"/>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00" w:type="dxa"/>
            <w:vAlign w:val="bottom"/>
            <w:tcBorders>
              <w:right w:val="single" w:sz="8" w:color="16479F"/>
            </w:tcBorders>
          </w:tcPr>
          <w:p>
            <w:pPr>
              <w:ind w:left="8700"/>
              <w:spacing w:after="0"/>
              <w:rPr>
                <w:sz w:val="20"/>
                <w:szCs w:val="20"/>
                <w:color w:val="auto"/>
              </w:rPr>
            </w:pPr>
            <w:r>
              <w:rPr>
                <w:rFonts w:ascii="Arial" w:cs="Arial" w:eastAsia="Arial" w:hAnsi="Arial"/>
                <w:sz w:val="14"/>
                <w:szCs w:val="14"/>
                <w:b w:val="1"/>
                <w:bCs w:val="1"/>
                <w:color w:val="16479F"/>
              </w:rPr>
              <w:t>2022 PROXY STATEMENT</w:t>
            </w:r>
          </w:p>
        </w:tc>
        <w:tc>
          <w:tcPr>
            <w:tcW w:w="640" w:type="dxa"/>
            <w:vAlign w:val="bottom"/>
          </w:tcPr>
          <w:p>
            <w:pPr>
              <w:jc w:val="right"/>
              <w:ind w:right="9"/>
              <w:spacing w:after="0"/>
              <w:rPr>
                <w:sz w:val="20"/>
                <w:szCs w:val="20"/>
                <w:color w:val="auto"/>
              </w:rPr>
            </w:pPr>
            <w:r>
              <w:rPr>
                <w:rFonts w:ascii="Arial" w:cs="Arial" w:eastAsia="Arial" w:hAnsi="Arial"/>
                <w:sz w:val="14"/>
                <w:szCs w:val="14"/>
                <w:b w:val="1"/>
                <w:bCs w:val="1"/>
                <w:color w:val="16479F"/>
              </w:rPr>
              <w:t>79</w:t>
            </w:r>
          </w:p>
        </w:tc>
      </w:tr>
      <w:tr>
        <w:trPr>
          <w:trHeight w:val="65"/>
        </w:trPr>
        <w:tc>
          <w:tcPr>
            <w:tcW w:w="10600" w:type="dxa"/>
            <w:vAlign w:val="bottom"/>
            <w:tcBorders>
              <w:bottom w:val="single" w:sz="8" w:color="16479F"/>
              <w:right w:val="single" w:sz="8" w:color="16479F"/>
            </w:tcBorders>
          </w:tcPr>
          <w:p>
            <w:pPr>
              <w:spacing w:after="0"/>
              <w:rPr>
                <w:sz w:val="5"/>
                <w:szCs w:val="5"/>
                <w:color w:val="auto"/>
              </w:rPr>
            </w:pPr>
          </w:p>
        </w:tc>
        <w:tc>
          <w:tcPr>
            <w:tcW w:w="640" w:type="dxa"/>
            <w:vAlign w:val="bottom"/>
            <w:tcBorders>
              <w:bottom w:val="single" w:sz="8" w:color="16479F"/>
            </w:tcBorders>
          </w:tcPr>
          <w:p>
            <w:pPr>
              <w:spacing w:after="0"/>
              <w:rPr>
                <w:sz w:val="5"/>
                <w:szCs w:val="5"/>
                <w:color w:val="auto"/>
              </w:rPr>
            </w:pPr>
          </w:p>
        </w:tc>
      </w:tr>
    </w:tbl>
    <w:p>
      <w:pPr>
        <w:spacing w:after="0" w:line="163"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Actual cash incentives paid in respect of 2021 were based on actual performance against the financial, KPI and DE&amp;I targets under the AIP as set forth in the table below. Given our strong financial performance, coupled with target payouts on the KPI goals, our NEOs received cash incentives for 2021 that were approximately equal to their target values.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2021 Financial Payout</w:t>
            </w:r>
          </w:p>
        </w:tc>
        <w:tc>
          <w:tcPr>
            <w:tcW w:w="16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2021 KPI Payout (20%</w:t>
            </w:r>
          </w:p>
        </w:tc>
        <w:tc>
          <w:tcPr>
            <w:tcW w:w="14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2021 DE&amp;I Goals</w:t>
            </w:r>
          </w:p>
        </w:tc>
        <w:tc>
          <w:tcPr>
            <w:tcW w:w="1480" w:type="dxa"/>
            <w:vAlign w:val="bottom"/>
            <w:gridSpan w:val="2"/>
          </w:tcPr>
          <w:p>
            <w:pPr>
              <w:jc w:val="right"/>
              <w:ind w:right="82"/>
              <w:spacing w:after="0"/>
              <w:rPr>
                <w:sz w:val="20"/>
                <w:szCs w:val="20"/>
                <w:color w:val="auto"/>
              </w:rPr>
            </w:pPr>
            <w:r>
              <w:rPr>
                <w:rFonts w:ascii="Arial" w:cs="Arial" w:eastAsia="Arial" w:hAnsi="Arial"/>
                <w:sz w:val="14"/>
                <w:szCs w:val="14"/>
                <w:b w:val="1"/>
                <w:bCs w:val="1"/>
                <w:color w:val="auto"/>
              </w:rPr>
              <w:t>2021 Total Actual</w:t>
            </w:r>
          </w:p>
        </w:tc>
      </w:tr>
      <w:tr>
        <w:trPr>
          <w:trHeight w:val="201"/>
        </w:trPr>
        <w:tc>
          <w:tcPr>
            <w:tcW w:w="2740" w:type="dxa"/>
            <w:vAlign w:val="bottom"/>
          </w:tcPr>
          <w:p>
            <w:pPr>
              <w:spacing w:after="0"/>
              <w:rPr>
                <w:sz w:val="17"/>
                <w:szCs w:val="17"/>
                <w:color w:val="auto"/>
              </w:rPr>
            </w:pPr>
          </w:p>
        </w:tc>
        <w:tc>
          <w:tcPr>
            <w:tcW w:w="2080" w:type="dxa"/>
            <w:vAlign w:val="bottom"/>
          </w:tcPr>
          <w:p>
            <w:pPr>
              <w:jc w:val="right"/>
              <w:ind w:right="63"/>
              <w:spacing w:after="0"/>
              <w:rPr>
                <w:sz w:val="20"/>
                <w:szCs w:val="20"/>
                <w:color w:val="auto"/>
              </w:rPr>
            </w:pPr>
            <w:r>
              <w:rPr>
                <w:rFonts w:ascii="Arial" w:cs="Arial" w:eastAsia="Arial" w:hAnsi="Arial"/>
                <w:sz w:val="14"/>
                <w:szCs w:val="14"/>
                <w:b w:val="1"/>
                <w:bCs w:val="1"/>
                <w:color w:val="auto"/>
              </w:rPr>
              <w:t>2021 Target</w:t>
            </w:r>
          </w:p>
        </w:tc>
        <w:tc>
          <w:tcPr>
            <w:tcW w:w="1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(70% Weighting at Target)</w:t>
            </w:r>
          </w:p>
        </w:tc>
        <w:tc>
          <w:tcPr>
            <w:tcW w:w="16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Weighting at Target)</w:t>
            </w:r>
          </w:p>
        </w:tc>
        <w:tc>
          <w:tcPr>
            <w:tcW w:w="14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Payout (10%)</w:t>
            </w:r>
          </w:p>
        </w:tc>
        <w:tc>
          <w:tcPr>
            <w:tcW w:w="1480" w:type="dxa"/>
            <w:vAlign w:val="bottom"/>
            <w:gridSpan w:val="2"/>
          </w:tcPr>
          <w:p>
            <w:pPr>
              <w:jc w:val="right"/>
              <w:ind w:right="162"/>
              <w:spacing w:after="0"/>
              <w:rPr>
                <w:sz w:val="20"/>
                <w:szCs w:val="20"/>
                <w:color w:val="auto"/>
              </w:rPr>
            </w:pPr>
            <w:r>
              <w:rPr>
                <w:rFonts w:ascii="Arial" w:cs="Arial" w:eastAsia="Arial" w:hAnsi="Arial"/>
                <w:sz w:val="14"/>
                <w:szCs w:val="14"/>
                <w:b w:val="1"/>
                <w:bCs w:val="1"/>
                <w:color w:val="auto"/>
              </w:rPr>
              <w:t>Cash Incentive</w:t>
            </w:r>
          </w:p>
        </w:tc>
      </w:tr>
      <w:tr>
        <w:trPr>
          <w:trHeight w:val="141"/>
        </w:trPr>
        <w:tc>
          <w:tcPr>
            <w:tcW w:w="2740" w:type="dxa"/>
            <w:vAlign w:val="bottom"/>
          </w:tcPr>
          <w:p>
            <w:pPr>
              <w:spacing w:after="0"/>
              <w:rPr>
                <w:sz w:val="12"/>
                <w:szCs w:val="12"/>
                <w:color w:val="auto"/>
              </w:rPr>
            </w:pPr>
          </w:p>
        </w:tc>
        <w:tc>
          <w:tcPr>
            <w:tcW w:w="2080" w:type="dxa"/>
            <w:vAlign w:val="bottom"/>
          </w:tcPr>
          <w:p>
            <w:pPr>
              <w:jc w:val="right"/>
              <w:ind w:right="63"/>
              <w:spacing w:after="0" w:line="141" w:lineRule="exact"/>
              <w:rPr>
                <w:sz w:val="20"/>
                <w:szCs w:val="20"/>
                <w:color w:val="auto"/>
              </w:rPr>
            </w:pPr>
            <w:r>
              <w:rPr>
                <w:rFonts w:ascii="Arial" w:cs="Arial" w:eastAsia="Arial" w:hAnsi="Arial"/>
                <w:sz w:val="14"/>
                <w:szCs w:val="14"/>
                <w:b w:val="1"/>
                <w:bCs w:val="1"/>
                <w:color w:val="auto"/>
              </w:rPr>
              <w:t>Cash Incentive</w:t>
            </w:r>
          </w:p>
        </w:tc>
        <w:tc>
          <w:tcPr>
            <w:tcW w:w="1000" w:type="dxa"/>
            <w:vAlign w:val="bottom"/>
            <w:tcBorders>
              <w:top w:val="single" w:sz="8" w:color="16479F"/>
            </w:tcBorders>
          </w:tcPr>
          <w:p>
            <w:pPr>
              <w:jc w:val="right"/>
              <w:ind w:right="124"/>
              <w:spacing w:after="0" w:line="141" w:lineRule="exact"/>
              <w:rPr>
                <w:sz w:val="20"/>
                <w:szCs w:val="20"/>
                <w:color w:val="auto"/>
              </w:rPr>
            </w:pPr>
            <w:r>
              <w:rPr>
                <w:rFonts w:ascii="Arial" w:cs="Arial" w:eastAsia="Arial" w:hAnsi="Arial"/>
                <w:sz w:val="14"/>
                <w:szCs w:val="14"/>
                <w:b w:val="1"/>
                <w:bCs w:val="1"/>
                <w:color w:val="auto"/>
              </w:rPr>
              <w:t>Value</w:t>
            </w:r>
          </w:p>
        </w:tc>
        <w:tc>
          <w:tcPr>
            <w:tcW w:w="740" w:type="dxa"/>
            <w:vAlign w:val="bottom"/>
            <w:tcBorders>
              <w:top w:val="single" w:sz="8" w:color="16479F"/>
            </w:tcBorders>
          </w:tcPr>
          <w:p>
            <w:pPr>
              <w:jc w:val="right"/>
              <w:spacing w:after="0" w:line="141" w:lineRule="exact"/>
              <w:rPr>
                <w:sz w:val="20"/>
                <w:szCs w:val="20"/>
                <w:color w:val="auto"/>
              </w:rPr>
            </w:pPr>
            <w:r>
              <w:rPr>
                <w:rFonts w:ascii="Arial" w:cs="Arial" w:eastAsia="Arial" w:hAnsi="Arial"/>
                <w:sz w:val="14"/>
                <w:szCs w:val="14"/>
                <w:b w:val="1"/>
                <w:bCs w:val="1"/>
                <w:color w:val="auto"/>
              </w:rPr>
              <w:t>As % of</w:t>
            </w:r>
          </w:p>
        </w:tc>
        <w:tc>
          <w:tcPr>
            <w:tcW w:w="140" w:type="dxa"/>
            <w:vAlign w:val="bottom"/>
          </w:tcPr>
          <w:p>
            <w:pPr>
              <w:spacing w:after="0"/>
              <w:rPr>
                <w:sz w:val="12"/>
                <w:szCs w:val="12"/>
                <w:color w:val="auto"/>
              </w:rPr>
            </w:pPr>
          </w:p>
        </w:tc>
        <w:tc>
          <w:tcPr>
            <w:tcW w:w="800" w:type="dxa"/>
            <w:vAlign w:val="bottom"/>
            <w:tcBorders>
              <w:top w:val="single" w:sz="8" w:color="16479F"/>
            </w:tcBorders>
          </w:tcPr>
          <w:p>
            <w:pPr>
              <w:jc w:val="right"/>
              <w:ind w:right="44"/>
              <w:spacing w:after="0" w:line="141" w:lineRule="exact"/>
              <w:rPr>
                <w:sz w:val="20"/>
                <w:szCs w:val="20"/>
                <w:color w:val="auto"/>
              </w:rPr>
            </w:pPr>
            <w:r>
              <w:rPr>
                <w:rFonts w:ascii="Arial" w:cs="Arial" w:eastAsia="Arial" w:hAnsi="Arial"/>
                <w:sz w:val="14"/>
                <w:szCs w:val="14"/>
                <w:b w:val="1"/>
                <w:bCs w:val="1"/>
                <w:color w:val="auto"/>
              </w:rPr>
              <w:t>Value</w:t>
            </w:r>
          </w:p>
        </w:tc>
        <w:tc>
          <w:tcPr>
            <w:tcW w:w="680" w:type="dxa"/>
            <w:vAlign w:val="bottom"/>
            <w:tcBorders>
              <w:top w:val="single" w:sz="8" w:color="16479F"/>
            </w:tcBorders>
          </w:tcPr>
          <w:p>
            <w:pPr>
              <w:jc w:val="right"/>
              <w:spacing w:after="0" w:line="141" w:lineRule="exact"/>
              <w:rPr>
                <w:sz w:val="20"/>
                <w:szCs w:val="20"/>
                <w:color w:val="auto"/>
              </w:rPr>
            </w:pPr>
            <w:r>
              <w:rPr>
                <w:rFonts w:ascii="Arial" w:cs="Arial" w:eastAsia="Arial" w:hAnsi="Arial"/>
                <w:sz w:val="14"/>
                <w:szCs w:val="14"/>
                <w:b w:val="1"/>
                <w:bCs w:val="1"/>
                <w:color w:val="auto"/>
              </w:rPr>
              <w:t>As % of</w:t>
            </w:r>
          </w:p>
        </w:tc>
        <w:tc>
          <w:tcPr>
            <w:tcW w:w="160" w:type="dxa"/>
            <w:vAlign w:val="bottom"/>
          </w:tcPr>
          <w:p>
            <w:pPr>
              <w:spacing w:after="0"/>
              <w:rPr>
                <w:sz w:val="12"/>
                <w:szCs w:val="12"/>
                <w:color w:val="auto"/>
              </w:rPr>
            </w:pPr>
          </w:p>
        </w:tc>
        <w:tc>
          <w:tcPr>
            <w:tcW w:w="660" w:type="dxa"/>
            <w:vAlign w:val="bottom"/>
            <w:tcBorders>
              <w:top w:val="single" w:sz="8" w:color="16479F"/>
            </w:tcBorders>
          </w:tcPr>
          <w:p>
            <w:pPr>
              <w:jc w:val="right"/>
              <w:ind w:right="4"/>
              <w:spacing w:after="0" w:line="141" w:lineRule="exact"/>
              <w:rPr>
                <w:sz w:val="20"/>
                <w:szCs w:val="20"/>
                <w:color w:val="auto"/>
              </w:rPr>
            </w:pPr>
            <w:r>
              <w:rPr>
                <w:rFonts w:ascii="Arial" w:cs="Arial" w:eastAsia="Arial" w:hAnsi="Arial"/>
                <w:sz w:val="14"/>
                <w:szCs w:val="14"/>
                <w:b w:val="1"/>
                <w:bCs w:val="1"/>
                <w:color w:val="auto"/>
              </w:rPr>
              <w:t>Value</w:t>
            </w:r>
          </w:p>
        </w:tc>
        <w:tc>
          <w:tcPr>
            <w:tcW w:w="620" w:type="dxa"/>
            <w:vAlign w:val="bottom"/>
            <w:tcBorders>
              <w:top w:val="single" w:sz="8" w:color="16479F"/>
            </w:tcBorders>
          </w:tcPr>
          <w:p>
            <w:pPr>
              <w:jc w:val="right"/>
              <w:spacing w:after="0" w:line="141" w:lineRule="exact"/>
              <w:rPr>
                <w:sz w:val="20"/>
                <w:szCs w:val="20"/>
                <w:color w:val="auto"/>
              </w:rPr>
            </w:pPr>
            <w:r>
              <w:rPr>
                <w:rFonts w:ascii="Arial" w:cs="Arial" w:eastAsia="Arial" w:hAnsi="Arial"/>
                <w:sz w:val="14"/>
                <w:szCs w:val="14"/>
                <w:b w:val="1"/>
                <w:bCs w:val="1"/>
                <w:color w:val="auto"/>
              </w:rPr>
              <w:t>As % of</w:t>
            </w:r>
          </w:p>
        </w:tc>
        <w:tc>
          <w:tcPr>
            <w:tcW w:w="140" w:type="dxa"/>
            <w:vAlign w:val="bottom"/>
          </w:tcPr>
          <w:p>
            <w:pPr>
              <w:spacing w:after="0"/>
              <w:rPr>
                <w:sz w:val="12"/>
                <w:szCs w:val="12"/>
                <w:color w:val="auto"/>
              </w:rPr>
            </w:pPr>
          </w:p>
        </w:tc>
        <w:tc>
          <w:tcPr>
            <w:tcW w:w="800" w:type="dxa"/>
            <w:vAlign w:val="bottom"/>
            <w:tcBorders>
              <w:top w:val="single" w:sz="8" w:color="16479F"/>
            </w:tcBorders>
          </w:tcPr>
          <w:p>
            <w:pPr>
              <w:jc w:val="right"/>
              <w:spacing w:after="0" w:line="141" w:lineRule="exact"/>
              <w:rPr>
                <w:sz w:val="20"/>
                <w:szCs w:val="20"/>
                <w:color w:val="auto"/>
              </w:rPr>
            </w:pPr>
            <w:r>
              <w:rPr>
                <w:rFonts w:ascii="Arial" w:cs="Arial" w:eastAsia="Arial" w:hAnsi="Arial"/>
                <w:sz w:val="14"/>
                <w:szCs w:val="14"/>
                <w:b w:val="1"/>
                <w:bCs w:val="1"/>
                <w:color w:val="auto"/>
              </w:rPr>
              <w:t>Value</w:t>
            </w:r>
          </w:p>
        </w:tc>
        <w:tc>
          <w:tcPr>
            <w:tcW w:w="680" w:type="dxa"/>
            <w:vAlign w:val="bottom"/>
            <w:tcBorders>
              <w:top w:val="single" w:sz="8" w:color="16479F"/>
            </w:tcBorders>
          </w:tcPr>
          <w:p>
            <w:pPr>
              <w:jc w:val="right"/>
              <w:spacing w:after="0" w:line="141" w:lineRule="exact"/>
              <w:rPr>
                <w:sz w:val="20"/>
                <w:szCs w:val="20"/>
                <w:color w:val="auto"/>
              </w:rPr>
            </w:pPr>
            <w:r>
              <w:rPr>
                <w:rFonts w:ascii="Arial" w:cs="Arial" w:eastAsia="Arial" w:hAnsi="Arial"/>
                <w:sz w:val="14"/>
                <w:szCs w:val="14"/>
                <w:b w:val="1"/>
                <w:bCs w:val="1"/>
                <w:color w:val="auto"/>
              </w:rPr>
              <w:t>As % of</w:t>
            </w:r>
          </w:p>
        </w:tc>
      </w:tr>
      <w:tr>
        <w:trPr>
          <w:trHeight w:val="195"/>
        </w:trPr>
        <w:tc>
          <w:tcPr>
            <w:tcW w:w="2740" w:type="dxa"/>
            <w:vAlign w:val="bottom"/>
            <w:tcBorders>
              <w:bottom w:val="single" w:sz="8" w:color="16479F"/>
            </w:tcBorders>
          </w:tcPr>
          <w:p>
            <w:pPr>
              <w:ind w:left="60"/>
              <w:spacing w:after="0"/>
              <w:rPr>
                <w:sz w:val="20"/>
                <w:szCs w:val="20"/>
                <w:color w:val="auto"/>
              </w:rPr>
            </w:pPr>
            <w:r>
              <w:rPr>
                <w:rFonts w:ascii="Arial" w:cs="Arial" w:eastAsia="Arial" w:hAnsi="Arial"/>
                <w:sz w:val="14"/>
                <w:szCs w:val="14"/>
                <w:b w:val="1"/>
                <w:bCs w:val="1"/>
                <w:color w:val="auto"/>
              </w:rPr>
              <w:t>Name</w:t>
            </w:r>
          </w:p>
        </w:tc>
        <w:tc>
          <w:tcPr>
            <w:tcW w:w="2080" w:type="dxa"/>
            <w:vAlign w:val="bottom"/>
            <w:tcBorders>
              <w:bottom w:val="single" w:sz="8" w:color="16479F"/>
            </w:tcBorders>
          </w:tcPr>
          <w:p>
            <w:pPr>
              <w:jc w:val="right"/>
              <w:ind w:right="63"/>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16479F"/>
            </w:tcBorders>
          </w:tcPr>
          <w:p>
            <w:pPr>
              <w:jc w:val="right"/>
              <w:ind w:right="124"/>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16479F"/>
            </w:tcBorders>
            <w:gridSpan w:val="2"/>
          </w:tcPr>
          <w:p>
            <w:pPr>
              <w:jc w:val="right"/>
              <w:ind w:right="140"/>
              <w:spacing w:after="0"/>
              <w:rPr>
                <w:sz w:val="20"/>
                <w:szCs w:val="20"/>
                <w:color w:val="auto"/>
              </w:rPr>
            </w:pPr>
            <w:r>
              <w:rPr>
                <w:rFonts w:ascii="Arial" w:cs="Arial" w:eastAsia="Arial" w:hAnsi="Arial"/>
                <w:sz w:val="14"/>
                <w:szCs w:val="14"/>
                <w:b w:val="1"/>
                <w:bCs w:val="1"/>
                <w:color w:val="auto"/>
              </w:rPr>
              <w:t>Target</w:t>
            </w:r>
          </w:p>
        </w:tc>
        <w:tc>
          <w:tcPr>
            <w:tcW w:w="800" w:type="dxa"/>
            <w:vAlign w:val="bottom"/>
            <w:tcBorders>
              <w:bottom w:val="single" w:sz="8" w:color="16479F"/>
            </w:tcBorders>
          </w:tcPr>
          <w:p>
            <w:pPr>
              <w:jc w:val="right"/>
              <w:ind w:right="44"/>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16479F"/>
            </w:tcBorders>
            <w:gridSpan w:val="2"/>
          </w:tcPr>
          <w:p>
            <w:pPr>
              <w:jc w:val="right"/>
              <w:ind w:right="160"/>
              <w:spacing w:after="0"/>
              <w:rPr>
                <w:sz w:val="20"/>
                <w:szCs w:val="20"/>
                <w:color w:val="auto"/>
              </w:rPr>
            </w:pPr>
            <w:r>
              <w:rPr>
                <w:rFonts w:ascii="Arial" w:cs="Arial" w:eastAsia="Arial" w:hAnsi="Arial"/>
                <w:sz w:val="14"/>
                <w:szCs w:val="14"/>
                <w:b w:val="1"/>
                <w:bCs w:val="1"/>
                <w:color w:val="auto"/>
              </w:rPr>
              <w:t>Target</w:t>
            </w:r>
          </w:p>
        </w:tc>
        <w:tc>
          <w:tcPr>
            <w:tcW w:w="660" w:type="dxa"/>
            <w:vAlign w:val="bottom"/>
            <w:tcBorders>
              <w:bottom w:val="single" w:sz="8" w:color="16479F"/>
            </w:tcBorders>
          </w:tcPr>
          <w:p>
            <w:pPr>
              <w:jc w:val="right"/>
              <w:ind w:right="4"/>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16479F"/>
            </w:tcBorders>
            <w:gridSpan w:val="2"/>
          </w:tcPr>
          <w:p>
            <w:pPr>
              <w:jc w:val="right"/>
              <w:ind w:right="140"/>
              <w:spacing w:after="0"/>
              <w:rPr>
                <w:sz w:val="20"/>
                <w:szCs w:val="20"/>
                <w:color w:val="auto"/>
              </w:rPr>
            </w:pPr>
            <w:r>
              <w:rPr>
                <w:rFonts w:ascii="Arial" w:cs="Arial" w:eastAsia="Arial" w:hAnsi="Arial"/>
                <w:sz w:val="14"/>
                <w:szCs w:val="14"/>
                <w:b w:val="1"/>
                <w:bCs w:val="1"/>
                <w:color w:val="auto"/>
              </w:rPr>
              <w:t>Target</w:t>
            </w:r>
          </w:p>
        </w:tc>
        <w:tc>
          <w:tcPr>
            <w:tcW w:w="800" w:type="dxa"/>
            <w:vAlign w:val="bottom"/>
            <w:tcBorders>
              <w:bottom w:val="single" w:sz="8" w:color="16479F"/>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16479F"/>
            </w:tcBorders>
          </w:tcPr>
          <w:p>
            <w:pPr>
              <w:jc w:val="right"/>
              <w:spacing w:after="0"/>
              <w:rPr>
                <w:sz w:val="20"/>
                <w:szCs w:val="20"/>
                <w:color w:val="auto"/>
              </w:rPr>
            </w:pPr>
            <w:r>
              <w:rPr>
                <w:rFonts w:ascii="Arial" w:cs="Arial" w:eastAsia="Arial" w:hAnsi="Arial"/>
                <w:sz w:val="14"/>
                <w:szCs w:val="14"/>
                <w:b w:val="1"/>
                <w:bCs w:val="1"/>
                <w:color w:val="auto"/>
              </w:rPr>
              <w:t>Target</w:t>
            </w:r>
          </w:p>
        </w:tc>
      </w:tr>
      <w:tr>
        <w:trPr>
          <w:trHeight w:val="231"/>
        </w:trPr>
        <w:tc>
          <w:tcPr>
            <w:tcW w:w="2740" w:type="dxa"/>
            <w:vAlign w:val="bottom"/>
          </w:tcPr>
          <w:p>
            <w:pPr>
              <w:ind w:left="60"/>
              <w:spacing w:after="0"/>
              <w:rPr>
                <w:sz w:val="20"/>
                <w:szCs w:val="20"/>
                <w:color w:val="auto"/>
              </w:rPr>
            </w:pPr>
            <w:r>
              <w:rPr>
                <w:rFonts w:ascii="Arial" w:cs="Arial" w:eastAsia="Arial" w:hAnsi="Arial"/>
                <w:sz w:val="16"/>
                <w:szCs w:val="16"/>
                <w:b w:val="1"/>
                <w:bCs w:val="1"/>
                <w:color w:val="auto"/>
              </w:rPr>
              <w:t>Henry A. Fernandez</w:t>
            </w:r>
          </w:p>
        </w:tc>
        <w:tc>
          <w:tcPr>
            <w:tcW w:w="2080" w:type="dxa"/>
            <w:vAlign w:val="bottom"/>
          </w:tcPr>
          <w:p>
            <w:pPr>
              <w:jc w:val="right"/>
              <w:ind w:right="63"/>
              <w:spacing w:after="0"/>
              <w:rPr>
                <w:sz w:val="20"/>
                <w:szCs w:val="20"/>
                <w:color w:val="auto"/>
              </w:rPr>
            </w:pPr>
            <w:r>
              <w:rPr>
                <w:rFonts w:ascii="Arial" w:cs="Arial" w:eastAsia="Arial" w:hAnsi="Arial"/>
                <w:sz w:val="16"/>
                <w:szCs w:val="16"/>
                <w:color w:val="auto"/>
              </w:rPr>
              <w:t>1,400,000</w:t>
            </w:r>
          </w:p>
        </w:tc>
        <w:tc>
          <w:tcPr>
            <w:tcW w:w="1000" w:type="dxa"/>
            <w:vAlign w:val="bottom"/>
          </w:tcPr>
          <w:p>
            <w:pPr>
              <w:jc w:val="right"/>
              <w:ind w:right="124"/>
              <w:spacing w:after="0"/>
              <w:rPr>
                <w:sz w:val="20"/>
                <w:szCs w:val="20"/>
                <w:color w:val="auto"/>
              </w:rPr>
            </w:pPr>
            <w:r>
              <w:rPr>
                <w:rFonts w:ascii="Arial" w:cs="Arial" w:eastAsia="Arial" w:hAnsi="Arial"/>
                <w:sz w:val="16"/>
                <w:szCs w:val="16"/>
                <w:color w:val="auto"/>
              </w:rPr>
              <w:t>1,354,092</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138.2%</w:t>
            </w:r>
          </w:p>
        </w:tc>
        <w:tc>
          <w:tcPr>
            <w:tcW w:w="800" w:type="dxa"/>
            <w:vAlign w:val="bottom"/>
          </w:tcPr>
          <w:p>
            <w:pPr>
              <w:jc w:val="right"/>
              <w:ind w:right="44"/>
              <w:spacing w:after="0"/>
              <w:rPr>
                <w:sz w:val="20"/>
                <w:szCs w:val="20"/>
                <w:color w:val="auto"/>
              </w:rPr>
            </w:pPr>
            <w:r>
              <w:rPr>
                <w:rFonts w:ascii="Arial" w:cs="Arial" w:eastAsia="Arial" w:hAnsi="Arial"/>
                <w:sz w:val="16"/>
                <w:szCs w:val="16"/>
                <w:color w:val="auto"/>
              </w:rPr>
              <w:t>308,008</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110.0%</w:t>
            </w:r>
          </w:p>
        </w:tc>
        <w:tc>
          <w:tcPr>
            <w:tcW w:w="660" w:type="dxa"/>
            <w:vAlign w:val="bottom"/>
          </w:tcPr>
          <w:p>
            <w:pPr>
              <w:jc w:val="right"/>
              <w:ind w:right="4"/>
              <w:spacing w:after="0"/>
              <w:rPr>
                <w:sz w:val="20"/>
                <w:szCs w:val="20"/>
                <w:color w:val="auto"/>
              </w:rPr>
            </w:pPr>
            <w:r>
              <w:rPr>
                <w:rFonts w:ascii="Arial" w:cs="Arial" w:eastAsia="Arial" w:hAnsi="Arial"/>
                <w:sz w:val="16"/>
                <w:szCs w:val="16"/>
                <w:color w:val="auto"/>
                <w:w w:val="96"/>
              </w:rPr>
              <w:t>154,000</w:t>
            </w: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110.0%</w:t>
            </w:r>
          </w:p>
        </w:tc>
        <w:tc>
          <w:tcPr>
            <w:tcW w:w="800" w:type="dxa"/>
            <w:vAlign w:val="bottom"/>
          </w:tcPr>
          <w:p>
            <w:pPr>
              <w:jc w:val="right"/>
              <w:spacing w:after="0"/>
              <w:rPr>
                <w:sz w:val="20"/>
                <w:szCs w:val="20"/>
                <w:color w:val="auto"/>
              </w:rPr>
            </w:pPr>
            <w:r>
              <w:rPr>
                <w:rFonts w:ascii="Arial" w:cs="Arial" w:eastAsia="Arial" w:hAnsi="Arial"/>
                <w:sz w:val="16"/>
                <w:szCs w:val="16"/>
                <w:color w:val="auto"/>
              </w:rPr>
              <w:t>1,816,100</w:t>
            </w:r>
          </w:p>
        </w:tc>
        <w:tc>
          <w:tcPr>
            <w:tcW w:w="680" w:type="dxa"/>
            <w:vAlign w:val="bottom"/>
          </w:tcPr>
          <w:p>
            <w:pPr>
              <w:jc w:val="right"/>
              <w:spacing w:after="0"/>
              <w:rPr>
                <w:sz w:val="20"/>
                <w:szCs w:val="20"/>
                <w:color w:val="auto"/>
              </w:rPr>
            </w:pPr>
            <w:r>
              <w:rPr>
                <w:rFonts w:ascii="Arial" w:cs="Arial" w:eastAsia="Arial" w:hAnsi="Arial"/>
                <w:sz w:val="16"/>
                <w:szCs w:val="16"/>
                <w:color w:val="auto"/>
              </w:rPr>
              <w:t>129.7%</w:t>
            </w:r>
          </w:p>
        </w:tc>
      </w:tr>
      <w:tr>
        <w:trPr>
          <w:trHeight w:val="250"/>
        </w:trPr>
        <w:tc>
          <w:tcPr>
            <w:tcW w:w="2740" w:type="dxa"/>
            <w:vAlign w:val="bottom"/>
            <w:shd w:val="clear" w:color="auto" w:fill="F0F1F8"/>
          </w:tcPr>
          <w:p>
            <w:pPr>
              <w:ind w:left="60"/>
              <w:spacing w:after="0"/>
              <w:rPr>
                <w:sz w:val="20"/>
                <w:szCs w:val="20"/>
                <w:color w:val="auto"/>
              </w:rPr>
            </w:pPr>
            <w:r>
              <w:rPr>
                <w:rFonts w:ascii="Arial" w:cs="Arial" w:eastAsia="Arial" w:hAnsi="Arial"/>
                <w:sz w:val="16"/>
                <w:szCs w:val="16"/>
                <w:b w:val="1"/>
                <w:bCs w:val="1"/>
                <w:color w:val="auto"/>
              </w:rPr>
              <w:t>Andrew C. Wiechmann</w:t>
            </w:r>
          </w:p>
        </w:tc>
        <w:tc>
          <w:tcPr>
            <w:tcW w:w="2080" w:type="dxa"/>
            <w:vAlign w:val="bottom"/>
            <w:shd w:val="clear" w:color="auto" w:fill="F0F1F8"/>
          </w:tcPr>
          <w:p>
            <w:pPr>
              <w:jc w:val="right"/>
              <w:ind w:right="63"/>
              <w:spacing w:after="0"/>
              <w:rPr>
                <w:sz w:val="20"/>
                <w:szCs w:val="20"/>
                <w:color w:val="auto"/>
              </w:rPr>
            </w:pPr>
            <w:r>
              <w:rPr>
                <w:rFonts w:ascii="Arial" w:cs="Arial" w:eastAsia="Arial" w:hAnsi="Arial"/>
                <w:sz w:val="16"/>
                <w:szCs w:val="16"/>
                <w:color w:val="auto"/>
              </w:rPr>
              <w:t>600,000</w:t>
            </w:r>
          </w:p>
        </w:tc>
        <w:tc>
          <w:tcPr>
            <w:tcW w:w="1000" w:type="dxa"/>
            <w:vAlign w:val="bottom"/>
            <w:shd w:val="clear" w:color="auto" w:fill="F0F1F8"/>
          </w:tcPr>
          <w:p>
            <w:pPr>
              <w:jc w:val="right"/>
              <w:ind w:right="124"/>
              <w:spacing w:after="0"/>
              <w:rPr>
                <w:sz w:val="20"/>
                <w:szCs w:val="20"/>
                <w:color w:val="auto"/>
              </w:rPr>
            </w:pPr>
            <w:r>
              <w:rPr>
                <w:rFonts w:ascii="Arial" w:cs="Arial" w:eastAsia="Arial" w:hAnsi="Arial"/>
                <w:sz w:val="16"/>
                <w:szCs w:val="16"/>
                <w:color w:val="auto"/>
              </w:rPr>
              <w:t>580,325</w:t>
            </w:r>
          </w:p>
        </w:tc>
        <w:tc>
          <w:tcPr>
            <w:tcW w:w="880" w:type="dxa"/>
            <w:vAlign w:val="bottom"/>
            <w:gridSpan w:val="2"/>
            <w:shd w:val="clear" w:color="auto" w:fill="F0F1F8"/>
          </w:tcPr>
          <w:p>
            <w:pPr>
              <w:jc w:val="right"/>
              <w:ind w:right="140"/>
              <w:spacing w:after="0"/>
              <w:rPr>
                <w:sz w:val="20"/>
                <w:szCs w:val="20"/>
                <w:color w:val="auto"/>
              </w:rPr>
            </w:pPr>
            <w:r>
              <w:rPr>
                <w:rFonts w:ascii="Arial" w:cs="Arial" w:eastAsia="Arial" w:hAnsi="Arial"/>
                <w:sz w:val="16"/>
                <w:szCs w:val="16"/>
                <w:color w:val="auto"/>
              </w:rPr>
              <w:t>138.2%</w:t>
            </w:r>
          </w:p>
        </w:tc>
        <w:tc>
          <w:tcPr>
            <w:tcW w:w="800" w:type="dxa"/>
            <w:vAlign w:val="bottom"/>
            <w:shd w:val="clear" w:color="auto" w:fill="F0F1F8"/>
          </w:tcPr>
          <w:p>
            <w:pPr>
              <w:jc w:val="right"/>
              <w:ind w:right="44"/>
              <w:spacing w:after="0"/>
              <w:rPr>
                <w:sz w:val="20"/>
                <w:szCs w:val="20"/>
                <w:color w:val="auto"/>
              </w:rPr>
            </w:pPr>
            <w:r>
              <w:rPr>
                <w:rFonts w:ascii="Arial" w:cs="Arial" w:eastAsia="Arial" w:hAnsi="Arial"/>
                <w:sz w:val="16"/>
                <w:szCs w:val="16"/>
                <w:color w:val="auto"/>
              </w:rPr>
              <w:t>126,005</w:t>
            </w:r>
          </w:p>
        </w:tc>
        <w:tc>
          <w:tcPr>
            <w:tcW w:w="840" w:type="dxa"/>
            <w:vAlign w:val="bottom"/>
            <w:gridSpan w:val="2"/>
            <w:shd w:val="clear" w:color="auto" w:fill="F0F1F8"/>
          </w:tcPr>
          <w:p>
            <w:pPr>
              <w:jc w:val="right"/>
              <w:ind w:right="160"/>
              <w:spacing w:after="0"/>
              <w:rPr>
                <w:sz w:val="20"/>
                <w:szCs w:val="20"/>
                <w:color w:val="auto"/>
              </w:rPr>
            </w:pPr>
            <w:r>
              <w:rPr>
                <w:rFonts w:ascii="Arial" w:cs="Arial" w:eastAsia="Arial" w:hAnsi="Arial"/>
                <w:sz w:val="16"/>
                <w:szCs w:val="16"/>
                <w:color w:val="auto"/>
              </w:rPr>
              <w:t>105.0%</w:t>
            </w:r>
          </w:p>
        </w:tc>
        <w:tc>
          <w:tcPr>
            <w:tcW w:w="660" w:type="dxa"/>
            <w:vAlign w:val="bottom"/>
            <w:shd w:val="clear" w:color="auto" w:fill="F0F1F8"/>
          </w:tcPr>
          <w:p>
            <w:pPr>
              <w:jc w:val="right"/>
              <w:ind w:right="4"/>
              <w:spacing w:after="0"/>
              <w:rPr>
                <w:sz w:val="20"/>
                <w:szCs w:val="20"/>
                <w:color w:val="auto"/>
              </w:rPr>
            </w:pPr>
            <w:r>
              <w:rPr>
                <w:rFonts w:ascii="Arial" w:cs="Arial" w:eastAsia="Arial" w:hAnsi="Arial"/>
                <w:sz w:val="16"/>
                <w:szCs w:val="16"/>
                <w:color w:val="auto"/>
              </w:rPr>
              <w:t>60,000</w:t>
            </w:r>
          </w:p>
        </w:tc>
        <w:tc>
          <w:tcPr>
            <w:tcW w:w="760" w:type="dxa"/>
            <w:vAlign w:val="bottom"/>
            <w:gridSpan w:val="2"/>
            <w:shd w:val="clear" w:color="auto" w:fill="F0F1F8"/>
          </w:tcPr>
          <w:p>
            <w:pPr>
              <w:jc w:val="right"/>
              <w:ind w:right="140"/>
              <w:spacing w:after="0"/>
              <w:rPr>
                <w:sz w:val="20"/>
                <w:szCs w:val="20"/>
                <w:color w:val="auto"/>
              </w:rPr>
            </w:pPr>
            <w:r>
              <w:rPr>
                <w:rFonts w:ascii="Arial" w:cs="Arial" w:eastAsia="Arial" w:hAnsi="Arial"/>
                <w:sz w:val="16"/>
                <w:szCs w:val="16"/>
                <w:color w:val="auto"/>
              </w:rPr>
              <w:t>100.0%</w:t>
            </w:r>
          </w:p>
        </w:tc>
        <w:tc>
          <w:tcPr>
            <w:tcW w:w="800" w:type="dxa"/>
            <w:vAlign w:val="bottom"/>
            <w:shd w:val="clear" w:color="auto" w:fill="F0F1F8"/>
          </w:tcPr>
          <w:p>
            <w:pPr>
              <w:jc w:val="right"/>
              <w:spacing w:after="0"/>
              <w:rPr>
                <w:sz w:val="20"/>
                <w:szCs w:val="20"/>
                <w:color w:val="auto"/>
              </w:rPr>
            </w:pPr>
            <w:r>
              <w:rPr>
                <w:rFonts w:ascii="Arial" w:cs="Arial" w:eastAsia="Arial" w:hAnsi="Arial"/>
                <w:sz w:val="16"/>
                <w:szCs w:val="16"/>
                <w:color w:val="auto"/>
              </w:rPr>
              <w:t>766,330</w:t>
            </w:r>
          </w:p>
        </w:tc>
        <w:tc>
          <w:tcPr>
            <w:tcW w:w="680" w:type="dxa"/>
            <w:vAlign w:val="bottom"/>
            <w:shd w:val="clear" w:color="auto" w:fill="F0F1F8"/>
          </w:tcPr>
          <w:p>
            <w:pPr>
              <w:jc w:val="right"/>
              <w:spacing w:after="0"/>
              <w:rPr>
                <w:sz w:val="20"/>
                <w:szCs w:val="20"/>
                <w:color w:val="auto"/>
              </w:rPr>
            </w:pPr>
            <w:r>
              <w:rPr>
                <w:rFonts w:ascii="Arial" w:cs="Arial" w:eastAsia="Arial" w:hAnsi="Arial"/>
                <w:sz w:val="16"/>
                <w:szCs w:val="16"/>
                <w:color w:val="auto"/>
              </w:rPr>
              <w:t>127.7%</w:t>
            </w:r>
          </w:p>
        </w:tc>
      </w:tr>
      <w:tr>
        <w:trPr>
          <w:trHeight w:val="281"/>
        </w:trPr>
        <w:tc>
          <w:tcPr>
            <w:tcW w:w="2740" w:type="dxa"/>
            <w:vAlign w:val="bottom"/>
          </w:tcPr>
          <w:p>
            <w:pPr>
              <w:ind w:left="60"/>
              <w:spacing w:after="0" w:line="281" w:lineRule="exact"/>
              <w:rPr>
                <w:sz w:val="20"/>
                <w:szCs w:val="20"/>
                <w:color w:val="auto"/>
              </w:rPr>
            </w:pPr>
            <w:r>
              <w:rPr>
                <w:rFonts w:ascii="Arial" w:cs="Arial" w:eastAsia="Arial" w:hAnsi="Arial"/>
                <w:sz w:val="16"/>
                <w:szCs w:val="16"/>
                <w:b w:val="1"/>
                <w:bCs w:val="1"/>
                <w:color w:val="auto"/>
              </w:rPr>
              <w:t>C. D. Baer Pettit</w:t>
            </w:r>
            <w:r>
              <w:rPr>
                <w:rFonts w:ascii="Arial" w:cs="Arial" w:eastAsia="Arial" w:hAnsi="Arial"/>
                <w:sz w:val="26"/>
                <w:szCs w:val="26"/>
                <w:b w:val="1"/>
                <w:bCs w:val="1"/>
                <w:color w:val="auto"/>
                <w:vertAlign w:val="superscript"/>
              </w:rPr>
              <w:t>(1)</w:t>
            </w:r>
          </w:p>
        </w:tc>
        <w:tc>
          <w:tcPr>
            <w:tcW w:w="2080" w:type="dxa"/>
            <w:vAlign w:val="bottom"/>
          </w:tcPr>
          <w:p>
            <w:pPr>
              <w:jc w:val="right"/>
              <w:ind w:right="63"/>
              <w:spacing w:after="0"/>
              <w:rPr>
                <w:sz w:val="20"/>
                <w:szCs w:val="20"/>
                <w:color w:val="auto"/>
              </w:rPr>
            </w:pPr>
            <w:r>
              <w:rPr>
                <w:rFonts w:ascii="Arial" w:cs="Arial" w:eastAsia="Arial" w:hAnsi="Arial"/>
                <w:sz w:val="16"/>
                <w:szCs w:val="16"/>
                <w:color w:val="auto"/>
              </w:rPr>
              <w:t>1,238,139</w:t>
            </w:r>
          </w:p>
        </w:tc>
        <w:tc>
          <w:tcPr>
            <w:tcW w:w="1000" w:type="dxa"/>
            <w:vAlign w:val="bottom"/>
          </w:tcPr>
          <w:p>
            <w:pPr>
              <w:jc w:val="right"/>
              <w:ind w:right="124"/>
              <w:spacing w:after="0"/>
              <w:rPr>
                <w:sz w:val="20"/>
                <w:szCs w:val="20"/>
                <w:color w:val="auto"/>
              </w:rPr>
            </w:pPr>
            <w:r>
              <w:rPr>
                <w:rFonts w:ascii="Arial" w:cs="Arial" w:eastAsia="Arial" w:hAnsi="Arial"/>
                <w:sz w:val="16"/>
                <w:szCs w:val="16"/>
                <w:color w:val="auto"/>
              </w:rPr>
              <w:t>1,197,539</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138.2%</w:t>
            </w:r>
          </w:p>
        </w:tc>
        <w:tc>
          <w:tcPr>
            <w:tcW w:w="800" w:type="dxa"/>
            <w:vAlign w:val="bottom"/>
          </w:tcPr>
          <w:p>
            <w:pPr>
              <w:jc w:val="right"/>
              <w:ind w:right="44"/>
              <w:spacing w:after="0"/>
              <w:rPr>
                <w:sz w:val="20"/>
                <w:szCs w:val="20"/>
                <w:color w:val="auto"/>
              </w:rPr>
            </w:pPr>
            <w:r>
              <w:rPr>
                <w:rFonts w:ascii="Arial" w:cs="Arial" w:eastAsia="Arial" w:hAnsi="Arial"/>
                <w:sz w:val="16"/>
                <w:szCs w:val="16"/>
                <w:color w:val="auto"/>
              </w:rPr>
              <w:t>272,393</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110.0%</w:t>
            </w:r>
          </w:p>
        </w:tc>
        <w:tc>
          <w:tcPr>
            <w:tcW w:w="660" w:type="dxa"/>
            <w:vAlign w:val="bottom"/>
          </w:tcPr>
          <w:p>
            <w:pPr>
              <w:jc w:val="right"/>
              <w:ind w:right="4"/>
              <w:spacing w:after="0"/>
              <w:rPr>
                <w:sz w:val="20"/>
                <w:szCs w:val="20"/>
                <w:color w:val="auto"/>
              </w:rPr>
            </w:pPr>
            <w:r>
              <w:rPr>
                <w:rFonts w:ascii="Arial" w:cs="Arial" w:eastAsia="Arial" w:hAnsi="Arial"/>
                <w:sz w:val="16"/>
                <w:szCs w:val="16"/>
                <w:color w:val="auto"/>
                <w:w w:val="96"/>
              </w:rPr>
              <w:t>123,814</w:t>
            </w: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100.0%</w:t>
            </w:r>
          </w:p>
        </w:tc>
        <w:tc>
          <w:tcPr>
            <w:tcW w:w="800" w:type="dxa"/>
            <w:vAlign w:val="bottom"/>
          </w:tcPr>
          <w:p>
            <w:pPr>
              <w:jc w:val="right"/>
              <w:spacing w:after="0"/>
              <w:rPr>
                <w:sz w:val="20"/>
                <w:szCs w:val="20"/>
                <w:color w:val="auto"/>
              </w:rPr>
            </w:pPr>
            <w:r>
              <w:rPr>
                <w:rFonts w:ascii="Arial" w:cs="Arial" w:eastAsia="Arial" w:hAnsi="Arial"/>
                <w:sz w:val="16"/>
                <w:szCs w:val="16"/>
                <w:color w:val="auto"/>
              </w:rPr>
              <w:t>1,593,746</w:t>
            </w:r>
          </w:p>
        </w:tc>
        <w:tc>
          <w:tcPr>
            <w:tcW w:w="680" w:type="dxa"/>
            <w:vAlign w:val="bottom"/>
          </w:tcPr>
          <w:p>
            <w:pPr>
              <w:jc w:val="right"/>
              <w:spacing w:after="0"/>
              <w:rPr>
                <w:sz w:val="20"/>
                <w:szCs w:val="20"/>
                <w:color w:val="auto"/>
              </w:rPr>
            </w:pPr>
            <w:r>
              <w:rPr>
                <w:rFonts w:ascii="Arial" w:cs="Arial" w:eastAsia="Arial" w:hAnsi="Arial"/>
                <w:sz w:val="16"/>
                <w:szCs w:val="16"/>
                <w:color w:val="auto"/>
              </w:rPr>
              <w:t>128.7%</w:t>
            </w:r>
          </w:p>
        </w:tc>
      </w:tr>
      <w:tr>
        <w:trPr>
          <w:trHeight w:val="241"/>
        </w:trPr>
        <w:tc>
          <w:tcPr>
            <w:tcW w:w="2740" w:type="dxa"/>
            <w:vAlign w:val="bottom"/>
            <w:shd w:val="clear" w:color="auto" w:fill="F0F1F8"/>
          </w:tcPr>
          <w:p>
            <w:pPr>
              <w:ind w:left="60"/>
              <w:spacing w:after="0"/>
              <w:rPr>
                <w:sz w:val="20"/>
                <w:szCs w:val="20"/>
                <w:color w:val="auto"/>
              </w:rPr>
            </w:pPr>
            <w:r>
              <w:rPr>
                <w:rFonts w:ascii="Arial" w:cs="Arial" w:eastAsia="Arial" w:hAnsi="Arial"/>
                <w:sz w:val="16"/>
                <w:szCs w:val="16"/>
                <w:b w:val="1"/>
                <w:bCs w:val="1"/>
                <w:color w:val="auto"/>
              </w:rPr>
              <w:t>Scott A. Crum</w:t>
            </w:r>
          </w:p>
        </w:tc>
        <w:tc>
          <w:tcPr>
            <w:tcW w:w="2080" w:type="dxa"/>
            <w:vAlign w:val="bottom"/>
            <w:shd w:val="clear" w:color="auto" w:fill="F0F1F8"/>
          </w:tcPr>
          <w:p>
            <w:pPr>
              <w:jc w:val="right"/>
              <w:ind w:right="63"/>
              <w:spacing w:after="0"/>
              <w:rPr>
                <w:sz w:val="20"/>
                <w:szCs w:val="20"/>
                <w:color w:val="auto"/>
              </w:rPr>
            </w:pPr>
            <w:r>
              <w:rPr>
                <w:rFonts w:ascii="Arial" w:cs="Arial" w:eastAsia="Arial" w:hAnsi="Arial"/>
                <w:sz w:val="16"/>
                <w:szCs w:val="16"/>
                <w:color w:val="auto"/>
              </w:rPr>
              <w:t>700,000</w:t>
            </w:r>
          </w:p>
        </w:tc>
        <w:tc>
          <w:tcPr>
            <w:tcW w:w="1000" w:type="dxa"/>
            <w:vAlign w:val="bottom"/>
            <w:shd w:val="clear" w:color="auto" w:fill="F0F1F8"/>
          </w:tcPr>
          <w:p>
            <w:pPr>
              <w:jc w:val="right"/>
              <w:ind w:right="124"/>
              <w:spacing w:after="0"/>
              <w:rPr>
                <w:sz w:val="20"/>
                <w:szCs w:val="20"/>
                <w:color w:val="auto"/>
              </w:rPr>
            </w:pPr>
            <w:r>
              <w:rPr>
                <w:rFonts w:ascii="Arial" w:cs="Arial" w:eastAsia="Arial" w:hAnsi="Arial"/>
                <w:sz w:val="16"/>
                <w:szCs w:val="16"/>
                <w:color w:val="auto"/>
              </w:rPr>
              <w:t>677,046</w:t>
            </w:r>
          </w:p>
        </w:tc>
        <w:tc>
          <w:tcPr>
            <w:tcW w:w="880" w:type="dxa"/>
            <w:vAlign w:val="bottom"/>
            <w:gridSpan w:val="2"/>
            <w:shd w:val="clear" w:color="auto" w:fill="F0F1F8"/>
          </w:tcPr>
          <w:p>
            <w:pPr>
              <w:jc w:val="right"/>
              <w:ind w:right="140"/>
              <w:spacing w:after="0"/>
              <w:rPr>
                <w:sz w:val="20"/>
                <w:szCs w:val="20"/>
                <w:color w:val="auto"/>
              </w:rPr>
            </w:pPr>
            <w:r>
              <w:rPr>
                <w:rFonts w:ascii="Arial" w:cs="Arial" w:eastAsia="Arial" w:hAnsi="Arial"/>
                <w:sz w:val="16"/>
                <w:szCs w:val="16"/>
                <w:color w:val="auto"/>
              </w:rPr>
              <w:t>138.2%</w:t>
            </w:r>
          </w:p>
        </w:tc>
        <w:tc>
          <w:tcPr>
            <w:tcW w:w="800" w:type="dxa"/>
            <w:vAlign w:val="bottom"/>
            <w:shd w:val="clear" w:color="auto" w:fill="F0F1F8"/>
          </w:tcPr>
          <w:p>
            <w:pPr>
              <w:jc w:val="right"/>
              <w:ind w:right="44"/>
              <w:spacing w:after="0"/>
              <w:rPr>
                <w:sz w:val="20"/>
                <w:szCs w:val="20"/>
                <w:color w:val="auto"/>
              </w:rPr>
            </w:pPr>
            <w:r>
              <w:rPr>
                <w:rFonts w:ascii="Arial" w:cs="Arial" w:eastAsia="Arial" w:hAnsi="Arial"/>
                <w:sz w:val="16"/>
                <w:szCs w:val="16"/>
                <w:color w:val="auto"/>
              </w:rPr>
              <w:t>154,004</w:t>
            </w:r>
          </w:p>
        </w:tc>
        <w:tc>
          <w:tcPr>
            <w:tcW w:w="840" w:type="dxa"/>
            <w:vAlign w:val="bottom"/>
            <w:gridSpan w:val="2"/>
            <w:shd w:val="clear" w:color="auto" w:fill="F0F1F8"/>
          </w:tcPr>
          <w:p>
            <w:pPr>
              <w:jc w:val="right"/>
              <w:ind w:right="160"/>
              <w:spacing w:after="0"/>
              <w:rPr>
                <w:sz w:val="20"/>
                <w:szCs w:val="20"/>
                <w:color w:val="auto"/>
              </w:rPr>
            </w:pPr>
            <w:r>
              <w:rPr>
                <w:rFonts w:ascii="Arial" w:cs="Arial" w:eastAsia="Arial" w:hAnsi="Arial"/>
                <w:sz w:val="16"/>
                <w:szCs w:val="16"/>
                <w:color w:val="auto"/>
              </w:rPr>
              <w:t>110.0%</w:t>
            </w:r>
          </w:p>
        </w:tc>
        <w:tc>
          <w:tcPr>
            <w:tcW w:w="660" w:type="dxa"/>
            <w:vAlign w:val="bottom"/>
            <w:shd w:val="clear" w:color="auto" w:fill="F0F1F8"/>
          </w:tcPr>
          <w:p>
            <w:pPr>
              <w:jc w:val="right"/>
              <w:ind w:right="4"/>
              <w:spacing w:after="0"/>
              <w:rPr>
                <w:sz w:val="20"/>
                <w:szCs w:val="20"/>
                <w:color w:val="auto"/>
              </w:rPr>
            </w:pPr>
            <w:r>
              <w:rPr>
                <w:rFonts w:ascii="Arial" w:cs="Arial" w:eastAsia="Arial" w:hAnsi="Arial"/>
                <w:sz w:val="16"/>
                <w:szCs w:val="16"/>
                <w:color w:val="auto"/>
              </w:rPr>
              <w:t>77,000</w:t>
            </w:r>
          </w:p>
        </w:tc>
        <w:tc>
          <w:tcPr>
            <w:tcW w:w="760" w:type="dxa"/>
            <w:vAlign w:val="bottom"/>
            <w:gridSpan w:val="2"/>
            <w:shd w:val="clear" w:color="auto" w:fill="F0F1F8"/>
          </w:tcPr>
          <w:p>
            <w:pPr>
              <w:jc w:val="right"/>
              <w:ind w:right="140"/>
              <w:spacing w:after="0"/>
              <w:rPr>
                <w:sz w:val="20"/>
                <w:szCs w:val="20"/>
                <w:color w:val="auto"/>
              </w:rPr>
            </w:pPr>
            <w:r>
              <w:rPr>
                <w:rFonts w:ascii="Arial" w:cs="Arial" w:eastAsia="Arial" w:hAnsi="Arial"/>
                <w:sz w:val="16"/>
                <w:szCs w:val="16"/>
                <w:color w:val="auto"/>
              </w:rPr>
              <w:t>110.0%</w:t>
            </w:r>
          </w:p>
        </w:tc>
        <w:tc>
          <w:tcPr>
            <w:tcW w:w="800" w:type="dxa"/>
            <w:vAlign w:val="bottom"/>
            <w:shd w:val="clear" w:color="auto" w:fill="F0F1F8"/>
          </w:tcPr>
          <w:p>
            <w:pPr>
              <w:jc w:val="right"/>
              <w:spacing w:after="0"/>
              <w:rPr>
                <w:sz w:val="20"/>
                <w:szCs w:val="20"/>
                <w:color w:val="auto"/>
              </w:rPr>
            </w:pPr>
            <w:r>
              <w:rPr>
                <w:rFonts w:ascii="Arial" w:cs="Arial" w:eastAsia="Arial" w:hAnsi="Arial"/>
                <w:sz w:val="16"/>
                <w:szCs w:val="16"/>
                <w:color w:val="auto"/>
              </w:rPr>
              <w:t>908,050</w:t>
            </w:r>
          </w:p>
        </w:tc>
        <w:tc>
          <w:tcPr>
            <w:tcW w:w="680" w:type="dxa"/>
            <w:vAlign w:val="bottom"/>
            <w:shd w:val="clear" w:color="auto" w:fill="F0F1F8"/>
          </w:tcPr>
          <w:p>
            <w:pPr>
              <w:jc w:val="right"/>
              <w:spacing w:after="0"/>
              <w:rPr>
                <w:sz w:val="20"/>
                <w:szCs w:val="20"/>
                <w:color w:val="auto"/>
              </w:rPr>
            </w:pPr>
            <w:r>
              <w:rPr>
                <w:rFonts w:ascii="Arial" w:cs="Arial" w:eastAsia="Arial" w:hAnsi="Arial"/>
                <w:sz w:val="16"/>
                <w:szCs w:val="16"/>
                <w:color w:val="auto"/>
              </w:rPr>
              <w:t>129.7%</w:t>
            </w:r>
          </w:p>
        </w:tc>
      </w:tr>
      <w:tr>
        <w:trPr>
          <w:trHeight w:val="234"/>
        </w:trPr>
        <w:tc>
          <w:tcPr>
            <w:tcW w:w="27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Robert J. Gutowski</w:t>
            </w:r>
          </w:p>
        </w:tc>
        <w:tc>
          <w:tcPr>
            <w:tcW w:w="208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650,000</w:t>
            </w:r>
          </w:p>
        </w:tc>
        <w:tc>
          <w:tcPr>
            <w:tcW w:w="100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rPr>
              <w:t>628,686</w:t>
            </w:r>
          </w:p>
        </w:tc>
        <w:tc>
          <w:tcPr>
            <w:tcW w:w="8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138.2%</w:t>
            </w:r>
          </w:p>
        </w:tc>
        <w:tc>
          <w:tcPr>
            <w:tcW w:w="80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136,504</w:t>
            </w:r>
          </w:p>
        </w:tc>
        <w:tc>
          <w:tcPr>
            <w:tcW w:w="8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105.0%</w:t>
            </w:r>
          </w:p>
        </w:tc>
        <w:tc>
          <w:tcPr>
            <w:tcW w:w="6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71,500</w:t>
            </w:r>
          </w:p>
        </w:tc>
        <w:tc>
          <w:tcPr>
            <w:tcW w:w="7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110.0%</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836,690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128.7%</w:t>
            </w:r>
          </w:p>
        </w:tc>
      </w:tr>
    </w:tbl>
    <w:p>
      <w:pPr>
        <w:spacing w:after="0" w:line="85" w:lineRule="exact"/>
        <w:rPr>
          <w:sz w:val="20"/>
          <w:szCs w:val="20"/>
          <w:color w:val="auto"/>
        </w:rPr>
      </w:pPr>
    </w:p>
    <w:p>
      <w:pPr>
        <w:ind w:left="320" w:right="100" w:hanging="313"/>
        <w:spacing w:after="0" w:line="254" w:lineRule="auto"/>
        <w:tabs>
          <w:tab w:leader="none" w:pos="320" w:val="left"/>
        </w:tabs>
        <w:numPr>
          <w:ilvl w:val="0"/>
          <w:numId w:val="124"/>
        </w:numPr>
        <w:rPr>
          <w:rFonts w:ascii="Arial" w:cs="Arial" w:eastAsia="Arial" w:hAnsi="Arial"/>
          <w:sz w:val="13"/>
          <w:szCs w:val="13"/>
          <w:color w:val="auto"/>
        </w:rPr>
      </w:pPr>
      <w:r>
        <w:rPr>
          <w:rFonts w:ascii="Arial" w:cs="Arial" w:eastAsia="Arial" w:hAnsi="Arial"/>
          <w:sz w:val="14"/>
          <w:szCs w:val="14"/>
          <w:color w:val="auto"/>
        </w:rPr>
        <w:t>The actual cash incentive bonus amount paid to Mr. Pettit was converted from British pounds sterling to U.S. dollars using the fiscal year average of daily spot rates of £1 to $1.37571.</w:t>
      </w:r>
    </w:p>
    <w:p>
      <w:pPr>
        <w:spacing w:after="0" w:line="104" w:lineRule="exact"/>
        <w:rPr>
          <w:sz w:val="20"/>
          <w:szCs w:val="20"/>
          <w:color w:val="auto"/>
        </w:rPr>
      </w:pPr>
    </w:p>
    <w:p>
      <w:pPr>
        <w:spacing w:after="0"/>
        <w:rPr>
          <w:sz w:val="20"/>
          <w:szCs w:val="20"/>
          <w:color w:val="auto"/>
        </w:rPr>
      </w:pPr>
      <w:r>
        <w:rPr>
          <w:rFonts w:ascii="Arial" w:cs="Arial" w:eastAsia="Arial" w:hAnsi="Arial"/>
          <w:sz w:val="21"/>
          <w:szCs w:val="21"/>
          <w:b w:val="1"/>
          <w:bCs w:val="1"/>
          <w:color w:val="16479F"/>
        </w:rPr>
        <w:t>Long-Term Equity Incentive Compensation Program</w:t>
      </w:r>
    </w:p>
    <w:p>
      <w:pPr>
        <w:spacing w:after="0" w:line="248"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The Compensation Committee believes that MSCI’s executive compensation program should reinforce a pay-for-performance culture that aligns the interests of our senior executives with those of our shareholders by incorporating the achievement of multi-year performance metrics into variable compensation awards (in addition to the annual financial metrics applicable to cash incentive awards under the AIP).</w:t>
      </w:r>
    </w:p>
    <w:p>
      <w:pPr>
        <w:spacing w:after="0" w:line="202"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While equity-based awards are typically granted on an annual basis under our LTIP program, we also periodically grant off-cycle LTIP awards (e.g., for new hire grants, replacement grants, retention grants, etc.). The grant date for such awards is determined on an individual basis, typically based on the applicable start date or the date of the event that triggered the award.</w:t>
      </w:r>
    </w:p>
    <w:p>
      <w:pPr>
        <w:spacing w:after="0" w:line="202"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In 2021, the Company’s long-term equity incentive compensation program largely stayed the same compared to 2020, and we followed our typical practice for granting annual LTIP awards in early February 2021 following the regularly scheduled annual meeting of the Compensation Committee in late January 2021.</w:t>
      </w:r>
    </w:p>
    <w:p>
      <w:pPr>
        <w:spacing w:after="0" w:line="197"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In 2021, the Compensation Committee continued to place a strong emphasis on pay for performance by granting a significant portion of equity incentive awards in the form of PSUs that are subject to multi-year TSR-based performance metrics, which the Compensation Committee believes more closely align the Executive Committee’s goals with those of the Company’s shareholders and complement the annual financial metrics applicable to cash incentive awards under the AIP.</w:t>
      </w:r>
    </w:p>
    <w:p>
      <w:pPr>
        <w:spacing w:after="0" w:line="204" w:lineRule="exact"/>
        <w:rPr>
          <w:sz w:val="20"/>
          <w:szCs w:val="20"/>
          <w:color w:val="auto"/>
        </w:rPr>
      </w:pPr>
    </w:p>
    <w:p>
      <w:pPr>
        <w:ind w:right="240"/>
        <w:spacing w:after="0" w:line="248" w:lineRule="auto"/>
        <w:rPr>
          <w:sz w:val="20"/>
          <w:szCs w:val="20"/>
          <w:color w:val="auto"/>
        </w:rPr>
      </w:pPr>
      <w:r>
        <w:rPr>
          <w:rFonts w:ascii="Arial" w:cs="Arial" w:eastAsia="Arial" w:hAnsi="Arial"/>
          <w:sz w:val="16"/>
          <w:szCs w:val="16"/>
          <w:color w:val="auto"/>
        </w:rPr>
        <w:t>The Compensation Committee approved the grant of two types of 2021 PSU awards to the members of the Company’s Executive Committee, including the NEOs: 3-Year PSUs and 5-Year PSUs. Given the generally positive feedback on the rigor of the TSR CAGR goals we received in the past from our shareholders, the Compensation Committee carried forward the absolute TSR CAGR performance metric for the 2021 PSUs. As detailed below, the Compensation Committee also granted RSUs to all NEOs other than Messrs. Fernandez and Pettit.</w:t>
      </w:r>
    </w:p>
    <w:p>
      <w:pPr>
        <w:spacing w:after="0" w:line="20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Additionally, to further promote our “owner-operator” mindset, the Compensation Committee added a one-year post-vest mandatory holding period to our annual 2021 3-Year PSUs that were granted to our NEOs, where such shares, or rights with respect to such shares, may not be transferred until the expiration of such holding period.</w:t>
      </w:r>
    </w:p>
    <w:p>
      <w:pPr>
        <w:spacing w:after="0" w:line="202"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The Compensation Committee believes that the grant of 2021 PSUs to the Executive Committee members provides greater incentives for the execution of the Company’s strategic plan and the creation of additional value-enhancing corporate development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7154545" cy="209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149860</wp:posOffset>
            </wp:positionV>
            <wp:extent cx="7133590" cy="21272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3590" cy="212725"/>
                    </a:xfrm>
                    <a:prstGeom prst="rect">
                      <a:avLst/>
                    </a:prstGeom>
                    <a:noFill/>
                  </pic:spPr>
                </pic:pic>
              </a:graphicData>
            </a:graphic>
          </wp:anchor>
        </w:drawing>
      </w:r>
    </w:p>
    <w:p>
      <w:pPr>
        <w:spacing w:after="0" w:line="283"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4"/>
          <w:szCs w:val="14"/>
          <w:b w:val="1"/>
          <w:bCs w:val="1"/>
          <w:color w:val="16479F"/>
        </w:rPr>
        <w:t>80</w:t>
      </w:r>
      <w:r>
        <w:rPr>
          <w:sz w:val="20"/>
          <w:szCs w:val="20"/>
          <w:color w:val="auto"/>
        </w:rPr>
        <w:tab/>
      </w:r>
      <w:r>
        <w:rPr>
          <w:rFonts w:ascii="Arial" w:cs="Arial" w:eastAsia="Arial" w:hAnsi="Arial"/>
          <w:sz w:val="14"/>
          <w:szCs w:val="14"/>
          <w:b w:val="1"/>
          <w:bCs w:val="1"/>
          <w:color w:val="16479F"/>
        </w:rPr>
        <w:t>MSCI  |  COMPENSATION MATTERS</w:t>
      </w:r>
    </w:p>
    <w:p>
      <w:pPr>
        <w:spacing w:after="0" w:line="235" w:lineRule="exact"/>
        <w:rPr>
          <w:sz w:val="20"/>
          <w:szCs w:val="20"/>
          <w:color w:val="auto"/>
        </w:rPr>
      </w:pPr>
    </w:p>
    <w:p>
      <w:pPr>
        <w:spacing w:after="0"/>
        <w:rPr>
          <w:sz w:val="20"/>
          <w:szCs w:val="20"/>
          <w:color w:val="auto"/>
        </w:rPr>
      </w:pPr>
      <w:r>
        <w:rPr>
          <w:rFonts w:ascii="Arial" w:cs="Arial" w:eastAsia="Arial" w:hAnsi="Arial"/>
          <w:sz w:val="21"/>
          <w:szCs w:val="21"/>
          <w:b w:val="1"/>
          <w:bCs w:val="1"/>
          <w:color w:val="16479F"/>
        </w:rPr>
        <w:t>2021 Equity Mix</w:t>
      </w:r>
    </w:p>
    <w:p>
      <w:pPr>
        <w:spacing w:after="0" w:line="248" w:lineRule="exact"/>
        <w:rPr>
          <w:sz w:val="20"/>
          <w:szCs w:val="20"/>
          <w:color w:val="auto"/>
        </w:rPr>
      </w:pPr>
    </w:p>
    <w:p>
      <w:pPr>
        <w:ind w:right="100"/>
        <w:spacing w:after="0" w:line="247" w:lineRule="auto"/>
        <w:rPr>
          <w:sz w:val="20"/>
          <w:szCs w:val="20"/>
          <w:color w:val="auto"/>
        </w:rPr>
      </w:pPr>
      <w:r>
        <w:rPr>
          <w:rFonts w:ascii="Arial" w:cs="Arial" w:eastAsia="Arial" w:hAnsi="Arial"/>
          <w:sz w:val="16"/>
          <w:szCs w:val="16"/>
          <w:color w:val="auto"/>
        </w:rPr>
        <w:t>The table below sets forth the allocation of 2021 RSUs, 3-Year PSUs and 5-Year PSUs granted to the NEOs. As reflected in the table below, in 2021, Mr. Fernandez and Mr. Pettit received 100% of their equity incentive compensation in the form of PSUs. For 2021, the Compensation Committee increased the proportion of Mr. Pettit’s 5-Year PSUs to 60% of his overall equity compensation in 2021 (with the remaining 40% granted in the form of 3-Year PSUs). We believe this change further aligns the interests of Mr. Pettit with those of our shareholders and reinforce our “owner-operator” philosophy and the execution of our strategic plan.</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60" w:type="dxa"/>
            <w:vAlign w:val="bottom"/>
            <w:tcBorders>
              <w:bottom w:val="single" w:sz="8" w:color="16479F"/>
            </w:tcBorders>
          </w:tcPr>
          <w:p>
            <w:pPr>
              <w:ind w:left="60"/>
              <w:spacing w:after="0"/>
              <w:rPr>
                <w:sz w:val="20"/>
                <w:szCs w:val="20"/>
                <w:color w:val="auto"/>
              </w:rPr>
            </w:pPr>
            <w:r>
              <w:rPr>
                <w:rFonts w:ascii="Arial" w:cs="Arial" w:eastAsia="Arial" w:hAnsi="Arial"/>
                <w:sz w:val="14"/>
                <w:szCs w:val="14"/>
                <w:b w:val="1"/>
                <w:bCs w:val="1"/>
                <w:color w:val="auto"/>
              </w:rPr>
              <w:t>Vehicle</w:t>
            </w:r>
          </w:p>
        </w:tc>
        <w:tc>
          <w:tcPr>
            <w:tcW w:w="4140" w:type="dxa"/>
            <w:vAlign w:val="bottom"/>
            <w:tcBorders>
              <w:bottom w:val="single" w:sz="8" w:color="16479F"/>
            </w:tcBorders>
          </w:tcPr>
          <w:p>
            <w:pPr>
              <w:jc w:val="right"/>
              <w:ind w:right="42"/>
              <w:spacing w:after="0"/>
              <w:rPr>
                <w:sz w:val="20"/>
                <w:szCs w:val="20"/>
                <w:color w:val="auto"/>
              </w:rPr>
            </w:pPr>
            <w:r>
              <w:rPr>
                <w:rFonts w:ascii="Arial" w:cs="Arial" w:eastAsia="Arial" w:hAnsi="Arial"/>
                <w:sz w:val="14"/>
                <w:szCs w:val="14"/>
                <w:b w:val="1"/>
                <w:bCs w:val="1"/>
                <w:color w:val="auto"/>
              </w:rPr>
              <w:t>CEO</w:t>
            </w:r>
          </w:p>
        </w:tc>
        <w:tc>
          <w:tcPr>
            <w:tcW w:w="1440" w:type="dxa"/>
            <w:vAlign w:val="bottom"/>
            <w:tcBorders>
              <w:bottom w:val="single" w:sz="8" w:color="16479F"/>
            </w:tcBorders>
          </w:tcPr>
          <w:p>
            <w:pPr>
              <w:jc w:val="right"/>
              <w:ind w:right="62"/>
              <w:spacing w:after="0"/>
              <w:rPr>
                <w:sz w:val="20"/>
                <w:szCs w:val="20"/>
                <w:color w:val="auto"/>
              </w:rPr>
            </w:pPr>
            <w:r>
              <w:rPr>
                <w:rFonts w:ascii="Arial" w:cs="Arial" w:eastAsia="Arial" w:hAnsi="Arial"/>
                <w:sz w:val="14"/>
                <w:szCs w:val="14"/>
                <w:b w:val="1"/>
                <w:bCs w:val="1"/>
                <w:color w:val="auto"/>
              </w:rPr>
              <w:t>President &amp; COO</w:t>
            </w:r>
          </w:p>
        </w:tc>
        <w:tc>
          <w:tcPr>
            <w:tcW w:w="1000" w:type="dxa"/>
            <w:vAlign w:val="bottom"/>
            <w:tcBorders>
              <w:bottom w:val="single" w:sz="8" w:color="16479F"/>
            </w:tcBorders>
          </w:tcPr>
          <w:p>
            <w:pPr>
              <w:jc w:val="right"/>
              <w:spacing w:after="0"/>
              <w:rPr>
                <w:sz w:val="20"/>
                <w:szCs w:val="20"/>
                <w:color w:val="auto"/>
              </w:rPr>
            </w:pPr>
            <w:r>
              <w:rPr>
                <w:rFonts w:ascii="Arial" w:cs="Arial" w:eastAsia="Arial" w:hAnsi="Arial"/>
                <w:sz w:val="14"/>
                <w:szCs w:val="14"/>
                <w:b w:val="1"/>
                <w:bCs w:val="1"/>
                <w:color w:val="auto"/>
              </w:rPr>
              <w:t>Other NEOs</w:t>
            </w:r>
          </w:p>
        </w:tc>
      </w:tr>
      <w:tr>
        <w:trPr>
          <w:trHeight w:val="240"/>
        </w:trPr>
        <w:tc>
          <w:tcPr>
            <w:tcW w:w="4660" w:type="dxa"/>
            <w:vAlign w:val="bottom"/>
            <w:shd w:val="clear" w:color="auto" w:fill="F0F1F8"/>
          </w:tcPr>
          <w:p>
            <w:pPr>
              <w:ind w:left="60"/>
              <w:spacing w:after="0"/>
              <w:rPr>
                <w:sz w:val="20"/>
                <w:szCs w:val="20"/>
                <w:color w:val="auto"/>
              </w:rPr>
            </w:pPr>
            <w:r>
              <w:rPr>
                <w:rFonts w:ascii="Arial" w:cs="Arial" w:eastAsia="Arial" w:hAnsi="Arial"/>
                <w:sz w:val="16"/>
                <w:szCs w:val="16"/>
                <w:color w:val="auto"/>
              </w:rPr>
              <w:t>RSUs</w:t>
            </w:r>
          </w:p>
        </w:tc>
        <w:tc>
          <w:tcPr>
            <w:tcW w:w="4140" w:type="dxa"/>
            <w:vAlign w:val="bottom"/>
            <w:shd w:val="clear" w:color="auto" w:fill="F0F1F8"/>
          </w:tcPr>
          <w:p>
            <w:pPr>
              <w:jc w:val="right"/>
              <w:ind w:right="42"/>
              <w:spacing w:after="0"/>
              <w:rPr>
                <w:sz w:val="20"/>
                <w:szCs w:val="20"/>
                <w:color w:val="auto"/>
              </w:rPr>
            </w:pPr>
            <w:r>
              <w:rPr>
                <w:rFonts w:ascii="Arial" w:cs="Arial" w:eastAsia="Arial" w:hAnsi="Arial"/>
                <w:sz w:val="16"/>
                <w:szCs w:val="16"/>
                <w:color w:val="auto"/>
              </w:rPr>
              <w:t>0%</w:t>
            </w:r>
          </w:p>
        </w:tc>
        <w:tc>
          <w:tcPr>
            <w:tcW w:w="1440" w:type="dxa"/>
            <w:vAlign w:val="bottom"/>
            <w:shd w:val="clear" w:color="auto" w:fill="F0F1F8"/>
          </w:tcPr>
          <w:p>
            <w:pPr>
              <w:jc w:val="right"/>
              <w:ind w:right="62"/>
              <w:spacing w:after="0"/>
              <w:rPr>
                <w:sz w:val="20"/>
                <w:szCs w:val="20"/>
                <w:color w:val="auto"/>
              </w:rPr>
            </w:pPr>
            <w:r>
              <w:rPr>
                <w:rFonts w:ascii="Arial" w:cs="Arial" w:eastAsia="Arial" w:hAnsi="Arial"/>
                <w:sz w:val="16"/>
                <w:szCs w:val="16"/>
                <w:color w:val="auto"/>
              </w:rPr>
              <w:t>0%</w:t>
            </w:r>
          </w:p>
        </w:tc>
        <w:tc>
          <w:tcPr>
            <w:tcW w:w="1000" w:type="dxa"/>
            <w:vAlign w:val="bottom"/>
            <w:shd w:val="clear" w:color="auto" w:fill="F0F1F8"/>
          </w:tcPr>
          <w:p>
            <w:pPr>
              <w:jc w:val="right"/>
              <w:spacing w:after="0"/>
              <w:rPr>
                <w:sz w:val="20"/>
                <w:szCs w:val="20"/>
                <w:color w:val="auto"/>
              </w:rPr>
            </w:pPr>
            <w:r>
              <w:rPr>
                <w:rFonts w:ascii="Arial" w:cs="Arial" w:eastAsia="Arial" w:hAnsi="Arial"/>
                <w:sz w:val="16"/>
                <w:szCs w:val="16"/>
                <w:color w:val="auto"/>
              </w:rPr>
              <w:t>30%</w:t>
            </w:r>
          </w:p>
        </w:tc>
      </w:tr>
      <w:tr>
        <w:trPr>
          <w:trHeight w:val="232"/>
        </w:trPr>
        <w:tc>
          <w:tcPr>
            <w:tcW w:w="4660" w:type="dxa"/>
            <w:vAlign w:val="bottom"/>
          </w:tcPr>
          <w:p>
            <w:pPr>
              <w:ind w:left="60"/>
              <w:spacing w:after="0"/>
              <w:rPr>
                <w:sz w:val="20"/>
                <w:szCs w:val="20"/>
                <w:color w:val="auto"/>
              </w:rPr>
            </w:pPr>
            <w:r>
              <w:rPr>
                <w:rFonts w:ascii="Arial" w:cs="Arial" w:eastAsia="Arial" w:hAnsi="Arial"/>
                <w:sz w:val="16"/>
                <w:szCs w:val="16"/>
                <w:color w:val="auto"/>
              </w:rPr>
              <w:t>3-Year PSUs</w:t>
            </w:r>
          </w:p>
        </w:tc>
        <w:tc>
          <w:tcPr>
            <w:tcW w:w="4140" w:type="dxa"/>
            <w:vAlign w:val="bottom"/>
          </w:tcPr>
          <w:p>
            <w:pPr>
              <w:jc w:val="right"/>
              <w:ind w:right="42"/>
              <w:spacing w:after="0"/>
              <w:rPr>
                <w:sz w:val="20"/>
                <w:szCs w:val="20"/>
                <w:color w:val="auto"/>
              </w:rPr>
            </w:pPr>
            <w:r>
              <w:rPr>
                <w:rFonts w:ascii="Arial" w:cs="Arial" w:eastAsia="Arial" w:hAnsi="Arial"/>
                <w:sz w:val="16"/>
                <w:szCs w:val="16"/>
                <w:color w:val="auto"/>
              </w:rPr>
              <w:t>40%</w:t>
            </w:r>
          </w:p>
        </w:tc>
        <w:tc>
          <w:tcPr>
            <w:tcW w:w="1440" w:type="dxa"/>
            <w:vAlign w:val="bottom"/>
          </w:tcPr>
          <w:p>
            <w:pPr>
              <w:jc w:val="right"/>
              <w:ind w:right="62"/>
              <w:spacing w:after="0"/>
              <w:rPr>
                <w:sz w:val="20"/>
                <w:szCs w:val="20"/>
                <w:color w:val="auto"/>
              </w:rPr>
            </w:pPr>
            <w:r>
              <w:rPr>
                <w:rFonts w:ascii="Arial" w:cs="Arial" w:eastAsia="Arial" w:hAnsi="Arial"/>
                <w:sz w:val="16"/>
                <w:szCs w:val="16"/>
                <w:color w:val="auto"/>
              </w:rPr>
              <w:t>40%</w:t>
            </w:r>
          </w:p>
        </w:tc>
        <w:tc>
          <w:tcPr>
            <w:tcW w:w="100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44"/>
        </w:trPr>
        <w:tc>
          <w:tcPr>
            <w:tcW w:w="4660" w:type="dxa"/>
            <w:vAlign w:val="bottom"/>
            <w:tcBorders>
              <w:bottom w:val="single" w:sz="8" w:color="auto"/>
            </w:tcBorders>
            <w:shd w:val="clear" w:color="auto" w:fill="F0F1F8"/>
          </w:tcPr>
          <w:p>
            <w:pPr>
              <w:ind w:left="60"/>
              <w:spacing w:after="0"/>
              <w:rPr>
                <w:sz w:val="20"/>
                <w:szCs w:val="20"/>
                <w:color w:val="auto"/>
              </w:rPr>
            </w:pPr>
            <w:r>
              <w:rPr>
                <w:rFonts w:ascii="Arial" w:cs="Arial" w:eastAsia="Arial" w:hAnsi="Arial"/>
                <w:sz w:val="16"/>
                <w:szCs w:val="16"/>
                <w:color w:val="auto"/>
              </w:rPr>
              <w:t>5-Year PSUs</w:t>
            </w:r>
          </w:p>
        </w:tc>
        <w:tc>
          <w:tcPr>
            <w:tcW w:w="4140" w:type="dxa"/>
            <w:vAlign w:val="bottom"/>
            <w:tcBorders>
              <w:bottom w:val="single" w:sz="8" w:color="auto"/>
            </w:tcBorders>
            <w:shd w:val="clear" w:color="auto" w:fill="F0F1F8"/>
          </w:tcPr>
          <w:p>
            <w:pPr>
              <w:jc w:val="right"/>
              <w:ind w:right="42"/>
              <w:spacing w:after="0"/>
              <w:rPr>
                <w:sz w:val="20"/>
                <w:szCs w:val="20"/>
                <w:color w:val="auto"/>
              </w:rPr>
            </w:pPr>
            <w:r>
              <w:rPr>
                <w:rFonts w:ascii="Arial" w:cs="Arial" w:eastAsia="Arial" w:hAnsi="Arial"/>
                <w:sz w:val="16"/>
                <w:szCs w:val="16"/>
                <w:color w:val="auto"/>
              </w:rPr>
              <w:t>60%</w:t>
            </w:r>
          </w:p>
        </w:tc>
        <w:tc>
          <w:tcPr>
            <w:tcW w:w="1440" w:type="dxa"/>
            <w:vAlign w:val="bottom"/>
            <w:tcBorders>
              <w:bottom w:val="single" w:sz="8" w:color="auto"/>
            </w:tcBorders>
            <w:shd w:val="clear" w:color="auto" w:fill="F0F1F8"/>
          </w:tcPr>
          <w:p>
            <w:pPr>
              <w:jc w:val="right"/>
              <w:ind w:right="62"/>
              <w:spacing w:after="0"/>
              <w:rPr>
                <w:sz w:val="20"/>
                <w:szCs w:val="20"/>
                <w:color w:val="auto"/>
              </w:rPr>
            </w:pPr>
            <w:r>
              <w:rPr>
                <w:rFonts w:ascii="Arial" w:cs="Arial" w:eastAsia="Arial" w:hAnsi="Arial"/>
                <w:sz w:val="16"/>
                <w:szCs w:val="16"/>
                <w:color w:val="auto"/>
              </w:rPr>
              <w:t>60%</w:t>
            </w:r>
          </w:p>
        </w:tc>
        <w:tc>
          <w:tcPr>
            <w:tcW w:w="1000" w:type="dxa"/>
            <w:vAlign w:val="bottom"/>
            <w:tcBorders>
              <w:bottom w:val="single" w:sz="8" w:color="auto"/>
            </w:tcBorders>
            <w:shd w:val="clear" w:color="auto" w:fill="F0F1F8"/>
          </w:tcPr>
          <w:p>
            <w:pPr>
              <w:jc w:val="right"/>
              <w:spacing w:after="0"/>
              <w:rPr>
                <w:sz w:val="20"/>
                <w:szCs w:val="20"/>
                <w:color w:val="auto"/>
              </w:rPr>
            </w:pPr>
            <w:r>
              <w:rPr>
                <w:rFonts w:ascii="Arial" w:cs="Arial" w:eastAsia="Arial" w:hAnsi="Arial"/>
                <w:sz w:val="16"/>
                <w:szCs w:val="16"/>
                <w:color w:val="auto"/>
              </w:rPr>
              <w:t>35%</w:t>
            </w:r>
          </w:p>
        </w:tc>
      </w:tr>
    </w:tbl>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RSUs</w:t>
      </w:r>
    </w:p>
    <w:p>
      <w:pPr>
        <w:spacing w:after="0" w:line="233"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RSUs are inherently aligned with the interest of our shareholders because they are linked to share price appreciation. They also increase the retentive value of our overall compensation program. RSUs granted in 2021 vest in equal annual installments on each of the first, second and third anniversaries of the grant date, subject generally to continued employment with the Company. While these RSU awards do not have explicit performance-vesting conditions, the ultimate value that will be delivered to our NEOs from these awards depends on our future stock price performance.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PSUs</w:t>
      </w:r>
    </w:p>
    <w:p>
      <w:pPr>
        <w:spacing w:after="0" w:line="233" w:lineRule="exact"/>
        <w:rPr>
          <w:sz w:val="20"/>
          <w:szCs w:val="20"/>
          <w:color w:val="auto"/>
        </w:rPr>
      </w:pPr>
    </w:p>
    <w:p>
      <w:pPr>
        <w:jc w:val="both"/>
        <w:ind w:right="60"/>
        <w:spacing w:after="0" w:line="250" w:lineRule="auto"/>
        <w:rPr>
          <w:sz w:val="20"/>
          <w:szCs w:val="20"/>
          <w:color w:val="auto"/>
        </w:rPr>
      </w:pPr>
      <w:r>
        <w:rPr>
          <w:rFonts w:ascii="Arial" w:cs="Arial" w:eastAsia="Arial" w:hAnsi="Arial"/>
          <w:sz w:val="16"/>
          <w:szCs w:val="16"/>
          <w:color w:val="auto"/>
        </w:rPr>
        <w:t>The 3-Year PSUs and 5-Year PSUs granted in 2021 will cliff-vest on February 2, 2024 and February 2, 2026, respectively, subject generally to the executive’s continued employment with the Company and the Company’s level of achievement of the applicable absolute TSR CAGR performance metric measured over a three-year performance period and five-year performance period, respectively.</w:t>
      </w:r>
    </w:p>
    <w:p>
      <w:pPr>
        <w:spacing w:after="0" w:line="202"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In determining the target value of and appropriate mix for the 2021 PSUs, the Compensation Committee took into consideration the executive’s performance and potential future contributions, the executive’s overall career experience, peer group analyses, and the risk profile of the compensation program for the executive.</w:t>
      </w:r>
    </w:p>
    <w:p>
      <w:pPr>
        <w:spacing w:after="0" w:line="202"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table below sets forth the target value for each NEO’s equity awards for 2021. Under SEC disclosure rules, we are required to disclose the accounting value for the RSUs and PSUs granted to the NEOs in 2021 in the “Summary Compensation Table”. As such, the target values reflected in the table below may differ from the amounts set forth in the Summary Compensation Table for such awards for 2021.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3940" w:type="dxa"/>
            <w:vAlign w:val="bottom"/>
          </w:tcPr>
          <w:p>
            <w:pPr>
              <w:jc w:val="right"/>
              <w:ind w:right="42"/>
              <w:spacing w:after="0"/>
              <w:rPr>
                <w:sz w:val="20"/>
                <w:szCs w:val="20"/>
                <w:color w:val="auto"/>
              </w:rPr>
            </w:pPr>
            <w:r>
              <w:rPr>
                <w:rFonts w:ascii="Arial" w:cs="Arial" w:eastAsia="Arial" w:hAnsi="Arial"/>
                <w:sz w:val="14"/>
                <w:szCs w:val="14"/>
                <w:b w:val="1"/>
                <w:bCs w:val="1"/>
                <w:color w:val="auto"/>
              </w:rPr>
              <w:t>RSUs</w:t>
            </w:r>
          </w:p>
        </w:tc>
        <w:tc>
          <w:tcPr>
            <w:tcW w:w="1160" w:type="dxa"/>
            <w:vAlign w:val="bottom"/>
          </w:tcPr>
          <w:p>
            <w:pPr>
              <w:jc w:val="right"/>
              <w:ind w:right="42"/>
              <w:spacing w:after="0"/>
              <w:rPr>
                <w:sz w:val="20"/>
                <w:szCs w:val="20"/>
                <w:color w:val="auto"/>
              </w:rPr>
            </w:pPr>
            <w:r>
              <w:rPr>
                <w:rFonts w:ascii="Arial" w:cs="Arial" w:eastAsia="Arial" w:hAnsi="Arial"/>
                <w:sz w:val="14"/>
                <w:szCs w:val="14"/>
                <w:b w:val="1"/>
                <w:bCs w:val="1"/>
                <w:color w:val="auto"/>
              </w:rPr>
              <w:t>3-YEAR PSUs</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5-YEAR PSUs</w:t>
            </w:r>
          </w:p>
        </w:tc>
      </w:tr>
      <w:tr>
        <w:trPr>
          <w:trHeight w:val="195"/>
        </w:trPr>
        <w:tc>
          <w:tcPr>
            <w:tcW w:w="5040" w:type="dxa"/>
            <w:vAlign w:val="bottom"/>
            <w:tcBorders>
              <w:bottom w:val="single" w:sz="8" w:color="16479F"/>
            </w:tcBorders>
          </w:tcPr>
          <w:p>
            <w:pPr>
              <w:ind w:left="60"/>
              <w:spacing w:after="0"/>
              <w:rPr>
                <w:sz w:val="20"/>
                <w:szCs w:val="20"/>
                <w:color w:val="auto"/>
              </w:rPr>
            </w:pPr>
            <w:r>
              <w:rPr>
                <w:rFonts w:ascii="Arial" w:cs="Arial" w:eastAsia="Arial" w:hAnsi="Arial"/>
                <w:sz w:val="14"/>
                <w:szCs w:val="14"/>
                <w:b w:val="1"/>
                <w:bCs w:val="1"/>
                <w:color w:val="auto"/>
              </w:rPr>
              <w:t>Name</w:t>
            </w:r>
          </w:p>
        </w:tc>
        <w:tc>
          <w:tcPr>
            <w:tcW w:w="3940" w:type="dxa"/>
            <w:vAlign w:val="bottom"/>
            <w:tcBorders>
              <w:bottom w:val="single" w:sz="8" w:color="16479F"/>
            </w:tcBorders>
          </w:tcPr>
          <w:p>
            <w:pPr>
              <w:jc w:val="right"/>
              <w:ind w:right="42"/>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16479F"/>
            </w:tcBorders>
          </w:tcPr>
          <w:p>
            <w:pPr>
              <w:jc w:val="right"/>
              <w:ind w:right="42"/>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16479F"/>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240"/>
        </w:trPr>
        <w:tc>
          <w:tcPr>
            <w:tcW w:w="5040" w:type="dxa"/>
            <w:vAlign w:val="bottom"/>
            <w:shd w:val="clear" w:color="auto" w:fill="F0F1F8"/>
          </w:tcPr>
          <w:p>
            <w:pPr>
              <w:ind w:left="60"/>
              <w:spacing w:after="0"/>
              <w:rPr>
                <w:sz w:val="20"/>
                <w:szCs w:val="20"/>
                <w:color w:val="auto"/>
              </w:rPr>
            </w:pPr>
            <w:r>
              <w:rPr>
                <w:rFonts w:ascii="Arial" w:cs="Arial" w:eastAsia="Arial" w:hAnsi="Arial"/>
                <w:sz w:val="16"/>
                <w:szCs w:val="16"/>
                <w:b w:val="1"/>
                <w:bCs w:val="1"/>
                <w:color w:val="auto"/>
              </w:rPr>
              <w:t>Henry A. Fernandez</w:t>
            </w:r>
          </w:p>
        </w:tc>
        <w:tc>
          <w:tcPr>
            <w:tcW w:w="3940" w:type="dxa"/>
            <w:vAlign w:val="bottom"/>
            <w:shd w:val="clear" w:color="auto" w:fill="F0F1F8"/>
          </w:tcPr>
          <w:p>
            <w:pPr>
              <w:jc w:val="right"/>
              <w:ind w:right="42"/>
              <w:spacing w:after="0"/>
              <w:rPr>
                <w:sz w:val="20"/>
                <w:szCs w:val="20"/>
                <w:color w:val="auto"/>
              </w:rPr>
            </w:pPr>
            <w:r>
              <w:rPr>
                <w:rFonts w:ascii="Arial" w:cs="Arial" w:eastAsia="Arial" w:hAnsi="Arial"/>
                <w:sz w:val="16"/>
                <w:szCs w:val="16"/>
                <w:color w:val="auto"/>
              </w:rPr>
              <w:t>—</w:t>
            </w:r>
          </w:p>
        </w:tc>
        <w:tc>
          <w:tcPr>
            <w:tcW w:w="1160" w:type="dxa"/>
            <w:vAlign w:val="bottom"/>
            <w:shd w:val="clear" w:color="auto" w:fill="F0F1F8"/>
          </w:tcPr>
          <w:p>
            <w:pPr>
              <w:jc w:val="right"/>
              <w:ind w:right="42"/>
              <w:spacing w:after="0"/>
              <w:rPr>
                <w:sz w:val="20"/>
                <w:szCs w:val="20"/>
                <w:color w:val="auto"/>
              </w:rPr>
            </w:pPr>
            <w:r>
              <w:rPr>
                <w:rFonts w:ascii="Arial" w:cs="Arial" w:eastAsia="Arial" w:hAnsi="Arial"/>
                <w:sz w:val="16"/>
                <w:szCs w:val="16"/>
                <w:color w:val="auto"/>
              </w:rPr>
              <w:t>3,000,000</w:t>
            </w:r>
          </w:p>
        </w:tc>
        <w:tc>
          <w:tcPr>
            <w:tcW w:w="1100" w:type="dxa"/>
            <w:vAlign w:val="bottom"/>
            <w:shd w:val="clear" w:color="auto" w:fill="F0F1F8"/>
          </w:tcPr>
          <w:p>
            <w:pPr>
              <w:jc w:val="right"/>
              <w:spacing w:after="0"/>
              <w:rPr>
                <w:sz w:val="20"/>
                <w:szCs w:val="20"/>
                <w:color w:val="auto"/>
              </w:rPr>
            </w:pPr>
            <w:r>
              <w:rPr>
                <w:rFonts w:ascii="Arial" w:cs="Arial" w:eastAsia="Arial" w:hAnsi="Arial"/>
                <w:sz w:val="16"/>
                <w:szCs w:val="16"/>
                <w:color w:val="auto"/>
              </w:rPr>
              <w:t>4,500,000</w:t>
            </w:r>
          </w:p>
        </w:tc>
      </w:tr>
      <w:tr>
        <w:trPr>
          <w:trHeight w:val="232"/>
        </w:trPr>
        <w:tc>
          <w:tcPr>
            <w:tcW w:w="5040" w:type="dxa"/>
            <w:vAlign w:val="bottom"/>
          </w:tcPr>
          <w:p>
            <w:pPr>
              <w:ind w:left="60"/>
              <w:spacing w:after="0"/>
              <w:rPr>
                <w:sz w:val="20"/>
                <w:szCs w:val="20"/>
                <w:color w:val="auto"/>
              </w:rPr>
            </w:pPr>
            <w:r>
              <w:rPr>
                <w:rFonts w:ascii="Arial" w:cs="Arial" w:eastAsia="Arial" w:hAnsi="Arial"/>
                <w:sz w:val="16"/>
                <w:szCs w:val="16"/>
                <w:b w:val="1"/>
                <w:bCs w:val="1"/>
                <w:color w:val="auto"/>
              </w:rPr>
              <w:t>Andrew C. Wiechmann</w:t>
            </w:r>
          </w:p>
        </w:tc>
        <w:tc>
          <w:tcPr>
            <w:tcW w:w="3940" w:type="dxa"/>
            <w:vAlign w:val="bottom"/>
          </w:tcPr>
          <w:p>
            <w:pPr>
              <w:jc w:val="right"/>
              <w:ind w:right="42"/>
              <w:spacing w:after="0"/>
              <w:rPr>
                <w:sz w:val="20"/>
                <w:szCs w:val="20"/>
                <w:color w:val="auto"/>
              </w:rPr>
            </w:pPr>
            <w:r>
              <w:rPr>
                <w:rFonts w:ascii="Arial" w:cs="Arial" w:eastAsia="Arial" w:hAnsi="Arial"/>
                <w:sz w:val="16"/>
                <w:szCs w:val="16"/>
                <w:color w:val="auto"/>
              </w:rPr>
              <w:t>270,000</w:t>
            </w: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315,000</w:t>
            </w:r>
          </w:p>
        </w:tc>
        <w:tc>
          <w:tcPr>
            <w:tcW w:w="1100" w:type="dxa"/>
            <w:vAlign w:val="bottom"/>
          </w:tcPr>
          <w:p>
            <w:pPr>
              <w:jc w:val="right"/>
              <w:spacing w:after="0"/>
              <w:rPr>
                <w:sz w:val="20"/>
                <w:szCs w:val="20"/>
                <w:color w:val="auto"/>
              </w:rPr>
            </w:pPr>
            <w:r>
              <w:rPr>
                <w:rFonts w:ascii="Arial" w:cs="Arial" w:eastAsia="Arial" w:hAnsi="Arial"/>
                <w:sz w:val="16"/>
                <w:szCs w:val="16"/>
                <w:color w:val="auto"/>
              </w:rPr>
              <w:t>315,000</w:t>
            </w:r>
          </w:p>
        </w:tc>
      </w:tr>
      <w:tr>
        <w:trPr>
          <w:trHeight w:val="250"/>
        </w:trPr>
        <w:tc>
          <w:tcPr>
            <w:tcW w:w="5040" w:type="dxa"/>
            <w:vAlign w:val="bottom"/>
            <w:shd w:val="clear" w:color="auto" w:fill="F0F1F8"/>
          </w:tcPr>
          <w:p>
            <w:pPr>
              <w:ind w:left="60"/>
              <w:spacing w:after="0"/>
              <w:rPr>
                <w:sz w:val="20"/>
                <w:szCs w:val="20"/>
                <w:color w:val="auto"/>
              </w:rPr>
            </w:pPr>
            <w:r>
              <w:rPr>
                <w:rFonts w:ascii="Arial" w:cs="Arial" w:eastAsia="Arial" w:hAnsi="Arial"/>
                <w:sz w:val="16"/>
                <w:szCs w:val="16"/>
                <w:b w:val="1"/>
                <w:bCs w:val="1"/>
                <w:color w:val="auto"/>
              </w:rPr>
              <w:t>C. D. Baer Pettit</w:t>
            </w:r>
          </w:p>
        </w:tc>
        <w:tc>
          <w:tcPr>
            <w:tcW w:w="3940" w:type="dxa"/>
            <w:vAlign w:val="bottom"/>
            <w:shd w:val="clear" w:color="auto" w:fill="F0F1F8"/>
          </w:tcPr>
          <w:p>
            <w:pPr>
              <w:jc w:val="right"/>
              <w:ind w:right="42"/>
              <w:spacing w:after="0"/>
              <w:rPr>
                <w:sz w:val="20"/>
                <w:szCs w:val="20"/>
                <w:color w:val="auto"/>
              </w:rPr>
            </w:pPr>
            <w:r>
              <w:rPr>
                <w:rFonts w:ascii="Arial" w:cs="Arial" w:eastAsia="Arial" w:hAnsi="Arial"/>
                <w:sz w:val="16"/>
                <w:szCs w:val="16"/>
                <w:color w:val="auto"/>
              </w:rPr>
              <w:t>—</w:t>
            </w:r>
          </w:p>
        </w:tc>
        <w:tc>
          <w:tcPr>
            <w:tcW w:w="1160" w:type="dxa"/>
            <w:vAlign w:val="bottom"/>
            <w:shd w:val="clear" w:color="auto" w:fill="F0F1F8"/>
          </w:tcPr>
          <w:p>
            <w:pPr>
              <w:jc w:val="right"/>
              <w:ind w:right="42"/>
              <w:spacing w:after="0"/>
              <w:rPr>
                <w:sz w:val="20"/>
                <w:szCs w:val="20"/>
                <w:color w:val="auto"/>
              </w:rPr>
            </w:pPr>
            <w:r>
              <w:rPr>
                <w:rFonts w:ascii="Arial" w:cs="Arial" w:eastAsia="Arial" w:hAnsi="Arial"/>
                <w:sz w:val="16"/>
                <w:szCs w:val="16"/>
                <w:color w:val="auto"/>
              </w:rPr>
              <w:t>1,600,000</w:t>
            </w:r>
          </w:p>
        </w:tc>
        <w:tc>
          <w:tcPr>
            <w:tcW w:w="1100" w:type="dxa"/>
            <w:vAlign w:val="bottom"/>
            <w:shd w:val="clear" w:color="auto" w:fill="F0F1F8"/>
          </w:tcPr>
          <w:p>
            <w:pPr>
              <w:jc w:val="right"/>
              <w:spacing w:after="0"/>
              <w:rPr>
                <w:sz w:val="20"/>
                <w:szCs w:val="20"/>
                <w:color w:val="auto"/>
              </w:rPr>
            </w:pPr>
            <w:r>
              <w:rPr>
                <w:rFonts w:ascii="Arial" w:cs="Arial" w:eastAsia="Arial" w:hAnsi="Arial"/>
                <w:sz w:val="16"/>
                <w:szCs w:val="16"/>
                <w:color w:val="auto"/>
              </w:rPr>
              <w:t>2,400,000</w:t>
            </w:r>
          </w:p>
        </w:tc>
      </w:tr>
      <w:tr>
        <w:trPr>
          <w:trHeight w:val="281"/>
        </w:trPr>
        <w:tc>
          <w:tcPr>
            <w:tcW w:w="5040" w:type="dxa"/>
            <w:vAlign w:val="bottom"/>
          </w:tcPr>
          <w:p>
            <w:pPr>
              <w:ind w:left="60"/>
              <w:spacing w:after="0" w:line="281" w:lineRule="exact"/>
              <w:rPr>
                <w:sz w:val="20"/>
                <w:szCs w:val="20"/>
                <w:color w:val="auto"/>
              </w:rPr>
            </w:pPr>
            <w:r>
              <w:rPr>
                <w:rFonts w:ascii="Arial" w:cs="Arial" w:eastAsia="Arial" w:hAnsi="Arial"/>
                <w:sz w:val="16"/>
                <w:szCs w:val="16"/>
                <w:b w:val="1"/>
                <w:bCs w:val="1"/>
                <w:color w:val="auto"/>
              </w:rPr>
              <w:t>Scott A. Crum</w:t>
            </w:r>
            <w:r>
              <w:rPr>
                <w:rFonts w:ascii="Arial" w:cs="Arial" w:eastAsia="Arial" w:hAnsi="Arial"/>
                <w:sz w:val="26"/>
                <w:szCs w:val="26"/>
                <w:b w:val="1"/>
                <w:bCs w:val="1"/>
                <w:color w:val="auto"/>
                <w:vertAlign w:val="superscript"/>
              </w:rPr>
              <w:t>(1)</w:t>
            </w:r>
          </w:p>
        </w:tc>
        <w:tc>
          <w:tcPr>
            <w:tcW w:w="3940" w:type="dxa"/>
            <w:vAlign w:val="bottom"/>
          </w:tcPr>
          <w:p>
            <w:pPr>
              <w:jc w:val="right"/>
              <w:ind w:right="42"/>
              <w:spacing w:after="0"/>
              <w:rPr>
                <w:sz w:val="20"/>
                <w:szCs w:val="20"/>
                <w:color w:val="auto"/>
              </w:rPr>
            </w:pPr>
            <w:r>
              <w:rPr>
                <w:rFonts w:ascii="Arial" w:cs="Arial" w:eastAsia="Arial" w:hAnsi="Arial"/>
                <w:sz w:val="16"/>
                <w:szCs w:val="16"/>
                <w:color w:val="auto"/>
              </w:rPr>
              <w:t>360,000</w:t>
            </w: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420,000</w:t>
            </w:r>
          </w:p>
        </w:tc>
        <w:tc>
          <w:tcPr>
            <w:tcW w:w="1100" w:type="dxa"/>
            <w:vAlign w:val="bottom"/>
          </w:tcPr>
          <w:p>
            <w:pPr>
              <w:jc w:val="right"/>
              <w:spacing w:after="0"/>
              <w:rPr>
                <w:sz w:val="20"/>
                <w:szCs w:val="20"/>
                <w:color w:val="auto"/>
              </w:rPr>
            </w:pPr>
            <w:r>
              <w:rPr>
                <w:rFonts w:ascii="Arial" w:cs="Arial" w:eastAsia="Arial" w:hAnsi="Arial"/>
                <w:sz w:val="16"/>
                <w:szCs w:val="16"/>
                <w:color w:val="auto"/>
              </w:rPr>
              <w:t>420,000</w:t>
            </w:r>
          </w:p>
        </w:tc>
      </w:tr>
      <w:tr>
        <w:trPr>
          <w:trHeight w:val="234"/>
        </w:trPr>
        <w:tc>
          <w:tcPr>
            <w:tcW w:w="5040" w:type="dxa"/>
            <w:vAlign w:val="bottom"/>
            <w:tcBorders>
              <w:bottom w:val="single" w:sz="8" w:color="auto"/>
            </w:tcBorders>
            <w:shd w:val="clear" w:color="auto" w:fill="F0F1F8"/>
          </w:tcPr>
          <w:p>
            <w:pPr>
              <w:ind w:left="60"/>
              <w:spacing w:after="0"/>
              <w:rPr>
                <w:sz w:val="20"/>
                <w:szCs w:val="20"/>
                <w:color w:val="auto"/>
              </w:rPr>
            </w:pPr>
            <w:r>
              <w:rPr>
                <w:rFonts w:ascii="Arial" w:cs="Arial" w:eastAsia="Arial" w:hAnsi="Arial"/>
                <w:sz w:val="16"/>
                <w:szCs w:val="16"/>
                <w:b w:val="1"/>
                <w:bCs w:val="1"/>
                <w:color w:val="auto"/>
              </w:rPr>
              <w:t>Robert J. Gutowski</w:t>
            </w:r>
          </w:p>
        </w:tc>
        <w:tc>
          <w:tcPr>
            <w:tcW w:w="3940" w:type="dxa"/>
            <w:vAlign w:val="bottom"/>
            <w:tcBorders>
              <w:bottom w:val="single" w:sz="8" w:color="auto"/>
            </w:tcBorders>
            <w:shd w:val="clear" w:color="auto" w:fill="F0F1F8"/>
          </w:tcPr>
          <w:p>
            <w:pPr>
              <w:jc w:val="right"/>
              <w:ind w:right="42"/>
              <w:spacing w:after="0"/>
              <w:rPr>
                <w:sz w:val="20"/>
                <w:szCs w:val="20"/>
                <w:color w:val="auto"/>
              </w:rPr>
            </w:pPr>
            <w:r>
              <w:rPr>
                <w:rFonts w:ascii="Arial" w:cs="Arial" w:eastAsia="Arial" w:hAnsi="Arial"/>
                <w:sz w:val="16"/>
                <w:szCs w:val="16"/>
                <w:color w:val="auto"/>
              </w:rPr>
              <w:t>270,000</w:t>
            </w:r>
          </w:p>
        </w:tc>
        <w:tc>
          <w:tcPr>
            <w:tcW w:w="1160" w:type="dxa"/>
            <w:vAlign w:val="bottom"/>
            <w:tcBorders>
              <w:bottom w:val="single" w:sz="8" w:color="auto"/>
            </w:tcBorders>
            <w:shd w:val="clear" w:color="auto" w:fill="F0F1F8"/>
          </w:tcPr>
          <w:p>
            <w:pPr>
              <w:jc w:val="right"/>
              <w:ind w:right="42"/>
              <w:spacing w:after="0"/>
              <w:rPr>
                <w:sz w:val="20"/>
                <w:szCs w:val="20"/>
                <w:color w:val="auto"/>
              </w:rPr>
            </w:pPr>
            <w:r>
              <w:rPr>
                <w:rFonts w:ascii="Arial" w:cs="Arial" w:eastAsia="Arial" w:hAnsi="Arial"/>
                <w:sz w:val="16"/>
                <w:szCs w:val="16"/>
                <w:color w:val="auto"/>
              </w:rPr>
              <w:t>315,000</w:t>
            </w:r>
          </w:p>
        </w:tc>
        <w:tc>
          <w:tcPr>
            <w:tcW w:w="1100" w:type="dxa"/>
            <w:vAlign w:val="bottom"/>
            <w:tcBorders>
              <w:bottom w:val="single" w:sz="8" w:color="auto"/>
            </w:tcBorders>
            <w:shd w:val="clear" w:color="auto" w:fill="F0F1F8"/>
          </w:tcPr>
          <w:p>
            <w:pPr>
              <w:jc w:val="right"/>
              <w:spacing w:after="0"/>
              <w:rPr>
                <w:sz w:val="20"/>
                <w:szCs w:val="20"/>
                <w:color w:val="auto"/>
              </w:rPr>
            </w:pPr>
            <w:r>
              <w:rPr>
                <w:rFonts w:ascii="Arial" w:cs="Arial" w:eastAsia="Arial" w:hAnsi="Arial"/>
                <w:sz w:val="16"/>
                <w:szCs w:val="16"/>
                <w:color w:val="auto"/>
              </w:rPr>
              <w:t>315,000</w:t>
            </w:r>
          </w:p>
        </w:tc>
      </w:tr>
    </w:tbl>
    <w:p>
      <w:pPr>
        <w:spacing w:after="0" w:line="85" w:lineRule="exact"/>
        <w:rPr>
          <w:sz w:val="20"/>
          <w:szCs w:val="20"/>
          <w:color w:val="auto"/>
        </w:rPr>
      </w:pPr>
    </w:p>
    <w:p>
      <w:pPr>
        <w:ind w:left="320" w:right="560" w:hanging="313"/>
        <w:spacing w:after="0" w:line="254" w:lineRule="auto"/>
        <w:tabs>
          <w:tab w:leader="none" w:pos="320" w:val="left"/>
        </w:tabs>
        <w:numPr>
          <w:ilvl w:val="0"/>
          <w:numId w:val="125"/>
        </w:numPr>
        <w:rPr>
          <w:rFonts w:ascii="Arial" w:cs="Arial" w:eastAsia="Arial" w:hAnsi="Arial"/>
          <w:sz w:val="13"/>
          <w:szCs w:val="13"/>
          <w:color w:val="auto"/>
        </w:rPr>
      </w:pPr>
      <w:r>
        <w:rPr>
          <w:rFonts w:ascii="Arial" w:cs="Arial" w:eastAsia="Arial" w:hAnsi="Arial"/>
          <w:sz w:val="14"/>
          <w:szCs w:val="14"/>
          <w:color w:val="auto"/>
        </w:rPr>
        <w:t>The table above does not reflect one-time retention RSUs granted to Mr. Crum in early 2021 with a grant date value of $275,000, in recognition of his leadership and dedication supporting our employees and clients during the COVID-19 pandemic.</w:t>
      </w:r>
    </w:p>
    <w:p>
      <w:pPr>
        <w:spacing w:after="0" w:line="138"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The 3-Year PSUs and 5-Year PSUs reflect the ability to receive between 0% and 300% and 0% and 200%, respectively, of the target number of shares based on achievement of the TSR CAGR performance metric over the applicable performance period.</w:t>
      </w:r>
    </w:p>
    <w:p>
      <w:pPr>
        <w:spacing w:after="0" w:line="197"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The table below sets forth the TSR CAGR performance percentage for the 3-Year PSUs. There will be interpolation (rounded to two decimal places) to derive a TSR CAGR performance percentage that is not expressly set forth in the table below, and any resulting fractional shares will be rounded down to the nearest whole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56515</wp:posOffset>
            </wp:positionV>
            <wp:extent cx="7154545" cy="209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800" w:type="dxa"/>
            <w:vAlign w:val="bottom"/>
          </w:tcPr>
          <w:p>
            <w:pPr>
              <w:spacing w:after="0"/>
              <w:rPr>
                <w:sz w:val="22"/>
                <w:szCs w:val="22"/>
                <w:color w:val="auto"/>
              </w:rPr>
            </w:pPr>
          </w:p>
        </w:tc>
        <w:tc>
          <w:tcPr>
            <w:tcW w:w="3800" w:type="dxa"/>
            <w:vAlign w:val="bottom"/>
            <w:tcBorders>
              <w:right w:val="single" w:sz="8" w:color="16479F"/>
            </w:tcBorders>
          </w:tcPr>
          <w:p>
            <w:pPr>
              <w:ind w:left="1900"/>
              <w:spacing w:after="0"/>
              <w:rPr>
                <w:sz w:val="20"/>
                <w:szCs w:val="20"/>
                <w:color w:val="auto"/>
              </w:rPr>
            </w:pPr>
            <w:r>
              <w:rPr>
                <w:rFonts w:ascii="Arial" w:cs="Arial" w:eastAsia="Arial" w:hAnsi="Arial"/>
                <w:sz w:val="14"/>
                <w:szCs w:val="14"/>
                <w:b w:val="1"/>
                <w:bCs w:val="1"/>
                <w:color w:val="16479F"/>
              </w:rPr>
              <w:t>2022 PROXY STATEMENT</w:t>
            </w:r>
          </w:p>
        </w:tc>
        <w:tc>
          <w:tcPr>
            <w:tcW w:w="640" w:type="dxa"/>
            <w:vAlign w:val="bottom"/>
          </w:tcPr>
          <w:p>
            <w:pPr>
              <w:jc w:val="right"/>
              <w:ind w:right="1"/>
              <w:spacing w:after="0"/>
              <w:rPr>
                <w:sz w:val="20"/>
                <w:szCs w:val="20"/>
                <w:color w:val="auto"/>
              </w:rPr>
            </w:pPr>
            <w:r>
              <w:rPr>
                <w:rFonts w:ascii="Arial" w:cs="Arial" w:eastAsia="Arial" w:hAnsi="Arial"/>
                <w:sz w:val="14"/>
                <w:szCs w:val="14"/>
                <w:b w:val="1"/>
                <w:bCs w:val="1"/>
                <w:color w:val="16479F"/>
              </w:rPr>
              <w:t>81</w:t>
            </w:r>
          </w:p>
        </w:tc>
      </w:tr>
      <w:tr>
        <w:trPr>
          <w:trHeight w:val="65"/>
        </w:trPr>
        <w:tc>
          <w:tcPr>
            <w:tcW w:w="6800" w:type="dxa"/>
            <w:vAlign w:val="bottom"/>
            <w:tcBorders>
              <w:bottom w:val="single" w:sz="8" w:color="16479F"/>
            </w:tcBorders>
          </w:tcPr>
          <w:p>
            <w:pPr>
              <w:spacing w:after="0"/>
              <w:rPr>
                <w:sz w:val="5"/>
                <w:szCs w:val="5"/>
                <w:color w:val="auto"/>
              </w:rPr>
            </w:pPr>
          </w:p>
        </w:tc>
        <w:tc>
          <w:tcPr>
            <w:tcW w:w="3800" w:type="dxa"/>
            <w:vAlign w:val="bottom"/>
            <w:tcBorders>
              <w:bottom w:val="single" w:sz="8" w:color="16479F"/>
              <w:right w:val="single" w:sz="8" w:color="16479F"/>
            </w:tcBorders>
          </w:tcPr>
          <w:p>
            <w:pPr>
              <w:spacing w:after="0"/>
              <w:rPr>
                <w:sz w:val="5"/>
                <w:szCs w:val="5"/>
                <w:color w:val="auto"/>
              </w:rPr>
            </w:pPr>
          </w:p>
        </w:tc>
        <w:tc>
          <w:tcPr>
            <w:tcW w:w="640" w:type="dxa"/>
            <w:vAlign w:val="bottom"/>
            <w:tcBorders>
              <w:bottom w:val="single" w:sz="8" w:color="16479F"/>
            </w:tcBorders>
          </w:tcPr>
          <w:p>
            <w:pPr>
              <w:spacing w:after="0"/>
              <w:rPr>
                <w:sz w:val="5"/>
                <w:szCs w:val="5"/>
                <w:color w:val="auto"/>
              </w:rPr>
            </w:pPr>
          </w:p>
        </w:tc>
      </w:tr>
      <w:tr>
        <w:trPr>
          <w:trHeight w:val="406"/>
        </w:trPr>
        <w:tc>
          <w:tcPr>
            <w:tcW w:w="6800" w:type="dxa"/>
            <w:vAlign w:val="bottom"/>
          </w:tcPr>
          <w:p>
            <w:pPr>
              <w:spacing w:after="0"/>
              <w:rPr>
                <w:sz w:val="20"/>
                <w:szCs w:val="20"/>
                <w:color w:val="auto"/>
              </w:rPr>
            </w:pPr>
            <w:r>
              <w:rPr>
                <w:rFonts w:ascii="Arial" w:cs="Arial" w:eastAsia="Arial" w:hAnsi="Arial"/>
                <w:sz w:val="21"/>
                <w:szCs w:val="21"/>
                <w:b w:val="1"/>
                <w:bCs w:val="1"/>
                <w:color w:val="16479F"/>
              </w:rPr>
              <w:t>3-Year PSU TSR CAGR Performance Percentage</w:t>
            </w:r>
          </w:p>
        </w:tc>
        <w:tc>
          <w:tcPr>
            <w:tcW w:w="38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20"/>
        </w:trPr>
        <w:tc>
          <w:tcPr>
            <w:tcW w:w="6800" w:type="dxa"/>
            <w:vAlign w:val="bottom"/>
          </w:tcPr>
          <w:p>
            <w:pPr>
              <w:ind w:left="60"/>
              <w:spacing w:after="0"/>
              <w:rPr>
                <w:sz w:val="20"/>
                <w:szCs w:val="20"/>
                <w:color w:val="auto"/>
              </w:rPr>
            </w:pPr>
            <w:r>
              <w:rPr>
                <w:rFonts w:ascii="Arial" w:cs="Arial" w:eastAsia="Arial" w:hAnsi="Arial"/>
                <w:sz w:val="14"/>
                <w:szCs w:val="14"/>
                <w:b w:val="1"/>
                <w:bCs w:val="1"/>
                <w:color w:val="auto"/>
              </w:rPr>
              <w:t>TSR CAGR (%)</w:t>
            </w:r>
          </w:p>
        </w:tc>
        <w:tc>
          <w:tcPr>
            <w:tcW w:w="4440" w:type="dxa"/>
            <w:vAlign w:val="bottom"/>
            <w:gridSpan w:val="2"/>
          </w:tcPr>
          <w:p>
            <w:pPr>
              <w:jc w:val="right"/>
              <w:spacing w:after="0"/>
              <w:rPr>
                <w:sz w:val="20"/>
                <w:szCs w:val="20"/>
                <w:color w:val="auto"/>
              </w:rPr>
            </w:pPr>
            <w:r>
              <w:rPr>
                <w:rFonts w:ascii="Arial" w:cs="Arial" w:eastAsia="Arial" w:hAnsi="Arial"/>
                <w:sz w:val="14"/>
                <w:szCs w:val="14"/>
                <w:b w:val="1"/>
                <w:bCs w:val="1"/>
                <w:color w:val="auto"/>
              </w:rPr>
              <w:t>Performance Percentage (%)</w:t>
            </w:r>
          </w:p>
        </w:tc>
      </w:tr>
      <w:tr>
        <w:trPr>
          <w:trHeight w:val="25"/>
        </w:trPr>
        <w:tc>
          <w:tcPr>
            <w:tcW w:w="6800" w:type="dxa"/>
            <w:vAlign w:val="bottom"/>
            <w:tcBorders>
              <w:bottom w:val="single" w:sz="8" w:color="16479F"/>
            </w:tcBorders>
          </w:tcPr>
          <w:p>
            <w:pPr>
              <w:spacing w:after="0"/>
              <w:rPr>
                <w:sz w:val="2"/>
                <w:szCs w:val="2"/>
                <w:color w:val="auto"/>
              </w:rPr>
            </w:pPr>
          </w:p>
        </w:tc>
        <w:tc>
          <w:tcPr>
            <w:tcW w:w="3800" w:type="dxa"/>
            <w:vAlign w:val="bottom"/>
            <w:tcBorders>
              <w:bottom w:val="single" w:sz="8" w:color="16479F"/>
            </w:tcBorders>
          </w:tcPr>
          <w:p>
            <w:pPr>
              <w:spacing w:after="0"/>
              <w:rPr>
                <w:sz w:val="2"/>
                <w:szCs w:val="2"/>
                <w:color w:val="auto"/>
              </w:rPr>
            </w:pPr>
          </w:p>
        </w:tc>
        <w:tc>
          <w:tcPr>
            <w:tcW w:w="640" w:type="dxa"/>
            <w:vAlign w:val="bottom"/>
            <w:tcBorders>
              <w:bottom w:val="single" w:sz="8" w:color="16479F"/>
            </w:tcBorders>
          </w:tcPr>
          <w:p>
            <w:pPr>
              <w:spacing w:after="0"/>
              <w:rPr>
                <w:sz w:val="2"/>
                <w:szCs w:val="2"/>
                <w:color w:val="auto"/>
              </w:rPr>
            </w:pPr>
          </w:p>
        </w:tc>
      </w:tr>
      <w:tr>
        <w:trPr>
          <w:trHeight w:val="234"/>
        </w:trPr>
        <w:tc>
          <w:tcPr>
            <w:tcW w:w="6800" w:type="dxa"/>
            <w:vAlign w:val="bottom"/>
            <w:shd w:val="clear" w:color="auto" w:fill="F0F1F8"/>
          </w:tcPr>
          <w:p>
            <w:pPr>
              <w:ind w:left="60"/>
              <w:spacing w:after="0"/>
              <w:rPr>
                <w:sz w:val="20"/>
                <w:szCs w:val="20"/>
                <w:color w:val="auto"/>
              </w:rPr>
            </w:pPr>
            <w:r>
              <w:rPr>
                <w:rFonts w:ascii="Arial" w:cs="Arial" w:eastAsia="Arial" w:hAnsi="Arial"/>
                <w:sz w:val="16"/>
                <w:szCs w:val="16"/>
                <w:color w:val="auto"/>
              </w:rPr>
              <w:t>≥ 30.0 (maximum)</w:t>
            </w:r>
          </w:p>
        </w:tc>
        <w:tc>
          <w:tcPr>
            <w:tcW w:w="3800" w:type="dxa"/>
            <w:vAlign w:val="bottom"/>
            <w:tcBorders>
              <w:right w:val="single" w:sz="8" w:color="F0F1F8"/>
            </w:tcBorders>
            <w:shd w:val="clear" w:color="auto" w:fill="F0F1F8"/>
          </w:tcPr>
          <w:p>
            <w:pPr>
              <w:spacing w:after="0"/>
              <w:rPr>
                <w:sz w:val="20"/>
                <w:szCs w:val="20"/>
                <w:color w:val="auto"/>
              </w:rPr>
            </w:pPr>
          </w:p>
        </w:tc>
        <w:tc>
          <w:tcPr>
            <w:tcW w:w="640" w:type="dxa"/>
            <w:vAlign w:val="bottom"/>
            <w:shd w:val="clear" w:color="auto" w:fill="F0F1F8"/>
          </w:tcPr>
          <w:p>
            <w:pPr>
              <w:jc w:val="right"/>
              <w:spacing w:after="0"/>
              <w:rPr>
                <w:sz w:val="20"/>
                <w:szCs w:val="20"/>
                <w:color w:val="auto"/>
              </w:rPr>
            </w:pPr>
            <w:r>
              <w:rPr>
                <w:rFonts w:ascii="Arial" w:cs="Arial" w:eastAsia="Arial" w:hAnsi="Arial"/>
                <w:sz w:val="16"/>
                <w:szCs w:val="16"/>
                <w:color w:val="auto"/>
              </w:rPr>
              <w:t>300</w:t>
            </w:r>
          </w:p>
        </w:tc>
      </w:tr>
      <w:tr>
        <w:trPr>
          <w:trHeight w:val="232"/>
        </w:trPr>
        <w:tc>
          <w:tcPr>
            <w:tcW w:w="6800" w:type="dxa"/>
            <w:vAlign w:val="bottom"/>
          </w:tcPr>
          <w:p>
            <w:pPr>
              <w:ind w:left="60"/>
              <w:spacing w:after="0"/>
              <w:rPr>
                <w:sz w:val="20"/>
                <w:szCs w:val="20"/>
                <w:color w:val="auto"/>
              </w:rPr>
            </w:pPr>
            <w:r>
              <w:rPr>
                <w:rFonts w:ascii="Arial" w:cs="Arial" w:eastAsia="Arial" w:hAnsi="Arial"/>
                <w:sz w:val="16"/>
                <w:szCs w:val="16"/>
                <w:color w:val="auto"/>
              </w:rPr>
              <w:t>20.0</w:t>
            </w:r>
          </w:p>
        </w:tc>
        <w:tc>
          <w:tcPr>
            <w:tcW w:w="38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250"/>
        </w:trPr>
        <w:tc>
          <w:tcPr>
            <w:tcW w:w="6800" w:type="dxa"/>
            <w:vAlign w:val="bottom"/>
            <w:shd w:val="clear" w:color="auto" w:fill="F0F1F8"/>
          </w:tcPr>
          <w:p>
            <w:pPr>
              <w:ind w:left="60"/>
              <w:spacing w:after="0"/>
              <w:rPr>
                <w:sz w:val="20"/>
                <w:szCs w:val="20"/>
                <w:color w:val="auto"/>
              </w:rPr>
            </w:pPr>
            <w:r>
              <w:rPr>
                <w:rFonts w:ascii="Arial" w:cs="Arial" w:eastAsia="Arial" w:hAnsi="Arial"/>
                <w:sz w:val="16"/>
                <w:szCs w:val="16"/>
                <w:color w:val="auto"/>
              </w:rPr>
              <w:t>10.0 (target)</w:t>
            </w:r>
          </w:p>
        </w:tc>
        <w:tc>
          <w:tcPr>
            <w:tcW w:w="3800" w:type="dxa"/>
            <w:vAlign w:val="bottom"/>
            <w:tcBorders>
              <w:right w:val="single" w:sz="8" w:color="F0F1F8"/>
            </w:tcBorders>
            <w:shd w:val="clear" w:color="auto" w:fill="F0F1F8"/>
          </w:tcPr>
          <w:p>
            <w:pPr>
              <w:spacing w:after="0"/>
              <w:rPr>
                <w:sz w:val="21"/>
                <w:szCs w:val="21"/>
                <w:color w:val="auto"/>
              </w:rPr>
            </w:pPr>
          </w:p>
        </w:tc>
        <w:tc>
          <w:tcPr>
            <w:tcW w:w="640" w:type="dxa"/>
            <w:vAlign w:val="bottom"/>
            <w:shd w:val="clear" w:color="auto" w:fill="F0F1F8"/>
          </w:tcPr>
          <w:p>
            <w:pPr>
              <w:jc w:val="right"/>
              <w:spacing w:after="0"/>
              <w:rPr>
                <w:sz w:val="20"/>
                <w:szCs w:val="20"/>
                <w:color w:val="auto"/>
              </w:rPr>
            </w:pPr>
            <w:r>
              <w:rPr>
                <w:rFonts w:ascii="Arial" w:cs="Arial" w:eastAsia="Arial" w:hAnsi="Arial"/>
                <w:sz w:val="16"/>
                <w:szCs w:val="16"/>
                <w:color w:val="auto"/>
              </w:rPr>
              <w:t>100</w:t>
            </w:r>
          </w:p>
        </w:tc>
      </w:tr>
      <w:tr>
        <w:trPr>
          <w:trHeight w:val="232"/>
        </w:trPr>
        <w:tc>
          <w:tcPr>
            <w:tcW w:w="6800" w:type="dxa"/>
            <w:vAlign w:val="bottom"/>
          </w:tcPr>
          <w:p>
            <w:pPr>
              <w:ind w:left="60"/>
              <w:spacing w:after="0"/>
              <w:rPr>
                <w:sz w:val="20"/>
                <w:szCs w:val="20"/>
                <w:color w:val="auto"/>
              </w:rPr>
            </w:pPr>
            <w:r>
              <w:rPr>
                <w:rFonts w:ascii="Arial" w:cs="Arial" w:eastAsia="Arial" w:hAnsi="Arial"/>
                <w:sz w:val="16"/>
                <w:szCs w:val="16"/>
                <w:color w:val="auto"/>
              </w:rPr>
              <w:t>9.0</w:t>
            </w:r>
          </w:p>
        </w:tc>
        <w:tc>
          <w:tcPr>
            <w:tcW w:w="38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50"/>
        </w:trPr>
        <w:tc>
          <w:tcPr>
            <w:tcW w:w="6800" w:type="dxa"/>
            <w:vAlign w:val="bottom"/>
            <w:shd w:val="clear" w:color="auto" w:fill="F0F1F8"/>
          </w:tcPr>
          <w:p>
            <w:pPr>
              <w:ind w:left="60"/>
              <w:spacing w:after="0"/>
              <w:rPr>
                <w:sz w:val="20"/>
                <w:szCs w:val="20"/>
                <w:color w:val="auto"/>
              </w:rPr>
            </w:pPr>
            <w:r>
              <w:rPr>
                <w:rFonts w:ascii="Arial" w:cs="Arial" w:eastAsia="Arial" w:hAnsi="Arial"/>
                <w:sz w:val="16"/>
                <w:szCs w:val="16"/>
                <w:color w:val="auto"/>
              </w:rPr>
              <w:t>8.0 (threshold)</w:t>
            </w:r>
          </w:p>
        </w:tc>
        <w:tc>
          <w:tcPr>
            <w:tcW w:w="3800" w:type="dxa"/>
            <w:vAlign w:val="bottom"/>
            <w:tcBorders>
              <w:right w:val="single" w:sz="8" w:color="F0F1F8"/>
            </w:tcBorders>
            <w:shd w:val="clear" w:color="auto" w:fill="F0F1F8"/>
          </w:tcPr>
          <w:p>
            <w:pPr>
              <w:spacing w:after="0"/>
              <w:rPr>
                <w:sz w:val="21"/>
                <w:szCs w:val="21"/>
                <w:color w:val="auto"/>
              </w:rPr>
            </w:pPr>
          </w:p>
        </w:tc>
        <w:tc>
          <w:tcPr>
            <w:tcW w:w="640" w:type="dxa"/>
            <w:vAlign w:val="bottom"/>
            <w:shd w:val="clear" w:color="auto" w:fill="F0F1F8"/>
          </w:tcPr>
          <w:p>
            <w:pPr>
              <w:jc w:val="right"/>
              <w:spacing w:after="0"/>
              <w:rPr>
                <w:sz w:val="20"/>
                <w:szCs w:val="20"/>
                <w:color w:val="auto"/>
              </w:rPr>
            </w:pPr>
            <w:r>
              <w:rPr>
                <w:rFonts w:ascii="Arial" w:cs="Arial" w:eastAsia="Arial" w:hAnsi="Arial"/>
                <w:sz w:val="16"/>
                <w:szCs w:val="16"/>
                <w:color w:val="auto"/>
              </w:rPr>
              <w:t>25</w:t>
            </w:r>
          </w:p>
        </w:tc>
      </w:tr>
      <w:tr>
        <w:trPr>
          <w:trHeight w:val="234"/>
        </w:trPr>
        <w:tc>
          <w:tcPr>
            <w:tcW w:w="68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&lt; 8.0</w:t>
            </w:r>
          </w:p>
        </w:tc>
        <w:tc>
          <w:tcPr>
            <w:tcW w:w="44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No Vesting</w:t>
            </w:r>
          </w:p>
        </w:tc>
      </w:tr>
    </w:tbl>
    <w:p>
      <w:pPr>
        <w:spacing w:after="0" w:line="163"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The table below sets forth the TSR CAGR performance percentage for the 5-Year PSUs. There will be interpolation (rounded to two decimal places) to derive a TSR CAGR performance percentage that is not expressly set forth in the table below, and any resulting fractional shares will be rounded down to the nearest whole share.</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b w:val="1"/>
          <w:bCs w:val="1"/>
          <w:color w:val="16479F"/>
        </w:rPr>
        <w:t>5-Year PSU TSR CAGR Performance Percentage</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00" w:type="dxa"/>
            <w:vAlign w:val="bottom"/>
            <w:tcBorders>
              <w:bottom w:val="single" w:sz="8" w:color="16479F"/>
            </w:tcBorders>
            <w:gridSpan w:val="2"/>
          </w:tcPr>
          <w:p>
            <w:pPr>
              <w:ind w:left="60"/>
              <w:spacing w:after="0"/>
              <w:rPr>
                <w:sz w:val="20"/>
                <w:szCs w:val="20"/>
                <w:color w:val="auto"/>
              </w:rPr>
            </w:pPr>
            <w:r>
              <w:rPr>
                <w:rFonts w:ascii="Arial" w:cs="Arial" w:eastAsia="Arial" w:hAnsi="Arial"/>
                <w:sz w:val="14"/>
                <w:szCs w:val="14"/>
                <w:b w:val="1"/>
                <w:bCs w:val="1"/>
                <w:color w:val="auto"/>
              </w:rPr>
              <w:t>TSR CAGR (%)</w:t>
            </w:r>
          </w:p>
        </w:tc>
        <w:tc>
          <w:tcPr>
            <w:tcW w:w="5940" w:type="dxa"/>
            <w:vAlign w:val="bottom"/>
            <w:tcBorders>
              <w:bottom w:val="single" w:sz="8" w:color="16479F"/>
            </w:tcBorders>
          </w:tcPr>
          <w:p>
            <w:pPr>
              <w:jc w:val="right"/>
              <w:spacing w:after="0"/>
              <w:rPr>
                <w:sz w:val="20"/>
                <w:szCs w:val="20"/>
                <w:color w:val="auto"/>
              </w:rPr>
            </w:pPr>
            <w:r>
              <w:rPr>
                <w:rFonts w:ascii="Arial" w:cs="Arial" w:eastAsia="Arial" w:hAnsi="Arial"/>
                <w:sz w:val="14"/>
                <w:szCs w:val="14"/>
                <w:b w:val="1"/>
                <w:bCs w:val="1"/>
                <w:color w:val="auto"/>
              </w:rPr>
              <w:t>Performance Percentage (%)</w:t>
            </w:r>
          </w:p>
        </w:tc>
      </w:tr>
      <w:tr>
        <w:trPr>
          <w:trHeight w:val="240"/>
        </w:trPr>
        <w:tc>
          <w:tcPr>
            <w:tcW w:w="5300" w:type="dxa"/>
            <w:vAlign w:val="bottom"/>
            <w:gridSpan w:val="2"/>
            <w:shd w:val="clear" w:color="auto" w:fill="F0F1F8"/>
          </w:tcPr>
          <w:p>
            <w:pPr>
              <w:ind w:left="60"/>
              <w:spacing w:after="0"/>
              <w:rPr>
                <w:sz w:val="20"/>
                <w:szCs w:val="20"/>
                <w:color w:val="auto"/>
              </w:rPr>
            </w:pPr>
            <w:r>
              <w:rPr>
                <w:rFonts w:ascii="Arial" w:cs="Arial" w:eastAsia="Arial" w:hAnsi="Arial"/>
                <w:sz w:val="16"/>
                <w:szCs w:val="16"/>
                <w:color w:val="auto"/>
              </w:rPr>
              <w:t>≥ 20.0 (maximum)</w:t>
            </w:r>
          </w:p>
        </w:tc>
        <w:tc>
          <w:tcPr>
            <w:tcW w:w="5940" w:type="dxa"/>
            <w:vAlign w:val="bottom"/>
            <w:shd w:val="clear" w:color="auto" w:fill="F0F1F8"/>
          </w:tcPr>
          <w:p>
            <w:pPr>
              <w:jc w:val="right"/>
              <w:spacing w:after="0"/>
              <w:rPr>
                <w:sz w:val="20"/>
                <w:szCs w:val="20"/>
                <w:color w:val="auto"/>
              </w:rPr>
            </w:pPr>
            <w:r>
              <w:rPr>
                <w:rFonts w:ascii="Arial" w:cs="Arial" w:eastAsia="Arial" w:hAnsi="Arial"/>
                <w:sz w:val="16"/>
                <w:szCs w:val="16"/>
                <w:color w:val="auto"/>
              </w:rPr>
              <w:t>200</w:t>
            </w:r>
          </w:p>
        </w:tc>
      </w:tr>
      <w:tr>
        <w:trPr>
          <w:trHeight w:val="232"/>
        </w:trPr>
        <w:tc>
          <w:tcPr>
            <w:tcW w:w="400" w:type="dxa"/>
            <w:vAlign w:val="bottom"/>
          </w:tcPr>
          <w:p>
            <w:pPr>
              <w:ind w:left="60"/>
              <w:spacing w:after="0"/>
              <w:rPr>
                <w:sz w:val="20"/>
                <w:szCs w:val="20"/>
                <w:color w:val="auto"/>
              </w:rPr>
            </w:pPr>
            <w:r>
              <w:rPr>
                <w:rFonts w:ascii="Arial" w:cs="Arial" w:eastAsia="Arial" w:hAnsi="Arial"/>
                <w:sz w:val="16"/>
                <w:szCs w:val="16"/>
                <w:color w:val="auto"/>
              </w:rPr>
              <w:t>15.0</w:t>
            </w:r>
          </w:p>
        </w:tc>
        <w:tc>
          <w:tcPr>
            <w:tcW w:w="4900" w:type="dxa"/>
            <w:vAlign w:val="bottom"/>
          </w:tcPr>
          <w:p>
            <w:pPr>
              <w:spacing w:after="0"/>
              <w:rPr>
                <w:sz w:val="20"/>
                <w:szCs w:val="20"/>
                <w:color w:val="auto"/>
              </w:rPr>
            </w:pPr>
          </w:p>
        </w:tc>
        <w:tc>
          <w:tcPr>
            <w:tcW w:w="594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250"/>
        </w:trPr>
        <w:tc>
          <w:tcPr>
            <w:tcW w:w="400" w:type="dxa"/>
            <w:vAlign w:val="bottom"/>
            <w:shd w:val="clear" w:color="auto" w:fill="F0F1F8"/>
          </w:tcPr>
          <w:p>
            <w:pPr>
              <w:ind w:left="60"/>
              <w:spacing w:after="0"/>
              <w:rPr>
                <w:sz w:val="20"/>
                <w:szCs w:val="20"/>
                <w:color w:val="auto"/>
              </w:rPr>
            </w:pPr>
            <w:r>
              <w:rPr>
                <w:rFonts w:ascii="Arial" w:cs="Arial" w:eastAsia="Arial" w:hAnsi="Arial"/>
                <w:sz w:val="16"/>
                <w:szCs w:val="16"/>
                <w:color w:val="auto"/>
              </w:rPr>
              <w:t>12.5</w:t>
            </w:r>
          </w:p>
        </w:tc>
        <w:tc>
          <w:tcPr>
            <w:tcW w:w="4900" w:type="dxa"/>
            <w:vAlign w:val="bottom"/>
            <w:shd w:val="clear" w:color="auto" w:fill="F0F1F8"/>
          </w:tcPr>
          <w:p>
            <w:pPr>
              <w:ind w:left="20"/>
              <w:spacing w:after="0"/>
              <w:rPr>
                <w:sz w:val="20"/>
                <w:szCs w:val="20"/>
                <w:color w:val="auto"/>
              </w:rPr>
            </w:pPr>
            <w:r>
              <w:rPr>
                <w:rFonts w:ascii="Arial" w:cs="Arial" w:eastAsia="Arial" w:hAnsi="Arial"/>
                <w:sz w:val="16"/>
                <w:szCs w:val="16"/>
                <w:color w:val="auto"/>
              </w:rPr>
              <w:t>(target)</w:t>
            </w:r>
          </w:p>
        </w:tc>
        <w:tc>
          <w:tcPr>
            <w:tcW w:w="5940" w:type="dxa"/>
            <w:vAlign w:val="bottom"/>
            <w:shd w:val="clear" w:color="auto" w:fill="F0F1F8"/>
          </w:tcPr>
          <w:p>
            <w:pPr>
              <w:jc w:val="right"/>
              <w:spacing w:after="0"/>
              <w:rPr>
                <w:sz w:val="20"/>
                <w:szCs w:val="20"/>
                <w:color w:val="auto"/>
              </w:rPr>
            </w:pPr>
            <w:r>
              <w:rPr>
                <w:rFonts w:ascii="Arial" w:cs="Arial" w:eastAsia="Arial" w:hAnsi="Arial"/>
                <w:sz w:val="16"/>
                <w:szCs w:val="16"/>
                <w:color w:val="auto"/>
              </w:rPr>
              <w:t>100</w:t>
            </w:r>
          </w:p>
        </w:tc>
      </w:tr>
      <w:tr>
        <w:trPr>
          <w:trHeight w:val="232"/>
        </w:trPr>
        <w:tc>
          <w:tcPr>
            <w:tcW w:w="400" w:type="dxa"/>
            <w:vAlign w:val="bottom"/>
          </w:tcPr>
          <w:p>
            <w:pPr>
              <w:ind w:left="60"/>
              <w:spacing w:after="0"/>
              <w:rPr>
                <w:sz w:val="20"/>
                <w:szCs w:val="20"/>
                <w:color w:val="auto"/>
              </w:rPr>
            </w:pPr>
            <w:r>
              <w:rPr>
                <w:rFonts w:ascii="Arial" w:cs="Arial" w:eastAsia="Arial" w:hAnsi="Arial"/>
                <w:sz w:val="16"/>
                <w:szCs w:val="16"/>
                <w:color w:val="auto"/>
              </w:rPr>
              <w:t>10.0</w:t>
            </w:r>
          </w:p>
        </w:tc>
        <w:tc>
          <w:tcPr>
            <w:tcW w:w="4900" w:type="dxa"/>
            <w:vAlign w:val="bottom"/>
          </w:tcPr>
          <w:p>
            <w:pPr>
              <w:ind w:left="20"/>
              <w:spacing w:after="0"/>
              <w:rPr>
                <w:sz w:val="20"/>
                <w:szCs w:val="20"/>
                <w:color w:val="auto"/>
              </w:rPr>
            </w:pPr>
            <w:r>
              <w:rPr>
                <w:rFonts w:ascii="Arial" w:cs="Arial" w:eastAsia="Arial" w:hAnsi="Arial"/>
                <w:sz w:val="16"/>
                <w:szCs w:val="16"/>
                <w:color w:val="auto"/>
              </w:rPr>
              <w:t>(threshold)</w:t>
            </w:r>
          </w:p>
        </w:tc>
        <w:tc>
          <w:tcPr>
            <w:tcW w:w="594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44"/>
        </w:trPr>
        <w:tc>
          <w:tcPr>
            <w:tcW w:w="5300" w:type="dxa"/>
            <w:vAlign w:val="bottom"/>
            <w:tcBorders>
              <w:bottom w:val="single" w:sz="8" w:color="auto"/>
            </w:tcBorders>
            <w:gridSpan w:val="2"/>
            <w:shd w:val="clear" w:color="auto" w:fill="F0F1F8"/>
          </w:tcPr>
          <w:p>
            <w:pPr>
              <w:ind w:left="60"/>
              <w:spacing w:after="0"/>
              <w:rPr>
                <w:sz w:val="20"/>
                <w:szCs w:val="20"/>
                <w:color w:val="auto"/>
              </w:rPr>
            </w:pPr>
            <w:r>
              <w:rPr>
                <w:rFonts w:ascii="Arial" w:cs="Arial" w:eastAsia="Arial" w:hAnsi="Arial"/>
                <w:sz w:val="16"/>
                <w:szCs w:val="16"/>
                <w:color w:val="auto"/>
              </w:rPr>
              <w:t>&lt;10.0</w:t>
            </w:r>
          </w:p>
        </w:tc>
        <w:tc>
          <w:tcPr>
            <w:tcW w:w="5940" w:type="dxa"/>
            <w:vAlign w:val="bottom"/>
            <w:tcBorders>
              <w:bottom w:val="single" w:sz="8" w:color="auto"/>
            </w:tcBorders>
            <w:shd w:val="clear" w:color="auto" w:fill="F0F1F8"/>
          </w:tcPr>
          <w:p>
            <w:pPr>
              <w:jc w:val="right"/>
              <w:spacing w:after="0"/>
              <w:rPr>
                <w:sz w:val="20"/>
                <w:szCs w:val="20"/>
                <w:color w:val="auto"/>
              </w:rPr>
            </w:pPr>
            <w:r>
              <w:rPr>
                <w:rFonts w:ascii="Arial" w:cs="Arial" w:eastAsia="Arial" w:hAnsi="Arial"/>
                <w:sz w:val="16"/>
                <w:szCs w:val="16"/>
                <w:color w:val="auto"/>
              </w:rPr>
              <w:t>No Vesting</w:t>
            </w:r>
          </w:p>
        </w:tc>
      </w:tr>
    </w:tbl>
    <w:p>
      <w:pPr>
        <w:spacing w:after="0" w:line="163" w:lineRule="exact"/>
        <w:rPr>
          <w:sz w:val="20"/>
          <w:szCs w:val="20"/>
          <w:color w:val="auto"/>
        </w:rPr>
      </w:pPr>
    </w:p>
    <w:p>
      <w:pPr>
        <w:ind w:right="160"/>
        <w:spacing w:after="0" w:line="246" w:lineRule="auto"/>
        <w:rPr>
          <w:sz w:val="20"/>
          <w:szCs w:val="20"/>
          <w:color w:val="auto"/>
        </w:rPr>
      </w:pPr>
      <w:r>
        <w:rPr>
          <w:rFonts w:ascii="Arial" w:cs="Arial" w:eastAsia="Arial" w:hAnsi="Arial"/>
          <w:sz w:val="16"/>
          <w:szCs w:val="16"/>
          <w:color w:val="auto"/>
        </w:rPr>
        <w:t>The Compensation Committee established the above TSR performance goal percentages applicable to the 3-Year PSUs and the 5-Year PSUs after considering historical 3- and 5-year TSR performance of S&amp;P 500 companies and MSCI’s business projections. The Compensation Committee believes that the applicable threshold, target and maximum goals established for both PSU vehicles in 2021 represent rigorous hurdles that would ultimately deliver significant shareholder value creation if achieved, as evidenced by the fact that achievement of the TSR performance goals at the threshold performance levels applicable to the 2021 3-Year PSUs and 5-Year PSUs would translate to substantial growth in our shareholders’ investments over such performance period, as reflected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7154545" cy="25101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4545" cy="25101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149860</wp:posOffset>
            </wp:positionV>
            <wp:extent cx="7133590" cy="21272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3590" cy="212725"/>
                    </a:xfrm>
                    <a:prstGeom prst="rect">
                      <a:avLst/>
                    </a:prstGeom>
                    <a:noFill/>
                  </pic:spPr>
                </pic:pic>
              </a:graphicData>
            </a:graphic>
          </wp:anchor>
        </w:drawing>
      </w:r>
    </w:p>
    <w:p>
      <w:pPr>
        <w:spacing w:after="0" w:line="283"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4"/>
          <w:szCs w:val="14"/>
          <w:b w:val="1"/>
          <w:bCs w:val="1"/>
          <w:color w:val="16479F"/>
        </w:rPr>
        <w:t>82</w:t>
      </w:r>
      <w:r>
        <w:rPr>
          <w:sz w:val="20"/>
          <w:szCs w:val="20"/>
          <w:color w:val="auto"/>
        </w:rPr>
        <w:tab/>
      </w:r>
      <w:r>
        <w:rPr>
          <w:rFonts w:ascii="Arial" w:cs="Arial" w:eastAsia="Arial" w:hAnsi="Arial"/>
          <w:sz w:val="14"/>
          <w:szCs w:val="14"/>
          <w:b w:val="1"/>
          <w:bCs w:val="1"/>
          <w:color w:val="16479F"/>
        </w:rPr>
        <w:t>MSCI  |  COMPENSATION MATTERS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PSU AWARD PAYOUTS</w:t>
      </w:r>
    </w:p>
    <w:p>
      <w:pPr>
        <w:spacing w:after="0" w:line="233" w:lineRule="exact"/>
        <w:rPr>
          <w:sz w:val="20"/>
          <w:szCs w:val="20"/>
          <w:color w:val="auto"/>
        </w:rPr>
      </w:pPr>
    </w:p>
    <w:p>
      <w:pPr>
        <w:ind w:right="320"/>
        <w:spacing w:after="0" w:line="256" w:lineRule="auto"/>
        <w:rPr>
          <w:sz w:val="20"/>
          <w:szCs w:val="20"/>
          <w:color w:val="auto"/>
        </w:rPr>
      </w:pPr>
      <w:r>
        <w:rPr>
          <w:rFonts w:ascii="Arial" w:cs="Arial" w:eastAsia="Arial" w:hAnsi="Arial"/>
          <w:sz w:val="16"/>
          <w:szCs w:val="16"/>
          <w:color w:val="auto"/>
        </w:rPr>
        <w:t>The three-year performance period applicable to the PSUs granted to each of Messrs. Fernandez, Wiechmann, Pettit, Crum and Gutowski on February 6, 2019 concluded on February 5, 2022 and resulted in the following level of achievement: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700" w:type="dxa"/>
            <w:vAlign w:val="bottom"/>
          </w:tcPr>
          <w:p>
            <w:pPr>
              <w:spacing w:after="0"/>
              <w:rPr>
                <w:sz w:val="16"/>
                <w:szCs w:val="16"/>
                <w:color w:val="auto"/>
              </w:rPr>
            </w:pPr>
          </w:p>
        </w:tc>
        <w:tc>
          <w:tcPr>
            <w:tcW w:w="2540" w:type="dxa"/>
            <w:vAlign w:val="bottom"/>
            <w:tcBorders>
              <w:bottom w:val="single" w:sz="8" w:color="16479F"/>
            </w:tcBorders>
            <w:gridSpan w:val="3"/>
          </w:tcPr>
          <w:p>
            <w:pPr>
              <w:jc w:val="right"/>
              <w:ind w:right="164"/>
              <w:spacing w:after="0"/>
              <w:rPr>
                <w:sz w:val="20"/>
                <w:szCs w:val="20"/>
                <w:color w:val="auto"/>
              </w:rPr>
            </w:pPr>
            <w:r>
              <w:rPr>
                <w:rFonts w:ascii="Arial" w:cs="Arial" w:eastAsia="Arial" w:hAnsi="Arial"/>
                <w:sz w:val="14"/>
                <w:szCs w:val="14"/>
                <w:b w:val="1"/>
                <w:bCs w:val="1"/>
                <w:color w:val="auto"/>
              </w:rPr>
              <w:t>Performance Period: 2019-2022</w:t>
            </w:r>
          </w:p>
        </w:tc>
      </w:tr>
      <w:tr>
        <w:trPr>
          <w:trHeight w:val="208"/>
        </w:trPr>
        <w:tc>
          <w:tcPr>
            <w:tcW w:w="8700" w:type="dxa"/>
            <w:vAlign w:val="bottom"/>
            <w:tcBorders>
              <w:bottom w:val="single" w:sz="8" w:color="16479F"/>
            </w:tcBorders>
          </w:tcPr>
          <w:p>
            <w:pPr>
              <w:ind w:left="60"/>
              <w:spacing w:after="0"/>
              <w:rPr>
                <w:sz w:val="20"/>
                <w:szCs w:val="20"/>
                <w:color w:val="auto"/>
              </w:rPr>
            </w:pPr>
            <w:r>
              <w:rPr>
                <w:rFonts w:ascii="Arial" w:cs="Arial" w:eastAsia="Arial" w:hAnsi="Arial"/>
                <w:sz w:val="14"/>
                <w:szCs w:val="14"/>
                <w:b w:val="1"/>
                <w:bCs w:val="1"/>
                <w:color w:val="auto"/>
              </w:rPr>
              <w:t>Performance Metric</w:t>
            </w:r>
          </w:p>
        </w:tc>
        <w:tc>
          <w:tcPr>
            <w:tcW w:w="640" w:type="dxa"/>
            <w:vAlign w:val="bottom"/>
            <w:tcBorders>
              <w:bottom w:val="single" w:sz="8" w:color="16479F"/>
            </w:tcBorders>
          </w:tcPr>
          <w:p>
            <w:pPr>
              <w:jc w:val="center"/>
              <w:ind w:right="26"/>
              <w:spacing w:after="0"/>
              <w:rPr>
                <w:sz w:val="20"/>
                <w:szCs w:val="20"/>
                <w:color w:val="auto"/>
              </w:rPr>
            </w:pPr>
            <w:r>
              <w:rPr>
                <w:rFonts w:ascii="Arial" w:cs="Arial" w:eastAsia="Arial" w:hAnsi="Arial"/>
                <w:sz w:val="14"/>
                <w:szCs w:val="14"/>
                <w:b w:val="1"/>
                <w:bCs w:val="1"/>
                <w:color w:val="auto"/>
                <w:w w:val="98"/>
              </w:rPr>
              <w:t>Target</w:t>
            </w:r>
          </w:p>
        </w:tc>
        <w:tc>
          <w:tcPr>
            <w:tcW w:w="1100" w:type="dxa"/>
            <w:vAlign w:val="bottom"/>
            <w:tcBorders>
              <w:bottom w:val="single" w:sz="8" w:color="16479F"/>
            </w:tcBorders>
          </w:tcPr>
          <w:p>
            <w:pPr>
              <w:jc w:val="right"/>
              <w:ind w:right="24"/>
              <w:spacing w:after="0"/>
              <w:rPr>
                <w:sz w:val="20"/>
                <w:szCs w:val="20"/>
                <w:color w:val="auto"/>
              </w:rPr>
            </w:pPr>
            <w:r>
              <w:rPr>
                <w:rFonts w:ascii="Arial" w:cs="Arial" w:eastAsia="Arial" w:hAnsi="Arial"/>
                <w:sz w:val="14"/>
                <w:szCs w:val="14"/>
                <w:b w:val="1"/>
                <w:bCs w:val="1"/>
                <w:color w:val="auto"/>
              </w:rPr>
              <w:t>Achievement</w:t>
            </w:r>
          </w:p>
        </w:tc>
        <w:tc>
          <w:tcPr>
            <w:tcW w:w="800" w:type="dxa"/>
            <w:vAlign w:val="bottom"/>
            <w:tcBorders>
              <w:bottom w:val="single" w:sz="8" w:color="16479F"/>
            </w:tcBorders>
          </w:tcPr>
          <w:p>
            <w:pPr>
              <w:jc w:val="right"/>
              <w:spacing w:after="0"/>
              <w:rPr>
                <w:sz w:val="20"/>
                <w:szCs w:val="20"/>
                <w:color w:val="auto"/>
              </w:rPr>
            </w:pPr>
            <w:r>
              <w:rPr>
                <w:rFonts w:ascii="Arial" w:cs="Arial" w:eastAsia="Arial" w:hAnsi="Arial"/>
                <w:sz w:val="14"/>
                <w:szCs w:val="14"/>
                <w:b w:val="1"/>
                <w:bCs w:val="1"/>
                <w:color w:val="auto"/>
              </w:rPr>
              <w:t>% Payout</w:t>
            </w:r>
          </w:p>
        </w:tc>
      </w:tr>
      <w:tr>
        <w:trPr>
          <w:trHeight w:val="234"/>
        </w:trPr>
        <w:tc>
          <w:tcPr>
            <w:tcW w:w="8700" w:type="dxa"/>
            <w:vAlign w:val="bottom"/>
            <w:tcBorders>
              <w:bottom w:val="single" w:sz="8" w:color="auto"/>
            </w:tcBorders>
            <w:shd w:val="clear" w:color="auto" w:fill="F0F1F8"/>
          </w:tcPr>
          <w:p>
            <w:pPr>
              <w:ind w:left="60"/>
              <w:spacing w:after="0"/>
              <w:rPr>
                <w:sz w:val="20"/>
                <w:szCs w:val="20"/>
                <w:color w:val="auto"/>
              </w:rPr>
            </w:pPr>
            <w:r>
              <w:rPr>
                <w:rFonts w:ascii="Arial" w:cs="Arial" w:eastAsia="Arial" w:hAnsi="Arial"/>
                <w:sz w:val="16"/>
                <w:szCs w:val="16"/>
                <w:color w:val="auto"/>
              </w:rPr>
              <w:t>TSR CAGR</w:t>
            </w:r>
          </w:p>
        </w:tc>
        <w:tc>
          <w:tcPr>
            <w:tcW w:w="640" w:type="dxa"/>
            <w:vAlign w:val="bottom"/>
            <w:tcBorders>
              <w:bottom w:val="single" w:sz="8" w:color="auto"/>
            </w:tcBorders>
            <w:shd w:val="clear" w:color="auto" w:fill="F0F1F8"/>
          </w:tcPr>
          <w:p>
            <w:pPr>
              <w:jc w:val="right"/>
              <w:ind w:right="26"/>
              <w:spacing w:after="0"/>
              <w:rPr>
                <w:sz w:val="20"/>
                <w:szCs w:val="20"/>
                <w:color w:val="auto"/>
              </w:rPr>
            </w:pPr>
            <w:r>
              <w:rPr>
                <w:rFonts w:ascii="Arial" w:cs="Arial" w:eastAsia="Arial" w:hAnsi="Arial"/>
                <w:sz w:val="16"/>
                <w:szCs w:val="16"/>
                <w:color w:val="auto"/>
                <w:w w:val="95"/>
              </w:rPr>
              <w:t>10.00%</w:t>
            </w:r>
          </w:p>
        </w:tc>
        <w:tc>
          <w:tcPr>
            <w:tcW w:w="1100" w:type="dxa"/>
            <w:vAlign w:val="bottom"/>
            <w:tcBorders>
              <w:bottom w:val="single" w:sz="8" w:color="auto"/>
            </w:tcBorders>
            <w:shd w:val="clear" w:color="auto" w:fill="F0F1F8"/>
          </w:tcPr>
          <w:p>
            <w:pPr>
              <w:jc w:val="right"/>
              <w:ind w:right="24"/>
              <w:spacing w:after="0"/>
              <w:rPr>
                <w:sz w:val="20"/>
                <w:szCs w:val="20"/>
                <w:color w:val="auto"/>
              </w:rPr>
            </w:pPr>
            <w:r>
              <w:rPr>
                <w:rFonts w:ascii="Arial" w:cs="Arial" w:eastAsia="Arial" w:hAnsi="Arial"/>
                <w:sz w:val="16"/>
                <w:szCs w:val="16"/>
                <w:color w:val="auto"/>
              </w:rPr>
              <w:t>≥ 30.00%</w:t>
            </w:r>
          </w:p>
        </w:tc>
        <w:tc>
          <w:tcPr>
            <w:tcW w:w="800" w:type="dxa"/>
            <w:vAlign w:val="bottom"/>
            <w:tcBorders>
              <w:bottom w:val="single" w:sz="8" w:color="auto"/>
            </w:tcBorders>
            <w:shd w:val="clear" w:color="auto" w:fill="F0F1F8"/>
          </w:tcPr>
          <w:p>
            <w:pPr>
              <w:jc w:val="right"/>
              <w:spacing w:after="0"/>
              <w:rPr>
                <w:sz w:val="20"/>
                <w:szCs w:val="20"/>
                <w:color w:val="auto"/>
              </w:rPr>
            </w:pPr>
            <w:r>
              <w:rPr>
                <w:rFonts w:ascii="Arial" w:cs="Arial" w:eastAsia="Arial" w:hAnsi="Arial"/>
                <w:sz w:val="16"/>
                <w:szCs w:val="16"/>
                <w:color w:val="auto"/>
              </w:rPr>
              <w:t>300%</w:t>
            </w:r>
          </w:p>
        </w:tc>
      </w:tr>
    </w:tbl>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Following the performance adjustment, Mr. Fernandez received 80,187 PSUs, Mr. Wiechmann received 3,021 PSUs, Mr. Pettit received 37,008 PSUs, Mr.</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Crum received 10,854 PSUs and Mr. Gutowski received 3,021 PSUs, which such PSUs vested and converted to shares on February 7, 2022.</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b w:val="1"/>
          <w:bCs w:val="1"/>
          <w:color w:val="16479F"/>
        </w:rPr>
        <w:t>2022 Long-Term Equity Incentive Compensation Program</w:t>
      </w:r>
    </w:p>
    <w:p>
      <w:pPr>
        <w:spacing w:after="0" w:line="248"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In order to continue to promote the alignment of executive compensation and long-term shareholder value creation, the Compensation Committee adopted enhancements to the Company’s long-term equity incentive compensation program for 2022, while continuing to place a strong emphasis on maintaining and enhancing our “owner-operator” culture by granting a significant portion of equity incentive awards in the form of performance-based awards, specifically PSUs and PSOs.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Additional information on our 2022 LTIP is provided in the section titled “Key 2022 Compensation Decisions” on page 61 of this Proxy Statement.</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b w:val="1"/>
          <w:bCs w:val="1"/>
          <w:color w:val="16479F"/>
        </w:rPr>
        <w:t>2022 Equity Mix</w:t>
      </w:r>
    </w:p>
    <w:p>
      <w:pPr>
        <w:spacing w:after="0" w:line="273" w:lineRule="exact"/>
        <w:rPr>
          <w:sz w:val="20"/>
          <w:szCs w:val="20"/>
          <w:color w:val="auto"/>
        </w:rPr>
      </w:pPr>
    </w:p>
    <w:p>
      <w:pPr>
        <w:ind w:left="60"/>
        <w:spacing w:after="0"/>
        <w:tabs>
          <w:tab w:leader="none" w:pos="8940" w:val="left"/>
          <w:tab w:leader="none" w:pos="9480" w:val="left"/>
          <w:tab w:leader="none" w:pos="10360" w:val="left"/>
        </w:tabs>
        <w:rPr>
          <w:sz w:val="20"/>
          <w:szCs w:val="20"/>
          <w:color w:val="auto"/>
        </w:rPr>
      </w:pPr>
      <w:r>
        <w:rPr>
          <w:rFonts w:ascii="Arial" w:cs="Arial" w:eastAsia="Arial" w:hAnsi="Arial"/>
          <w:sz w:val="14"/>
          <w:szCs w:val="14"/>
          <w:b w:val="1"/>
          <w:bCs w:val="1"/>
          <w:color w:val="auto"/>
        </w:rPr>
        <w:t>Vehicle</w:t>
      </w:r>
      <w:r>
        <w:rPr>
          <w:sz w:val="20"/>
          <w:szCs w:val="20"/>
          <w:color w:val="auto"/>
        </w:rPr>
        <w:tab/>
      </w:r>
      <w:r>
        <w:rPr>
          <w:rFonts w:ascii="Arial" w:cs="Arial" w:eastAsia="Arial" w:hAnsi="Arial"/>
          <w:sz w:val="14"/>
          <w:szCs w:val="14"/>
          <w:b w:val="1"/>
          <w:bCs w:val="1"/>
          <w:color w:val="auto"/>
        </w:rPr>
        <w:t>CEO</w:t>
        <w:tab/>
        <w:t>President</w:t>
        <w:tab/>
        <w:t>Other NEOs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960" w:type="dxa"/>
            <w:vAlign w:val="bottom"/>
            <w:tcBorders>
              <w:top w:val="single" w:sz="8" w:color="16479F"/>
            </w:tcBorders>
            <w:shd w:val="clear" w:color="auto" w:fill="F0F1F8"/>
          </w:tcPr>
          <w:p>
            <w:pPr>
              <w:ind w:left="60"/>
              <w:spacing w:after="0"/>
              <w:rPr>
                <w:sz w:val="20"/>
                <w:szCs w:val="20"/>
                <w:color w:val="auto"/>
              </w:rPr>
            </w:pPr>
            <w:r>
              <w:rPr>
                <w:rFonts w:ascii="Arial" w:cs="Arial" w:eastAsia="Arial" w:hAnsi="Arial"/>
                <w:sz w:val="16"/>
                <w:szCs w:val="16"/>
                <w:color w:val="auto"/>
              </w:rPr>
              <w:t>RSUs</w:t>
            </w:r>
          </w:p>
        </w:tc>
        <w:tc>
          <w:tcPr>
            <w:tcW w:w="4580" w:type="dxa"/>
            <w:vAlign w:val="bottom"/>
            <w:tcBorders>
              <w:top w:val="single" w:sz="8" w:color="16479F"/>
            </w:tcBorders>
            <w:shd w:val="clear" w:color="auto" w:fill="F0F1F8"/>
          </w:tcPr>
          <w:p>
            <w:pPr>
              <w:jc w:val="right"/>
              <w:ind w:right="200"/>
              <w:spacing w:after="0"/>
              <w:rPr>
                <w:sz w:val="20"/>
                <w:szCs w:val="20"/>
                <w:color w:val="auto"/>
              </w:rPr>
            </w:pPr>
            <w:r>
              <w:rPr>
                <w:rFonts w:ascii="Arial" w:cs="Arial" w:eastAsia="Arial" w:hAnsi="Arial"/>
                <w:sz w:val="16"/>
                <w:szCs w:val="16"/>
                <w:color w:val="auto"/>
              </w:rPr>
              <w:t>0%</w:t>
            </w:r>
          </w:p>
        </w:tc>
        <w:tc>
          <w:tcPr>
            <w:tcW w:w="960" w:type="dxa"/>
            <w:vAlign w:val="bottom"/>
            <w:tcBorders>
              <w:top w:val="single" w:sz="8" w:color="16479F"/>
            </w:tcBorders>
            <w:shd w:val="clear" w:color="auto" w:fill="F0F1F8"/>
          </w:tcPr>
          <w:p>
            <w:pPr>
              <w:jc w:val="right"/>
              <w:ind w:right="280"/>
              <w:spacing w:after="0"/>
              <w:rPr>
                <w:sz w:val="20"/>
                <w:szCs w:val="20"/>
                <w:color w:val="auto"/>
              </w:rPr>
            </w:pPr>
            <w:r>
              <w:rPr>
                <w:rFonts w:ascii="Arial" w:cs="Arial" w:eastAsia="Arial" w:hAnsi="Arial"/>
                <w:sz w:val="16"/>
                <w:szCs w:val="16"/>
                <w:color w:val="auto"/>
              </w:rPr>
              <w:t>0%</w:t>
            </w:r>
          </w:p>
        </w:tc>
        <w:tc>
          <w:tcPr>
            <w:tcW w:w="740" w:type="dxa"/>
            <w:vAlign w:val="bottom"/>
            <w:tcBorders>
              <w:top w:val="single" w:sz="8" w:color="16479F"/>
            </w:tcBorders>
            <w:shd w:val="clear" w:color="auto" w:fill="F0F1F8"/>
          </w:tcPr>
          <w:p>
            <w:pPr>
              <w:jc w:val="right"/>
              <w:spacing w:after="0"/>
              <w:rPr>
                <w:sz w:val="20"/>
                <w:szCs w:val="20"/>
                <w:color w:val="auto"/>
              </w:rPr>
            </w:pPr>
            <w:r>
              <w:rPr>
                <w:rFonts w:ascii="Arial" w:cs="Arial" w:eastAsia="Arial" w:hAnsi="Arial"/>
                <w:sz w:val="16"/>
                <w:szCs w:val="16"/>
                <w:color w:val="auto"/>
              </w:rPr>
              <w:t>30%</w:t>
            </w:r>
          </w:p>
        </w:tc>
      </w:tr>
      <w:tr>
        <w:trPr>
          <w:trHeight w:val="232"/>
        </w:trPr>
        <w:tc>
          <w:tcPr>
            <w:tcW w:w="4960" w:type="dxa"/>
            <w:vAlign w:val="bottom"/>
          </w:tcPr>
          <w:p>
            <w:pPr>
              <w:ind w:left="60"/>
              <w:spacing w:after="0"/>
              <w:rPr>
                <w:sz w:val="20"/>
                <w:szCs w:val="20"/>
                <w:color w:val="auto"/>
              </w:rPr>
            </w:pPr>
            <w:r>
              <w:rPr>
                <w:rFonts w:ascii="Arial" w:cs="Arial" w:eastAsia="Arial" w:hAnsi="Arial"/>
                <w:sz w:val="16"/>
                <w:szCs w:val="16"/>
                <w:color w:val="auto"/>
              </w:rPr>
              <w:t>3-Year PSUs</w:t>
            </w:r>
          </w:p>
        </w:tc>
        <w:tc>
          <w:tcPr>
            <w:tcW w:w="4580" w:type="dxa"/>
            <w:vAlign w:val="bottom"/>
          </w:tcPr>
          <w:p>
            <w:pPr>
              <w:jc w:val="right"/>
              <w:ind w:right="200"/>
              <w:spacing w:after="0"/>
              <w:rPr>
                <w:sz w:val="20"/>
                <w:szCs w:val="20"/>
                <w:color w:val="auto"/>
              </w:rPr>
            </w:pPr>
            <w:r>
              <w:rPr>
                <w:rFonts w:ascii="Arial" w:cs="Arial" w:eastAsia="Arial" w:hAnsi="Arial"/>
                <w:sz w:val="16"/>
                <w:szCs w:val="16"/>
                <w:color w:val="auto"/>
              </w:rPr>
              <w:t>50%</w:t>
            </w:r>
          </w:p>
        </w:tc>
        <w:tc>
          <w:tcPr>
            <w:tcW w:w="960" w:type="dxa"/>
            <w:vAlign w:val="bottom"/>
          </w:tcPr>
          <w:p>
            <w:pPr>
              <w:jc w:val="right"/>
              <w:ind w:right="280"/>
              <w:spacing w:after="0"/>
              <w:rPr>
                <w:sz w:val="20"/>
                <w:szCs w:val="20"/>
                <w:color w:val="auto"/>
              </w:rPr>
            </w:pPr>
            <w:r>
              <w:rPr>
                <w:rFonts w:ascii="Arial" w:cs="Arial" w:eastAsia="Arial" w:hAnsi="Arial"/>
                <w:sz w:val="16"/>
                <w:szCs w:val="16"/>
                <w:color w:val="auto"/>
              </w:rPr>
              <w:t>50%</w:t>
            </w:r>
          </w:p>
        </w:tc>
        <w:tc>
          <w:tcPr>
            <w:tcW w:w="74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44"/>
        </w:trPr>
        <w:tc>
          <w:tcPr>
            <w:tcW w:w="4960" w:type="dxa"/>
            <w:vAlign w:val="bottom"/>
            <w:tcBorders>
              <w:bottom w:val="single" w:sz="8" w:color="auto"/>
            </w:tcBorders>
            <w:shd w:val="clear" w:color="auto" w:fill="F0F1F8"/>
          </w:tcPr>
          <w:p>
            <w:pPr>
              <w:ind w:left="60"/>
              <w:spacing w:after="0"/>
              <w:rPr>
                <w:sz w:val="20"/>
                <w:szCs w:val="20"/>
                <w:color w:val="auto"/>
              </w:rPr>
            </w:pPr>
            <w:r>
              <w:rPr>
                <w:rFonts w:ascii="Arial" w:cs="Arial" w:eastAsia="Arial" w:hAnsi="Arial"/>
                <w:sz w:val="16"/>
                <w:szCs w:val="16"/>
                <w:color w:val="auto"/>
              </w:rPr>
              <w:t>PSOs</w:t>
            </w:r>
          </w:p>
        </w:tc>
        <w:tc>
          <w:tcPr>
            <w:tcW w:w="4580" w:type="dxa"/>
            <w:vAlign w:val="bottom"/>
            <w:tcBorders>
              <w:bottom w:val="single" w:sz="8" w:color="auto"/>
            </w:tcBorders>
            <w:shd w:val="clear" w:color="auto" w:fill="F0F1F8"/>
          </w:tcPr>
          <w:p>
            <w:pPr>
              <w:jc w:val="right"/>
              <w:ind w:right="200"/>
              <w:spacing w:after="0"/>
              <w:rPr>
                <w:sz w:val="20"/>
                <w:szCs w:val="20"/>
                <w:color w:val="auto"/>
              </w:rPr>
            </w:pPr>
            <w:r>
              <w:rPr>
                <w:rFonts w:ascii="Arial" w:cs="Arial" w:eastAsia="Arial" w:hAnsi="Arial"/>
                <w:sz w:val="16"/>
                <w:szCs w:val="16"/>
                <w:color w:val="auto"/>
              </w:rPr>
              <w:t>50%</w:t>
            </w:r>
          </w:p>
        </w:tc>
        <w:tc>
          <w:tcPr>
            <w:tcW w:w="960" w:type="dxa"/>
            <w:vAlign w:val="bottom"/>
            <w:tcBorders>
              <w:bottom w:val="single" w:sz="8" w:color="auto"/>
            </w:tcBorders>
            <w:shd w:val="clear" w:color="auto" w:fill="F0F1F8"/>
          </w:tcPr>
          <w:p>
            <w:pPr>
              <w:jc w:val="right"/>
              <w:ind w:right="280"/>
              <w:spacing w:after="0"/>
              <w:rPr>
                <w:sz w:val="20"/>
                <w:szCs w:val="20"/>
                <w:color w:val="auto"/>
              </w:rPr>
            </w:pPr>
            <w:r>
              <w:rPr>
                <w:rFonts w:ascii="Arial" w:cs="Arial" w:eastAsia="Arial" w:hAnsi="Arial"/>
                <w:sz w:val="16"/>
                <w:szCs w:val="16"/>
                <w:color w:val="auto"/>
              </w:rPr>
              <w:t>50%</w:t>
            </w:r>
          </w:p>
        </w:tc>
        <w:tc>
          <w:tcPr>
            <w:tcW w:w="740" w:type="dxa"/>
            <w:vAlign w:val="bottom"/>
            <w:tcBorders>
              <w:bottom w:val="single" w:sz="8" w:color="auto"/>
            </w:tcBorders>
            <w:shd w:val="clear" w:color="auto" w:fill="F0F1F8"/>
          </w:tcPr>
          <w:p>
            <w:pPr>
              <w:jc w:val="right"/>
              <w:spacing w:after="0"/>
              <w:rPr>
                <w:sz w:val="20"/>
                <w:szCs w:val="20"/>
                <w:color w:val="auto"/>
              </w:rPr>
            </w:pPr>
            <w:r>
              <w:rPr>
                <w:rFonts w:ascii="Arial" w:cs="Arial" w:eastAsia="Arial" w:hAnsi="Arial"/>
                <w:sz w:val="16"/>
                <w:szCs w:val="16"/>
                <w:color w:val="auto"/>
              </w:rPr>
              <w:t>35%</w:t>
            </w:r>
          </w:p>
        </w:tc>
      </w:tr>
    </w:tbl>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forth the target value for each NEO’s 2022 annual equity awards: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4040" w:type="dxa"/>
            <w:vAlign w:val="bottom"/>
          </w:tcPr>
          <w:p>
            <w:pPr>
              <w:jc w:val="right"/>
              <w:ind w:right="22"/>
              <w:spacing w:after="0"/>
              <w:rPr>
                <w:sz w:val="20"/>
                <w:szCs w:val="20"/>
                <w:color w:val="auto"/>
              </w:rPr>
            </w:pPr>
            <w:r>
              <w:rPr>
                <w:rFonts w:ascii="Arial" w:cs="Arial" w:eastAsia="Arial" w:hAnsi="Arial"/>
                <w:sz w:val="14"/>
                <w:szCs w:val="14"/>
                <w:b w:val="1"/>
                <w:bCs w:val="1"/>
                <w:color w:val="auto"/>
              </w:rPr>
              <w:t>RSUs</w:t>
            </w:r>
          </w:p>
        </w:tc>
        <w:tc>
          <w:tcPr>
            <w:tcW w:w="1140" w:type="dxa"/>
            <w:vAlign w:val="bottom"/>
          </w:tcPr>
          <w:p>
            <w:pPr>
              <w:jc w:val="right"/>
              <w:ind w:right="22"/>
              <w:spacing w:after="0"/>
              <w:rPr>
                <w:sz w:val="20"/>
                <w:szCs w:val="20"/>
                <w:color w:val="auto"/>
              </w:rPr>
            </w:pPr>
            <w:r>
              <w:rPr>
                <w:rFonts w:ascii="Arial" w:cs="Arial" w:eastAsia="Arial" w:hAnsi="Arial"/>
                <w:sz w:val="14"/>
                <w:szCs w:val="14"/>
                <w:b w:val="1"/>
                <w:bCs w:val="1"/>
                <w:color w:val="auto"/>
              </w:rPr>
              <w:t>3-YEAR PSUs</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PSOs</w:t>
            </w:r>
          </w:p>
        </w:tc>
      </w:tr>
      <w:tr>
        <w:trPr>
          <w:trHeight w:val="195"/>
        </w:trPr>
        <w:tc>
          <w:tcPr>
            <w:tcW w:w="5180" w:type="dxa"/>
            <w:vAlign w:val="bottom"/>
            <w:tcBorders>
              <w:bottom w:val="single" w:sz="8" w:color="16479F"/>
            </w:tcBorders>
          </w:tcPr>
          <w:p>
            <w:pPr>
              <w:ind w:left="60"/>
              <w:spacing w:after="0"/>
              <w:rPr>
                <w:sz w:val="20"/>
                <w:szCs w:val="20"/>
                <w:color w:val="auto"/>
              </w:rPr>
            </w:pPr>
            <w:r>
              <w:rPr>
                <w:rFonts w:ascii="Arial" w:cs="Arial" w:eastAsia="Arial" w:hAnsi="Arial"/>
                <w:sz w:val="14"/>
                <w:szCs w:val="14"/>
                <w:b w:val="1"/>
                <w:bCs w:val="1"/>
                <w:color w:val="auto"/>
              </w:rPr>
              <w:t>Name</w:t>
            </w:r>
          </w:p>
        </w:tc>
        <w:tc>
          <w:tcPr>
            <w:tcW w:w="4040" w:type="dxa"/>
            <w:vAlign w:val="bottom"/>
            <w:tcBorders>
              <w:bottom w:val="single" w:sz="8" w:color="16479F"/>
            </w:tcBorders>
          </w:tcPr>
          <w:p>
            <w:pPr>
              <w:jc w:val="right"/>
              <w:ind w:right="22"/>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16479F"/>
            </w:tcBorders>
          </w:tcPr>
          <w:p>
            <w:pPr>
              <w:jc w:val="right"/>
              <w:ind w:right="22"/>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16479F"/>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240"/>
        </w:trPr>
        <w:tc>
          <w:tcPr>
            <w:tcW w:w="5180" w:type="dxa"/>
            <w:vAlign w:val="bottom"/>
            <w:shd w:val="clear" w:color="auto" w:fill="F0F1F8"/>
          </w:tcPr>
          <w:p>
            <w:pPr>
              <w:ind w:left="60"/>
              <w:spacing w:after="0"/>
              <w:rPr>
                <w:sz w:val="20"/>
                <w:szCs w:val="20"/>
                <w:color w:val="auto"/>
              </w:rPr>
            </w:pPr>
            <w:r>
              <w:rPr>
                <w:rFonts w:ascii="Arial" w:cs="Arial" w:eastAsia="Arial" w:hAnsi="Arial"/>
                <w:sz w:val="16"/>
                <w:szCs w:val="16"/>
                <w:b w:val="1"/>
                <w:bCs w:val="1"/>
                <w:color w:val="auto"/>
              </w:rPr>
              <w:t>Henry A. Fernandez</w:t>
            </w:r>
          </w:p>
        </w:tc>
        <w:tc>
          <w:tcPr>
            <w:tcW w:w="4040" w:type="dxa"/>
            <w:vAlign w:val="bottom"/>
            <w:shd w:val="clear" w:color="auto" w:fill="F0F1F8"/>
          </w:tcPr>
          <w:p>
            <w:pPr>
              <w:jc w:val="right"/>
              <w:ind w:right="22"/>
              <w:spacing w:after="0"/>
              <w:rPr>
                <w:sz w:val="20"/>
                <w:szCs w:val="20"/>
                <w:color w:val="auto"/>
              </w:rPr>
            </w:pPr>
            <w:r>
              <w:rPr>
                <w:rFonts w:ascii="Arial" w:cs="Arial" w:eastAsia="Arial" w:hAnsi="Arial"/>
                <w:sz w:val="16"/>
                <w:szCs w:val="16"/>
                <w:color w:val="auto"/>
              </w:rPr>
              <w:t>—</w:t>
            </w:r>
          </w:p>
        </w:tc>
        <w:tc>
          <w:tcPr>
            <w:tcW w:w="1140" w:type="dxa"/>
            <w:vAlign w:val="bottom"/>
            <w:shd w:val="clear" w:color="auto" w:fill="F0F1F8"/>
          </w:tcPr>
          <w:p>
            <w:pPr>
              <w:jc w:val="right"/>
              <w:ind w:right="22"/>
              <w:spacing w:after="0"/>
              <w:rPr>
                <w:sz w:val="20"/>
                <w:szCs w:val="20"/>
                <w:color w:val="auto"/>
              </w:rPr>
            </w:pPr>
            <w:r>
              <w:rPr>
                <w:rFonts w:ascii="Arial" w:cs="Arial" w:eastAsia="Arial" w:hAnsi="Arial"/>
                <w:sz w:val="16"/>
                <w:szCs w:val="16"/>
                <w:color w:val="auto"/>
              </w:rPr>
              <w:t>5,000,000</w:t>
            </w:r>
          </w:p>
        </w:tc>
        <w:tc>
          <w:tcPr>
            <w:tcW w:w="880" w:type="dxa"/>
            <w:vAlign w:val="bottom"/>
            <w:shd w:val="clear" w:color="auto" w:fill="F0F1F8"/>
          </w:tcPr>
          <w:p>
            <w:pPr>
              <w:jc w:val="right"/>
              <w:spacing w:after="0"/>
              <w:rPr>
                <w:sz w:val="20"/>
                <w:szCs w:val="20"/>
                <w:color w:val="auto"/>
              </w:rPr>
            </w:pPr>
            <w:r>
              <w:rPr>
                <w:rFonts w:ascii="Arial" w:cs="Arial" w:eastAsia="Arial" w:hAnsi="Arial"/>
                <w:sz w:val="16"/>
                <w:szCs w:val="16"/>
                <w:color w:val="auto"/>
              </w:rPr>
              <w:t>5,000,000</w:t>
            </w:r>
          </w:p>
        </w:tc>
      </w:tr>
      <w:tr>
        <w:trPr>
          <w:trHeight w:val="232"/>
        </w:trPr>
        <w:tc>
          <w:tcPr>
            <w:tcW w:w="5180" w:type="dxa"/>
            <w:vAlign w:val="bottom"/>
          </w:tcPr>
          <w:p>
            <w:pPr>
              <w:ind w:left="60"/>
              <w:spacing w:after="0"/>
              <w:rPr>
                <w:sz w:val="20"/>
                <w:szCs w:val="20"/>
                <w:color w:val="auto"/>
              </w:rPr>
            </w:pPr>
            <w:r>
              <w:rPr>
                <w:rFonts w:ascii="Arial" w:cs="Arial" w:eastAsia="Arial" w:hAnsi="Arial"/>
                <w:sz w:val="16"/>
                <w:szCs w:val="16"/>
                <w:b w:val="1"/>
                <w:bCs w:val="1"/>
                <w:color w:val="auto"/>
              </w:rPr>
              <w:t>Andrew C. Wiechmann</w:t>
            </w:r>
          </w:p>
        </w:tc>
        <w:tc>
          <w:tcPr>
            <w:tcW w:w="4040" w:type="dxa"/>
            <w:vAlign w:val="bottom"/>
          </w:tcPr>
          <w:p>
            <w:pPr>
              <w:jc w:val="right"/>
              <w:ind w:right="22"/>
              <w:spacing w:after="0"/>
              <w:rPr>
                <w:sz w:val="20"/>
                <w:szCs w:val="20"/>
                <w:color w:val="auto"/>
              </w:rPr>
            </w:pPr>
            <w:r>
              <w:rPr>
                <w:rFonts w:ascii="Arial" w:cs="Arial" w:eastAsia="Arial" w:hAnsi="Arial"/>
                <w:sz w:val="16"/>
                <w:szCs w:val="16"/>
                <w:color w:val="auto"/>
              </w:rPr>
              <w:t>390,000</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455,000</w:t>
            </w:r>
          </w:p>
        </w:tc>
        <w:tc>
          <w:tcPr>
            <w:tcW w:w="880" w:type="dxa"/>
            <w:vAlign w:val="bottom"/>
          </w:tcPr>
          <w:p>
            <w:pPr>
              <w:jc w:val="right"/>
              <w:spacing w:after="0"/>
              <w:rPr>
                <w:sz w:val="20"/>
                <w:szCs w:val="20"/>
                <w:color w:val="auto"/>
              </w:rPr>
            </w:pPr>
            <w:r>
              <w:rPr>
                <w:rFonts w:ascii="Arial" w:cs="Arial" w:eastAsia="Arial" w:hAnsi="Arial"/>
                <w:sz w:val="16"/>
                <w:szCs w:val="16"/>
                <w:color w:val="auto"/>
              </w:rPr>
              <w:t>455,000</w:t>
            </w:r>
          </w:p>
        </w:tc>
      </w:tr>
      <w:tr>
        <w:trPr>
          <w:trHeight w:val="250"/>
        </w:trPr>
        <w:tc>
          <w:tcPr>
            <w:tcW w:w="5180" w:type="dxa"/>
            <w:vAlign w:val="bottom"/>
            <w:shd w:val="clear" w:color="auto" w:fill="F0F1F8"/>
          </w:tcPr>
          <w:p>
            <w:pPr>
              <w:ind w:left="60"/>
              <w:spacing w:after="0"/>
              <w:rPr>
                <w:sz w:val="20"/>
                <w:szCs w:val="20"/>
                <w:color w:val="auto"/>
              </w:rPr>
            </w:pPr>
            <w:r>
              <w:rPr>
                <w:rFonts w:ascii="Arial" w:cs="Arial" w:eastAsia="Arial" w:hAnsi="Arial"/>
                <w:sz w:val="16"/>
                <w:szCs w:val="16"/>
                <w:b w:val="1"/>
                <w:bCs w:val="1"/>
                <w:color w:val="auto"/>
              </w:rPr>
              <w:t>C.D. Baer Pettit</w:t>
            </w:r>
          </w:p>
        </w:tc>
        <w:tc>
          <w:tcPr>
            <w:tcW w:w="4040" w:type="dxa"/>
            <w:vAlign w:val="bottom"/>
            <w:shd w:val="clear" w:color="auto" w:fill="F0F1F8"/>
          </w:tcPr>
          <w:p>
            <w:pPr>
              <w:jc w:val="right"/>
              <w:ind w:right="22"/>
              <w:spacing w:after="0"/>
              <w:rPr>
                <w:sz w:val="20"/>
                <w:szCs w:val="20"/>
                <w:color w:val="auto"/>
              </w:rPr>
            </w:pPr>
            <w:r>
              <w:rPr>
                <w:rFonts w:ascii="Arial" w:cs="Arial" w:eastAsia="Arial" w:hAnsi="Arial"/>
                <w:sz w:val="16"/>
                <w:szCs w:val="16"/>
                <w:color w:val="auto"/>
              </w:rPr>
              <w:t>—</w:t>
            </w:r>
          </w:p>
        </w:tc>
        <w:tc>
          <w:tcPr>
            <w:tcW w:w="1140" w:type="dxa"/>
            <w:vAlign w:val="bottom"/>
            <w:shd w:val="clear" w:color="auto" w:fill="F0F1F8"/>
          </w:tcPr>
          <w:p>
            <w:pPr>
              <w:jc w:val="right"/>
              <w:ind w:right="22"/>
              <w:spacing w:after="0"/>
              <w:rPr>
                <w:sz w:val="20"/>
                <w:szCs w:val="20"/>
                <w:color w:val="auto"/>
              </w:rPr>
            </w:pPr>
            <w:r>
              <w:rPr>
                <w:rFonts w:ascii="Arial" w:cs="Arial" w:eastAsia="Arial" w:hAnsi="Arial"/>
                <w:sz w:val="16"/>
                <w:szCs w:val="16"/>
                <w:color w:val="auto"/>
              </w:rPr>
              <w:t>2,750,000</w:t>
            </w:r>
          </w:p>
        </w:tc>
        <w:tc>
          <w:tcPr>
            <w:tcW w:w="880" w:type="dxa"/>
            <w:vAlign w:val="bottom"/>
            <w:shd w:val="clear" w:color="auto" w:fill="F0F1F8"/>
          </w:tcPr>
          <w:p>
            <w:pPr>
              <w:jc w:val="right"/>
              <w:spacing w:after="0"/>
              <w:rPr>
                <w:sz w:val="20"/>
                <w:szCs w:val="20"/>
                <w:color w:val="auto"/>
              </w:rPr>
            </w:pPr>
            <w:r>
              <w:rPr>
                <w:rFonts w:ascii="Arial" w:cs="Arial" w:eastAsia="Arial" w:hAnsi="Arial"/>
                <w:sz w:val="16"/>
                <w:szCs w:val="16"/>
                <w:color w:val="auto"/>
              </w:rPr>
              <w:t>2,750,000</w:t>
            </w:r>
          </w:p>
        </w:tc>
      </w:tr>
      <w:tr>
        <w:trPr>
          <w:trHeight w:val="232"/>
        </w:trPr>
        <w:tc>
          <w:tcPr>
            <w:tcW w:w="5180" w:type="dxa"/>
            <w:vAlign w:val="bottom"/>
          </w:tcPr>
          <w:p>
            <w:pPr>
              <w:ind w:left="60"/>
              <w:spacing w:after="0"/>
              <w:rPr>
                <w:sz w:val="20"/>
                <w:szCs w:val="20"/>
                <w:color w:val="auto"/>
              </w:rPr>
            </w:pPr>
            <w:r>
              <w:rPr>
                <w:rFonts w:ascii="Arial" w:cs="Arial" w:eastAsia="Arial" w:hAnsi="Arial"/>
                <w:sz w:val="16"/>
                <w:szCs w:val="16"/>
                <w:b w:val="1"/>
                <w:bCs w:val="1"/>
                <w:color w:val="auto"/>
              </w:rPr>
              <w:t>Scott A. Crum</w:t>
            </w:r>
          </w:p>
        </w:tc>
        <w:tc>
          <w:tcPr>
            <w:tcW w:w="4040" w:type="dxa"/>
            <w:vAlign w:val="bottom"/>
          </w:tcPr>
          <w:p>
            <w:pPr>
              <w:jc w:val="right"/>
              <w:ind w:right="22"/>
              <w:spacing w:after="0"/>
              <w:rPr>
                <w:sz w:val="20"/>
                <w:szCs w:val="20"/>
                <w:color w:val="auto"/>
              </w:rPr>
            </w:pPr>
            <w:r>
              <w:rPr>
                <w:rFonts w:ascii="Arial" w:cs="Arial" w:eastAsia="Arial" w:hAnsi="Arial"/>
                <w:sz w:val="16"/>
                <w:szCs w:val="16"/>
                <w:color w:val="auto"/>
              </w:rPr>
              <w:t>495,000</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577,500</w:t>
            </w:r>
          </w:p>
        </w:tc>
        <w:tc>
          <w:tcPr>
            <w:tcW w:w="880" w:type="dxa"/>
            <w:vAlign w:val="bottom"/>
          </w:tcPr>
          <w:p>
            <w:pPr>
              <w:jc w:val="right"/>
              <w:spacing w:after="0"/>
              <w:rPr>
                <w:sz w:val="20"/>
                <w:szCs w:val="20"/>
                <w:color w:val="auto"/>
              </w:rPr>
            </w:pPr>
            <w:r>
              <w:rPr>
                <w:rFonts w:ascii="Arial" w:cs="Arial" w:eastAsia="Arial" w:hAnsi="Arial"/>
                <w:sz w:val="16"/>
                <w:szCs w:val="16"/>
                <w:color w:val="auto"/>
              </w:rPr>
              <w:t>577,500</w:t>
            </w:r>
          </w:p>
        </w:tc>
      </w:tr>
      <w:tr>
        <w:trPr>
          <w:trHeight w:val="244"/>
        </w:trPr>
        <w:tc>
          <w:tcPr>
            <w:tcW w:w="5180" w:type="dxa"/>
            <w:vAlign w:val="bottom"/>
            <w:tcBorders>
              <w:bottom w:val="single" w:sz="8" w:color="auto"/>
            </w:tcBorders>
            <w:shd w:val="clear" w:color="auto" w:fill="F0F1F8"/>
          </w:tcPr>
          <w:p>
            <w:pPr>
              <w:ind w:left="60"/>
              <w:spacing w:after="0"/>
              <w:rPr>
                <w:sz w:val="20"/>
                <w:szCs w:val="20"/>
                <w:color w:val="auto"/>
              </w:rPr>
            </w:pPr>
            <w:r>
              <w:rPr>
                <w:rFonts w:ascii="Arial" w:cs="Arial" w:eastAsia="Arial" w:hAnsi="Arial"/>
                <w:sz w:val="16"/>
                <w:szCs w:val="16"/>
                <w:b w:val="1"/>
                <w:bCs w:val="1"/>
                <w:color w:val="auto"/>
              </w:rPr>
              <w:t>Robert J. Gutowski</w:t>
            </w:r>
          </w:p>
        </w:tc>
        <w:tc>
          <w:tcPr>
            <w:tcW w:w="4040" w:type="dxa"/>
            <w:vAlign w:val="bottom"/>
            <w:tcBorders>
              <w:bottom w:val="single" w:sz="8" w:color="auto"/>
            </w:tcBorders>
            <w:shd w:val="clear" w:color="auto" w:fill="F0F1F8"/>
          </w:tcPr>
          <w:p>
            <w:pPr>
              <w:jc w:val="right"/>
              <w:ind w:right="22"/>
              <w:spacing w:after="0"/>
              <w:rPr>
                <w:sz w:val="20"/>
                <w:szCs w:val="20"/>
                <w:color w:val="auto"/>
              </w:rPr>
            </w:pPr>
            <w:r>
              <w:rPr>
                <w:rFonts w:ascii="Arial" w:cs="Arial" w:eastAsia="Arial" w:hAnsi="Arial"/>
                <w:sz w:val="16"/>
                <w:szCs w:val="16"/>
                <w:color w:val="auto"/>
              </w:rPr>
              <w:t>360,000</w:t>
            </w:r>
          </w:p>
        </w:tc>
        <w:tc>
          <w:tcPr>
            <w:tcW w:w="1140" w:type="dxa"/>
            <w:vAlign w:val="bottom"/>
            <w:tcBorders>
              <w:bottom w:val="single" w:sz="8" w:color="auto"/>
            </w:tcBorders>
            <w:shd w:val="clear" w:color="auto" w:fill="F0F1F8"/>
          </w:tcPr>
          <w:p>
            <w:pPr>
              <w:jc w:val="right"/>
              <w:ind w:right="22"/>
              <w:spacing w:after="0"/>
              <w:rPr>
                <w:sz w:val="20"/>
                <w:szCs w:val="20"/>
                <w:color w:val="auto"/>
              </w:rPr>
            </w:pPr>
            <w:r>
              <w:rPr>
                <w:rFonts w:ascii="Arial" w:cs="Arial" w:eastAsia="Arial" w:hAnsi="Arial"/>
                <w:sz w:val="16"/>
                <w:szCs w:val="16"/>
                <w:color w:val="auto"/>
              </w:rPr>
              <w:t>420,000</w:t>
            </w:r>
          </w:p>
        </w:tc>
        <w:tc>
          <w:tcPr>
            <w:tcW w:w="880" w:type="dxa"/>
            <w:vAlign w:val="bottom"/>
            <w:tcBorders>
              <w:bottom w:val="single" w:sz="8" w:color="auto"/>
            </w:tcBorders>
            <w:shd w:val="clear" w:color="auto" w:fill="F0F1F8"/>
          </w:tcPr>
          <w:p>
            <w:pPr>
              <w:jc w:val="right"/>
              <w:spacing w:after="0"/>
              <w:rPr>
                <w:sz w:val="20"/>
                <w:szCs w:val="20"/>
                <w:color w:val="auto"/>
              </w:rPr>
            </w:pPr>
            <w:r>
              <w:rPr>
                <w:rFonts w:ascii="Arial" w:cs="Arial" w:eastAsia="Arial" w:hAnsi="Arial"/>
                <w:sz w:val="16"/>
                <w:szCs w:val="16"/>
                <w:color w:val="auto"/>
              </w:rPr>
              <w:t>420,000</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21"/>
          <w:szCs w:val="21"/>
          <w:b w:val="1"/>
          <w:bCs w:val="1"/>
          <w:color w:val="16479F"/>
        </w:rPr>
        <w:t>Benefits</w:t>
      </w:r>
    </w:p>
    <w:p>
      <w:pPr>
        <w:spacing w:after="0" w:line="248"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auto"/>
        </w:rPr>
        <w:t>The Company provides health, welfare and other benefits to remain competitive in hiring and retaining its employees. Our NEOs are eligible to participate in these benefit plans on the same terms and conditions as all other employees. We do not provide any special or enhanced benefits to our NEOs.</w:t>
      </w:r>
    </w:p>
    <w:p>
      <w:pPr>
        <w:spacing w:after="0" w:line="197" w:lineRule="exact"/>
        <w:rPr>
          <w:sz w:val="20"/>
          <w:szCs w:val="20"/>
          <w:color w:val="auto"/>
        </w:rPr>
      </w:pPr>
    </w:p>
    <w:p>
      <w:pPr>
        <w:ind w:right="300"/>
        <w:spacing w:after="0" w:line="250" w:lineRule="auto"/>
        <w:rPr>
          <w:sz w:val="20"/>
          <w:szCs w:val="20"/>
          <w:color w:val="auto"/>
        </w:rPr>
      </w:pPr>
      <w:r>
        <w:rPr>
          <w:rFonts w:ascii="Arial" w:cs="Arial" w:eastAsia="Arial" w:hAnsi="Arial"/>
          <w:sz w:val="16"/>
          <w:szCs w:val="16"/>
          <w:color w:val="auto"/>
        </w:rPr>
        <w:t>In the United States and the United Kingdom, the Company has established defined contribution plans for all eligible employees. Contributions by the Company to these defined contribution plans for our NEOs for the applicable period are disclosed in the “All Other Compensation” column in the Summary Compensation Table below.</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b w:val="1"/>
          <w:bCs w:val="1"/>
          <w:color w:val="16479F"/>
        </w:rPr>
        <w:t>Employment Agreements</w:t>
      </w:r>
    </w:p>
    <w:p>
      <w:pPr>
        <w:spacing w:after="0" w:line="248" w:lineRule="exact"/>
        <w:rPr>
          <w:sz w:val="20"/>
          <w:szCs w:val="20"/>
          <w:color w:val="auto"/>
        </w:rPr>
      </w:pPr>
    </w:p>
    <w:p>
      <w:pPr>
        <w:ind w:right="320"/>
        <w:spacing w:after="0" w:line="256" w:lineRule="auto"/>
        <w:rPr>
          <w:sz w:val="20"/>
          <w:szCs w:val="20"/>
          <w:color w:val="auto"/>
        </w:rPr>
      </w:pPr>
      <w:r>
        <w:rPr>
          <w:rFonts w:ascii="Arial" w:cs="Arial" w:eastAsia="Arial" w:hAnsi="Arial"/>
          <w:sz w:val="16"/>
          <w:szCs w:val="16"/>
          <w:color w:val="auto"/>
        </w:rPr>
        <w:t>All of the NEOs are employed on an “at-will” basis, and the Company does not have any individual employment agreements with the NEOs providing for a fixed duration of employment. As a result, the Company has the flexibility to alter or revise its compensation programs as circumstances dictate.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7154545" cy="209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00" w:type="dxa"/>
            <w:vAlign w:val="bottom"/>
            <w:tcBorders>
              <w:right w:val="single" w:sz="8" w:color="16479F"/>
            </w:tcBorders>
          </w:tcPr>
          <w:p>
            <w:pPr>
              <w:ind w:left="8700"/>
              <w:spacing w:after="0"/>
              <w:rPr>
                <w:sz w:val="20"/>
                <w:szCs w:val="20"/>
                <w:color w:val="auto"/>
              </w:rPr>
            </w:pPr>
            <w:r>
              <w:rPr>
                <w:rFonts w:ascii="Arial" w:cs="Arial" w:eastAsia="Arial" w:hAnsi="Arial"/>
                <w:sz w:val="14"/>
                <w:szCs w:val="14"/>
                <w:b w:val="1"/>
                <w:bCs w:val="1"/>
                <w:color w:val="16479F"/>
              </w:rPr>
              <w:t>2022 PROXY STATEMENT</w:t>
            </w:r>
          </w:p>
        </w:tc>
        <w:tc>
          <w:tcPr>
            <w:tcW w:w="640" w:type="dxa"/>
            <w:vAlign w:val="bottom"/>
          </w:tcPr>
          <w:p>
            <w:pPr>
              <w:jc w:val="right"/>
              <w:ind w:right="9"/>
              <w:spacing w:after="0"/>
              <w:rPr>
                <w:sz w:val="20"/>
                <w:szCs w:val="20"/>
                <w:color w:val="auto"/>
              </w:rPr>
            </w:pPr>
            <w:r>
              <w:rPr>
                <w:rFonts w:ascii="Arial" w:cs="Arial" w:eastAsia="Arial" w:hAnsi="Arial"/>
                <w:sz w:val="14"/>
                <w:szCs w:val="14"/>
                <w:b w:val="1"/>
                <w:bCs w:val="1"/>
                <w:color w:val="16479F"/>
              </w:rPr>
              <w:t>83</w:t>
            </w:r>
          </w:p>
        </w:tc>
      </w:tr>
      <w:tr>
        <w:trPr>
          <w:trHeight w:val="65"/>
        </w:trPr>
        <w:tc>
          <w:tcPr>
            <w:tcW w:w="10600" w:type="dxa"/>
            <w:vAlign w:val="bottom"/>
            <w:tcBorders>
              <w:bottom w:val="single" w:sz="8" w:color="16479F"/>
              <w:right w:val="single" w:sz="8" w:color="16479F"/>
            </w:tcBorders>
          </w:tcPr>
          <w:p>
            <w:pPr>
              <w:spacing w:after="0"/>
              <w:rPr>
                <w:sz w:val="5"/>
                <w:szCs w:val="5"/>
                <w:color w:val="auto"/>
              </w:rPr>
            </w:pPr>
          </w:p>
        </w:tc>
        <w:tc>
          <w:tcPr>
            <w:tcW w:w="640" w:type="dxa"/>
            <w:vAlign w:val="bottom"/>
            <w:tcBorders>
              <w:bottom w:val="single" w:sz="8" w:color="16479F"/>
            </w:tcBorders>
          </w:tcPr>
          <w:p>
            <w:pPr>
              <w:spacing w:after="0"/>
              <w:rPr>
                <w:sz w:val="5"/>
                <w:szCs w:val="5"/>
                <w:color w:val="auto"/>
              </w:rPr>
            </w:pPr>
          </w:p>
        </w:tc>
      </w:tr>
    </w:tbl>
    <w:p>
      <w:pPr>
        <w:spacing w:after="0" w:line="163"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Under Mr. Wiechmann’s offer letter with the Company and Mr. Pettit’s employment letter with a subsidiary of the Company, in the event of an involuntary termination of employment without cause, each of Messrs. Wiechmann and Pettit is eligible to receive, subject to his compliance with certain conditions, (i) a lump sum cash payment equal to the sum of his then-current annual base salary plus target annual bonus opportunity and (ii) a prorated cash bonus under the AIP for the year of termination based on actual performance through the date of termination (as of December 31, 2021, assuming 100% achievement of the annual bonus opportunity, such amounts would have equaled $1,700,000 for Mr. Wiechmann and $3,336,097 for Mr. Pettit; the amount for Mr. Pettit is shown as being paid in British pounds sterling and converted to U.S. dollars using the fiscal year average of daily spot rates of £1 to $1.37571 for fiscal 2021).</w:t>
      </w:r>
    </w:p>
    <w:p>
      <w:pPr>
        <w:spacing w:after="0" w:line="207"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In addition, we maintain a Change in Control Severance Plan for the benefit of eligible senior executives of the Company (including the NEOs) that provides for severance benefits on a “double-trigger” basis—i.e., in the event of a qualifying termination of the executive’s employment by the Company without “cause” or by the participant for “good reason” in connection with a change in control.</w:t>
      </w:r>
    </w:p>
    <w:p>
      <w:pPr>
        <w:spacing w:after="0" w:line="202" w:lineRule="exact"/>
        <w:rPr>
          <w:sz w:val="20"/>
          <w:szCs w:val="20"/>
          <w:color w:val="auto"/>
        </w:rPr>
      </w:pPr>
    </w:p>
    <w:p>
      <w:pPr>
        <w:ind w:right="300"/>
        <w:spacing w:after="0" w:line="256" w:lineRule="auto"/>
        <w:rPr>
          <w:sz w:val="20"/>
          <w:szCs w:val="20"/>
          <w:color w:val="auto"/>
        </w:rPr>
      </w:pPr>
      <w:r>
        <w:rPr>
          <w:rFonts w:ascii="Arial" w:cs="Arial" w:eastAsia="Arial" w:hAnsi="Arial"/>
          <w:sz w:val="16"/>
          <w:szCs w:val="16"/>
          <w:color w:val="auto"/>
        </w:rPr>
        <w:t>Additional information on post-termination and change in control benefits for our NEOs, assuming a qualifying event occurred as of December 31, 2021, is provided in the section titled “Potential Payments upon Termination or Change in Control,” on page 91 of this Proxy Statement.</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b w:val="1"/>
          <w:bCs w:val="1"/>
          <w:color w:val="16479F"/>
        </w:rPr>
        <w:t>No Excessive Perquisites</w:t>
      </w:r>
    </w:p>
    <w:p>
      <w:pPr>
        <w:spacing w:after="0" w:line="248"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 xml:space="preserve">Based on the Company’s philosophy that its executive compensation program should be straightforward and directly linked to performance, the compensation program for the NEOs </w:t>
      </w:r>
      <w:r>
        <w:rPr>
          <w:rFonts w:ascii="Arial" w:cs="Arial" w:eastAsia="Arial" w:hAnsi="Arial"/>
          <w:sz w:val="16"/>
          <w:szCs w:val="16"/>
          <w:b w:val="1"/>
          <w:bCs w:val="1"/>
          <w:u w:val="single" w:color="auto"/>
          <w:color w:val="auto"/>
        </w:rPr>
        <w:t>does not</w:t>
      </w:r>
      <w:r>
        <w:rPr>
          <w:rFonts w:ascii="Arial" w:cs="Arial" w:eastAsia="Arial" w:hAnsi="Arial"/>
          <w:sz w:val="16"/>
          <w:szCs w:val="16"/>
          <w:color w:val="auto"/>
        </w:rPr>
        <w:t xml:space="preserve"> include any excessive perquisites, excise tax gross-ups or supplemental executive retirement benefits.</w:t>
      </w:r>
    </w:p>
    <w:p>
      <w:pPr>
        <w:spacing w:after="0" w:line="159"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Stock Ownership Guidelines</w:t>
      </w:r>
    </w:p>
    <w:p>
      <w:pPr>
        <w:spacing w:after="0" w:line="249"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The Compensation Committee believes that significant stock ownership at the senior-most levels of MSCI’s leadership (e.g., the Executive Committee), which includes our executive officers, aligns management’s interests with those of our shareholders and encourages an “owner-operator” mindset. As part of the Compensation Committee’s ongoing assessment of the Company’s compensation policies and practices to ensure furtherance of the goals identified above and for alignment with best practices, effective January 1, 2019, the Compensation Committee adopted the rigorous stock ownership guidelines detailed below. On January 25, 2022, the Compensation Committee further amended the stock ownership guidelines to adopt more rigorous requirements that reflect among the highest multiples of base salary in our peer group, as detailed below. As of the date of this Proxy Statement, all Executive Committee members, including our NEOs, are in compliance with both the pre-2022 Stock Ownership Guidelines and the current Stock Ownership Guidelines. Our CEO significantly exceeds his applicable stock ownership guidelines (see page 100 of this Proxy Statement for additional details).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3480" w:type="dxa"/>
            <w:vAlign w:val="bottom"/>
          </w:tcPr>
          <w:p>
            <w:pPr>
              <w:jc w:val="right"/>
              <w:ind w:right="23"/>
              <w:spacing w:after="0"/>
              <w:rPr>
                <w:sz w:val="20"/>
                <w:szCs w:val="20"/>
                <w:color w:val="auto"/>
              </w:rPr>
            </w:pPr>
            <w:r>
              <w:rPr>
                <w:rFonts w:ascii="Arial" w:cs="Arial" w:eastAsia="Arial" w:hAnsi="Arial"/>
                <w:sz w:val="14"/>
                <w:szCs w:val="14"/>
                <w:b w:val="1"/>
                <w:bCs w:val="1"/>
                <w:color w:val="auto"/>
              </w:rPr>
              <w:t>Stock Ownership</w:t>
            </w: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Stock Ownership</w:t>
            </w:r>
          </w:p>
        </w:tc>
      </w:tr>
      <w:tr>
        <w:trPr>
          <w:trHeight w:val="195"/>
        </w:trPr>
        <w:tc>
          <w:tcPr>
            <w:tcW w:w="6140" w:type="dxa"/>
            <w:vAlign w:val="bottom"/>
            <w:tcBorders>
              <w:bottom w:val="single" w:sz="8" w:color="16479F"/>
            </w:tcBorders>
          </w:tcPr>
          <w:p>
            <w:pPr>
              <w:ind w:left="60"/>
              <w:spacing w:after="0"/>
              <w:rPr>
                <w:sz w:val="20"/>
                <w:szCs w:val="20"/>
                <w:color w:val="auto"/>
              </w:rPr>
            </w:pPr>
            <w:r>
              <w:rPr>
                <w:rFonts w:ascii="Arial" w:cs="Arial" w:eastAsia="Arial" w:hAnsi="Arial"/>
                <w:sz w:val="14"/>
                <w:szCs w:val="14"/>
                <w:b w:val="1"/>
                <w:bCs w:val="1"/>
                <w:color w:val="auto"/>
              </w:rPr>
              <w:t>Position</w:t>
            </w:r>
          </w:p>
        </w:tc>
        <w:tc>
          <w:tcPr>
            <w:tcW w:w="3480" w:type="dxa"/>
            <w:vAlign w:val="bottom"/>
            <w:tcBorders>
              <w:bottom w:val="single" w:sz="8" w:color="16479F"/>
            </w:tcBorders>
          </w:tcPr>
          <w:p>
            <w:pPr>
              <w:jc w:val="right"/>
              <w:ind w:right="23"/>
              <w:spacing w:after="0"/>
              <w:rPr>
                <w:sz w:val="20"/>
                <w:szCs w:val="20"/>
                <w:color w:val="auto"/>
              </w:rPr>
            </w:pPr>
            <w:r>
              <w:rPr>
                <w:rFonts w:ascii="Arial" w:cs="Arial" w:eastAsia="Arial" w:hAnsi="Arial"/>
                <w:sz w:val="14"/>
                <w:szCs w:val="14"/>
                <w:b w:val="1"/>
                <w:bCs w:val="1"/>
                <w:color w:val="auto"/>
              </w:rPr>
              <w:t>Guidelines (Effective 2022)</w:t>
            </w:r>
          </w:p>
        </w:tc>
        <w:tc>
          <w:tcPr>
            <w:tcW w:w="1620" w:type="dxa"/>
            <w:vAlign w:val="bottom"/>
            <w:tcBorders>
              <w:bottom w:val="single" w:sz="8" w:color="16479F"/>
            </w:tcBorders>
          </w:tcPr>
          <w:p>
            <w:pPr>
              <w:jc w:val="right"/>
              <w:spacing w:after="0"/>
              <w:rPr>
                <w:sz w:val="20"/>
                <w:szCs w:val="20"/>
                <w:color w:val="auto"/>
              </w:rPr>
            </w:pPr>
            <w:r>
              <w:rPr>
                <w:rFonts w:ascii="Arial" w:cs="Arial" w:eastAsia="Arial" w:hAnsi="Arial"/>
                <w:sz w:val="14"/>
                <w:szCs w:val="14"/>
                <w:b w:val="1"/>
                <w:bCs w:val="1"/>
                <w:color w:val="auto"/>
              </w:rPr>
              <w:t>Guidelines (Pre-2022)</w:t>
            </w:r>
          </w:p>
        </w:tc>
      </w:tr>
      <w:tr>
        <w:trPr>
          <w:trHeight w:val="240"/>
        </w:trPr>
        <w:tc>
          <w:tcPr>
            <w:tcW w:w="6140" w:type="dxa"/>
            <w:vAlign w:val="bottom"/>
            <w:shd w:val="clear" w:color="auto" w:fill="F0F1F8"/>
          </w:tcPr>
          <w:p>
            <w:pPr>
              <w:ind w:left="60"/>
              <w:spacing w:after="0"/>
              <w:rPr>
                <w:sz w:val="20"/>
                <w:szCs w:val="20"/>
                <w:color w:val="auto"/>
              </w:rPr>
            </w:pPr>
            <w:r>
              <w:rPr>
                <w:rFonts w:ascii="Arial" w:cs="Arial" w:eastAsia="Arial" w:hAnsi="Arial"/>
                <w:sz w:val="16"/>
                <w:szCs w:val="16"/>
                <w:color w:val="auto"/>
              </w:rPr>
              <w:t>Chief Executive Officer</w:t>
            </w:r>
          </w:p>
        </w:tc>
        <w:tc>
          <w:tcPr>
            <w:tcW w:w="3480" w:type="dxa"/>
            <w:vAlign w:val="bottom"/>
            <w:shd w:val="clear" w:color="auto" w:fill="F0F1F8"/>
          </w:tcPr>
          <w:p>
            <w:pPr>
              <w:jc w:val="right"/>
              <w:ind w:right="23"/>
              <w:spacing w:after="0"/>
              <w:rPr>
                <w:sz w:val="20"/>
                <w:szCs w:val="20"/>
                <w:color w:val="auto"/>
              </w:rPr>
            </w:pPr>
            <w:r>
              <w:rPr>
                <w:rFonts w:ascii="Arial" w:cs="Arial" w:eastAsia="Arial" w:hAnsi="Arial"/>
                <w:sz w:val="16"/>
                <w:szCs w:val="16"/>
                <w:color w:val="auto"/>
              </w:rPr>
              <w:t>12x base salary</w:t>
            </w:r>
          </w:p>
        </w:tc>
        <w:tc>
          <w:tcPr>
            <w:tcW w:w="1620" w:type="dxa"/>
            <w:vAlign w:val="bottom"/>
            <w:shd w:val="clear" w:color="auto" w:fill="F0F1F8"/>
          </w:tcPr>
          <w:p>
            <w:pPr>
              <w:jc w:val="right"/>
              <w:spacing w:after="0"/>
              <w:rPr>
                <w:sz w:val="20"/>
                <w:szCs w:val="20"/>
                <w:color w:val="auto"/>
              </w:rPr>
            </w:pPr>
            <w:r>
              <w:rPr>
                <w:rFonts w:ascii="Arial" w:cs="Arial" w:eastAsia="Arial" w:hAnsi="Arial"/>
                <w:sz w:val="16"/>
                <w:szCs w:val="16"/>
                <w:color w:val="auto"/>
              </w:rPr>
              <w:t>6x base salary</w:t>
            </w:r>
          </w:p>
        </w:tc>
      </w:tr>
      <w:tr>
        <w:trPr>
          <w:trHeight w:val="232"/>
        </w:trPr>
        <w:tc>
          <w:tcPr>
            <w:tcW w:w="6140" w:type="dxa"/>
            <w:vAlign w:val="bottom"/>
          </w:tcPr>
          <w:p>
            <w:pPr>
              <w:ind w:left="60"/>
              <w:spacing w:after="0"/>
              <w:rPr>
                <w:sz w:val="20"/>
                <w:szCs w:val="20"/>
                <w:color w:val="auto"/>
              </w:rPr>
            </w:pPr>
            <w:r>
              <w:rPr>
                <w:rFonts w:ascii="Arial" w:cs="Arial" w:eastAsia="Arial" w:hAnsi="Arial"/>
                <w:sz w:val="16"/>
                <w:szCs w:val="16"/>
                <w:color w:val="auto"/>
              </w:rPr>
              <w:t>President &amp; Chief Operating Officer</w:t>
            </w:r>
          </w:p>
        </w:tc>
        <w:tc>
          <w:tcPr>
            <w:tcW w:w="3480" w:type="dxa"/>
            <w:vAlign w:val="bottom"/>
          </w:tcPr>
          <w:p>
            <w:pPr>
              <w:jc w:val="right"/>
              <w:ind w:right="23"/>
              <w:spacing w:after="0"/>
              <w:rPr>
                <w:sz w:val="20"/>
                <w:szCs w:val="20"/>
                <w:color w:val="auto"/>
              </w:rPr>
            </w:pPr>
            <w:r>
              <w:rPr>
                <w:rFonts w:ascii="Arial" w:cs="Arial" w:eastAsia="Arial" w:hAnsi="Arial"/>
                <w:sz w:val="16"/>
                <w:szCs w:val="16"/>
                <w:color w:val="auto"/>
              </w:rPr>
              <w:t>12x base salary</w:t>
            </w:r>
          </w:p>
        </w:tc>
        <w:tc>
          <w:tcPr>
            <w:tcW w:w="1620" w:type="dxa"/>
            <w:vAlign w:val="bottom"/>
          </w:tcPr>
          <w:p>
            <w:pPr>
              <w:jc w:val="right"/>
              <w:spacing w:after="0"/>
              <w:rPr>
                <w:sz w:val="20"/>
                <w:szCs w:val="20"/>
                <w:color w:val="auto"/>
              </w:rPr>
            </w:pPr>
            <w:r>
              <w:rPr>
                <w:rFonts w:ascii="Arial" w:cs="Arial" w:eastAsia="Arial" w:hAnsi="Arial"/>
                <w:sz w:val="16"/>
                <w:szCs w:val="16"/>
                <w:color w:val="auto"/>
              </w:rPr>
              <w:t>4x base salary</w:t>
            </w:r>
          </w:p>
        </w:tc>
      </w:tr>
      <w:tr>
        <w:trPr>
          <w:trHeight w:val="250"/>
        </w:trPr>
        <w:tc>
          <w:tcPr>
            <w:tcW w:w="6140" w:type="dxa"/>
            <w:vAlign w:val="bottom"/>
            <w:shd w:val="clear" w:color="auto" w:fill="F0F1F8"/>
          </w:tcPr>
          <w:p>
            <w:pPr>
              <w:ind w:left="60"/>
              <w:spacing w:after="0"/>
              <w:rPr>
                <w:sz w:val="20"/>
                <w:szCs w:val="20"/>
                <w:color w:val="auto"/>
              </w:rPr>
            </w:pPr>
            <w:r>
              <w:rPr>
                <w:rFonts w:ascii="Arial" w:cs="Arial" w:eastAsia="Arial" w:hAnsi="Arial"/>
                <w:sz w:val="16"/>
                <w:szCs w:val="16"/>
                <w:color w:val="auto"/>
              </w:rPr>
              <w:t>Other Management Committee Members, including other NEOs</w:t>
            </w:r>
          </w:p>
        </w:tc>
        <w:tc>
          <w:tcPr>
            <w:tcW w:w="3480" w:type="dxa"/>
            <w:vAlign w:val="bottom"/>
            <w:shd w:val="clear" w:color="auto" w:fill="F0F1F8"/>
          </w:tcPr>
          <w:p>
            <w:pPr>
              <w:jc w:val="right"/>
              <w:ind w:right="23"/>
              <w:spacing w:after="0"/>
              <w:rPr>
                <w:sz w:val="20"/>
                <w:szCs w:val="20"/>
                <w:color w:val="auto"/>
              </w:rPr>
            </w:pPr>
            <w:r>
              <w:rPr>
                <w:rFonts w:ascii="Arial" w:cs="Arial" w:eastAsia="Arial" w:hAnsi="Arial"/>
                <w:sz w:val="16"/>
                <w:szCs w:val="16"/>
                <w:color w:val="auto"/>
              </w:rPr>
              <w:t>8x base salary</w:t>
            </w:r>
          </w:p>
        </w:tc>
        <w:tc>
          <w:tcPr>
            <w:tcW w:w="1620" w:type="dxa"/>
            <w:vAlign w:val="bottom"/>
            <w:shd w:val="clear" w:color="auto" w:fill="F0F1F8"/>
          </w:tcPr>
          <w:p>
            <w:pPr>
              <w:jc w:val="right"/>
              <w:spacing w:after="0"/>
              <w:rPr>
                <w:sz w:val="20"/>
                <w:szCs w:val="20"/>
                <w:color w:val="auto"/>
              </w:rPr>
            </w:pPr>
            <w:r>
              <w:rPr>
                <w:rFonts w:ascii="Arial" w:cs="Arial" w:eastAsia="Arial" w:hAnsi="Arial"/>
                <w:sz w:val="16"/>
                <w:szCs w:val="16"/>
                <w:color w:val="auto"/>
              </w:rPr>
              <w:t>3x base salary</w:t>
            </w:r>
          </w:p>
        </w:tc>
      </w:tr>
      <w:tr>
        <w:trPr>
          <w:trHeight w:val="234"/>
        </w:trPr>
        <w:tc>
          <w:tcPr>
            <w:tcW w:w="61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Executive Committee</w:t>
            </w:r>
          </w:p>
        </w:tc>
        <w:tc>
          <w:tcPr>
            <w:tcW w:w="34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4x base salary</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3x base salary</w:t>
            </w:r>
          </w:p>
        </w:tc>
      </w:tr>
    </w:tbl>
    <w:p>
      <w:pPr>
        <w:spacing w:after="0" w:line="216" w:lineRule="exact"/>
        <w:rPr>
          <w:sz w:val="20"/>
          <w:szCs w:val="20"/>
          <w:color w:val="auto"/>
        </w:rPr>
      </w:pPr>
    </w:p>
    <w:p>
      <w:pPr>
        <w:ind w:right="180"/>
        <w:spacing w:after="0" w:line="248" w:lineRule="auto"/>
        <w:rPr>
          <w:sz w:val="20"/>
          <w:szCs w:val="20"/>
          <w:color w:val="auto"/>
        </w:rPr>
      </w:pPr>
      <w:r>
        <w:rPr>
          <w:rFonts w:ascii="Arial" w:cs="Arial" w:eastAsia="Arial" w:hAnsi="Arial"/>
          <w:sz w:val="16"/>
          <w:szCs w:val="16"/>
          <w:color w:val="auto"/>
        </w:rPr>
        <w:t>All Executive Committee members are required to meet the applicable ownership guidelines under the current Stock Ownership Guidelines within five years following the date of such executive’s appointment to the Executive Committee (or, if later, five years from January 1, 2019). For the purpose of determining whether each individual is in compliance with these stock ownership guidelines and requirements, the following are counted towards satisfaction of the minimum ownership requirements:</w:t>
      </w:r>
    </w:p>
    <w:p>
      <w:pPr>
        <w:spacing w:after="0" w:line="204" w:lineRule="exact"/>
        <w:rPr>
          <w:sz w:val="20"/>
          <w:szCs w:val="20"/>
          <w:color w:val="auto"/>
        </w:rPr>
      </w:pPr>
    </w:p>
    <w:p>
      <w:pPr>
        <w:ind w:left="360" w:hanging="353"/>
        <w:spacing w:after="0"/>
        <w:tabs>
          <w:tab w:leader="none" w:pos="36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shares beneficially owned individually, directly or indirectly;</w:t>
      </w:r>
    </w:p>
    <w:p>
      <w:pPr>
        <w:spacing w:after="0" w:line="83" w:lineRule="exact"/>
        <w:rPr>
          <w:rFonts w:ascii="Arial" w:cs="Arial" w:eastAsia="Arial" w:hAnsi="Arial"/>
          <w:sz w:val="16"/>
          <w:szCs w:val="16"/>
          <w:color w:val="auto"/>
        </w:rPr>
      </w:pPr>
    </w:p>
    <w:p>
      <w:pPr>
        <w:ind w:left="360" w:hanging="353"/>
        <w:spacing w:after="0"/>
        <w:tabs>
          <w:tab w:leader="none" w:pos="36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shares beneficially owned jointly with, or separately by, immediate family members residing in the same household, either directly or indirectly; and</w:t>
      </w:r>
    </w:p>
    <w:p>
      <w:pPr>
        <w:spacing w:after="0" w:line="70" w:lineRule="exact"/>
        <w:rPr>
          <w:rFonts w:ascii="Arial" w:cs="Arial" w:eastAsia="Arial" w:hAnsi="Arial"/>
          <w:sz w:val="16"/>
          <w:szCs w:val="16"/>
          <w:color w:val="auto"/>
        </w:rPr>
      </w:pPr>
    </w:p>
    <w:p>
      <w:pPr>
        <w:ind w:left="360" w:right="240" w:hanging="353"/>
        <w:spacing w:after="0" w:line="235" w:lineRule="auto"/>
        <w:tabs>
          <w:tab w:leader="none" w:pos="36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“Net Shares” underlying unvested RSUs, unvested PSUs (solely to the extent of any award minimum—i.e., any unvested PSUs that are subject to achievement of outstanding performance goals are not counted), “in-the money” vested stock options and any other vested or unvested equity awards (as determined in the Compensation Committee’s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61595</wp:posOffset>
            </wp:positionV>
            <wp:extent cx="7154545" cy="209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149860</wp:posOffset>
            </wp:positionV>
            <wp:extent cx="7133590" cy="21272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3590" cy="212725"/>
                    </a:xfrm>
                    <a:prstGeom prst="rect">
                      <a:avLst/>
                    </a:prstGeom>
                    <a:noFill/>
                  </pic:spPr>
                </pic:pic>
              </a:graphicData>
            </a:graphic>
          </wp:anchor>
        </w:drawing>
      </w:r>
    </w:p>
    <w:p>
      <w:pPr>
        <w:spacing w:after="0" w:line="283"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4"/>
          <w:szCs w:val="14"/>
          <w:b w:val="1"/>
          <w:bCs w:val="1"/>
          <w:color w:val="16479F"/>
        </w:rPr>
        <w:t>84</w:t>
      </w:r>
      <w:r>
        <w:rPr>
          <w:sz w:val="20"/>
          <w:szCs w:val="20"/>
          <w:color w:val="auto"/>
        </w:rPr>
        <w:tab/>
      </w:r>
      <w:r>
        <w:rPr>
          <w:rFonts w:ascii="Arial" w:cs="Arial" w:eastAsia="Arial" w:hAnsi="Arial"/>
          <w:sz w:val="14"/>
          <w:szCs w:val="14"/>
          <w:b w:val="1"/>
          <w:bCs w:val="1"/>
          <w:color w:val="16479F"/>
        </w:rPr>
        <w:t>MSCI  |  COMPENSATION MATTERS</w:t>
      </w:r>
    </w:p>
    <w:p>
      <w:pPr>
        <w:spacing w:after="0" w:line="269"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auto"/>
        </w:rPr>
        <w:t>“Net Shares” means the number of shares that would remain if the shares underlying the equity awards are sold or withheld by the Company to (i) pay the exercise price of a stock option, (ii) satisfy any tax withholding obligations (assuming a tax rate of 50%) or (iii) satisfy any other applicable transaction costs.</w:t>
      </w:r>
    </w:p>
    <w:p>
      <w:pPr>
        <w:spacing w:after="0" w:line="197"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Until the expected ownership levels are achieved, each Executive Committee member is required to retain 50% of the Net Shares resulting from the vesting, settlement or exercise, as applicable of all stock options, RSUs, PSUs or other equity awards granted to such executive.</w:t>
      </w:r>
    </w:p>
    <w:p>
      <w:pPr>
        <w:spacing w:after="0" w:line="197" w:lineRule="exact"/>
        <w:rPr>
          <w:sz w:val="20"/>
          <w:szCs w:val="20"/>
          <w:color w:val="auto"/>
        </w:rPr>
      </w:pPr>
    </w:p>
    <w:p>
      <w:pPr>
        <w:ind w:right="520"/>
        <w:spacing w:after="0" w:line="256" w:lineRule="auto"/>
        <w:rPr>
          <w:sz w:val="20"/>
          <w:szCs w:val="20"/>
          <w:color w:val="auto"/>
        </w:rPr>
      </w:pPr>
      <w:r>
        <w:rPr>
          <w:rFonts w:ascii="Arial" w:cs="Arial" w:eastAsia="Arial" w:hAnsi="Arial"/>
          <w:sz w:val="16"/>
          <w:szCs w:val="16"/>
          <w:color w:val="auto"/>
        </w:rPr>
        <w:t>The Compensation Committee determined that increasing the share ownership multiples for the President and Chief Operating Officer and other senior leaders, including our NEOs, better reflected alignment with the broader responsibilities of those roles.</w:t>
      </w:r>
    </w:p>
    <w:p>
      <w:pPr>
        <w:spacing w:after="0" w:line="197"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In addition to the minimum ownership requirements, in 2022, the Compensation Committee approved revisions to the share retention requirements of the stock ownership guidelines to provide that until an executive ceases to serve on the Company’s Executive Committee, such executive will be required to retain a number of shares equivalent to, in the aggregate, 25% of the “Net Shares” resulting from the vesting, settlement or exercise, as applicable, of all equity incentive awards granted to such executive after January 1, 2022 (or, if later, the date such executive becomes a member of the Executive Committee). The Compensation Committee determined that the addition of this 25% “Net Shares” holding requirement would further enhance our goal of ensuring an “owner-operator” mindset among senior leaders. This approach will ensure that a portion of the Net Shares received from every award will be retained while an individual serves on the Executive Committee.</w:t>
      </w:r>
    </w:p>
    <w:p>
      <w:pPr>
        <w:spacing w:after="0" w:line="168" w:lineRule="exact"/>
        <w:rPr>
          <w:sz w:val="20"/>
          <w:szCs w:val="20"/>
          <w:color w:val="auto"/>
        </w:rPr>
      </w:pPr>
    </w:p>
    <w:p>
      <w:pPr>
        <w:spacing w:after="0"/>
        <w:rPr>
          <w:sz w:val="20"/>
          <w:szCs w:val="20"/>
          <w:color w:val="auto"/>
        </w:rPr>
      </w:pPr>
      <w:r>
        <w:rPr>
          <w:rFonts w:ascii="Arial" w:cs="Arial" w:eastAsia="Arial" w:hAnsi="Arial"/>
          <w:sz w:val="32"/>
          <w:szCs w:val="32"/>
          <w:b w:val="1"/>
          <w:bCs w:val="1"/>
          <w:color w:val="16479F"/>
        </w:rPr>
        <w:t>Other Policies</w:t>
      </w:r>
    </w:p>
    <w:p>
      <w:pPr>
        <w:spacing w:after="0" w:line="222"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Clawback Policy</w:t>
      </w:r>
    </w:p>
    <w:p>
      <w:pPr>
        <w:spacing w:after="0" w:line="249" w:lineRule="exact"/>
        <w:rPr>
          <w:sz w:val="20"/>
          <w:szCs w:val="20"/>
          <w:color w:val="auto"/>
        </w:rPr>
      </w:pPr>
    </w:p>
    <w:p>
      <w:pPr>
        <w:ind w:right="280"/>
        <w:spacing w:after="0" w:line="246" w:lineRule="auto"/>
        <w:rPr>
          <w:sz w:val="20"/>
          <w:szCs w:val="20"/>
          <w:color w:val="auto"/>
        </w:rPr>
      </w:pPr>
      <w:r>
        <w:rPr>
          <w:rFonts w:ascii="Arial" w:cs="Arial" w:eastAsia="Arial" w:hAnsi="Arial"/>
          <w:sz w:val="16"/>
          <w:szCs w:val="16"/>
          <w:color w:val="auto"/>
        </w:rPr>
        <w:t>In 2019, the Board expanded the Company’s Clawback Policy beyond financial results or operating metrics that were achieved as a result of willful misconduct or intentional or fraudulent conduct. Under the revised Clawback Policy, the Board, acting upon the recommendation of the Compensation Committee, may to the extent permitted by applicable law, recoup any incentive compensation (cash and equity) received by members of the Executive Committee and the Company’s Principal Accounting Officer, in the event of a restatement of financial or other performance-based measures (regardless of whether detrimental conduct has occurred) or in the event that detrimental conduct results in an increased level of performance goal achievement or otherwise causes material financial and/or reputational harm to the Company, as described below.</w:t>
      </w:r>
    </w:p>
    <w:p>
      <w:pPr>
        <w:spacing w:after="0" w:line="207"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In the case of a restatement of financial or other performance-based measures, the Board may recover up to the amount by which the incentive compensation received exceeds the amount that would have been received if the error had not been made within the two years preceding the date on which the Board determines that the financial or other measure contains a material error.</w:t>
      </w:r>
    </w:p>
    <w:p>
      <w:pPr>
        <w:spacing w:after="0" w:line="202"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In the case of detrimental conduct that, in the sole discretion of the Board, has resulted in a level of achievement of a performance-based measure or caused material financial or reputational harm to the Company, the Board may recover incentive compensation received by the person during the two-year period immediately preceding the date on which such person engaged in such detrimental conduct (or the date on which the Compensation Committee discovers that such person engaged in detrimental conduct). Detrimental conduct consists of:</w:t>
      </w:r>
    </w:p>
    <w:p>
      <w:pPr>
        <w:spacing w:after="0" w:line="204" w:lineRule="exact"/>
        <w:rPr>
          <w:sz w:val="20"/>
          <w:szCs w:val="20"/>
          <w:color w:val="auto"/>
        </w:rPr>
      </w:pPr>
    </w:p>
    <w:p>
      <w:pPr>
        <w:ind w:left="240" w:hanging="233"/>
        <w:spacing w:after="0"/>
        <w:tabs>
          <w:tab w:leader="none" w:pos="240" w:val="left"/>
        </w:tabs>
        <w:numPr>
          <w:ilvl w:val="0"/>
          <w:numId w:val="127"/>
        </w:numPr>
        <w:rPr>
          <w:rFonts w:ascii="Arial" w:cs="Arial" w:eastAsia="Arial" w:hAnsi="Arial"/>
          <w:sz w:val="16"/>
          <w:szCs w:val="16"/>
          <w:color w:val="16479F"/>
        </w:rPr>
      </w:pPr>
      <w:r>
        <w:rPr>
          <w:rFonts w:ascii="Arial" w:cs="Arial" w:eastAsia="Arial" w:hAnsi="Arial"/>
          <w:sz w:val="16"/>
          <w:szCs w:val="16"/>
          <w:color w:val="auto"/>
        </w:rPr>
        <w:t>willful misconduct or breach of a fiduciary duty with respect to the Company or any of its subsidiaries;</w:t>
      </w:r>
    </w:p>
    <w:p>
      <w:pPr>
        <w:spacing w:after="0" w:line="83" w:lineRule="exact"/>
        <w:rPr>
          <w:rFonts w:ascii="Arial" w:cs="Arial" w:eastAsia="Arial" w:hAnsi="Arial"/>
          <w:sz w:val="16"/>
          <w:szCs w:val="16"/>
          <w:color w:val="16479F"/>
        </w:rPr>
      </w:pPr>
    </w:p>
    <w:p>
      <w:pPr>
        <w:ind w:left="240" w:hanging="233"/>
        <w:spacing w:after="0" w:line="256" w:lineRule="auto"/>
        <w:tabs>
          <w:tab w:leader="none" w:pos="240" w:val="left"/>
        </w:tabs>
        <w:numPr>
          <w:ilvl w:val="0"/>
          <w:numId w:val="127"/>
        </w:numPr>
        <w:rPr>
          <w:rFonts w:ascii="Arial" w:cs="Arial" w:eastAsia="Arial" w:hAnsi="Arial"/>
          <w:sz w:val="16"/>
          <w:szCs w:val="16"/>
          <w:color w:val="16479F"/>
        </w:rPr>
      </w:pPr>
      <w:r>
        <w:rPr>
          <w:rFonts w:ascii="Arial" w:cs="Arial" w:eastAsia="Arial" w:hAnsi="Arial"/>
          <w:sz w:val="16"/>
          <w:szCs w:val="16"/>
          <w:color w:val="auto"/>
        </w:rPr>
        <w:t>conviction of, or having entered a plea bargain or settlement admitting guilt for, any crime of moral turpitude or felony under any applicable law with respect to the Company or any of its subsidiaries;</w:t>
      </w:r>
    </w:p>
    <w:p>
      <w:pPr>
        <w:spacing w:after="0" w:line="62" w:lineRule="exact"/>
        <w:rPr>
          <w:rFonts w:ascii="Arial" w:cs="Arial" w:eastAsia="Arial" w:hAnsi="Arial"/>
          <w:sz w:val="16"/>
          <w:szCs w:val="16"/>
          <w:color w:val="16479F"/>
        </w:rPr>
      </w:pPr>
    </w:p>
    <w:p>
      <w:pPr>
        <w:ind w:left="240" w:hanging="233"/>
        <w:spacing w:after="0"/>
        <w:tabs>
          <w:tab w:leader="none" w:pos="240" w:val="left"/>
        </w:tabs>
        <w:numPr>
          <w:ilvl w:val="0"/>
          <w:numId w:val="127"/>
        </w:numPr>
        <w:rPr>
          <w:rFonts w:ascii="Arial" w:cs="Arial" w:eastAsia="Arial" w:hAnsi="Arial"/>
          <w:sz w:val="16"/>
          <w:szCs w:val="16"/>
          <w:color w:val="16479F"/>
        </w:rPr>
      </w:pPr>
      <w:r>
        <w:rPr>
          <w:rFonts w:ascii="Arial" w:cs="Arial" w:eastAsia="Arial" w:hAnsi="Arial"/>
          <w:sz w:val="16"/>
          <w:szCs w:val="16"/>
          <w:color w:val="auto"/>
        </w:rPr>
        <w:t>commission of an act of fraud, embezzlement or misappropriation, with respect to the Company or any of its subsidiaries;</w:t>
      </w:r>
    </w:p>
    <w:p>
      <w:pPr>
        <w:spacing w:after="0" w:line="83" w:lineRule="exact"/>
        <w:rPr>
          <w:rFonts w:ascii="Arial" w:cs="Arial" w:eastAsia="Arial" w:hAnsi="Arial"/>
          <w:sz w:val="16"/>
          <w:szCs w:val="16"/>
          <w:color w:val="16479F"/>
        </w:rPr>
      </w:pPr>
    </w:p>
    <w:p>
      <w:pPr>
        <w:ind w:left="240" w:right="420" w:hanging="233"/>
        <w:spacing w:after="0" w:line="256" w:lineRule="auto"/>
        <w:tabs>
          <w:tab w:leader="none" w:pos="240" w:val="left"/>
        </w:tabs>
        <w:numPr>
          <w:ilvl w:val="0"/>
          <w:numId w:val="127"/>
        </w:numPr>
        <w:rPr>
          <w:rFonts w:ascii="Arial" w:cs="Arial" w:eastAsia="Arial" w:hAnsi="Arial"/>
          <w:sz w:val="16"/>
          <w:szCs w:val="16"/>
          <w:color w:val="16479F"/>
        </w:rPr>
      </w:pPr>
      <w:r>
        <w:rPr>
          <w:rFonts w:ascii="Arial" w:cs="Arial" w:eastAsia="Arial" w:hAnsi="Arial"/>
          <w:sz w:val="16"/>
          <w:szCs w:val="16"/>
          <w:color w:val="auto"/>
        </w:rPr>
        <w:t>failure to take action with respect to any acts or conduct described above when taken by another person that such person has actual knowledge of or directing any other person to take any of the actions described above; and</w:t>
      </w:r>
    </w:p>
    <w:p>
      <w:pPr>
        <w:spacing w:after="0" w:line="62" w:lineRule="exact"/>
        <w:rPr>
          <w:rFonts w:ascii="Arial" w:cs="Arial" w:eastAsia="Arial" w:hAnsi="Arial"/>
          <w:sz w:val="16"/>
          <w:szCs w:val="16"/>
          <w:color w:val="16479F"/>
        </w:rPr>
      </w:pPr>
    </w:p>
    <w:p>
      <w:pPr>
        <w:ind w:left="240" w:right="180" w:hanging="233"/>
        <w:spacing w:after="0" w:line="256" w:lineRule="auto"/>
        <w:tabs>
          <w:tab w:leader="none" w:pos="240" w:val="left"/>
        </w:tabs>
        <w:numPr>
          <w:ilvl w:val="0"/>
          <w:numId w:val="127"/>
        </w:numPr>
        <w:rPr>
          <w:rFonts w:ascii="Arial" w:cs="Arial" w:eastAsia="Arial" w:hAnsi="Arial"/>
          <w:sz w:val="16"/>
          <w:szCs w:val="16"/>
          <w:color w:val="16479F"/>
        </w:rPr>
      </w:pPr>
      <w:r>
        <w:rPr>
          <w:rFonts w:ascii="Arial" w:cs="Arial" w:eastAsia="Arial" w:hAnsi="Arial"/>
          <w:sz w:val="16"/>
          <w:szCs w:val="16"/>
          <w:color w:val="auto"/>
        </w:rPr>
        <w:t>breach of any restrictive covenant to which such person is subject contained in any applicable agreement or arrangement with the Company or any of its subsidiaries.</w:t>
      </w:r>
    </w:p>
    <w:p>
      <w:pPr>
        <w:spacing w:after="0" w:line="143"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The expanded Clawback Policy applies to all incentive compensation (cash and equity) granted on or after February 7, 2019. Incentive compensation granted prior to that date remains subject to our prior 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7154545" cy="209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00" w:type="dxa"/>
            <w:vAlign w:val="bottom"/>
            <w:tcBorders>
              <w:right w:val="single" w:sz="8" w:color="16479F"/>
            </w:tcBorders>
          </w:tcPr>
          <w:p>
            <w:pPr>
              <w:ind w:left="8700"/>
              <w:spacing w:after="0"/>
              <w:rPr>
                <w:sz w:val="20"/>
                <w:szCs w:val="20"/>
                <w:color w:val="auto"/>
              </w:rPr>
            </w:pPr>
            <w:r>
              <w:rPr>
                <w:rFonts w:ascii="Arial" w:cs="Arial" w:eastAsia="Arial" w:hAnsi="Arial"/>
                <w:sz w:val="14"/>
                <w:szCs w:val="14"/>
                <w:b w:val="1"/>
                <w:bCs w:val="1"/>
                <w:color w:val="16479F"/>
              </w:rPr>
              <w:t>2022 PROXY STATEMENT</w:t>
            </w:r>
          </w:p>
        </w:tc>
        <w:tc>
          <w:tcPr>
            <w:tcW w:w="640" w:type="dxa"/>
            <w:vAlign w:val="bottom"/>
          </w:tcPr>
          <w:p>
            <w:pPr>
              <w:jc w:val="right"/>
              <w:ind w:right="9"/>
              <w:spacing w:after="0"/>
              <w:rPr>
                <w:sz w:val="20"/>
                <w:szCs w:val="20"/>
                <w:color w:val="auto"/>
              </w:rPr>
            </w:pPr>
            <w:r>
              <w:rPr>
                <w:rFonts w:ascii="Arial" w:cs="Arial" w:eastAsia="Arial" w:hAnsi="Arial"/>
                <w:sz w:val="14"/>
                <w:szCs w:val="14"/>
                <w:b w:val="1"/>
                <w:bCs w:val="1"/>
                <w:color w:val="16479F"/>
              </w:rPr>
              <w:t>85</w:t>
            </w:r>
          </w:p>
        </w:tc>
      </w:tr>
      <w:tr>
        <w:trPr>
          <w:trHeight w:val="65"/>
        </w:trPr>
        <w:tc>
          <w:tcPr>
            <w:tcW w:w="10600" w:type="dxa"/>
            <w:vAlign w:val="bottom"/>
            <w:tcBorders>
              <w:bottom w:val="single" w:sz="8" w:color="16479F"/>
              <w:right w:val="single" w:sz="8" w:color="16479F"/>
            </w:tcBorders>
          </w:tcPr>
          <w:p>
            <w:pPr>
              <w:spacing w:after="0"/>
              <w:rPr>
                <w:sz w:val="5"/>
                <w:szCs w:val="5"/>
                <w:color w:val="auto"/>
              </w:rPr>
            </w:pPr>
          </w:p>
        </w:tc>
        <w:tc>
          <w:tcPr>
            <w:tcW w:w="640" w:type="dxa"/>
            <w:vAlign w:val="bottom"/>
            <w:tcBorders>
              <w:bottom w:val="single" w:sz="8" w:color="16479F"/>
            </w:tcBorders>
          </w:tcPr>
          <w:p>
            <w:pPr>
              <w:spacing w:after="0"/>
              <w:rPr>
                <w:sz w:val="5"/>
                <w:szCs w:val="5"/>
                <w:color w:val="auto"/>
              </w:rPr>
            </w:pPr>
          </w:p>
        </w:tc>
      </w:tr>
    </w:tbl>
    <w:p>
      <w:pPr>
        <w:spacing w:after="0" w:line="125"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Anti-Hedging and Anti-Pledging Policy</w:t>
      </w:r>
    </w:p>
    <w:p>
      <w:pPr>
        <w:spacing w:after="0" w:line="249"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We prohibit all directors and employees, including all NEOs, from hedging or pledging the Company’s common stock or engaging in short sales, purchases or sales of options, puts or calls, as well as derivatives such as swaps, forwards or futures and trading on a short-term basis in the Company’s common stock.</w:t>
      </w:r>
    </w:p>
    <w:p>
      <w:pPr>
        <w:spacing w:after="0" w:line="159" w:lineRule="exact"/>
        <w:rPr>
          <w:sz w:val="20"/>
          <w:szCs w:val="20"/>
          <w:color w:val="auto"/>
        </w:rPr>
      </w:pPr>
    </w:p>
    <w:p>
      <w:pPr>
        <w:spacing w:after="0"/>
        <w:rPr>
          <w:sz w:val="20"/>
          <w:szCs w:val="20"/>
          <w:color w:val="auto"/>
        </w:rPr>
      </w:pPr>
      <w:r>
        <w:rPr>
          <w:rFonts w:ascii="Arial" w:cs="Arial" w:eastAsia="Arial" w:hAnsi="Arial"/>
          <w:sz w:val="32"/>
          <w:szCs w:val="32"/>
          <w:b w:val="1"/>
          <w:bCs w:val="1"/>
          <w:color w:val="16479F"/>
        </w:rPr>
        <w:t>Tax Considerations</w:t>
      </w:r>
    </w:p>
    <w:p>
      <w:pPr>
        <w:spacing w:after="0" w:line="259" w:lineRule="exact"/>
        <w:rPr>
          <w:sz w:val="20"/>
          <w:szCs w:val="20"/>
          <w:color w:val="auto"/>
        </w:rPr>
      </w:pPr>
    </w:p>
    <w:p>
      <w:pPr>
        <w:ind w:right="720"/>
        <w:spacing w:after="0" w:line="256" w:lineRule="auto"/>
        <w:rPr>
          <w:sz w:val="20"/>
          <w:szCs w:val="20"/>
          <w:color w:val="auto"/>
        </w:rPr>
      </w:pPr>
      <w:r>
        <w:rPr>
          <w:rFonts w:ascii="Arial" w:cs="Arial" w:eastAsia="Arial" w:hAnsi="Arial"/>
          <w:sz w:val="16"/>
          <w:szCs w:val="16"/>
          <w:color w:val="auto"/>
        </w:rPr>
        <w:t>The Compensation Committee takes into consideration the tax implications of our executive compensation program, including with respect to the tax deductibility of compensation paid under Section 162(m) of the IRC.</w:t>
      </w:r>
    </w:p>
    <w:p>
      <w:pPr>
        <w:spacing w:after="0" w:line="197" w:lineRule="exact"/>
        <w:rPr>
          <w:sz w:val="20"/>
          <w:szCs w:val="20"/>
          <w:color w:val="auto"/>
        </w:rPr>
      </w:pPr>
    </w:p>
    <w:p>
      <w:pPr>
        <w:ind w:right="280"/>
        <w:spacing w:after="0" w:line="250" w:lineRule="auto"/>
        <w:rPr>
          <w:sz w:val="20"/>
          <w:szCs w:val="20"/>
          <w:color w:val="auto"/>
        </w:rPr>
      </w:pPr>
      <w:r>
        <w:rPr>
          <w:rFonts w:ascii="Arial" w:cs="Arial" w:eastAsia="Arial" w:hAnsi="Arial"/>
          <w:sz w:val="16"/>
          <w:szCs w:val="16"/>
          <w:color w:val="auto"/>
        </w:rPr>
        <w:t>In the exercise of its business judgment, and in accordance with its compensation philosophy, the Compensation Committee continues to have flexibility to award compensation that is not tax deductible if it determines that such award is in our shareholders’ best interests and is necessary to comply with contractual commitments, or to maintain flexibility needed to attract talent, promote retention or recognize and reward desired performance.</w:t>
      </w:r>
    </w:p>
    <w:p>
      <w:pPr>
        <w:spacing w:after="0" w:line="164" w:lineRule="exact"/>
        <w:rPr>
          <w:sz w:val="20"/>
          <w:szCs w:val="20"/>
          <w:color w:val="auto"/>
        </w:rPr>
      </w:pPr>
    </w:p>
    <w:p>
      <w:pPr>
        <w:spacing w:after="0"/>
        <w:rPr>
          <w:sz w:val="20"/>
          <w:szCs w:val="20"/>
          <w:color w:val="auto"/>
        </w:rPr>
      </w:pPr>
      <w:r>
        <w:rPr>
          <w:rFonts w:ascii="Arial" w:cs="Arial" w:eastAsia="Arial" w:hAnsi="Arial"/>
          <w:sz w:val="32"/>
          <w:szCs w:val="32"/>
          <w:b w:val="1"/>
          <w:bCs w:val="1"/>
          <w:color w:val="16479F"/>
        </w:rPr>
        <w:t>Compensation Risk Assessment</w:t>
      </w:r>
    </w:p>
    <w:p>
      <w:pPr>
        <w:spacing w:after="0" w:line="259"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The Compensation Committee believes that the design, implementation and governance of our executive compensation program are consistent with high standards of risk management. Our executive compensation program reflects an appropriate mix of compensation elements, balancing current and long-term performance objectives, cash and equity compensation, and risks and rewards.</w:t>
      </w:r>
    </w:p>
    <w:p>
      <w:pPr>
        <w:spacing w:after="0" w:line="202" w:lineRule="exact"/>
        <w:rPr>
          <w:sz w:val="20"/>
          <w:szCs w:val="20"/>
          <w:color w:val="auto"/>
        </w:rPr>
      </w:pPr>
    </w:p>
    <w:p>
      <w:pPr>
        <w:ind w:left="240" w:right="60" w:hanging="233"/>
        <w:spacing w:after="0" w:line="256" w:lineRule="auto"/>
        <w:tabs>
          <w:tab w:leader="none" w:pos="240" w:val="left"/>
        </w:tabs>
        <w:numPr>
          <w:ilvl w:val="0"/>
          <w:numId w:val="128"/>
        </w:numPr>
        <w:rPr>
          <w:rFonts w:ascii="Arial" w:cs="Arial" w:eastAsia="Arial" w:hAnsi="Arial"/>
          <w:sz w:val="16"/>
          <w:szCs w:val="16"/>
          <w:color w:val="16479F"/>
        </w:rPr>
      </w:pPr>
      <w:r>
        <w:rPr>
          <w:rFonts w:ascii="Arial" w:cs="Arial" w:eastAsia="Arial" w:hAnsi="Arial"/>
          <w:sz w:val="16"/>
          <w:szCs w:val="16"/>
          <w:color w:val="auto"/>
        </w:rPr>
        <w:t>The compensation framework used for making compensation decisions is multi-faceted as it incorporates multiple metrics over varying time periods and is subject to the application of informed judgment by the Compensation Committee.</w:t>
      </w:r>
    </w:p>
    <w:p>
      <w:pPr>
        <w:spacing w:after="0" w:line="62" w:lineRule="exact"/>
        <w:rPr>
          <w:rFonts w:ascii="Arial" w:cs="Arial" w:eastAsia="Arial" w:hAnsi="Arial"/>
          <w:sz w:val="16"/>
          <w:szCs w:val="16"/>
          <w:color w:val="16479F"/>
        </w:rPr>
      </w:pPr>
    </w:p>
    <w:p>
      <w:pPr>
        <w:ind w:left="240" w:right="100" w:hanging="233"/>
        <w:spacing w:after="0" w:line="250" w:lineRule="auto"/>
        <w:tabs>
          <w:tab w:leader="none" w:pos="240" w:val="left"/>
        </w:tabs>
        <w:numPr>
          <w:ilvl w:val="0"/>
          <w:numId w:val="128"/>
        </w:numPr>
        <w:rPr>
          <w:rFonts w:ascii="Arial" w:cs="Arial" w:eastAsia="Arial" w:hAnsi="Arial"/>
          <w:sz w:val="16"/>
          <w:szCs w:val="16"/>
          <w:color w:val="16479F"/>
        </w:rPr>
      </w:pPr>
      <w:r>
        <w:rPr>
          <w:rFonts w:ascii="Arial" w:cs="Arial" w:eastAsia="Arial" w:hAnsi="Arial"/>
          <w:sz w:val="16"/>
          <w:szCs w:val="16"/>
          <w:color w:val="auto"/>
        </w:rPr>
        <w:t>To further ensure that the interests of our NEOs are aligned with those of our shareholders, a significant portion of executive officer long-term incentive compensation is awarded as equity subject to vesting requirements. Awards typically vest over a multi-year period, and in the case of performance-based awards, vest based on achievement of applicable performance goals at the end of a relevant performance period.</w:t>
      </w:r>
    </w:p>
    <w:p>
      <w:pPr>
        <w:spacing w:after="0" w:line="67" w:lineRule="exact"/>
        <w:rPr>
          <w:rFonts w:ascii="Arial" w:cs="Arial" w:eastAsia="Arial" w:hAnsi="Arial"/>
          <w:sz w:val="16"/>
          <w:szCs w:val="16"/>
          <w:color w:val="16479F"/>
        </w:rPr>
      </w:pPr>
    </w:p>
    <w:p>
      <w:pPr>
        <w:ind w:left="240" w:right="60" w:hanging="233"/>
        <w:spacing w:after="0" w:line="256" w:lineRule="auto"/>
        <w:tabs>
          <w:tab w:leader="none" w:pos="240" w:val="left"/>
        </w:tabs>
        <w:numPr>
          <w:ilvl w:val="0"/>
          <w:numId w:val="128"/>
        </w:numPr>
        <w:rPr>
          <w:rFonts w:ascii="Arial" w:cs="Arial" w:eastAsia="Arial" w:hAnsi="Arial"/>
          <w:sz w:val="16"/>
          <w:szCs w:val="16"/>
          <w:color w:val="16479F"/>
        </w:rPr>
      </w:pPr>
      <w:r>
        <w:rPr>
          <w:rFonts w:ascii="Arial" w:cs="Arial" w:eastAsia="Arial" w:hAnsi="Arial"/>
          <w:sz w:val="16"/>
          <w:szCs w:val="16"/>
          <w:color w:val="auto"/>
        </w:rPr>
        <w:t>Executive Committee members are required to meet the applicable stock ownership guidelines described under “Stock Ownership Guidelines” on page 83 of this Proxy Statement.</w:t>
      </w:r>
    </w:p>
    <w:p>
      <w:pPr>
        <w:spacing w:after="0" w:line="62" w:lineRule="exact"/>
        <w:rPr>
          <w:rFonts w:ascii="Arial" w:cs="Arial" w:eastAsia="Arial" w:hAnsi="Arial"/>
          <w:sz w:val="16"/>
          <w:szCs w:val="16"/>
          <w:color w:val="16479F"/>
        </w:rPr>
      </w:pPr>
    </w:p>
    <w:p>
      <w:pPr>
        <w:ind w:left="240" w:hanging="233"/>
        <w:spacing w:after="0"/>
        <w:tabs>
          <w:tab w:leader="none" w:pos="240" w:val="left"/>
        </w:tabs>
        <w:numPr>
          <w:ilvl w:val="0"/>
          <w:numId w:val="128"/>
        </w:numPr>
        <w:rPr>
          <w:rFonts w:ascii="Arial" w:cs="Arial" w:eastAsia="Arial" w:hAnsi="Arial"/>
          <w:sz w:val="16"/>
          <w:szCs w:val="16"/>
          <w:color w:val="16479F"/>
        </w:rPr>
      </w:pPr>
      <w:r>
        <w:rPr>
          <w:rFonts w:ascii="Arial" w:cs="Arial" w:eastAsia="Arial" w:hAnsi="Arial"/>
          <w:sz w:val="16"/>
          <w:szCs w:val="16"/>
          <w:color w:val="auto"/>
        </w:rPr>
        <w:t>Incentive compensation is subject to the Clawback Policy described under “Clawback Policy” on page 84 of this Proxy Statement.</w:t>
      </w:r>
    </w:p>
    <w:p>
      <w:pPr>
        <w:spacing w:after="0" w:line="164" w:lineRule="exact"/>
        <w:rPr>
          <w:sz w:val="20"/>
          <w:szCs w:val="20"/>
          <w:color w:val="auto"/>
        </w:rPr>
      </w:pPr>
    </w:p>
    <w:p>
      <w:pPr>
        <w:jc w:val="both"/>
        <w:ind w:right="440"/>
        <w:spacing w:after="0" w:line="250" w:lineRule="auto"/>
        <w:rPr>
          <w:sz w:val="20"/>
          <w:szCs w:val="20"/>
          <w:color w:val="auto"/>
        </w:rPr>
      </w:pPr>
      <w:r>
        <w:rPr>
          <w:rFonts w:ascii="Arial" w:cs="Arial" w:eastAsia="Arial" w:hAnsi="Arial"/>
          <w:sz w:val="16"/>
          <w:szCs w:val="16"/>
          <w:color w:val="auto"/>
        </w:rPr>
        <w:t>Based on these features, we believe our executive compensation program effectively (i) ensures that our compensation opportunities do not encourage excessive risk taking, (ii) keeps our NEOs focused on the creation of long-term, sustainable value for our shareholders and (iii) provides competitive and appropriate levels of compensation over time.</w:t>
      </w:r>
    </w:p>
    <w:p>
      <w:pPr>
        <w:spacing w:after="0" w:line="202" w:lineRule="exact"/>
        <w:rPr>
          <w:sz w:val="20"/>
          <w:szCs w:val="20"/>
          <w:color w:val="auto"/>
        </w:rPr>
      </w:pPr>
    </w:p>
    <w:p>
      <w:pPr>
        <w:ind w:right="120"/>
        <w:spacing w:after="0" w:line="247" w:lineRule="auto"/>
        <w:rPr>
          <w:sz w:val="20"/>
          <w:szCs w:val="20"/>
          <w:color w:val="auto"/>
        </w:rPr>
      </w:pPr>
      <w:r>
        <w:rPr>
          <w:rFonts w:ascii="Arial" w:cs="Arial" w:eastAsia="Arial" w:hAnsi="Arial"/>
          <w:sz w:val="16"/>
          <w:szCs w:val="16"/>
          <w:color w:val="auto"/>
        </w:rPr>
        <w:t>In 2021, the Compensation Committee reviewed our compensation policies as generally applicable to all of our employees and believes that our policies do not encourage excessive or unnecessary risk-taking and that any level of risk they do encourage is not reasonably likely to have a material adverse effect on the Company. Semler Brossy assisted the Compensation Committee with its review of our compensation program by reviewing materials provided by management related to our compensation program, including the Company’s LTIP. The Compensation Committee also reviewed materials previously prepared by a third-party consultant related to certain of the Company’s variable incentive plans, including the AIP, from a risk and governance perspective.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58420</wp:posOffset>
            </wp:positionV>
            <wp:extent cx="7154545" cy="209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149860</wp:posOffset>
            </wp:positionV>
            <wp:extent cx="7133590" cy="21272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3590" cy="212725"/>
                    </a:xfrm>
                    <a:prstGeom prst="rect">
                      <a:avLst/>
                    </a:prstGeom>
                    <a:noFill/>
                  </pic:spPr>
                </pic:pic>
              </a:graphicData>
            </a:graphic>
          </wp:anchor>
        </w:drawing>
      </w:r>
    </w:p>
    <w:p>
      <w:pPr>
        <w:spacing w:after="0" w:line="283"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4"/>
          <w:szCs w:val="14"/>
          <w:b w:val="1"/>
          <w:bCs w:val="1"/>
          <w:color w:val="16479F"/>
        </w:rPr>
        <w:t>86</w:t>
      </w:r>
      <w:r>
        <w:rPr>
          <w:sz w:val="20"/>
          <w:szCs w:val="20"/>
          <w:color w:val="auto"/>
        </w:rPr>
        <w:tab/>
      </w:r>
      <w:r>
        <w:rPr>
          <w:rFonts w:ascii="Arial" w:cs="Arial" w:eastAsia="Arial" w:hAnsi="Arial"/>
          <w:sz w:val="14"/>
          <w:szCs w:val="14"/>
          <w:b w:val="1"/>
          <w:bCs w:val="1"/>
          <w:color w:val="16479F"/>
        </w:rPr>
        <w:t>MSCI  |  COMPENSATION MATTERS</w:t>
      </w:r>
    </w:p>
    <w:p>
      <w:pPr>
        <w:spacing w:after="0" w:line="231" w:lineRule="exact"/>
        <w:rPr>
          <w:sz w:val="20"/>
          <w:szCs w:val="20"/>
          <w:color w:val="auto"/>
        </w:rPr>
      </w:pPr>
    </w:p>
    <w:p>
      <w:pPr>
        <w:spacing w:after="0"/>
        <w:rPr>
          <w:sz w:val="20"/>
          <w:szCs w:val="20"/>
          <w:color w:val="auto"/>
        </w:rPr>
      </w:pPr>
      <w:r>
        <w:rPr>
          <w:rFonts w:ascii="Arial" w:cs="Arial" w:eastAsia="Arial" w:hAnsi="Arial"/>
          <w:sz w:val="32"/>
          <w:szCs w:val="32"/>
          <w:b w:val="1"/>
          <w:bCs w:val="1"/>
          <w:color w:val="16479F"/>
        </w:rPr>
        <w:t>Compensation, Talent and Culture Committee Report</w:t>
      </w:r>
    </w:p>
    <w:p>
      <w:pPr>
        <w:spacing w:after="0" w:line="259"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We, the Compensation, Talent and Culture Committee of the Board of Directors of MSCI Inc., have reviewed and discussed with management the Compensation Discussion and Analysis above. Based on this review and these discussions, the Compensation, Talent and Culture Committee recommended to the Board that the Compensation Discussion and Analysis be included in this Proxy Statement and incorporated by reference into the Company’s 2021 Annual Report on Form 10-K filed with the Securities and Exchange Commission.</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Respectfully submitted,</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Linda H. Riefler (Chair)</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Wayne Edmunds</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Marcus L.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7154545" cy="209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7" w:name="page88"/>
    <w:bookmarkEnd w:id="87"/>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00" w:type="dxa"/>
            <w:vAlign w:val="bottom"/>
            <w:tcBorders>
              <w:right w:val="single" w:sz="8" w:color="16479F"/>
            </w:tcBorders>
          </w:tcPr>
          <w:p>
            <w:pPr>
              <w:ind w:left="8740"/>
              <w:spacing w:after="0"/>
              <w:rPr>
                <w:sz w:val="20"/>
                <w:szCs w:val="20"/>
                <w:color w:val="auto"/>
              </w:rPr>
            </w:pPr>
            <w:r>
              <w:rPr>
                <w:rFonts w:ascii="Arial" w:cs="Arial" w:eastAsia="Arial" w:hAnsi="Arial"/>
                <w:sz w:val="14"/>
                <w:szCs w:val="14"/>
                <w:b w:val="1"/>
                <w:bCs w:val="1"/>
                <w:color w:val="16479F"/>
              </w:rPr>
              <w:t>2022 PROXY STATEMENT</w:t>
            </w:r>
          </w:p>
        </w:tc>
        <w:tc>
          <w:tcPr>
            <w:tcW w:w="640" w:type="dxa"/>
            <w:vAlign w:val="bottom"/>
          </w:tcPr>
          <w:p>
            <w:pPr>
              <w:jc w:val="right"/>
              <w:ind w:right="9"/>
              <w:spacing w:after="0"/>
              <w:rPr>
                <w:sz w:val="20"/>
                <w:szCs w:val="20"/>
                <w:color w:val="auto"/>
              </w:rPr>
            </w:pPr>
            <w:r>
              <w:rPr>
                <w:rFonts w:ascii="Arial" w:cs="Arial" w:eastAsia="Arial" w:hAnsi="Arial"/>
                <w:sz w:val="14"/>
                <w:szCs w:val="14"/>
                <w:b w:val="1"/>
                <w:bCs w:val="1"/>
                <w:color w:val="16479F"/>
              </w:rPr>
              <w:t>87</w:t>
            </w:r>
          </w:p>
        </w:tc>
      </w:tr>
      <w:tr>
        <w:trPr>
          <w:trHeight w:val="65"/>
        </w:trPr>
        <w:tc>
          <w:tcPr>
            <w:tcW w:w="10600" w:type="dxa"/>
            <w:vAlign w:val="bottom"/>
            <w:tcBorders>
              <w:bottom w:val="single" w:sz="8" w:color="16479F"/>
              <w:right w:val="single" w:sz="8" w:color="16479F"/>
            </w:tcBorders>
          </w:tcPr>
          <w:p>
            <w:pPr>
              <w:spacing w:after="0"/>
              <w:rPr>
                <w:sz w:val="5"/>
                <w:szCs w:val="5"/>
                <w:color w:val="auto"/>
              </w:rPr>
            </w:pPr>
          </w:p>
        </w:tc>
        <w:tc>
          <w:tcPr>
            <w:tcW w:w="640" w:type="dxa"/>
            <w:vAlign w:val="bottom"/>
            <w:tcBorders>
              <w:bottom w:val="single" w:sz="8" w:color="16479F"/>
            </w:tcBorders>
          </w:tcPr>
          <w:p>
            <w:pPr>
              <w:spacing w:after="0"/>
              <w:rPr>
                <w:sz w:val="5"/>
                <w:szCs w:val="5"/>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32"/>
          <w:szCs w:val="32"/>
          <w:b w:val="1"/>
          <w:bCs w:val="1"/>
          <w:color w:val="16479F"/>
        </w:rPr>
        <w:t>Executive Compensation Tables</w:t>
      </w:r>
    </w:p>
    <w:p>
      <w:pPr>
        <w:spacing w:after="0" w:line="222"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Summary Compensation Table</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regarding compensation paid or awarded by MSCI to the Company’s NEOs during fiscal years 2021, 2020 and 2019.</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2021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359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jc w:val="right"/>
              <w:ind w:right="42"/>
              <w:spacing w:after="0"/>
              <w:rPr>
                <w:sz w:val="20"/>
                <w:szCs w:val="20"/>
                <w:color w:val="auto"/>
              </w:rPr>
            </w:pPr>
            <w:r>
              <w:rPr>
                <w:rFonts w:ascii="Arial" w:cs="Arial" w:eastAsia="Arial" w:hAnsi="Arial"/>
                <w:sz w:val="14"/>
                <w:szCs w:val="14"/>
                <w:b w:val="1"/>
                <w:bCs w:val="1"/>
                <w:color w:val="auto"/>
              </w:rPr>
              <w:t>Non-Equity</w:t>
            </w: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1"/>
        </w:trPr>
        <w:tc>
          <w:tcPr>
            <w:tcW w:w="4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jc w:val="right"/>
              <w:ind w:right="21"/>
              <w:spacing w:after="0"/>
              <w:rPr>
                <w:sz w:val="20"/>
                <w:szCs w:val="20"/>
                <w:color w:val="auto"/>
              </w:rPr>
            </w:pPr>
            <w:r>
              <w:rPr>
                <w:rFonts w:ascii="Arial" w:cs="Arial" w:eastAsia="Arial" w:hAnsi="Arial"/>
                <w:sz w:val="14"/>
                <w:szCs w:val="14"/>
                <w:b w:val="1"/>
                <w:bCs w:val="1"/>
                <w:color w:val="auto"/>
              </w:rPr>
              <w:t>Stock</w:t>
            </w:r>
          </w:p>
        </w:tc>
        <w:tc>
          <w:tcPr>
            <w:tcW w:w="1220" w:type="dxa"/>
            <w:vAlign w:val="bottom"/>
          </w:tcPr>
          <w:p>
            <w:pPr>
              <w:jc w:val="right"/>
              <w:ind w:right="42"/>
              <w:spacing w:after="0"/>
              <w:rPr>
                <w:sz w:val="20"/>
                <w:szCs w:val="20"/>
                <w:color w:val="auto"/>
              </w:rPr>
            </w:pPr>
            <w:r>
              <w:rPr>
                <w:rFonts w:ascii="Arial" w:cs="Arial" w:eastAsia="Arial" w:hAnsi="Arial"/>
                <w:sz w:val="14"/>
                <w:szCs w:val="14"/>
                <w:b w:val="1"/>
                <w:bCs w:val="1"/>
                <w:color w:val="auto"/>
              </w:rPr>
              <w:t>Incentive Plan</w:t>
            </w:r>
          </w:p>
        </w:tc>
        <w:tc>
          <w:tcPr>
            <w:tcW w:w="1200" w:type="dxa"/>
            <w:vAlign w:val="bottom"/>
          </w:tcPr>
          <w:p>
            <w:pPr>
              <w:jc w:val="right"/>
              <w:ind w:right="22"/>
              <w:spacing w:after="0"/>
              <w:rPr>
                <w:sz w:val="20"/>
                <w:szCs w:val="20"/>
                <w:color w:val="auto"/>
              </w:rPr>
            </w:pPr>
            <w:r>
              <w:rPr>
                <w:rFonts w:ascii="Arial" w:cs="Arial" w:eastAsia="Arial" w:hAnsi="Arial"/>
                <w:sz w:val="14"/>
                <w:szCs w:val="14"/>
                <w:b w:val="1"/>
                <w:bCs w:val="1"/>
                <w:color w:val="auto"/>
              </w:rPr>
              <w:t>All Other</w:t>
            </w:r>
          </w:p>
        </w:tc>
        <w:tc>
          <w:tcPr>
            <w:tcW w:w="960" w:type="dxa"/>
            <w:vAlign w:val="bottom"/>
          </w:tcPr>
          <w:p>
            <w:pPr>
              <w:spacing w:after="0"/>
              <w:rPr>
                <w:sz w:val="13"/>
                <w:szCs w:val="13"/>
                <w:color w:val="auto"/>
              </w:rPr>
            </w:pPr>
          </w:p>
        </w:tc>
      </w:tr>
      <w:tr>
        <w:trPr>
          <w:trHeight w:val="173"/>
        </w:trPr>
        <w:tc>
          <w:tcPr>
            <w:tcW w:w="450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Arial" w:cs="Arial" w:eastAsia="Arial" w:hAnsi="Arial"/>
                <w:sz w:val="14"/>
                <w:szCs w:val="14"/>
                <w:b w:val="1"/>
                <w:bCs w:val="1"/>
                <w:color w:val="auto"/>
              </w:rPr>
              <w:t>Fiscal</w:t>
            </w:r>
          </w:p>
        </w:tc>
        <w:tc>
          <w:tcPr>
            <w:tcW w:w="960" w:type="dxa"/>
            <w:vAlign w:val="bottom"/>
          </w:tcPr>
          <w:p>
            <w:pPr>
              <w:jc w:val="right"/>
              <w:ind w:right="61"/>
              <w:spacing w:after="0"/>
              <w:rPr>
                <w:sz w:val="20"/>
                <w:szCs w:val="20"/>
                <w:color w:val="auto"/>
              </w:rPr>
            </w:pPr>
            <w:r>
              <w:rPr>
                <w:rFonts w:ascii="Arial" w:cs="Arial" w:eastAsia="Arial" w:hAnsi="Arial"/>
                <w:sz w:val="14"/>
                <w:szCs w:val="14"/>
                <w:b w:val="1"/>
                <w:bCs w:val="1"/>
                <w:color w:val="auto"/>
              </w:rPr>
              <w:t>Salary</w:t>
            </w:r>
          </w:p>
        </w:tc>
        <w:tc>
          <w:tcPr>
            <w:tcW w:w="680" w:type="dxa"/>
            <w:vAlign w:val="bottom"/>
          </w:tcPr>
          <w:p>
            <w:pPr>
              <w:jc w:val="right"/>
              <w:ind w:right="21"/>
              <w:spacing w:after="0"/>
              <w:rPr>
                <w:sz w:val="20"/>
                <w:szCs w:val="20"/>
                <w:color w:val="auto"/>
              </w:rPr>
            </w:pPr>
            <w:r>
              <w:rPr>
                <w:rFonts w:ascii="Arial" w:cs="Arial" w:eastAsia="Arial" w:hAnsi="Arial"/>
                <w:sz w:val="14"/>
                <w:szCs w:val="14"/>
                <w:b w:val="1"/>
                <w:bCs w:val="1"/>
                <w:color w:val="auto"/>
              </w:rPr>
              <w:t>Bonus</w:t>
            </w:r>
          </w:p>
        </w:tc>
        <w:tc>
          <w:tcPr>
            <w:tcW w:w="920" w:type="dxa"/>
            <w:vAlign w:val="bottom"/>
          </w:tcPr>
          <w:p>
            <w:pPr>
              <w:jc w:val="right"/>
              <w:ind w:right="21"/>
              <w:spacing w:after="0"/>
              <w:rPr>
                <w:sz w:val="20"/>
                <w:szCs w:val="20"/>
                <w:color w:val="auto"/>
              </w:rPr>
            </w:pPr>
            <w:r>
              <w:rPr>
                <w:rFonts w:ascii="Arial" w:cs="Arial" w:eastAsia="Arial" w:hAnsi="Arial"/>
                <w:sz w:val="14"/>
                <w:szCs w:val="14"/>
                <w:b w:val="1"/>
                <w:bCs w:val="1"/>
                <w:color w:val="auto"/>
              </w:rPr>
              <w:t>Awards</w:t>
            </w:r>
          </w:p>
        </w:tc>
        <w:tc>
          <w:tcPr>
            <w:tcW w:w="1220" w:type="dxa"/>
            <w:vAlign w:val="bottom"/>
          </w:tcPr>
          <w:p>
            <w:pPr>
              <w:jc w:val="right"/>
              <w:ind w:right="42"/>
              <w:spacing w:after="0"/>
              <w:rPr>
                <w:sz w:val="20"/>
                <w:szCs w:val="20"/>
                <w:color w:val="auto"/>
              </w:rPr>
            </w:pPr>
            <w:r>
              <w:rPr>
                <w:rFonts w:ascii="Arial" w:cs="Arial" w:eastAsia="Arial" w:hAnsi="Arial"/>
                <w:sz w:val="14"/>
                <w:szCs w:val="14"/>
                <w:b w:val="1"/>
                <w:bCs w:val="1"/>
                <w:color w:val="auto"/>
              </w:rPr>
              <w:t>Compensation</w:t>
            </w:r>
          </w:p>
        </w:tc>
        <w:tc>
          <w:tcPr>
            <w:tcW w:w="1200" w:type="dxa"/>
            <w:vAlign w:val="bottom"/>
          </w:tcPr>
          <w:p>
            <w:pPr>
              <w:jc w:val="right"/>
              <w:ind w:right="42"/>
              <w:spacing w:after="0"/>
              <w:rPr>
                <w:sz w:val="20"/>
                <w:szCs w:val="20"/>
                <w:color w:val="auto"/>
              </w:rPr>
            </w:pPr>
            <w:r>
              <w:rPr>
                <w:rFonts w:ascii="Arial" w:cs="Arial" w:eastAsia="Arial" w:hAnsi="Arial"/>
                <w:sz w:val="14"/>
                <w:szCs w:val="14"/>
                <w:b w:val="1"/>
                <w:bCs w:val="1"/>
                <w:color w:val="auto"/>
              </w:rPr>
              <w:t>Compensation</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r>
      <w:tr>
        <w:trPr>
          <w:trHeight w:val="215"/>
        </w:trPr>
        <w:tc>
          <w:tcPr>
            <w:tcW w:w="4500" w:type="dxa"/>
            <w:vAlign w:val="bottom"/>
            <w:tcBorders>
              <w:bottom w:val="single" w:sz="8" w:color="16479F"/>
            </w:tcBorders>
          </w:tcPr>
          <w:p>
            <w:pPr>
              <w:ind w:left="60"/>
              <w:spacing w:after="0"/>
              <w:rPr>
                <w:sz w:val="20"/>
                <w:szCs w:val="20"/>
                <w:color w:val="auto"/>
              </w:rPr>
            </w:pPr>
            <w:r>
              <w:rPr>
                <w:rFonts w:ascii="Arial" w:cs="Arial" w:eastAsia="Arial" w:hAnsi="Arial"/>
                <w:sz w:val="14"/>
                <w:szCs w:val="14"/>
                <w:b w:val="1"/>
                <w:bCs w:val="1"/>
                <w:color w:val="auto"/>
              </w:rPr>
              <w:t>Name and Principal Position</w:t>
            </w:r>
          </w:p>
        </w:tc>
        <w:tc>
          <w:tcPr>
            <w:tcW w:w="800" w:type="dxa"/>
            <w:vAlign w:val="bottom"/>
            <w:tcBorders>
              <w:bottom w:val="single" w:sz="8" w:color="16479F"/>
            </w:tcBorders>
          </w:tcPr>
          <w:p>
            <w:pPr>
              <w:jc w:val="right"/>
              <w:ind w:right="21"/>
              <w:spacing w:after="0"/>
              <w:rPr>
                <w:sz w:val="20"/>
                <w:szCs w:val="20"/>
                <w:color w:val="auto"/>
              </w:rPr>
            </w:pPr>
            <w:r>
              <w:rPr>
                <w:rFonts w:ascii="Arial" w:cs="Arial" w:eastAsia="Arial" w:hAnsi="Arial"/>
                <w:sz w:val="14"/>
                <w:szCs w:val="14"/>
                <w:b w:val="1"/>
                <w:bCs w:val="1"/>
                <w:color w:val="auto"/>
              </w:rPr>
              <w:t>Year</w:t>
            </w:r>
          </w:p>
        </w:tc>
        <w:tc>
          <w:tcPr>
            <w:tcW w:w="960" w:type="dxa"/>
            <w:vAlign w:val="bottom"/>
            <w:tcBorders>
              <w:bottom w:val="single" w:sz="8" w:color="16479F"/>
            </w:tcBorders>
          </w:tcPr>
          <w:p>
            <w:pPr>
              <w:jc w:val="right"/>
              <w:ind w:right="61"/>
              <w:spacing w:after="0" w:line="214"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(1)</w:t>
            </w:r>
          </w:p>
        </w:tc>
        <w:tc>
          <w:tcPr>
            <w:tcW w:w="680" w:type="dxa"/>
            <w:vAlign w:val="bottom"/>
            <w:tcBorders>
              <w:bottom w:val="single" w:sz="8" w:color="16479F"/>
            </w:tcBorders>
          </w:tcPr>
          <w:p>
            <w:pPr>
              <w:jc w:val="right"/>
              <w:ind w:right="21"/>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16479F"/>
            </w:tcBorders>
          </w:tcPr>
          <w:p>
            <w:pPr>
              <w:jc w:val="right"/>
              <w:ind w:right="21"/>
              <w:spacing w:after="0" w:line="214"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(2)</w:t>
            </w:r>
          </w:p>
        </w:tc>
        <w:tc>
          <w:tcPr>
            <w:tcW w:w="1220" w:type="dxa"/>
            <w:vAlign w:val="bottom"/>
            <w:tcBorders>
              <w:bottom w:val="single" w:sz="8" w:color="16479F"/>
            </w:tcBorders>
          </w:tcPr>
          <w:p>
            <w:pPr>
              <w:jc w:val="right"/>
              <w:ind w:right="42"/>
              <w:spacing w:after="0" w:line="214"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(3)</w:t>
            </w:r>
          </w:p>
        </w:tc>
        <w:tc>
          <w:tcPr>
            <w:tcW w:w="1200" w:type="dxa"/>
            <w:vAlign w:val="bottom"/>
            <w:tcBorders>
              <w:bottom w:val="single" w:sz="8" w:color="16479F"/>
            </w:tcBorders>
          </w:tcPr>
          <w:p>
            <w:pPr>
              <w:jc w:val="right"/>
              <w:ind w:right="22"/>
              <w:spacing w:after="0" w:line="214"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1"/>
                <w:szCs w:val="11"/>
                <w:b w:val="1"/>
                <w:bCs w:val="1"/>
                <w:color w:val="auto"/>
              </w:rPr>
              <w:t>(4)(5)(6)(7)</w:t>
            </w:r>
          </w:p>
        </w:tc>
        <w:tc>
          <w:tcPr>
            <w:tcW w:w="960" w:type="dxa"/>
            <w:vAlign w:val="bottom"/>
            <w:tcBorders>
              <w:bottom w:val="single" w:sz="8" w:color="16479F"/>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215"/>
        </w:trPr>
        <w:tc>
          <w:tcPr>
            <w:tcW w:w="4500" w:type="dxa"/>
            <w:vAlign w:val="bottom"/>
            <w:shd w:val="clear" w:color="auto" w:fill="F0F1F8"/>
          </w:tcPr>
          <w:p>
            <w:pPr>
              <w:ind w:left="60"/>
              <w:spacing w:after="0"/>
              <w:rPr>
                <w:sz w:val="20"/>
                <w:szCs w:val="20"/>
                <w:color w:val="auto"/>
              </w:rPr>
            </w:pPr>
            <w:r>
              <w:rPr>
                <w:rFonts w:ascii="Arial" w:cs="Arial" w:eastAsia="Arial" w:hAnsi="Arial"/>
                <w:sz w:val="16"/>
                <w:szCs w:val="16"/>
                <w:b w:val="1"/>
                <w:bCs w:val="1"/>
                <w:color w:val="auto"/>
              </w:rPr>
              <w:t>Henry A. Fernandez</w:t>
            </w:r>
          </w:p>
        </w:tc>
        <w:tc>
          <w:tcPr>
            <w:tcW w:w="800" w:type="dxa"/>
            <w:vAlign w:val="bottom"/>
            <w:shd w:val="clear" w:color="auto" w:fill="F0F1F8"/>
          </w:tcPr>
          <w:p>
            <w:pPr>
              <w:jc w:val="right"/>
              <w:ind w:right="21"/>
              <w:spacing w:after="0"/>
              <w:rPr>
                <w:sz w:val="20"/>
                <w:szCs w:val="20"/>
                <w:color w:val="auto"/>
              </w:rPr>
            </w:pPr>
            <w:r>
              <w:rPr>
                <w:rFonts w:ascii="Arial" w:cs="Arial" w:eastAsia="Arial" w:hAnsi="Arial"/>
                <w:sz w:val="16"/>
                <w:szCs w:val="16"/>
                <w:color w:val="auto"/>
              </w:rPr>
              <w:t>2021</w:t>
            </w:r>
          </w:p>
        </w:tc>
        <w:tc>
          <w:tcPr>
            <w:tcW w:w="960" w:type="dxa"/>
            <w:vAlign w:val="bottom"/>
            <w:shd w:val="clear" w:color="auto" w:fill="F0F1F8"/>
          </w:tcPr>
          <w:p>
            <w:pPr>
              <w:jc w:val="right"/>
              <w:ind w:right="61"/>
              <w:spacing w:after="0"/>
              <w:rPr>
                <w:sz w:val="20"/>
                <w:szCs w:val="20"/>
                <w:color w:val="auto"/>
              </w:rPr>
            </w:pPr>
            <w:r>
              <w:rPr>
                <w:rFonts w:ascii="Arial" w:cs="Arial" w:eastAsia="Arial" w:hAnsi="Arial"/>
                <w:sz w:val="16"/>
                <w:szCs w:val="16"/>
                <w:color w:val="auto"/>
              </w:rPr>
              <w:t>1,000,000</w:t>
            </w:r>
          </w:p>
        </w:tc>
        <w:tc>
          <w:tcPr>
            <w:tcW w:w="680" w:type="dxa"/>
            <w:vAlign w:val="bottom"/>
            <w:shd w:val="clear" w:color="auto" w:fill="F0F1F8"/>
          </w:tcPr>
          <w:p>
            <w:pPr>
              <w:jc w:val="right"/>
              <w:ind w:right="21"/>
              <w:spacing w:after="0"/>
              <w:rPr>
                <w:sz w:val="20"/>
                <w:szCs w:val="20"/>
                <w:color w:val="auto"/>
              </w:rPr>
            </w:pPr>
            <w:r>
              <w:rPr>
                <w:rFonts w:ascii="Arial" w:cs="Arial" w:eastAsia="Arial" w:hAnsi="Arial"/>
                <w:sz w:val="16"/>
                <w:szCs w:val="16"/>
                <w:color w:val="auto"/>
              </w:rPr>
              <w:t>—</w:t>
            </w:r>
          </w:p>
        </w:tc>
        <w:tc>
          <w:tcPr>
            <w:tcW w:w="920" w:type="dxa"/>
            <w:vAlign w:val="bottom"/>
            <w:shd w:val="clear" w:color="auto" w:fill="F0F1F8"/>
          </w:tcPr>
          <w:p>
            <w:pPr>
              <w:jc w:val="right"/>
              <w:ind w:right="21"/>
              <w:spacing w:after="0"/>
              <w:rPr>
                <w:sz w:val="20"/>
                <w:szCs w:val="20"/>
                <w:color w:val="auto"/>
              </w:rPr>
            </w:pPr>
            <w:r>
              <w:rPr>
                <w:rFonts w:ascii="Arial" w:cs="Arial" w:eastAsia="Arial" w:hAnsi="Arial"/>
                <w:sz w:val="16"/>
                <w:szCs w:val="16"/>
                <w:color w:val="auto"/>
              </w:rPr>
              <w:t>7,499,592</w:t>
            </w:r>
          </w:p>
        </w:tc>
        <w:tc>
          <w:tcPr>
            <w:tcW w:w="1220" w:type="dxa"/>
            <w:vAlign w:val="bottom"/>
            <w:shd w:val="clear" w:color="auto" w:fill="F0F1F8"/>
          </w:tcPr>
          <w:p>
            <w:pPr>
              <w:jc w:val="right"/>
              <w:ind w:right="42"/>
              <w:spacing w:after="0"/>
              <w:rPr>
                <w:sz w:val="20"/>
                <w:szCs w:val="20"/>
                <w:color w:val="auto"/>
              </w:rPr>
            </w:pPr>
            <w:r>
              <w:rPr>
                <w:rFonts w:ascii="Arial" w:cs="Arial" w:eastAsia="Arial" w:hAnsi="Arial"/>
                <w:sz w:val="16"/>
                <w:szCs w:val="16"/>
                <w:color w:val="auto"/>
              </w:rPr>
              <w:t>1,816,100</w:t>
            </w:r>
          </w:p>
        </w:tc>
        <w:tc>
          <w:tcPr>
            <w:tcW w:w="1200" w:type="dxa"/>
            <w:vAlign w:val="bottom"/>
            <w:shd w:val="clear" w:color="auto" w:fill="F0F1F8"/>
          </w:tcPr>
          <w:p>
            <w:pPr>
              <w:jc w:val="right"/>
              <w:ind w:right="42"/>
              <w:spacing w:after="0"/>
              <w:rPr>
                <w:sz w:val="20"/>
                <w:szCs w:val="20"/>
                <w:color w:val="auto"/>
              </w:rPr>
            </w:pPr>
            <w:r>
              <w:rPr>
                <w:rFonts w:ascii="Arial" w:cs="Arial" w:eastAsia="Arial" w:hAnsi="Arial"/>
                <w:sz w:val="16"/>
                <w:szCs w:val="16"/>
                <w:color w:val="auto"/>
              </w:rPr>
              <w:t>22,620</w:t>
            </w:r>
          </w:p>
        </w:tc>
        <w:tc>
          <w:tcPr>
            <w:tcW w:w="960" w:type="dxa"/>
            <w:vAlign w:val="bottom"/>
            <w:shd w:val="clear" w:color="auto" w:fill="F0F1F8"/>
          </w:tcPr>
          <w:p>
            <w:pPr>
              <w:jc w:val="right"/>
              <w:spacing w:after="0"/>
              <w:rPr>
                <w:sz w:val="20"/>
                <w:szCs w:val="20"/>
                <w:color w:val="auto"/>
              </w:rPr>
            </w:pPr>
            <w:r>
              <w:rPr>
                <w:rFonts w:ascii="Arial" w:cs="Arial" w:eastAsia="Arial" w:hAnsi="Arial"/>
                <w:sz w:val="16"/>
                <w:szCs w:val="16"/>
                <w:color w:val="auto"/>
              </w:rPr>
              <w:t>10,338,312</w:t>
            </w:r>
          </w:p>
        </w:tc>
      </w:tr>
      <w:tr>
        <w:trPr>
          <w:trHeight w:val="241"/>
        </w:trPr>
        <w:tc>
          <w:tcPr>
            <w:tcW w:w="4500" w:type="dxa"/>
            <w:vAlign w:val="bottom"/>
            <w:shd w:val="clear" w:color="auto" w:fill="F0F1F8"/>
          </w:tcPr>
          <w:p>
            <w:pPr>
              <w:ind w:left="180"/>
              <w:spacing w:after="0"/>
              <w:rPr>
                <w:sz w:val="20"/>
                <w:szCs w:val="20"/>
                <w:color w:val="auto"/>
              </w:rPr>
            </w:pPr>
            <w:r>
              <w:rPr>
                <w:rFonts w:ascii="Arial" w:cs="Arial" w:eastAsia="Arial" w:hAnsi="Arial"/>
                <w:sz w:val="16"/>
                <w:szCs w:val="16"/>
                <w:color w:val="auto"/>
              </w:rPr>
              <w:t>Chairman and</w:t>
            </w:r>
          </w:p>
        </w:tc>
        <w:tc>
          <w:tcPr>
            <w:tcW w:w="800" w:type="dxa"/>
            <w:vAlign w:val="bottom"/>
            <w:shd w:val="clear" w:color="auto" w:fill="F0F1F8"/>
          </w:tcPr>
          <w:p>
            <w:pPr>
              <w:jc w:val="right"/>
              <w:ind w:right="21"/>
              <w:spacing w:after="0"/>
              <w:rPr>
                <w:sz w:val="20"/>
                <w:szCs w:val="20"/>
                <w:color w:val="auto"/>
              </w:rPr>
            </w:pPr>
            <w:r>
              <w:rPr>
                <w:rFonts w:ascii="Arial" w:cs="Arial" w:eastAsia="Arial" w:hAnsi="Arial"/>
                <w:sz w:val="16"/>
                <w:szCs w:val="16"/>
                <w:color w:val="auto"/>
              </w:rPr>
              <w:t>2020</w:t>
            </w:r>
          </w:p>
        </w:tc>
        <w:tc>
          <w:tcPr>
            <w:tcW w:w="960" w:type="dxa"/>
            <w:vAlign w:val="bottom"/>
            <w:shd w:val="clear" w:color="auto" w:fill="F0F1F8"/>
          </w:tcPr>
          <w:p>
            <w:pPr>
              <w:jc w:val="right"/>
              <w:ind w:right="61"/>
              <w:spacing w:after="0"/>
              <w:rPr>
                <w:sz w:val="20"/>
                <w:szCs w:val="20"/>
                <w:color w:val="auto"/>
              </w:rPr>
            </w:pPr>
            <w:r>
              <w:rPr>
                <w:rFonts w:ascii="Arial" w:cs="Arial" w:eastAsia="Arial" w:hAnsi="Arial"/>
                <w:sz w:val="16"/>
                <w:szCs w:val="16"/>
                <w:color w:val="auto"/>
              </w:rPr>
              <w:t>1,000,000</w:t>
            </w:r>
          </w:p>
        </w:tc>
        <w:tc>
          <w:tcPr>
            <w:tcW w:w="680" w:type="dxa"/>
            <w:vAlign w:val="bottom"/>
            <w:shd w:val="clear" w:color="auto" w:fill="F0F1F8"/>
          </w:tcPr>
          <w:p>
            <w:pPr>
              <w:jc w:val="right"/>
              <w:ind w:right="21"/>
              <w:spacing w:after="0"/>
              <w:rPr>
                <w:sz w:val="20"/>
                <w:szCs w:val="20"/>
                <w:color w:val="auto"/>
              </w:rPr>
            </w:pPr>
            <w:r>
              <w:rPr>
                <w:rFonts w:ascii="Arial" w:cs="Arial" w:eastAsia="Arial" w:hAnsi="Arial"/>
                <w:sz w:val="16"/>
                <w:szCs w:val="16"/>
                <w:color w:val="auto"/>
              </w:rPr>
              <w:t>—</w:t>
            </w:r>
          </w:p>
        </w:tc>
        <w:tc>
          <w:tcPr>
            <w:tcW w:w="920" w:type="dxa"/>
            <w:vAlign w:val="bottom"/>
            <w:shd w:val="clear" w:color="auto" w:fill="F0F1F8"/>
          </w:tcPr>
          <w:p>
            <w:pPr>
              <w:jc w:val="right"/>
              <w:ind w:right="21"/>
              <w:spacing w:after="0"/>
              <w:rPr>
                <w:sz w:val="20"/>
                <w:szCs w:val="20"/>
                <w:color w:val="auto"/>
              </w:rPr>
            </w:pPr>
            <w:r>
              <w:rPr>
                <w:rFonts w:ascii="Arial" w:cs="Arial" w:eastAsia="Arial" w:hAnsi="Arial"/>
                <w:sz w:val="16"/>
                <w:szCs w:val="16"/>
                <w:color w:val="auto"/>
              </w:rPr>
              <w:t>7,499,849</w:t>
            </w:r>
          </w:p>
        </w:tc>
        <w:tc>
          <w:tcPr>
            <w:tcW w:w="1220" w:type="dxa"/>
            <w:vAlign w:val="bottom"/>
            <w:shd w:val="clear" w:color="auto" w:fill="F0F1F8"/>
          </w:tcPr>
          <w:p>
            <w:pPr>
              <w:jc w:val="right"/>
              <w:ind w:right="42"/>
              <w:spacing w:after="0"/>
              <w:rPr>
                <w:sz w:val="20"/>
                <w:szCs w:val="20"/>
                <w:color w:val="auto"/>
              </w:rPr>
            </w:pPr>
            <w:r>
              <w:rPr>
                <w:rFonts w:ascii="Arial" w:cs="Arial" w:eastAsia="Arial" w:hAnsi="Arial"/>
                <w:sz w:val="16"/>
                <w:szCs w:val="16"/>
                <w:color w:val="auto"/>
              </w:rPr>
              <w:t>1,402,210</w:t>
            </w:r>
          </w:p>
        </w:tc>
        <w:tc>
          <w:tcPr>
            <w:tcW w:w="1200" w:type="dxa"/>
            <w:vAlign w:val="bottom"/>
            <w:shd w:val="clear" w:color="auto" w:fill="F0F1F8"/>
          </w:tcPr>
          <w:p>
            <w:pPr>
              <w:jc w:val="right"/>
              <w:ind w:right="42"/>
              <w:spacing w:after="0"/>
              <w:rPr>
                <w:sz w:val="20"/>
                <w:szCs w:val="20"/>
                <w:color w:val="auto"/>
              </w:rPr>
            </w:pPr>
            <w:r>
              <w:rPr>
                <w:rFonts w:ascii="Arial" w:cs="Arial" w:eastAsia="Arial" w:hAnsi="Arial"/>
                <w:sz w:val="16"/>
                <w:szCs w:val="16"/>
                <w:color w:val="auto"/>
              </w:rPr>
              <w:t>22,080</w:t>
            </w:r>
          </w:p>
        </w:tc>
        <w:tc>
          <w:tcPr>
            <w:tcW w:w="960" w:type="dxa"/>
            <w:vAlign w:val="bottom"/>
            <w:shd w:val="clear" w:color="auto" w:fill="F0F1F8"/>
          </w:tcPr>
          <w:p>
            <w:pPr>
              <w:jc w:val="right"/>
              <w:spacing w:after="0"/>
              <w:rPr>
                <w:sz w:val="20"/>
                <w:szCs w:val="20"/>
                <w:color w:val="auto"/>
              </w:rPr>
            </w:pPr>
            <w:r>
              <w:rPr>
                <w:rFonts w:ascii="Arial" w:cs="Arial" w:eastAsia="Arial" w:hAnsi="Arial"/>
                <w:sz w:val="16"/>
                <w:szCs w:val="16"/>
                <w:color w:val="auto"/>
              </w:rPr>
              <w:t>9,924,139</w:t>
            </w:r>
          </w:p>
        </w:tc>
      </w:tr>
      <w:tr>
        <w:trPr>
          <w:trHeight w:val="260"/>
        </w:trPr>
        <w:tc>
          <w:tcPr>
            <w:tcW w:w="4500" w:type="dxa"/>
            <w:vAlign w:val="bottom"/>
            <w:shd w:val="clear" w:color="auto" w:fill="F0F1F8"/>
          </w:tcPr>
          <w:p>
            <w:pPr>
              <w:ind w:left="180"/>
              <w:spacing w:after="0"/>
              <w:rPr>
                <w:sz w:val="20"/>
                <w:szCs w:val="20"/>
                <w:color w:val="auto"/>
              </w:rPr>
            </w:pPr>
            <w:r>
              <w:rPr>
                <w:rFonts w:ascii="Arial" w:cs="Arial" w:eastAsia="Arial" w:hAnsi="Arial"/>
                <w:sz w:val="16"/>
                <w:szCs w:val="16"/>
                <w:color w:val="auto"/>
              </w:rPr>
              <w:t>Chief Executive Officer</w:t>
            </w:r>
          </w:p>
        </w:tc>
        <w:tc>
          <w:tcPr>
            <w:tcW w:w="800" w:type="dxa"/>
            <w:vAlign w:val="bottom"/>
            <w:shd w:val="clear" w:color="auto" w:fill="F0F1F8"/>
          </w:tcPr>
          <w:p>
            <w:pPr>
              <w:jc w:val="right"/>
              <w:ind w:right="21"/>
              <w:spacing w:after="0"/>
              <w:rPr>
                <w:sz w:val="20"/>
                <w:szCs w:val="20"/>
                <w:color w:val="auto"/>
              </w:rPr>
            </w:pPr>
            <w:r>
              <w:rPr>
                <w:rFonts w:ascii="Arial" w:cs="Arial" w:eastAsia="Arial" w:hAnsi="Arial"/>
                <w:sz w:val="16"/>
                <w:szCs w:val="16"/>
                <w:color w:val="auto"/>
              </w:rPr>
              <w:t>2019</w:t>
            </w:r>
          </w:p>
        </w:tc>
        <w:tc>
          <w:tcPr>
            <w:tcW w:w="960" w:type="dxa"/>
            <w:vAlign w:val="bottom"/>
            <w:shd w:val="clear" w:color="auto" w:fill="F0F1F8"/>
          </w:tcPr>
          <w:p>
            <w:pPr>
              <w:jc w:val="right"/>
              <w:ind w:right="61"/>
              <w:spacing w:after="0"/>
              <w:rPr>
                <w:sz w:val="20"/>
                <w:szCs w:val="20"/>
                <w:color w:val="auto"/>
              </w:rPr>
            </w:pPr>
            <w:r>
              <w:rPr>
                <w:rFonts w:ascii="Arial" w:cs="Arial" w:eastAsia="Arial" w:hAnsi="Arial"/>
                <w:sz w:val="16"/>
                <w:szCs w:val="16"/>
                <w:color w:val="auto"/>
              </w:rPr>
              <w:t>1,000,000</w:t>
            </w:r>
          </w:p>
        </w:tc>
        <w:tc>
          <w:tcPr>
            <w:tcW w:w="680" w:type="dxa"/>
            <w:vAlign w:val="bottom"/>
            <w:shd w:val="clear" w:color="auto" w:fill="F0F1F8"/>
          </w:tcPr>
          <w:p>
            <w:pPr>
              <w:jc w:val="right"/>
              <w:ind w:right="21"/>
              <w:spacing w:after="0"/>
              <w:rPr>
                <w:sz w:val="20"/>
                <w:szCs w:val="20"/>
                <w:color w:val="auto"/>
              </w:rPr>
            </w:pPr>
            <w:r>
              <w:rPr>
                <w:rFonts w:ascii="Arial" w:cs="Arial" w:eastAsia="Arial" w:hAnsi="Arial"/>
                <w:sz w:val="16"/>
                <w:szCs w:val="16"/>
                <w:color w:val="auto"/>
              </w:rPr>
              <w:t>—</w:t>
            </w:r>
          </w:p>
        </w:tc>
        <w:tc>
          <w:tcPr>
            <w:tcW w:w="920" w:type="dxa"/>
            <w:vAlign w:val="bottom"/>
            <w:shd w:val="clear" w:color="auto" w:fill="F0F1F8"/>
          </w:tcPr>
          <w:p>
            <w:pPr>
              <w:jc w:val="right"/>
              <w:ind w:right="21"/>
              <w:spacing w:after="0"/>
              <w:rPr>
                <w:sz w:val="20"/>
                <w:szCs w:val="20"/>
                <w:color w:val="auto"/>
              </w:rPr>
            </w:pPr>
            <w:r>
              <w:rPr>
                <w:rFonts w:ascii="Arial" w:cs="Arial" w:eastAsia="Arial" w:hAnsi="Arial"/>
                <w:sz w:val="16"/>
                <w:szCs w:val="16"/>
                <w:color w:val="auto"/>
              </w:rPr>
              <w:t>6,499,950</w:t>
            </w:r>
          </w:p>
        </w:tc>
        <w:tc>
          <w:tcPr>
            <w:tcW w:w="1220" w:type="dxa"/>
            <w:vAlign w:val="bottom"/>
            <w:shd w:val="clear" w:color="auto" w:fill="F0F1F8"/>
          </w:tcPr>
          <w:p>
            <w:pPr>
              <w:jc w:val="right"/>
              <w:ind w:right="42"/>
              <w:spacing w:after="0"/>
              <w:rPr>
                <w:sz w:val="20"/>
                <w:szCs w:val="20"/>
                <w:color w:val="auto"/>
              </w:rPr>
            </w:pPr>
            <w:r>
              <w:rPr>
                <w:rFonts w:ascii="Arial" w:cs="Arial" w:eastAsia="Arial" w:hAnsi="Arial"/>
                <w:sz w:val="16"/>
                <w:szCs w:val="16"/>
                <w:color w:val="auto"/>
              </w:rPr>
              <w:t>1,734,320</w:t>
            </w:r>
          </w:p>
        </w:tc>
        <w:tc>
          <w:tcPr>
            <w:tcW w:w="1200" w:type="dxa"/>
            <w:vAlign w:val="bottom"/>
            <w:shd w:val="clear" w:color="auto" w:fill="F0F1F8"/>
          </w:tcPr>
          <w:p>
            <w:pPr>
              <w:jc w:val="right"/>
              <w:ind w:right="42"/>
              <w:spacing w:after="0"/>
              <w:rPr>
                <w:sz w:val="20"/>
                <w:szCs w:val="20"/>
                <w:color w:val="auto"/>
              </w:rPr>
            </w:pPr>
            <w:r>
              <w:rPr>
                <w:rFonts w:ascii="Arial" w:cs="Arial" w:eastAsia="Arial" w:hAnsi="Arial"/>
                <w:sz w:val="16"/>
                <w:szCs w:val="16"/>
                <w:color w:val="auto"/>
              </w:rPr>
              <w:t>21,690</w:t>
            </w:r>
          </w:p>
        </w:tc>
        <w:tc>
          <w:tcPr>
            <w:tcW w:w="960" w:type="dxa"/>
            <w:vAlign w:val="bottom"/>
            <w:shd w:val="clear" w:color="auto" w:fill="F0F1F8"/>
          </w:tcPr>
          <w:p>
            <w:pPr>
              <w:jc w:val="right"/>
              <w:spacing w:after="0"/>
              <w:rPr>
                <w:sz w:val="20"/>
                <w:szCs w:val="20"/>
                <w:color w:val="auto"/>
              </w:rPr>
            </w:pPr>
            <w:r>
              <w:rPr>
                <w:rFonts w:ascii="Arial" w:cs="Arial" w:eastAsia="Arial" w:hAnsi="Arial"/>
                <w:sz w:val="16"/>
                <w:szCs w:val="16"/>
                <w:color w:val="auto"/>
              </w:rPr>
              <w:t>9,255,960</w:t>
            </w:r>
          </w:p>
        </w:tc>
      </w:tr>
      <w:tr>
        <w:trPr>
          <w:trHeight w:val="222"/>
        </w:trPr>
        <w:tc>
          <w:tcPr>
            <w:tcW w:w="4500" w:type="dxa"/>
            <w:vAlign w:val="bottom"/>
          </w:tcPr>
          <w:p>
            <w:pPr>
              <w:ind w:left="60"/>
              <w:spacing w:after="0"/>
              <w:rPr>
                <w:sz w:val="20"/>
                <w:szCs w:val="20"/>
                <w:color w:val="auto"/>
              </w:rPr>
            </w:pPr>
            <w:r>
              <w:rPr>
                <w:rFonts w:ascii="Arial" w:cs="Arial" w:eastAsia="Arial" w:hAnsi="Arial"/>
                <w:sz w:val="16"/>
                <w:szCs w:val="16"/>
                <w:b w:val="1"/>
                <w:bCs w:val="1"/>
                <w:color w:val="auto"/>
              </w:rPr>
              <w:t>Andrew C. Wiechmann</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2021</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500,000</w:t>
            </w: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899,268</w:t>
            </w: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766,330</w:t>
            </w: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68,780</w:t>
            </w:r>
          </w:p>
        </w:tc>
        <w:tc>
          <w:tcPr>
            <w:tcW w:w="960" w:type="dxa"/>
            <w:vAlign w:val="bottom"/>
          </w:tcPr>
          <w:p>
            <w:pPr>
              <w:jc w:val="right"/>
              <w:spacing w:after="0"/>
              <w:rPr>
                <w:sz w:val="20"/>
                <w:szCs w:val="20"/>
                <w:color w:val="auto"/>
              </w:rPr>
            </w:pPr>
            <w:r>
              <w:rPr>
                <w:rFonts w:ascii="Arial" w:cs="Arial" w:eastAsia="Arial" w:hAnsi="Arial"/>
                <w:sz w:val="16"/>
                <w:szCs w:val="16"/>
                <w:color w:val="auto"/>
              </w:rPr>
              <w:t>2,234,378</w:t>
            </w:r>
          </w:p>
        </w:tc>
      </w:tr>
      <w:tr>
        <w:trPr>
          <w:trHeight w:val="241"/>
        </w:trPr>
        <w:tc>
          <w:tcPr>
            <w:tcW w:w="4500" w:type="dxa"/>
            <w:vAlign w:val="bottom"/>
          </w:tcPr>
          <w:p>
            <w:pPr>
              <w:ind w:left="180"/>
              <w:spacing w:after="0"/>
              <w:rPr>
                <w:sz w:val="20"/>
                <w:szCs w:val="20"/>
                <w:color w:val="auto"/>
              </w:rPr>
            </w:pPr>
            <w:r>
              <w:rPr>
                <w:rFonts w:ascii="Arial" w:cs="Arial" w:eastAsia="Arial" w:hAnsi="Arial"/>
                <w:sz w:val="16"/>
                <w:szCs w:val="16"/>
                <w:color w:val="auto"/>
              </w:rPr>
              <w:t>Chief Financial Officer</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2020</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500,000</w:t>
            </w: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499,836</w:t>
            </w: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525,970</w:t>
            </w: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72,364</w:t>
            </w:r>
          </w:p>
        </w:tc>
        <w:tc>
          <w:tcPr>
            <w:tcW w:w="960" w:type="dxa"/>
            <w:vAlign w:val="bottom"/>
          </w:tcPr>
          <w:p>
            <w:pPr>
              <w:jc w:val="right"/>
              <w:spacing w:after="0"/>
              <w:rPr>
                <w:sz w:val="20"/>
                <w:szCs w:val="20"/>
                <w:color w:val="auto"/>
              </w:rPr>
            </w:pPr>
            <w:r>
              <w:rPr>
                <w:rFonts w:ascii="Arial" w:cs="Arial" w:eastAsia="Arial" w:hAnsi="Arial"/>
                <w:sz w:val="16"/>
                <w:szCs w:val="16"/>
                <w:color w:val="auto"/>
              </w:rPr>
              <w:t>1,598,170</w:t>
            </w:r>
          </w:p>
        </w:tc>
      </w:tr>
      <w:tr>
        <w:trPr>
          <w:trHeight w:val="250"/>
        </w:trPr>
        <w:tc>
          <w:tcPr>
            <w:tcW w:w="4500" w:type="dxa"/>
            <w:vAlign w:val="bottom"/>
          </w:tcPr>
          <w:p>
            <w:pPr>
              <w:ind w:left="180"/>
              <w:spacing w:after="0"/>
              <w:rPr>
                <w:sz w:val="20"/>
                <w:szCs w:val="20"/>
                <w:color w:val="auto"/>
              </w:rPr>
            </w:pPr>
            <w:r>
              <w:rPr>
                <w:rFonts w:ascii="Arial" w:cs="Arial" w:eastAsia="Arial" w:hAnsi="Arial"/>
                <w:sz w:val="16"/>
                <w:szCs w:val="16"/>
                <w:color w:val="auto"/>
              </w:rPr>
              <w:t>and Treasurer</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2019</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406,900</w:t>
            </w: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849,669</w:t>
            </w: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564,850</w:t>
            </w: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32,643</w:t>
            </w:r>
          </w:p>
        </w:tc>
        <w:tc>
          <w:tcPr>
            <w:tcW w:w="960" w:type="dxa"/>
            <w:vAlign w:val="bottom"/>
          </w:tcPr>
          <w:p>
            <w:pPr>
              <w:jc w:val="right"/>
              <w:spacing w:after="0"/>
              <w:rPr>
                <w:sz w:val="20"/>
                <w:szCs w:val="20"/>
                <w:color w:val="auto"/>
              </w:rPr>
            </w:pPr>
            <w:r>
              <w:rPr>
                <w:rFonts w:ascii="Arial" w:cs="Arial" w:eastAsia="Arial" w:hAnsi="Arial"/>
                <w:sz w:val="16"/>
                <w:szCs w:val="16"/>
                <w:color w:val="auto"/>
              </w:rPr>
              <w:t>1,854,062</w:t>
            </w:r>
          </w:p>
        </w:tc>
      </w:tr>
      <w:tr>
        <w:trPr>
          <w:trHeight w:val="232"/>
        </w:trPr>
        <w:tc>
          <w:tcPr>
            <w:tcW w:w="4500" w:type="dxa"/>
            <w:vAlign w:val="bottom"/>
            <w:shd w:val="clear" w:color="auto" w:fill="F0F1F8"/>
          </w:tcPr>
          <w:p>
            <w:pPr>
              <w:ind w:left="60"/>
              <w:spacing w:after="0"/>
              <w:rPr>
                <w:sz w:val="20"/>
                <w:szCs w:val="20"/>
                <w:color w:val="auto"/>
              </w:rPr>
            </w:pPr>
            <w:r>
              <w:rPr>
                <w:rFonts w:ascii="Arial" w:cs="Arial" w:eastAsia="Arial" w:hAnsi="Arial"/>
                <w:sz w:val="16"/>
                <w:szCs w:val="16"/>
                <w:b w:val="1"/>
                <w:bCs w:val="1"/>
                <w:color w:val="auto"/>
              </w:rPr>
              <w:t>C.D. Baer Pettit</w:t>
            </w:r>
          </w:p>
        </w:tc>
        <w:tc>
          <w:tcPr>
            <w:tcW w:w="800" w:type="dxa"/>
            <w:vAlign w:val="bottom"/>
            <w:shd w:val="clear" w:color="auto" w:fill="F0F1F8"/>
          </w:tcPr>
          <w:p>
            <w:pPr>
              <w:jc w:val="right"/>
              <w:ind w:right="21"/>
              <w:spacing w:after="0"/>
              <w:rPr>
                <w:sz w:val="20"/>
                <w:szCs w:val="20"/>
                <w:color w:val="auto"/>
              </w:rPr>
            </w:pPr>
            <w:r>
              <w:rPr>
                <w:rFonts w:ascii="Arial" w:cs="Arial" w:eastAsia="Arial" w:hAnsi="Arial"/>
                <w:sz w:val="16"/>
                <w:szCs w:val="16"/>
                <w:color w:val="auto"/>
              </w:rPr>
              <w:t>2021</w:t>
            </w:r>
          </w:p>
        </w:tc>
        <w:tc>
          <w:tcPr>
            <w:tcW w:w="960" w:type="dxa"/>
            <w:vAlign w:val="bottom"/>
            <w:shd w:val="clear" w:color="auto" w:fill="F0F1F8"/>
          </w:tcPr>
          <w:p>
            <w:pPr>
              <w:jc w:val="right"/>
              <w:ind w:right="61"/>
              <w:spacing w:after="0"/>
              <w:rPr>
                <w:sz w:val="20"/>
                <w:szCs w:val="20"/>
                <w:color w:val="auto"/>
              </w:rPr>
            </w:pPr>
            <w:r>
              <w:rPr>
                <w:rFonts w:ascii="Arial" w:cs="Arial" w:eastAsia="Arial" w:hAnsi="Arial"/>
                <w:sz w:val="16"/>
                <w:szCs w:val="16"/>
                <w:color w:val="auto"/>
              </w:rPr>
              <w:t>859,819</w:t>
            </w:r>
          </w:p>
        </w:tc>
        <w:tc>
          <w:tcPr>
            <w:tcW w:w="680" w:type="dxa"/>
            <w:vAlign w:val="bottom"/>
            <w:shd w:val="clear" w:color="auto" w:fill="F0F1F8"/>
          </w:tcPr>
          <w:p>
            <w:pPr>
              <w:jc w:val="right"/>
              <w:ind w:right="21"/>
              <w:spacing w:after="0"/>
              <w:rPr>
                <w:sz w:val="20"/>
                <w:szCs w:val="20"/>
                <w:color w:val="auto"/>
              </w:rPr>
            </w:pPr>
            <w:r>
              <w:rPr>
                <w:rFonts w:ascii="Arial" w:cs="Arial" w:eastAsia="Arial" w:hAnsi="Arial"/>
                <w:sz w:val="16"/>
                <w:szCs w:val="16"/>
                <w:color w:val="auto"/>
              </w:rPr>
              <w:t>—</w:t>
            </w:r>
          </w:p>
        </w:tc>
        <w:tc>
          <w:tcPr>
            <w:tcW w:w="920" w:type="dxa"/>
            <w:vAlign w:val="bottom"/>
            <w:shd w:val="clear" w:color="auto" w:fill="F0F1F8"/>
          </w:tcPr>
          <w:p>
            <w:pPr>
              <w:jc w:val="right"/>
              <w:ind w:right="21"/>
              <w:spacing w:after="0"/>
              <w:rPr>
                <w:sz w:val="20"/>
                <w:szCs w:val="20"/>
                <w:color w:val="auto"/>
              </w:rPr>
            </w:pPr>
            <w:r>
              <w:rPr>
                <w:rFonts w:ascii="Arial" w:cs="Arial" w:eastAsia="Arial" w:hAnsi="Arial"/>
                <w:sz w:val="16"/>
                <w:szCs w:val="16"/>
                <w:color w:val="auto"/>
              </w:rPr>
              <w:t>3,999,665</w:t>
            </w:r>
          </w:p>
        </w:tc>
        <w:tc>
          <w:tcPr>
            <w:tcW w:w="1220" w:type="dxa"/>
            <w:vAlign w:val="bottom"/>
            <w:shd w:val="clear" w:color="auto" w:fill="F0F1F8"/>
          </w:tcPr>
          <w:p>
            <w:pPr>
              <w:jc w:val="right"/>
              <w:ind w:right="42"/>
              <w:spacing w:after="0"/>
              <w:rPr>
                <w:sz w:val="20"/>
                <w:szCs w:val="20"/>
                <w:color w:val="auto"/>
              </w:rPr>
            </w:pPr>
            <w:r>
              <w:rPr>
                <w:rFonts w:ascii="Arial" w:cs="Arial" w:eastAsia="Arial" w:hAnsi="Arial"/>
                <w:sz w:val="16"/>
                <w:szCs w:val="16"/>
                <w:color w:val="auto"/>
              </w:rPr>
              <w:t>1,593,746</w:t>
            </w:r>
          </w:p>
        </w:tc>
        <w:tc>
          <w:tcPr>
            <w:tcW w:w="1200" w:type="dxa"/>
            <w:vAlign w:val="bottom"/>
            <w:shd w:val="clear" w:color="auto" w:fill="F0F1F8"/>
          </w:tcPr>
          <w:p>
            <w:pPr>
              <w:jc w:val="right"/>
              <w:ind w:right="42"/>
              <w:spacing w:after="0"/>
              <w:rPr>
                <w:sz w:val="20"/>
                <w:szCs w:val="20"/>
                <w:color w:val="auto"/>
              </w:rPr>
            </w:pPr>
            <w:r>
              <w:rPr>
                <w:rFonts w:ascii="Arial" w:cs="Arial" w:eastAsia="Arial" w:hAnsi="Arial"/>
                <w:sz w:val="16"/>
                <w:szCs w:val="16"/>
                <w:color w:val="auto"/>
              </w:rPr>
              <w:t>90,215</w:t>
            </w:r>
          </w:p>
        </w:tc>
        <w:tc>
          <w:tcPr>
            <w:tcW w:w="960" w:type="dxa"/>
            <w:vAlign w:val="bottom"/>
            <w:shd w:val="clear" w:color="auto" w:fill="F0F1F8"/>
          </w:tcPr>
          <w:p>
            <w:pPr>
              <w:jc w:val="right"/>
              <w:spacing w:after="0"/>
              <w:rPr>
                <w:sz w:val="20"/>
                <w:szCs w:val="20"/>
                <w:color w:val="auto"/>
              </w:rPr>
            </w:pPr>
            <w:r>
              <w:rPr>
                <w:rFonts w:ascii="Arial" w:cs="Arial" w:eastAsia="Arial" w:hAnsi="Arial"/>
                <w:sz w:val="16"/>
                <w:szCs w:val="16"/>
                <w:color w:val="auto"/>
              </w:rPr>
              <w:t>6,543,445</w:t>
            </w:r>
          </w:p>
        </w:tc>
      </w:tr>
      <w:tr>
        <w:trPr>
          <w:trHeight w:val="241"/>
        </w:trPr>
        <w:tc>
          <w:tcPr>
            <w:tcW w:w="4500" w:type="dxa"/>
            <w:vAlign w:val="bottom"/>
            <w:shd w:val="clear" w:color="auto" w:fill="F0F1F8"/>
          </w:tcPr>
          <w:p>
            <w:pPr>
              <w:ind w:left="180"/>
              <w:spacing w:after="0"/>
              <w:rPr>
                <w:sz w:val="20"/>
                <w:szCs w:val="20"/>
                <w:color w:val="auto"/>
              </w:rPr>
            </w:pPr>
            <w:r>
              <w:rPr>
                <w:rFonts w:ascii="Arial" w:cs="Arial" w:eastAsia="Arial" w:hAnsi="Arial"/>
                <w:sz w:val="16"/>
                <w:szCs w:val="16"/>
                <w:color w:val="auto"/>
              </w:rPr>
              <w:t>President and</w:t>
            </w:r>
          </w:p>
        </w:tc>
        <w:tc>
          <w:tcPr>
            <w:tcW w:w="800" w:type="dxa"/>
            <w:vAlign w:val="bottom"/>
            <w:shd w:val="clear" w:color="auto" w:fill="F0F1F8"/>
          </w:tcPr>
          <w:p>
            <w:pPr>
              <w:jc w:val="right"/>
              <w:ind w:right="21"/>
              <w:spacing w:after="0"/>
              <w:rPr>
                <w:sz w:val="20"/>
                <w:szCs w:val="20"/>
                <w:color w:val="auto"/>
              </w:rPr>
            </w:pPr>
            <w:r>
              <w:rPr>
                <w:rFonts w:ascii="Arial" w:cs="Arial" w:eastAsia="Arial" w:hAnsi="Arial"/>
                <w:sz w:val="16"/>
                <w:szCs w:val="16"/>
                <w:color w:val="auto"/>
              </w:rPr>
              <w:t>2020</w:t>
            </w:r>
          </w:p>
        </w:tc>
        <w:tc>
          <w:tcPr>
            <w:tcW w:w="960" w:type="dxa"/>
            <w:vAlign w:val="bottom"/>
            <w:shd w:val="clear" w:color="auto" w:fill="F0F1F8"/>
          </w:tcPr>
          <w:p>
            <w:pPr>
              <w:jc w:val="right"/>
              <w:ind w:right="61"/>
              <w:spacing w:after="0"/>
              <w:rPr>
                <w:sz w:val="20"/>
                <w:szCs w:val="20"/>
                <w:color w:val="auto"/>
              </w:rPr>
            </w:pPr>
            <w:r>
              <w:rPr>
                <w:rFonts w:ascii="Arial" w:cs="Arial" w:eastAsia="Arial" w:hAnsi="Arial"/>
                <w:sz w:val="16"/>
                <w:szCs w:val="16"/>
                <w:color w:val="auto"/>
              </w:rPr>
              <w:t>802,253</w:t>
            </w:r>
          </w:p>
        </w:tc>
        <w:tc>
          <w:tcPr>
            <w:tcW w:w="680" w:type="dxa"/>
            <w:vAlign w:val="bottom"/>
            <w:shd w:val="clear" w:color="auto" w:fill="F0F1F8"/>
          </w:tcPr>
          <w:p>
            <w:pPr>
              <w:jc w:val="right"/>
              <w:ind w:right="21"/>
              <w:spacing w:after="0"/>
              <w:rPr>
                <w:sz w:val="20"/>
                <w:szCs w:val="20"/>
                <w:color w:val="auto"/>
              </w:rPr>
            </w:pPr>
            <w:r>
              <w:rPr>
                <w:rFonts w:ascii="Arial" w:cs="Arial" w:eastAsia="Arial" w:hAnsi="Arial"/>
                <w:sz w:val="16"/>
                <w:szCs w:val="16"/>
                <w:color w:val="auto"/>
              </w:rPr>
              <w:t>—</w:t>
            </w:r>
          </w:p>
        </w:tc>
        <w:tc>
          <w:tcPr>
            <w:tcW w:w="920" w:type="dxa"/>
            <w:vAlign w:val="bottom"/>
            <w:shd w:val="clear" w:color="auto" w:fill="F0F1F8"/>
          </w:tcPr>
          <w:p>
            <w:pPr>
              <w:jc w:val="right"/>
              <w:ind w:right="21"/>
              <w:spacing w:after="0"/>
              <w:rPr>
                <w:sz w:val="20"/>
                <w:szCs w:val="20"/>
                <w:color w:val="auto"/>
              </w:rPr>
            </w:pPr>
            <w:r>
              <w:rPr>
                <w:rFonts w:ascii="Arial" w:cs="Arial" w:eastAsia="Arial" w:hAnsi="Arial"/>
                <w:sz w:val="16"/>
                <w:szCs w:val="16"/>
                <w:color w:val="auto"/>
              </w:rPr>
              <w:t>3,999,824</w:t>
            </w:r>
          </w:p>
        </w:tc>
        <w:tc>
          <w:tcPr>
            <w:tcW w:w="1220" w:type="dxa"/>
            <w:vAlign w:val="bottom"/>
            <w:shd w:val="clear" w:color="auto" w:fill="F0F1F8"/>
          </w:tcPr>
          <w:p>
            <w:pPr>
              <w:jc w:val="right"/>
              <w:ind w:right="42"/>
              <w:spacing w:after="0"/>
              <w:rPr>
                <w:sz w:val="20"/>
                <w:szCs w:val="20"/>
                <w:color w:val="auto"/>
              </w:rPr>
            </w:pPr>
            <w:r>
              <w:rPr>
                <w:rFonts w:ascii="Arial" w:cs="Arial" w:eastAsia="Arial" w:hAnsi="Arial"/>
                <w:sz w:val="16"/>
                <w:szCs w:val="16"/>
                <w:color w:val="auto"/>
              </w:rPr>
              <w:t>1,157,080</w:t>
            </w:r>
          </w:p>
        </w:tc>
        <w:tc>
          <w:tcPr>
            <w:tcW w:w="1200" w:type="dxa"/>
            <w:vAlign w:val="bottom"/>
            <w:shd w:val="clear" w:color="auto" w:fill="F0F1F8"/>
          </w:tcPr>
          <w:p>
            <w:pPr>
              <w:jc w:val="right"/>
              <w:ind w:right="42"/>
              <w:spacing w:after="0"/>
              <w:rPr>
                <w:sz w:val="20"/>
                <w:szCs w:val="20"/>
                <w:color w:val="auto"/>
              </w:rPr>
            </w:pPr>
            <w:r>
              <w:rPr>
                <w:rFonts w:ascii="Arial" w:cs="Arial" w:eastAsia="Arial" w:hAnsi="Arial"/>
                <w:sz w:val="16"/>
                <w:szCs w:val="16"/>
                <w:color w:val="auto"/>
              </w:rPr>
              <w:t>193,394</w:t>
            </w:r>
          </w:p>
        </w:tc>
        <w:tc>
          <w:tcPr>
            <w:tcW w:w="960" w:type="dxa"/>
            <w:vAlign w:val="bottom"/>
            <w:shd w:val="clear" w:color="auto" w:fill="F0F1F8"/>
          </w:tcPr>
          <w:p>
            <w:pPr>
              <w:jc w:val="right"/>
              <w:spacing w:after="0"/>
              <w:rPr>
                <w:sz w:val="20"/>
                <w:szCs w:val="20"/>
                <w:color w:val="auto"/>
              </w:rPr>
            </w:pPr>
            <w:r>
              <w:rPr>
                <w:rFonts w:ascii="Arial" w:cs="Arial" w:eastAsia="Arial" w:hAnsi="Arial"/>
                <w:sz w:val="16"/>
                <w:szCs w:val="16"/>
                <w:color w:val="auto"/>
              </w:rPr>
              <w:t>6,152,551</w:t>
            </w:r>
          </w:p>
        </w:tc>
      </w:tr>
      <w:tr>
        <w:trPr>
          <w:trHeight w:val="260"/>
        </w:trPr>
        <w:tc>
          <w:tcPr>
            <w:tcW w:w="4500" w:type="dxa"/>
            <w:vAlign w:val="bottom"/>
            <w:shd w:val="clear" w:color="auto" w:fill="F0F1F8"/>
          </w:tcPr>
          <w:p>
            <w:pPr>
              <w:ind w:left="180"/>
              <w:spacing w:after="0"/>
              <w:rPr>
                <w:sz w:val="20"/>
                <w:szCs w:val="20"/>
                <w:color w:val="auto"/>
              </w:rPr>
            </w:pPr>
            <w:r>
              <w:rPr>
                <w:rFonts w:ascii="Arial" w:cs="Arial" w:eastAsia="Arial" w:hAnsi="Arial"/>
                <w:sz w:val="16"/>
                <w:szCs w:val="16"/>
                <w:color w:val="auto"/>
              </w:rPr>
              <w:t>Chief Operating Officer</w:t>
            </w:r>
          </w:p>
        </w:tc>
        <w:tc>
          <w:tcPr>
            <w:tcW w:w="800" w:type="dxa"/>
            <w:vAlign w:val="bottom"/>
            <w:shd w:val="clear" w:color="auto" w:fill="F0F1F8"/>
          </w:tcPr>
          <w:p>
            <w:pPr>
              <w:jc w:val="right"/>
              <w:ind w:right="21"/>
              <w:spacing w:after="0"/>
              <w:rPr>
                <w:sz w:val="20"/>
                <w:szCs w:val="20"/>
                <w:color w:val="auto"/>
              </w:rPr>
            </w:pPr>
            <w:r>
              <w:rPr>
                <w:rFonts w:ascii="Arial" w:cs="Arial" w:eastAsia="Arial" w:hAnsi="Arial"/>
                <w:sz w:val="16"/>
                <w:szCs w:val="16"/>
                <w:color w:val="auto"/>
              </w:rPr>
              <w:t>2019</w:t>
            </w:r>
          </w:p>
        </w:tc>
        <w:tc>
          <w:tcPr>
            <w:tcW w:w="960" w:type="dxa"/>
            <w:vAlign w:val="bottom"/>
            <w:shd w:val="clear" w:color="auto" w:fill="F0F1F8"/>
          </w:tcPr>
          <w:p>
            <w:pPr>
              <w:jc w:val="right"/>
              <w:ind w:right="61"/>
              <w:spacing w:after="0"/>
              <w:rPr>
                <w:sz w:val="20"/>
                <w:szCs w:val="20"/>
                <w:color w:val="auto"/>
              </w:rPr>
            </w:pPr>
            <w:r>
              <w:rPr>
                <w:rFonts w:ascii="Arial" w:cs="Arial" w:eastAsia="Arial" w:hAnsi="Arial"/>
                <w:sz w:val="16"/>
                <w:szCs w:val="16"/>
                <w:color w:val="auto"/>
              </w:rPr>
              <w:t>798,256</w:t>
            </w:r>
          </w:p>
        </w:tc>
        <w:tc>
          <w:tcPr>
            <w:tcW w:w="680" w:type="dxa"/>
            <w:vAlign w:val="bottom"/>
            <w:shd w:val="clear" w:color="auto" w:fill="F0F1F8"/>
          </w:tcPr>
          <w:p>
            <w:pPr>
              <w:jc w:val="right"/>
              <w:ind w:right="21"/>
              <w:spacing w:after="0"/>
              <w:rPr>
                <w:sz w:val="20"/>
                <w:szCs w:val="20"/>
                <w:color w:val="auto"/>
              </w:rPr>
            </w:pPr>
            <w:r>
              <w:rPr>
                <w:rFonts w:ascii="Arial" w:cs="Arial" w:eastAsia="Arial" w:hAnsi="Arial"/>
                <w:sz w:val="16"/>
                <w:szCs w:val="16"/>
                <w:color w:val="auto"/>
              </w:rPr>
              <w:t>—</w:t>
            </w:r>
          </w:p>
        </w:tc>
        <w:tc>
          <w:tcPr>
            <w:tcW w:w="920" w:type="dxa"/>
            <w:vAlign w:val="bottom"/>
            <w:shd w:val="clear" w:color="auto" w:fill="F0F1F8"/>
          </w:tcPr>
          <w:p>
            <w:pPr>
              <w:jc w:val="right"/>
              <w:ind w:right="21"/>
              <w:spacing w:after="0"/>
              <w:rPr>
                <w:sz w:val="20"/>
                <w:szCs w:val="20"/>
                <w:color w:val="auto"/>
              </w:rPr>
            </w:pPr>
            <w:r>
              <w:rPr>
                <w:rFonts w:ascii="Arial" w:cs="Arial" w:eastAsia="Arial" w:hAnsi="Arial"/>
                <w:sz w:val="16"/>
                <w:szCs w:val="16"/>
                <w:color w:val="auto"/>
              </w:rPr>
              <w:t>2,999,797</w:t>
            </w:r>
          </w:p>
        </w:tc>
        <w:tc>
          <w:tcPr>
            <w:tcW w:w="1220" w:type="dxa"/>
            <w:vAlign w:val="bottom"/>
            <w:shd w:val="clear" w:color="auto" w:fill="F0F1F8"/>
          </w:tcPr>
          <w:p>
            <w:pPr>
              <w:jc w:val="right"/>
              <w:ind w:right="42"/>
              <w:spacing w:after="0"/>
              <w:rPr>
                <w:sz w:val="20"/>
                <w:szCs w:val="20"/>
                <w:color w:val="auto"/>
              </w:rPr>
            </w:pPr>
            <w:r>
              <w:rPr>
                <w:rFonts w:ascii="Arial" w:cs="Arial" w:eastAsia="Arial" w:hAnsi="Arial"/>
                <w:sz w:val="16"/>
                <w:szCs w:val="16"/>
                <w:color w:val="auto"/>
              </w:rPr>
              <w:t>1,406,743</w:t>
            </w:r>
          </w:p>
        </w:tc>
        <w:tc>
          <w:tcPr>
            <w:tcW w:w="1200" w:type="dxa"/>
            <w:vAlign w:val="bottom"/>
            <w:shd w:val="clear" w:color="auto" w:fill="F0F1F8"/>
          </w:tcPr>
          <w:p>
            <w:pPr>
              <w:jc w:val="right"/>
              <w:ind w:right="42"/>
              <w:spacing w:after="0"/>
              <w:rPr>
                <w:sz w:val="20"/>
                <w:szCs w:val="20"/>
                <w:color w:val="auto"/>
              </w:rPr>
            </w:pPr>
            <w:r>
              <w:rPr>
                <w:rFonts w:ascii="Arial" w:cs="Arial" w:eastAsia="Arial" w:hAnsi="Arial"/>
                <w:sz w:val="16"/>
                <w:szCs w:val="16"/>
                <w:color w:val="auto"/>
              </w:rPr>
              <w:t>165,788</w:t>
            </w:r>
          </w:p>
        </w:tc>
        <w:tc>
          <w:tcPr>
            <w:tcW w:w="960" w:type="dxa"/>
            <w:vAlign w:val="bottom"/>
            <w:shd w:val="clear" w:color="auto" w:fill="F0F1F8"/>
          </w:tcPr>
          <w:p>
            <w:pPr>
              <w:jc w:val="right"/>
              <w:spacing w:after="0"/>
              <w:rPr>
                <w:sz w:val="20"/>
                <w:szCs w:val="20"/>
                <w:color w:val="auto"/>
              </w:rPr>
            </w:pPr>
            <w:r>
              <w:rPr>
                <w:rFonts w:ascii="Arial" w:cs="Arial" w:eastAsia="Arial" w:hAnsi="Arial"/>
                <w:sz w:val="16"/>
                <w:szCs w:val="16"/>
                <w:color w:val="auto"/>
              </w:rPr>
              <w:t>5,370,583</w:t>
            </w:r>
          </w:p>
        </w:tc>
      </w:tr>
      <w:tr>
        <w:trPr>
          <w:trHeight w:val="222"/>
        </w:trPr>
        <w:tc>
          <w:tcPr>
            <w:tcW w:w="4500" w:type="dxa"/>
            <w:vAlign w:val="bottom"/>
          </w:tcPr>
          <w:p>
            <w:pPr>
              <w:ind w:left="60"/>
              <w:spacing w:after="0"/>
              <w:rPr>
                <w:sz w:val="20"/>
                <w:szCs w:val="20"/>
                <w:color w:val="auto"/>
              </w:rPr>
            </w:pPr>
            <w:r>
              <w:rPr>
                <w:rFonts w:ascii="Arial" w:cs="Arial" w:eastAsia="Arial" w:hAnsi="Arial"/>
                <w:sz w:val="16"/>
                <w:szCs w:val="16"/>
                <w:b w:val="1"/>
                <w:bCs w:val="1"/>
                <w:color w:val="auto"/>
              </w:rPr>
              <w:t>Scott Crum</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2021</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550,000</w:t>
            </w: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1,473,932</w:t>
            </w: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908,050</w:t>
            </w: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33,857</w:t>
            </w:r>
          </w:p>
        </w:tc>
        <w:tc>
          <w:tcPr>
            <w:tcW w:w="960" w:type="dxa"/>
            <w:vAlign w:val="bottom"/>
          </w:tcPr>
          <w:p>
            <w:pPr>
              <w:jc w:val="right"/>
              <w:spacing w:after="0"/>
              <w:rPr>
                <w:sz w:val="20"/>
                <w:szCs w:val="20"/>
                <w:color w:val="auto"/>
              </w:rPr>
            </w:pPr>
            <w:r>
              <w:rPr>
                <w:rFonts w:ascii="Arial" w:cs="Arial" w:eastAsia="Arial" w:hAnsi="Arial"/>
                <w:sz w:val="16"/>
                <w:szCs w:val="16"/>
                <w:color w:val="auto"/>
              </w:rPr>
              <w:t>2,965,839</w:t>
            </w:r>
          </w:p>
        </w:tc>
      </w:tr>
      <w:tr>
        <w:trPr>
          <w:trHeight w:val="241"/>
        </w:trPr>
        <w:tc>
          <w:tcPr>
            <w:tcW w:w="4500" w:type="dxa"/>
            <w:vAlign w:val="bottom"/>
          </w:tcPr>
          <w:p>
            <w:pPr>
              <w:ind w:left="180"/>
              <w:spacing w:after="0"/>
              <w:rPr>
                <w:sz w:val="20"/>
                <w:szCs w:val="20"/>
                <w:color w:val="auto"/>
              </w:rPr>
            </w:pPr>
            <w:r>
              <w:rPr>
                <w:rFonts w:ascii="Arial" w:cs="Arial" w:eastAsia="Arial" w:hAnsi="Arial"/>
                <w:sz w:val="16"/>
                <w:szCs w:val="16"/>
                <w:color w:val="auto"/>
              </w:rPr>
              <w:t>Chief Human Resources Officer</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2020</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550,000</w:t>
            </w: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1,199,683</w:t>
            </w: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701,110</w:t>
            </w: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33,342</w:t>
            </w:r>
          </w:p>
        </w:tc>
        <w:tc>
          <w:tcPr>
            <w:tcW w:w="960" w:type="dxa"/>
            <w:vAlign w:val="bottom"/>
          </w:tcPr>
          <w:p>
            <w:pPr>
              <w:jc w:val="right"/>
              <w:spacing w:after="0"/>
              <w:rPr>
                <w:sz w:val="20"/>
                <w:szCs w:val="20"/>
                <w:color w:val="auto"/>
              </w:rPr>
            </w:pPr>
            <w:r>
              <w:rPr>
                <w:rFonts w:ascii="Arial" w:cs="Arial" w:eastAsia="Arial" w:hAnsi="Arial"/>
                <w:sz w:val="16"/>
                <w:szCs w:val="16"/>
                <w:color w:val="auto"/>
              </w:rPr>
              <w:t>2,484,135</w:t>
            </w:r>
          </w:p>
        </w:tc>
      </w:tr>
      <w:tr>
        <w:trPr>
          <w:trHeight w:val="250"/>
        </w:trPr>
        <w:tc>
          <w:tcPr>
            <w:tcW w:w="4500" w:type="dxa"/>
            <w:vAlign w:val="bottom"/>
          </w:tcPr>
          <w:p>
            <w:pPr>
              <w:spacing w:after="0"/>
              <w:rPr>
                <w:sz w:val="21"/>
                <w:szCs w:val="21"/>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2019</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550,000</w:t>
            </w: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1,099,695</w:t>
            </w: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867,160</w:t>
            </w: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36,266</w:t>
            </w:r>
          </w:p>
        </w:tc>
        <w:tc>
          <w:tcPr>
            <w:tcW w:w="960" w:type="dxa"/>
            <w:vAlign w:val="bottom"/>
          </w:tcPr>
          <w:p>
            <w:pPr>
              <w:jc w:val="right"/>
              <w:spacing w:after="0"/>
              <w:rPr>
                <w:sz w:val="20"/>
                <w:szCs w:val="20"/>
                <w:color w:val="auto"/>
              </w:rPr>
            </w:pPr>
            <w:r>
              <w:rPr>
                <w:rFonts w:ascii="Arial" w:cs="Arial" w:eastAsia="Arial" w:hAnsi="Arial"/>
                <w:sz w:val="16"/>
                <w:szCs w:val="16"/>
                <w:color w:val="auto"/>
              </w:rPr>
              <w:t>2,553,121</w:t>
            </w:r>
          </w:p>
        </w:tc>
      </w:tr>
      <w:tr>
        <w:trPr>
          <w:trHeight w:val="232"/>
        </w:trPr>
        <w:tc>
          <w:tcPr>
            <w:tcW w:w="4500" w:type="dxa"/>
            <w:vAlign w:val="bottom"/>
            <w:shd w:val="clear" w:color="auto" w:fill="F0F1F8"/>
          </w:tcPr>
          <w:p>
            <w:pPr>
              <w:ind w:left="60"/>
              <w:spacing w:after="0"/>
              <w:rPr>
                <w:sz w:val="20"/>
                <w:szCs w:val="20"/>
                <w:color w:val="auto"/>
              </w:rPr>
            </w:pPr>
            <w:r>
              <w:rPr>
                <w:rFonts w:ascii="Arial" w:cs="Arial" w:eastAsia="Arial" w:hAnsi="Arial"/>
                <w:sz w:val="16"/>
                <w:szCs w:val="16"/>
                <w:b w:val="1"/>
                <w:bCs w:val="1"/>
                <w:color w:val="auto"/>
              </w:rPr>
              <w:t>Robert J. Gutowski</w:t>
            </w:r>
          </w:p>
        </w:tc>
        <w:tc>
          <w:tcPr>
            <w:tcW w:w="800" w:type="dxa"/>
            <w:vAlign w:val="bottom"/>
            <w:shd w:val="clear" w:color="auto" w:fill="F0F1F8"/>
          </w:tcPr>
          <w:p>
            <w:pPr>
              <w:jc w:val="right"/>
              <w:ind w:right="21"/>
              <w:spacing w:after="0"/>
              <w:rPr>
                <w:sz w:val="20"/>
                <w:szCs w:val="20"/>
                <w:color w:val="auto"/>
              </w:rPr>
            </w:pPr>
            <w:r>
              <w:rPr>
                <w:rFonts w:ascii="Arial" w:cs="Arial" w:eastAsia="Arial" w:hAnsi="Arial"/>
                <w:sz w:val="16"/>
                <w:szCs w:val="16"/>
                <w:color w:val="auto"/>
              </w:rPr>
              <w:t>2021</w:t>
            </w:r>
          </w:p>
        </w:tc>
        <w:tc>
          <w:tcPr>
            <w:tcW w:w="960" w:type="dxa"/>
            <w:vAlign w:val="bottom"/>
            <w:shd w:val="clear" w:color="auto" w:fill="F0F1F8"/>
          </w:tcPr>
          <w:p>
            <w:pPr>
              <w:jc w:val="right"/>
              <w:ind w:right="61"/>
              <w:spacing w:after="0"/>
              <w:rPr>
                <w:sz w:val="20"/>
                <w:szCs w:val="20"/>
                <w:color w:val="auto"/>
              </w:rPr>
            </w:pPr>
            <w:r>
              <w:rPr>
                <w:rFonts w:ascii="Arial" w:cs="Arial" w:eastAsia="Arial" w:hAnsi="Arial"/>
                <w:sz w:val="16"/>
                <w:szCs w:val="16"/>
                <w:color w:val="auto"/>
              </w:rPr>
              <w:t>450,000</w:t>
            </w:r>
          </w:p>
        </w:tc>
        <w:tc>
          <w:tcPr>
            <w:tcW w:w="680" w:type="dxa"/>
            <w:vAlign w:val="bottom"/>
            <w:shd w:val="clear" w:color="auto" w:fill="F0F1F8"/>
          </w:tcPr>
          <w:p>
            <w:pPr>
              <w:jc w:val="right"/>
              <w:ind w:right="21"/>
              <w:spacing w:after="0"/>
              <w:rPr>
                <w:sz w:val="20"/>
                <w:szCs w:val="20"/>
                <w:color w:val="auto"/>
              </w:rPr>
            </w:pPr>
            <w:r>
              <w:rPr>
                <w:rFonts w:ascii="Arial" w:cs="Arial" w:eastAsia="Arial" w:hAnsi="Arial"/>
                <w:sz w:val="16"/>
                <w:szCs w:val="16"/>
                <w:color w:val="auto"/>
              </w:rPr>
              <w:t>—</w:t>
            </w:r>
          </w:p>
        </w:tc>
        <w:tc>
          <w:tcPr>
            <w:tcW w:w="920" w:type="dxa"/>
            <w:vAlign w:val="bottom"/>
            <w:shd w:val="clear" w:color="auto" w:fill="F0F1F8"/>
          </w:tcPr>
          <w:p>
            <w:pPr>
              <w:jc w:val="right"/>
              <w:ind w:right="21"/>
              <w:spacing w:after="0"/>
              <w:rPr>
                <w:sz w:val="20"/>
                <w:szCs w:val="20"/>
                <w:color w:val="auto"/>
              </w:rPr>
            </w:pPr>
            <w:r>
              <w:rPr>
                <w:rFonts w:ascii="Arial" w:cs="Arial" w:eastAsia="Arial" w:hAnsi="Arial"/>
                <w:sz w:val="16"/>
                <w:szCs w:val="16"/>
                <w:color w:val="auto"/>
              </w:rPr>
              <w:t>899,268</w:t>
            </w:r>
          </w:p>
        </w:tc>
        <w:tc>
          <w:tcPr>
            <w:tcW w:w="1220" w:type="dxa"/>
            <w:vAlign w:val="bottom"/>
            <w:shd w:val="clear" w:color="auto" w:fill="F0F1F8"/>
          </w:tcPr>
          <w:p>
            <w:pPr>
              <w:jc w:val="right"/>
              <w:ind w:right="42"/>
              <w:spacing w:after="0"/>
              <w:rPr>
                <w:sz w:val="20"/>
                <w:szCs w:val="20"/>
                <w:color w:val="auto"/>
              </w:rPr>
            </w:pPr>
            <w:r>
              <w:rPr>
                <w:rFonts w:ascii="Arial" w:cs="Arial" w:eastAsia="Arial" w:hAnsi="Arial"/>
                <w:sz w:val="16"/>
                <w:szCs w:val="16"/>
                <w:color w:val="auto"/>
              </w:rPr>
              <w:t>836,268</w:t>
            </w:r>
          </w:p>
        </w:tc>
        <w:tc>
          <w:tcPr>
            <w:tcW w:w="1200" w:type="dxa"/>
            <w:vAlign w:val="bottom"/>
            <w:shd w:val="clear" w:color="auto" w:fill="F0F1F8"/>
          </w:tcPr>
          <w:p>
            <w:pPr>
              <w:jc w:val="right"/>
              <w:ind w:right="42"/>
              <w:spacing w:after="0"/>
              <w:rPr>
                <w:sz w:val="20"/>
                <w:szCs w:val="20"/>
                <w:color w:val="auto"/>
              </w:rPr>
            </w:pPr>
            <w:r>
              <w:rPr>
                <w:rFonts w:ascii="Arial" w:cs="Arial" w:eastAsia="Arial" w:hAnsi="Arial"/>
                <w:sz w:val="16"/>
                <w:szCs w:val="16"/>
                <w:color w:val="auto"/>
              </w:rPr>
              <w:t>55,823</w:t>
            </w:r>
          </w:p>
        </w:tc>
        <w:tc>
          <w:tcPr>
            <w:tcW w:w="960" w:type="dxa"/>
            <w:vAlign w:val="bottom"/>
            <w:shd w:val="clear" w:color="auto" w:fill="F0F1F8"/>
          </w:tcPr>
          <w:p>
            <w:pPr>
              <w:jc w:val="right"/>
              <w:spacing w:after="0"/>
              <w:rPr>
                <w:sz w:val="20"/>
                <w:szCs w:val="20"/>
                <w:color w:val="auto"/>
              </w:rPr>
            </w:pPr>
            <w:r>
              <w:rPr>
                <w:rFonts w:ascii="Arial" w:cs="Arial" w:eastAsia="Arial" w:hAnsi="Arial"/>
                <w:sz w:val="16"/>
                <w:szCs w:val="16"/>
                <w:color w:val="auto"/>
              </w:rPr>
              <w:t>2,241,781</w:t>
            </w:r>
          </w:p>
        </w:tc>
      </w:tr>
      <w:tr>
        <w:trPr>
          <w:trHeight w:val="233"/>
        </w:trPr>
        <w:tc>
          <w:tcPr>
            <w:tcW w:w="4500" w:type="dxa"/>
            <w:vAlign w:val="bottom"/>
            <w:tcBorders>
              <w:bottom w:val="single" w:sz="8" w:color="002739"/>
            </w:tcBorders>
            <w:shd w:val="clear" w:color="auto" w:fill="F0F1F8"/>
          </w:tcPr>
          <w:p>
            <w:pPr>
              <w:ind w:left="180"/>
              <w:spacing w:after="0"/>
              <w:rPr>
                <w:sz w:val="20"/>
                <w:szCs w:val="20"/>
                <w:color w:val="auto"/>
              </w:rPr>
            </w:pPr>
            <w:r>
              <w:rPr>
                <w:rFonts w:ascii="Arial" w:cs="Arial" w:eastAsia="Arial" w:hAnsi="Arial"/>
                <w:sz w:val="16"/>
                <w:szCs w:val="16"/>
                <w:color w:val="auto"/>
              </w:rPr>
              <w:t>General Counsel</w:t>
            </w:r>
          </w:p>
        </w:tc>
        <w:tc>
          <w:tcPr>
            <w:tcW w:w="800" w:type="dxa"/>
            <w:vAlign w:val="bottom"/>
            <w:tcBorders>
              <w:bottom w:val="single" w:sz="8" w:color="002739"/>
            </w:tcBorders>
            <w:shd w:val="clear" w:color="auto" w:fill="F0F1F8"/>
          </w:tcPr>
          <w:p>
            <w:pPr>
              <w:jc w:val="right"/>
              <w:ind w:right="21"/>
              <w:spacing w:after="0"/>
              <w:rPr>
                <w:sz w:val="20"/>
                <w:szCs w:val="20"/>
                <w:color w:val="auto"/>
              </w:rPr>
            </w:pPr>
            <w:r>
              <w:rPr>
                <w:rFonts w:ascii="Arial" w:cs="Arial" w:eastAsia="Arial" w:hAnsi="Arial"/>
                <w:sz w:val="16"/>
                <w:szCs w:val="16"/>
                <w:color w:val="auto"/>
              </w:rPr>
              <w:t>2020</w:t>
            </w:r>
          </w:p>
        </w:tc>
        <w:tc>
          <w:tcPr>
            <w:tcW w:w="960" w:type="dxa"/>
            <w:vAlign w:val="bottom"/>
            <w:tcBorders>
              <w:bottom w:val="single" w:sz="8" w:color="002739"/>
            </w:tcBorders>
            <w:shd w:val="clear" w:color="auto" w:fill="F0F1F8"/>
          </w:tcPr>
          <w:p>
            <w:pPr>
              <w:jc w:val="right"/>
              <w:ind w:right="61"/>
              <w:spacing w:after="0"/>
              <w:rPr>
                <w:sz w:val="20"/>
                <w:szCs w:val="20"/>
                <w:color w:val="auto"/>
              </w:rPr>
            </w:pPr>
            <w:r>
              <w:rPr>
                <w:rFonts w:ascii="Arial" w:cs="Arial" w:eastAsia="Arial" w:hAnsi="Arial"/>
                <w:sz w:val="16"/>
                <w:szCs w:val="16"/>
                <w:color w:val="auto"/>
              </w:rPr>
              <w:t>450,000</w:t>
            </w:r>
          </w:p>
        </w:tc>
        <w:tc>
          <w:tcPr>
            <w:tcW w:w="680" w:type="dxa"/>
            <w:vAlign w:val="bottom"/>
            <w:tcBorders>
              <w:bottom w:val="single" w:sz="8" w:color="002739"/>
            </w:tcBorders>
            <w:shd w:val="clear" w:color="auto" w:fill="F0F1F8"/>
          </w:tcPr>
          <w:p>
            <w:pPr>
              <w:jc w:val="right"/>
              <w:ind w:right="2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002739"/>
            </w:tcBorders>
            <w:shd w:val="clear" w:color="auto" w:fill="F0F1F8"/>
          </w:tcPr>
          <w:p>
            <w:pPr>
              <w:jc w:val="right"/>
              <w:ind w:right="21"/>
              <w:spacing w:after="0"/>
              <w:rPr>
                <w:sz w:val="20"/>
                <w:szCs w:val="20"/>
                <w:color w:val="auto"/>
              </w:rPr>
            </w:pPr>
            <w:r>
              <w:rPr>
                <w:rFonts w:ascii="Arial" w:cs="Arial" w:eastAsia="Arial" w:hAnsi="Arial"/>
                <w:sz w:val="16"/>
                <w:szCs w:val="16"/>
                <w:color w:val="auto"/>
              </w:rPr>
              <w:t>399,726</w:t>
            </w:r>
          </w:p>
        </w:tc>
        <w:tc>
          <w:tcPr>
            <w:tcW w:w="1220" w:type="dxa"/>
            <w:vAlign w:val="bottom"/>
            <w:tcBorders>
              <w:bottom w:val="single" w:sz="8" w:color="002739"/>
            </w:tcBorders>
            <w:shd w:val="clear" w:color="auto" w:fill="F0F1F8"/>
          </w:tcPr>
          <w:p>
            <w:pPr>
              <w:jc w:val="right"/>
              <w:ind w:right="42"/>
              <w:spacing w:after="0"/>
              <w:rPr>
                <w:sz w:val="20"/>
                <w:szCs w:val="20"/>
                <w:color w:val="auto"/>
              </w:rPr>
            </w:pPr>
            <w:r>
              <w:rPr>
                <w:rFonts w:ascii="Arial" w:cs="Arial" w:eastAsia="Arial" w:hAnsi="Arial"/>
                <w:sz w:val="16"/>
                <w:szCs w:val="16"/>
                <w:color w:val="auto"/>
              </w:rPr>
              <w:t>475,750</w:t>
            </w:r>
          </w:p>
        </w:tc>
        <w:tc>
          <w:tcPr>
            <w:tcW w:w="1200" w:type="dxa"/>
            <w:vAlign w:val="bottom"/>
            <w:tcBorders>
              <w:bottom w:val="single" w:sz="8" w:color="002739"/>
            </w:tcBorders>
            <w:shd w:val="clear" w:color="auto" w:fill="F0F1F8"/>
          </w:tcPr>
          <w:p>
            <w:pPr>
              <w:jc w:val="right"/>
              <w:ind w:right="42"/>
              <w:spacing w:after="0"/>
              <w:rPr>
                <w:sz w:val="20"/>
                <w:szCs w:val="20"/>
                <w:color w:val="auto"/>
              </w:rPr>
            </w:pPr>
            <w:r>
              <w:rPr>
                <w:rFonts w:ascii="Arial" w:cs="Arial" w:eastAsia="Arial" w:hAnsi="Arial"/>
                <w:sz w:val="16"/>
                <w:szCs w:val="16"/>
                <w:color w:val="auto"/>
              </w:rPr>
              <w:t>61,014</w:t>
            </w:r>
          </w:p>
        </w:tc>
        <w:tc>
          <w:tcPr>
            <w:tcW w:w="960" w:type="dxa"/>
            <w:vAlign w:val="bottom"/>
            <w:tcBorders>
              <w:bottom w:val="single" w:sz="8" w:color="002739"/>
            </w:tcBorders>
            <w:shd w:val="clear" w:color="auto" w:fill="F0F1F8"/>
          </w:tcPr>
          <w:p>
            <w:pPr>
              <w:jc w:val="right"/>
              <w:spacing w:after="0"/>
              <w:rPr>
                <w:sz w:val="20"/>
                <w:szCs w:val="20"/>
                <w:color w:val="auto"/>
              </w:rPr>
            </w:pPr>
            <w:r>
              <w:rPr>
                <w:rFonts w:ascii="Arial" w:cs="Arial" w:eastAsia="Arial" w:hAnsi="Arial"/>
                <w:sz w:val="16"/>
                <w:szCs w:val="16"/>
                <w:color w:val="auto"/>
              </w:rPr>
              <w:t>1,386,490</w:t>
            </w:r>
          </w:p>
        </w:tc>
      </w:tr>
    </w:tbl>
    <w:p>
      <w:pPr>
        <w:spacing w:after="0" w:line="58" w:lineRule="exact"/>
        <w:rPr>
          <w:sz w:val="20"/>
          <w:szCs w:val="20"/>
          <w:color w:val="auto"/>
        </w:rPr>
      </w:pPr>
    </w:p>
    <w:p>
      <w:pPr>
        <w:ind w:left="280" w:right="60" w:hanging="273"/>
        <w:spacing w:after="0" w:line="182" w:lineRule="auto"/>
        <w:tabs>
          <w:tab w:leader="none" w:pos="280" w:val="left"/>
        </w:tabs>
        <w:numPr>
          <w:ilvl w:val="0"/>
          <w:numId w:val="129"/>
        </w:numPr>
        <w:rPr>
          <w:rFonts w:ascii="Arial" w:cs="Arial" w:eastAsia="Arial" w:hAnsi="Arial"/>
          <w:sz w:val="24"/>
          <w:szCs w:val="24"/>
          <w:color w:val="auto"/>
          <w:vertAlign w:val="superscript"/>
        </w:rPr>
      </w:pPr>
      <w:r>
        <w:rPr>
          <w:rFonts w:ascii="Arial" w:cs="Arial" w:eastAsia="Arial" w:hAnsi="Arial"/>
          <w:sz w:val="14"/>
          <w:szCs w:val="14"/>
          <w:color w:val="auto"/>
        </w:rPr>
        <w:t>Base salary for Mr. Pettit was paid in British pounds sterling and converted to U.S. dollars using the fiscal year average of daily spot rates of £1 to $1.375710, $1.283605 and $1.277209 for fiscal 2021, 2020 and 2019, respectively. Mr. Pettit’s 2021 base salary rate was £625,000.</w:t>
      </w:r>
    </w:p>
    <w:p>
      <w:pPr>
        <w:spacing w:after="0" w:line="70" w:lineRule="exact"/>
        <w:rPr>
          <w:rFonts w:ascii="Arial" w:cs="Arial" w:eastAsia="Arial" w:hAnsi="Arial"/>
          <w:sz w:val="24"/>
          <w:szCs w:val="24"/>
          <w:color w:val="auto"/>
          <w:vertAlign w:val="superscript"/>
        </w:rPr>
      </w:pPr>
    </w:p>
    <w:p>
      <w:pPr>
        <w:ind w:left="280" w:right="120" w:hanging="273"/>
        <w:spacing w:after="0" w:line="206" w:lineRule="auto"/>
        <w:tabs>
          <w:tab w:leader="none" w:pos="280" w:val="left"/>
        </w:tabs>
        <w:numPr>
          <w:ilvl w:val="0"/>
          <w:numId w:val="129"/>
        </w:numPr>
        <w:rPr>
          <w:rFonts w:ascii="Arial" w:cs="Arial" w:eastAsia="Arial" w:hAnsi="Arial"/>
          <w:sz w:val="24"/>
          <w:szCs w:val="24"/>
          <w:color w:val="auto"/>
          <w:vertAlign w:val="superscript"/>
        </w:rPr>
      </w:pPr>
      <w:r>
        <w:rPr>
          <w:rFonts w:ascii="Arial" w:cs="Arial" w:eastAsia="Arial" w:hAnsi="Arial"/>
          <w:sz w:val="14"/>
          <w:szCs w:val="14"/>
          <w:color w:val="auto"/>
        </w:rPr>
        <w:t>Represents the grant date fair value of awards granted during each fiscal year, as computed in accordance with FASB ASC Topic 718, excluding the effect of estimated forfeitures, and does not reflect whether the NEO will actually receive a financial benefit from the award. The awards reported in this column were granted in February 2019, February 2020 and February 2021 as part of the annual compensation process. The following table represents the grant date fair value of awards granted during February 2021:</w:t>
      </w:r>
    </w:p>
    <w:p>
      <w:pPr>
        <w:spacing w:after="0" w:line="249" w:lineRule="exact"/>
        <w:rPr>
          <w:rFonts w:ascii="Arial" w:cs="Arial" w:eastAsia="Arial" w:hAnsi="Arial"/>
          <w:sz w:val="24"/>
          <w:szCs w:val="24"/>
          <w:color w:val="auto"/>
          <w:vertAlign w:val="superscript"/>
        </w:rPr>
      </w:pPr>
    </w:p>
    <w:p>
      <w:pPr>
        <w:ind w:left="280"/>
        <w:spacing w:after="0"/>
        <w:rPr>
          <w:rFonts w:ascii="Arial" w:cs="Arial" w:eastAsia="Arial" w:hAnsi="Arial"/>
          <w:sz w:val="24"/>
          <w:szCs w:val="24"/>
          <w:color w:val="auto"/>
          <w:vertAlign w:val="superscript"/>
        </w:rPr>
      </w:pPr>
      <w:r>
        <w:rPr>
          <w:rFonts w:ascii="Arial" w:cs="Arial" w:eastAsia="Arial" w:hAnsi="Arial"/>
          <w:sz w:val="16"/>
          <w:szCs w:val="16"/>
          <w:b w:val="1"/>
          <w:bCs w:val="1"/>
          <w:color w:val="auto"/>
        </w:rPr>
        <w:t>GRANT DATE FAIR VALUE OF STOCK UNITS GRANTED DURING 2021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30480</wp:posOffset>
            </wp:positionV>
            <wp:extent cx="691261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912610" cy="8255"/>
                    </a:xfrm>
                    <a:prstGeom prst="rect">
                      <a:avLst/>
                    </a:prstGeom>
                    <a:noFill/>
                  </pic:spPr>
                </pic:pic>
              </a:graphicData>
            </a:graphic>
          </wp:anchor>
        </w:drawing>
      </w:r>
    </w:p>
    <w:p>
      <w:pPr>
        <w:spacing w:after="0" w:line="49" w:lineRule="exact"/>
        <w:rPr>
          <w:sz w:val="20"/>
          <w:szCs w:val="20"/>
          <w:color w:val="auto"/>
        </w:rPr>
      </w:pPr>
    </w:p>
    <w:tbl>
      <w:tblPr>
        <w:tblLayout w:type="fixed"/>
        <w:tblInd w:w="280" w:type="dxa"/>
        <w:tblCellMar>
          <w:top w:w="0" w:type="dxa"/>
          <w:left w:w="0" w:type="dxa"/>
          <w:bottom w:w="0" w:type="dxa"/>
          <w:right w:w="0" w:type="dxa"/>
        </w:tblCellMar>
      </w:tblPr>
      <w:tr>
        <w:trPr>
          <w:trHeight w:val="174"/>
        </w:trPr>
        <w:tc>
          <w:tcPr>
            <w:tcW w:w="5140" w:type="dxa"/>
            <w:vAlign w:val="bottom"/>
            <w:tcBorders>
              <w:bottom w:val="single" w:sz="8" w:color="16479F"/>
            </w:tcBorders>
          </w:tcPr>
          <w:p>
            <w:pPr>
              <w:ind w:left="40"/>
              <w:spacing w:after="0"/>
              <w:rPr>
                <w:sz w:val="20"/>
                <w:szCs w:val="20"/>
                <w:color w:val="auto"/>
              </w:rPr>
            </w:pPr>
            <w:r>
              <w:rPr>
                <w:rFonts w:ascii="Arial" w:cs="Arial" w:eastAsia="Arial" w:hAnsi="Arial"/>
                <w:sz w:val="12"/>
                <w:szCs w:val="12"/>
                <w:b w:val="1"/>
                <w:bCs w:val="1"/>
                <w:color w:val="auto"/>
              </w:rPr>
              <w:t>Name</w:t>
            </w:r>
          </w:p>
        </w:tc>
        <w:tc>
          <w:tcPr>
            <w:tcW w:w="4140" w:type="dxa"/>
            <w:vAlign w:val="bottom"/>
            <w:tcBorders>
              <w:bottom w:val="single" w:sz="8" w:color="16479F"/>
            </w:tcBorders>
          </w:tcPr>
          <w:p>
            <w:pPr>
              <w:jc w:val="right"/>
              <w:ind w:right="10"/>
              <w:spacing w:after="0"/>
              <w:rPr>
                <w:sz w:val="20"/>
                <w:szCs w:val="20"/>
                <w:color w:val="auto"/>
              </w:rPr>
            </w:pPr>
            <w:r>
              <w:rPr>
                <w:rFonts w:ascii="Arial" w:cs="Arial" w:eastAsia="Arial" w:hAnsi="Arial"/>
                <w:sz w:val="12"/>
                <w:szCs w:val="12"/>
                <w:b w:val="1"/>
                <w:bCs w:val="1"/>
                <w:color w:val="auto"/>
              </w:rPr>
              <w:t>RSUs</w:t>
            </w:r>
          </w:p>
        </w:tc>
        <w:tc>
          <w:tcPr>
            <w:tcW w:w="820" w:type="dxa"/>
            <w:vAlign w:val="bottom"/>
            <w:tcBorders>
              <w:bottom w:val="single" w:sz="8" w:color="16479F"/>
            </w:tcBorders>
          </w:tcPr>
          <w:p>
            <w:pPr>
              <w:jc w:val="right"/>
              <w:ind w:right="10"/>
              <w:spacing w:after="0"/>
              <w:rPr>
                <w:sz w:val="20"/>
                <w:szCs w:val="20"/>
                <w:color w:val="auto"/>
              </w:rPr>
            </w:pPr>
            <w:r>
              <w:rPr>
                <w:rFonts w:ascii="Arial" w:cs="Arial" w:eastAsia="Arial" w:hAnsi="Arial"/>
                <w:sz w:val="12"/>
                <w:szCs w:val="12"/>
                <w:b w:val="1"/>
                <w:bCs w:val="1"/>
                <w:color w:val="auto"/>
              </w:rPr>
              <w:t>PSUs</w:t>
            </w:r>
          </w:p>
        </w:tc>
        <w:tc>
          <w:tcPr>
            <w:tcW w:w="780" w:type="dxa"/>
            <w:vAlign w:val="bottom"/>
            <w:tcBorders>
              <w:bottom w:val="single" w:sz="8" w:color="16479F"/>
            </w:tcBorders>
          </w:tcPr>
          <w:p>
            <w:pPr>
              <w:jc w:val="right"/>
              <w:spacing w:after="0"/>
              <w:rPr>
                <w:sz w:val="20"/>
                <w:szCs w:val="20"/>
                <w:color w:val="auto"/>
              </w:rPr>
            </w:pPr>
            <w:r>
              <w:rPr>
                <w:rFonts w:ascii="Arial" w:cs="Arial" w:eastAsia="Arial" w:hAnsi="Arial"/>
                <w:sz w:val="12"/>
                <w:szCs w:val="12"/>
                <w:b w:val="1"/>
                <w:bCs w:val="1"/>
                <w:color w:val="auto"/>
              </w:rPr>
              <w:t>Total</w:t>
            </w:r>
          </w:p>
        </w:tc>
      </w:tr>
      <w:tr>
        <w:trPr>
          <w:trHeight w:val="214"/>
        </w:trPr>
        <w:tc>
          <w:tcPr>
            <w:tcW w:w="5140" w:type="dxa"/>
            <w:vAlign w:val="bottom"/>
            <w:shd w:val="clear" w:color="auto" w:fill="F0F1F8"/>
          </w:tcPr>
          <w:p>
            <w:pPr>
              <w:ind w:left="40"/>
              <w:spacing w:after="0"/>
              <w:rPr>
                <w:sz w:val="20"/>
                <w:szCs w:val="20"/>
                <w:color w:val="auto"/>
              </w:rPr>
            </w:pPr>
            <w:r>
              <w:rPr>
                <w:rFonts w:ascii="Arial" w:cs="Arial" w:eastAsia="Arial" w:hAnsi="Arial"/>
                <w:sz w:val="14"/>
                <w:szCs w:val="14"/>
                <w:b w:val="1"/>
                <w:bCs w:val="1"/>
                <w:color w:val="auto"/>
              </w:rPr>
              <w:t>Henry A. Fernandez</w:t>
            </w:r>
          </w:p>
        </w:tc>
        <w:tc>
          <w:tcPr>
            <w:tcW w:w="4140" w:type="dxa"/>
            <w:vAlign w:val="bottom"/>
            <w:shd w:val="clear" w:color="auto" w:fill="F0F1F8"/>
          </w:tcPr>
          <w:p>
            <w:pPr>
              <w:jc w:val="right"/>
              <w:ind w:right="10"/>
              <w:spacing w:after="0"/>
              <w:rPr>
                <w:sz w:val="20"/>
                <w:szCs w:val="20"/>
                <w:color w:val="auto"/>
              </w:rPr>
            </w:pPr>
            <w:r>
              <w:rPr>
                <w:rFonts w:ascii="Arial" w:cs="Arial" w:eastAsia="Arial" w:hAnsi="Arial"/>
                <w:sz w:val="14"/>
                <w:szCs w:val="14"/>
                <w:color w:val="auto"/>
              </w:rPr>
              <w:t>—</w:t>
            </w:r>
          </w:p>
        </w:tc>
        <w:tc>
          <w:tcPr>
            <w:tcW w:w="820" w:type="dxa"/>
            <w:vAlign w:val="bottom"/>
            <w:shd w:val="clear" w:color="auto" w:fill="F0F1F8"/>
          </w:tcPr>
          <w:p>
            <w:pPr>
              <w:jc w:val="right"/>
              <w:ind w:right="10"/>
              <w:spacing w:after="0"/>
              <w:rPr>
                <w:sz w:val="20"/>
                <w:szCs w:val="20"/>
                <w:color w:val="auto"/>
              </w:rPr>
            </w:pPr>
            <w:r>
              <w:rPr>
                <w:rFonts w:ascii="Arial" w:cs="Arial" w:eastAsia="Arial" w:hAnsi="Arial"/>
                <w:sz w:val="14"/>
                <w:szCs w:val="14"/>
                <w:color w:val="auto"/>
              </w:rPr>
              <w:t>7,499,592</w:t>
            </w:r>
          </w:p>
        </w:tc>
        <w:tc>
          <w:tcPr>
            <w:tcW w:w="780" w:type="dxa"/>
            <w:vAlign w:val="bottom"/>
            <w:shd w:val="clear" w:color="auto" w:fill="F0F1F8"/>
          </w:tcPr>
          <w:p>
            <w:pPr>
              <w:jc w:val="right"/>
              <w:spacing w:after="0"/>
              <w:rPr>
                <w:sz w:val="20"/>
                <w:szCs w:val="20"/>
                <w:color w:val="auto"/>
              </w:rPr>
            </w:pPr>
            <w:r>
              <w:rPr>
                <w:rFonts w:ascii="Arial" w:cs="Arial" w:eastAsia="Arial" w:hAnsi="Arial"/>
                <w:sz w:val="14"/>
                <w:szCs w:val="14"/>
                <w:color w:val="auto"/>
              </w:rPr>
              <w:t>7,499,592</w:t>
            </w:r>
          </w:p>
        </w:tc>
      </w:tr>
      <w:tr>
        <w:trPr>
          <w:trHeight w:val="208"/>
        </w:trPr>
        <w:tc>
          <w:tcPr>
            <w:tcW w:w="5140" w:type="dxa"/>
            <w:vAlign w:val="bottom"/>
          </w:tcPr>
          <w:p>
            <w:pPr>
              <w:ind w:left="40"/>
              <w:spacing w:after="0"/>
              <w:rPr>
                <w:sz w:val="20"/>
                <w:szCs w:val="20"/>
                <w:color w:val="auto"/>
              </w:rPr>
            </w:pPr>
            <w:r>
              <w:rPr>
                <w:rFonts w:ascii="Arial" w:cs="Arial" w:eastAsia="Arial" w:hAnsi="Arial"/>
                <w:sz w:val="14"/>
                <w:szCs w:val="14"/>
                <w:b w:val="1"/>
                <w:bCs w:val="1"/>
                <w:color w:val="auto"/>
              </w:rPr>
              <w:t>Andrew C. Wiechmann</w:t>
            </w:r>
          </w:p>
        </w:tc>
        <w:tc>
          <w:tcPr>
            <w:tcW w:w="4140" w:type="dxa"/>
            <w:vAlign w:val="bottom"/>
          </w:tcPr>
          <w:p>
            <w:pPr>
              <w:jc w:val="right"/>
              <w:ind w:right="10"/>
              <w:spacing w:after="0"/>
              <w:rPr>
                <w:sz w:val="20"/>
                <w:szCs w:val="20"/>
                <w:color w:val="auto"/>
              </w:rPr>
            </w:pPr>
            <w:r>
              <w:rPr>
                <w:rFonts w:ascii="Arial" w:cs="Arial" w:eastAsia="Arial" w:hAnsi="Arial"/>
                <w:sz w:val="14"/>
                <w:szCs w:val="14"/>
                <w:color w:val="auto"/>
              </w:rPr>
              <w:t>269,715</w:t>
            </w: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629,553</w:t>
            </w:r>
          </w:p>
        </w:tc>
        <w:tc>
          <w:tcPr>
            <w:tcW w:w="780" w:type="dxa"/>
            <w:vAlign w:val="bottom"/>
          </w:tcPr>
          <w:p>
            <w:pPr>
              <w:jc w:val="right"/>
              <w:spacing w:after="0"/>
              <w:rPr>
                <w:sz w:val="20"/>
                <w:szCs w:val="20"/>
                <w:color w:val="auto"/>
              </w:rPr>
            </w:pPr>
            <w:r>
              <w:rPr>
                <w:rFonts w:ascii="Arial" w:cs="Arial" w:eastAsia="Arial" w:hAnsi="Arial"/>
                <w:sz w:val="14"/>
                <w:szCs w:val="14"/>
                <w:color w:val="auto"/>
              </w:rPr>
              <w:t>899,268</w:t>
            </w:r>
          </w:p>
        </w:tc>
      </w:tr>
      <w:tr>
        <w:trPr>
          <w:trHeight w:val="220"/>
        </w:trPr>
        <w:tc>
          <w:tcPr>
            <w:tcW w:w="5140" w:type="dxa"/>
            <w:vAlign w:val="bottom"/>
            <w:shd w:val="clear" w:color="auto" w:fill="F0F1F8"/>
          </w:tcPr>
          <w:p>
            <w:pPr>
              <w:ind w:left="40"/>
              <w:spacing w:after="0"/>
              <w:rPr>
                <w:sz w:val="20"/>
                <w:szCs w:val="20"/>
                <w:color w:val="auto"/>
              </w:rPr>
            </w:pPr>
            <w:r>
              <w:rPr>
                <w:rFonts w:ascii="Arial" w:cs="Arial" w:eastAsia="Arial" w:hAnsi="Arial"/>
                <w:sz w:val="14"/>
                <w:szCs w:val="14"/>
                <w:b w:val="1"/>
                <w:bCs w:val="1"/>
                <w:color w:val="auto"/>
              </w:rPr>
              <w:t>C.D. Baer Pettit</w:t>
            </w:r>
          </w:p>
        </w:tc>
        <w:tc>
          <w:tcPr>
            <w:tcW w:w="4140" w:type="dxa"/>
            <w:vAlign w:val="bottom"/>
            <w:shd w:val="clear" w:color="auto" w:fill="F0F1F8"/>
          </w:tcPr>
          <w:p>
            <w:pPr>
              <w:jc w:val="right"/>
              <w:ind w:right="10"/>
              <w:spacing w:after="0"/>
              <w:rPr>
                <w:sz w:val="20"/>
                <w:szCs w:val="20"/>
                <w:color w:val="auto"/>
              </w:rPr>
            </w:pPr>
            <w:r>
              <w:rPr>
                <w:rFonts w:ascii="Arial" w:cs="Arial" w:eastAsia="Arial" w:hAnsi="Arial"/>
                <w:sz w:val="14"/>
                <w:szCs w:val="14"/>
                <w:color w:val="auto"/>
              </w:rPr>
              <w:t>—</w:t>
            </w:r>
          </w:p>
        </w:tc>
        <w:tc>
          <w:tcPr>
            <w:tcW w:w="820" w:type="dxa"/>
            <w:vAlign w:val="bottom"/>
            <w:shd w:val="clear" w:color="auto" w:fill="F0F1F8"/>
          </w:tcPr>
          <w:p>
            <w:pPr>
              <w:jc w:val="right"/>
              <w:ind w:right="10"/>
              <w:spacing w:after="0"/>
              <w:rPr>
                <w:sz w:val="20"/>
                <w:szCs w:val="20"/>
                <w:color w:val="auto"/>
              </w:rPr>
            </w:pPr>
            <w:r>
              <w:rPr>
                <w:rFonts w:ascii="Arial" w:cs="Arial" w:eastAsia="Arial" w:hAnsi="Arial"/>
                <w:sz w:val="14"/>
                <w:szCs w:val="14"/>
                <w:color w:val="auto"/>
              </w:rPr>
              <w:t>3,999,665</w:t>
            </w:r>
          </w:p>
        </w:tc>
        <w:tc>
          <w:tcPr>
            <w:tcW w:w="780" w:type="dxa"/>
            <w:vAlign w:val="bottom"/>
            <w:shd w:val="clear" w:color="auto" w:fill="F0F1F8"/>
          </w:tcPr>
          <w:p>
            <w:pPr>
              <w:jc w:val="right"/>
              <w:spacing w:after="0"/>
              <w:rPr>
                <w:sz w:val="20"/>
                <w:szCs w:val="20"/>
                <w:color w:val="auto"/>
              </w:rPr>
            </w:pPr>
            <w:r>
              <w:rPr>
                <w:rFonts w:ascii="Arial" w:cs="Arial" w:eastAsia="Arial" w:hAnsi="Arial"/>
                <w:sz w:val="14"/>
                <w:szCs w:val="14"/>
                <w:color w:val="auto"/>
              </w:rPr>
              <w:t>3,999,665</w:t>
            </w:r>
          </w:p>
        </w:tc>
      </w:tr>
      <w:tr>
        <w:trPr>
          <w:trHeight w:val="208"/>
        </w:trPr>
        <w:tc>
          <w:tcPr>
            <w:tcW w:w="5140" w:type="dxa"/>
            <w:vAlign w:val="bottom"/>
          </w:tcPr>
          <w:p>
            <w:pPr>
              <w:ind w:left="40"/>
              <w:spacing w:after="0"/>
              <w:rPr>
                <w:sz w:val="20"/>
                <w:szCs w:val="20"/>
                <w:color w:val="auto"/>
              </w:rPr>
            </w:pPr>
            <w:r>
              <w:rPr>
                <w:rFonts w:ascii="Arial" w:cs="Arial" w:eastAsia="Arial" w:hAnsi="Arial"/>
                <w:sz w:val="14"/>
                <w:szCs w:val="14"/>
                <w:b w:val="1"/>
                <w:bCs w:val="1"/>
                <w:color w:val="auto"/>
              </w:rPr>
              <w:t>Scott A. Crum</w:t>
            </w:r>
          </w:p>
        </w:tc>
        <w:tc>
          <w:tcPr>
            <w:tcW w:w="4140" w:type="dxa"/>
            <w:vAlign w:val="bottom"/>
          </w:tcPr>
          <w:p>
            <w:pPr>
              <w:jc w:val="right"/>
              <w:ind w:right="10"/>
              <w:spacing w:after="0"/>
              <w:rPr>
                <w:sz w:val="20"/>
                <w:szCs w:val="20"/>
                <w:color w:val="auto"/>
              </w:rPr>
            </w:pPr>
            <w:r>
              <w:rPr>
                <w:rFonts w:ascii="Arial" w:cs="Arial" w:eastAsia="Arial" w:hAnsi="Arial"/>
                <w:sz w:val="14"/>
                <w:szCs w:val="14"/>
                <w:color w:val="auto"/>
              </w:rPr>
              <w:t>634,476</w:t>
            </w: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839,456</w:t>
            </w:r>
          </w:p>
        </w:tc>
        <w:tc>
          <w:tcPr>
            <w:tcW w:w="780" w:type="dxa"/>
            <w:vAlign w:val="bottom"/>
          </w:tcPr>
          <w:p>
            <w:pPr>
              <w:jc w:val="right"/>
              <w:spacing w:after="0"/>
              <w:rPr>
                <w:sz w:val="20"/>
                <w:szCs w:val="20"/>
                <w:color w:val="auto"/>
              </w:rPr>
            </w:pPr>
            <w:r>
              <w:rPr>
                <w:rFonts w:ascii="Arial" w:cs="Arial" w:eastAsia="Arial" w:hAnsi="Arial"/>
                <w:sz w:val="14"/>
                <w:szCs w:val="14"/>
                <w:color w:val="auto"/>
              </w:rPr>
              <w:t>1,473,932</w:t>
            </w:r>
          </w:p>
        </w:tc>
      </w:tr>
      <w:tr>
        <w:trPr>
          <w:trHeight w:val="214"/>
        </w:trPr>
        <w:tc>
          <w:tcPr>
            <w:tcW w:w="5140" w:type="dxa"/>
            <w:vAlign w:val="bottom"/>
            <w:tcBorders>
              <w:bottom w:val="single" w:sz="8" w:color="16479F"/>
            </w:tcBorders>
            <w:shd w:val="clear" w:color="auto" w:fill="F0F1F8"/>
          </w:tcPr>
          <w:p>
            <w:pPr>
              <w:ind w:left="40"/>
              <w:spacing w:after="0"/>
              <w:rPr>
                <w:sz w:val="20"/>
                <w:szCs w:val="20"/>
                <w:color w:val="auto"/>
              </w:rPr>
            </w:pPr>
            <w:r>
              <w:rPr>
                <w:rFonts w:ascii="Arial" w:cs="Arial" w:eastAsia="Arial" w:hAnsi="Arial"/>
                <w:sz w:val="14"/>
                <w:szCs w:val="14"/>
                <w:b w:val="1"/>
                <w:bCs w:val="1"/>
                <w:color w:val="auto"/>
              </w:rPr>
              <w:t>Robert J. Gutowski</w:t>
            </w:r>
          </w:p>
        </w:tc>
        <w:tc>
          <w:tcPr>
            <w:tcW w:w="4140" w:type="dxa"/>
            <w:vAlign w:val="bottom"/>
            <w:tcBorders>
              <w:bottom w:val="single" w:sz="8" w:color="16479F"/>
            </w:tcBorders>
            <w:shd w:val="clear" w:color="auto" w:fill="F0F1F8"/>
          </w:tcPr>
          <w:p>
            <w:pPr>
              <w:jc w:val="right"/>
              <w:ind w:right="10"/>
              <w:spacing w:after="0"/>
              <w:rPr>
                <w:sz w:val="20"/>
                <w:szCs w:val="20"/>
                <w:color w:val="auto"/>
              </w:rPr>
            </w:pPr>
            <w:r>
              <w:rPr>
                <w:rFonts w:ascii="Arial" w:cs="Arial" w:eastAsia="Arial" w:hAnsi="Arial"/>
                <w:sz w:val="14"/>
                <w:szCs w:val="14"/>
                <w:color w:val="auto"/>
              </w:rPr>
              <w:t>269,715</w:t>
            </w:r>
          </w:p>
        </w:tc>
        <w:tc>
          <w:tcPr>
            <w:tcW w:w="820" w:type="dxa"/>
            <w:vAlign w:val="bottom"/>
            <w:tcBorders>
              <w:bottom w:val="single" w:sz="8" w:color="16479F"/>
            </w:tcBorders>
            <w:shd w:val="clear" w:color="auto" w:fill="F0F1F8"/>
          </w:tcPr>
          <w:p>
            <w:pPr>
              <w:jc w:val="right"/>
              <w:ind w:right="10"/>
              <w:spacing w:after="0"/>
              <w:rPr>
                <w:sz w:val="20"/>
                <w:szCs w:val="20"/>
                <w:color w:val="auto"/>
              </w:rPr>
            </w:pPr>
            <w:r>
              <w:rPr>
                <w:rFonts w:ascii="Arial" w:cs="Arial" w:eastAsia="Arial" w:hAnsi="Arial"/>
                <w:sz w:val="14"/>
                <w:szCs w:val="14"/>
                <w:color w:val="auto"/>
              </w:rPr>
              <w:t>629,553</w:t>
            </w:r>
          </w:p>
        </w:tc>
        <w:tc>
          <w:tcPr>
            <w:tcW w:w="780" w:type="dxa"/>
            <w:vAlign w:val="bottom"/>
            <w:tcBorders>
              <w:bottom w:val="single" w:sz="8" w:color="16479F"/>
            </w:tcBorders>
            <w:shd w:val="clear" w:color="auto" w:fill="F0F1F8"/>
          </w:tcPr>
          <w:p>
            <w:pPr>
              <w:jc w:val="right"/>
              <w:spacing w:after="0"/>
              <w:rPr>
                <w:sz w:val="20"/>
                <w:szCs w:val="20"/>
                <w:color w:val="auto"/>
              </w:rPr>
            </w:pPr>
            <w:r>
              <w:rPr>
                <w:rFonts w:ascii="Arial" w:cs="Arial" w:eastAsia="Arial" w:hAnsi="Arial"/>
                <w:sz w:val="14"/>
                <w:szCs w:val="14"/>
                <w:color w:val="auto"/>
              </w:rPr>
              <w:t>899,268</w:t>
            </w:r>
          </w:p>
        </w:tc>
      </w:tr>
    </w:tbl>
    <w:p>
      <w:pPr>
        <w:spacing w:after="0" w:line="58"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grant date fair value of the PSUs granted to the NEOs during 2021 was calculated based on the probable outcome of the market conditions as of the grant date,</w:t>
      </w:r>
    </w:p>
    <w:p>
      <w:pPr>
        <w:ind w:left="280"/>
        <w:spacing w:after="0"/>
        <w:rPr>
          <w:sz w:val="20"/>
          <w:szCs w:val="20"/>
          <w:color w:val="auto"/>
        </w:rPr>
      </w:pPr>
      <w:r>
        <w:rPr>
          <w:rFonts w:ascii="Arial" w:cs="Arial" w:eastAsia="Arial" w:hAnsi="Arial"/>
          <w:sz w:val="14"/>
          <w:szCs w:val="14"/>
          <w:color w:val="auto"/>
        </w:rPr>
        <w:t>consistent with the estimate of aggregate compensation cost to be recognized over the service period determined as of the grant date under FASB ASC Subtopic 718-10,</w:t>
      </w:r>
    </w:p>
    <w:p>
      <w:pPr>
        <w:ind w:left="280"/>
        <w:spacing w:after="0"/>
        <w:rPr>
          <w:sz w:val="20"/>
          <w:szCs w:val="20"/>
          <w:color w:val="auto"/>
        </w:rPr>
      </w:pPr>
      <w:r>
        <w:rPr>
          <w:rFonts w:ascii="Arial" w:cs="Arial" w:eastAsia="Arial" w:hAnsi="Arial"/>
          <w:sz w:val="14"/>
          <w:szCs w:val="14"/>
          <w:color w:val="auto"/>
        </w:rPr>
        <w:t>excluding the effect of estimated forfeitures. The grant date value of the PSUs granted to the NEOs in 2021, assuming the highest level of performance conditions will be</w:t>
      </w:r>
    </w:p>
    <w:p>
      <w:pPr>
        <w:ind w:left="280"/>
        <w:spacing w:after="0"/>
        <w:rPr>
          <w:sz w:val="20"/>
          <w:szCs w:val="20"/>
          <w:color w:val="auto"/>
        </w:rPr>
      </w:pPr>
      <w:r>
        <w:rPr>
          <w:rFonts w:ascii="Arial" w:cs="Arial" w:eastAsia="Arial" w:hAnsi="Arial"/>
          <w:sz w:val="14"/>
          <w:szCs w:val="14"/>
          <w:color w:val="auto"/>
        </w:rPr>
        <w:t>achieved (300% for the 3-Year PSUs and 200% for the 5-Year PSUs), is $17,998,840 for Mr. Fernandez, $1,573,767 for Mr. Wiechmann, $9,599,203 for Mr. Pettit,</w:t>
      </w:r>
    </w:p>
    <w:p>
      <w:pPr>
        <w:ind w:left="280"/>
        <w:spacing w:after="0"/>
        <w:rPr>
          <w:sz w:val="20"/>
          <w:szCs w:val="20"/>
          <w:color w:val="auto"/>
        </w:rPr>
      </w:pPr>
      <w:r>
        <w:rPr>
          <w:rFonts w:ascii="Arial" w:cs="Arial" w:eastAsia="Arial" w:hAnsi="Arial"/>
          <w:sz w:val="14"/>
          <w:szCs w:val="14"/>
          <w:color w:val="auto"/>
        </w:rPr>
        <w:t>$2,098,599 for Mr. Crum and $1,573,767 for Mr. Gutowski. Information regarding the assumptions used to value these awards is set forth in note 11 to the consolidated</w:t>
      </w:r>
    </w:p>
    <w:p>
      <w:pPr>
        <w:ind w:left="280"/>
        <w:spacing w:after="0"/>
        <w:rPr>
          <w:sz w:val="20"/>
          <w:szCs w:val="20"/>
          <w:color w:val="auto"/>
        </w:rPr>
      </w:pPr>
      <w:r>
        <w:rPr>
          <w:rFonts w:ascii="Arial" w:cs="Arial" w:eastAsia="Arial" w:hAnsi="Arial"/>
          <w:sz w:val="14"/>
          <w:szCs w:val="14"/>
          <w:color w:val="auto"/>
        </w:rPr>
        <w:t>financial statements included in the Company’s 2021 Annual Report on Form 10-K.</w:t>
      </w:r>
    </w:p>
    <w:p>
      <w:pPr>
        <w:spacing w:after="0" w:line="53" w:lineRule="exact"/>
        <w:rPr>
          <w:sz w:val="20"/>
          <w:szCs w:val="20"/>
          <w:color w:val="auto"/>
        </w:rPr>
      </w:pPr>
    </w:p>
    <w:p>
      <w:pPr>
        <w:ind w:left="280" w:hanging="273"/>
        <w:spacing w:after="0" w:line="182" w:lineRule="auto"/>
        <w:tabs>
          <w:tab w:leader="none" w:pos="280" w:val="left"/>
        </w:tabs>
        <w:numPr>
          <w:ilvl w:val="0"/>
          <w:numId w:val="130"/>
        </w:numPr>
        <w:rPr>
          <w:rFonts w:ascii="Arial" w:cs="Arial" w:eastAsia="Arial" w:hAnsi="Arial"/>
          <w:sz w:val="24"/>
          <w:szCs w:val="24"/>
          <w:color w:val="auto"/>
          <w:vertAlign w:val="superscript"/>
        </w:rPr>
      </w:pPr>
      <w:r>
        <w:rPr>
          <w:rFonts w:ascii="Arial" w:cs="Arial" w:eastAsia="Arial" w:hAnsi="Arial"/>
          <w:sz w:val="14"/>
          <w:szCs w:val="14"/>
          <w:color w:val="auto"/>
        </w:rPr>
        <w:t>Represents the annual cash bonus paid for 2021, 2020 and 2019, as applicable, (i) under the 2021 AIP in February 2022 with respect to the 2021 performance year, (ii) under the 2020 AIP in February 2021 with respect to the 2020 performance year and (iii) under the 2019 AIP in February 2020 with respect to the 2019 performance year.</w:t>
      </w:r>
    </w:p>
    <w:p>
      <w:pPr>
        <w:ind w:left="280" w:hanging="273"/>
        <w:spacing w:after="0" w:line="186" w:lineRule="auto"/>
        <w:tabs>
          <w:tab w:leader="none" w:pos="280" w:val="left"/>
        </w:tabs>
        <w:numPr>
          <w:ilvl w:val="0"/>
          <w:numId w:val="130"/>
        </w:numPr>
        <w:rPr>
          <w:rFonts w:ascii="Arial" w:cs="Arial" w:eastAsia="Arial" w:hAnsi="Arial"/>
          <w:sz w:val="24"/>
          <w:szCs w:val="24"/>
          <w:color w:val="auto"/>
          <w:vertAlign w:val="superscript"/>
        </w:rPr>
      </w:pPr>
      <w:r>
        <w:rPr>
          <w:rFonts w:ascii="Arial" w:cs="Arial" w:eastAsia="Arial" w:hAnsi="Arial"/>
          <w:sz w:val="14"/>
          <w:szCs w:val="14"/>
          <w:color w:val="auto"/>
        </w:rPr>
        <w:t>The Company does not offer defined benefit pension plans or a nonqualified deferred compensation plan to NEOs.</w:t>
      </w:r>
    </w:p>
    <w:p>
      <w:pPr>
        <w:spacing w:after="0" w:line="43" w:lineRule="exact"/>
        <w:rPr>
          <w:rFonts w:ascii="Arial" w:cs="Arial" w:eastAsia="Arial" w:hAnsi="Arial"/>
          <w:sz w:val="24"/>
          <w:szCs w:val="24"/>
          <w:color w:val="auto"/>
          <w:vertAlign w:val="superscript"/>
        </w:rPr>
      </w:pPr>
    </w:p>
    <w:p>
      <w:pPr>
        <w:ind w:left="280" w:hanging="273"/>
        <w:spacing w:after="0" w:line="206" w:lineRule="auto"/>
        <w:tabs>
          <w:tab w:leader="none" w:pos="280" w:val="left"/>
        </w:tabs>
        <w:numPr>
          <w:ilvl w:val="0"/>
          <w:numId w:val="130"/>
        </w:numPr>
        <w:rPr>
          <w:rFonts w:ascii="Arial" w:cs="Arial" w:eastAsia="Arial" w:hAnsi="Arial"/>
          <w:sz w:val="24"/>
          <w:szCs w:val="24"/>
          <w:color w:val="auto"/>
          <w:vertAlign w:val="superscript"/>
        </w:rPr>
      </w:pPr>
      <w:r>
        <w:rPr>
          <w:rFonts w:ascii="Arial" w:cs="Arial" w:eastAsia="Arial" w:hAnsi="Arial"/>
          <w:sz w:val="14"/>
          <w:szCs w:val="14"/>
          <w:color w:val="auto"/>
        </w:rPr>
        <w:t>The amounts reflected in the “All Other Compensation” column for 2021 include Company matching contributions to the MSCI Inc. 401(k) Retirement Savings Plan of $22,620 for Mr. Fernandez, Mr. Crum, Mr. Wiechmann and Mr. Gutowski. Company contributions to the MSCI Barra Group (UK) Personal Pension Plan for Mr. Pettit in 2021 totaled £62,500 ($85,982). The amount of British pounds sterling was converted to U.S. dollars using the fiscal year average of daily spot rates of £1 to $1.375710, $1.283605 and $1.277209 for fiscal 2021, 2020 and 2019,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57150</wp:posOffset>
            </wp:positionV>
            <wp:extent cx="7154545" cy="209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149860</wp:posOffset>
            </wp:positionV>
            <wp:extent cx="7133590" cy="21272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3590" cy="212725"/>
                    </a:xfrm>
                    <a:prstGeom prst="rect">
                      <a:avLst/>
                    </a:prstGeom>
                    <a:noFill/>
                  </pic:spPr>
                </pic:pic>
              </a:graphicData>
            </a:graphic>
          </wp:anchor>
        </w:drawing>
      </w:r>
    </w:p>
    <w:p>
      <w:pPr>
        <w:spacing w:after="0" w:line="283" w:lineRule="exact"/>
        <w:rPr>
          <w:sz w:val="20"/>
          <w:szCs w:val="20"/>
          <w:color w:val="auto"/>
        </w:rPr>
      </w:pPr>
    </w:p>
    <w:p>
      <w:pPr>
        <w:ind w:left="800" w:hanging="704"/>
        <w:spacing w:after="0"/>
        <w:tabs>
          <w:tab w:leader="none" w:pos="800" w:val="left"/>
        </w:tabs>
        <w:numPr>
          <w:ilvl w:val="1"/>
          <w:numId w:val="131"/>
        </w:numPr>
        <w:rPr>
          <w:rFonts w:ascii="Arial" w:cs="Arial" w:eastAsia="Arial" w:hAnsi="Arial"/>
          <w:sz w:val="14"/>
          <w:szCs w:val="14"/>
          <w:b w:val="1"/>
          <w:bCs w:val="1"/>
          <w:color w:val="16479F"/>
        </w:rPr>
      </w:pPr>
      <w:r>
        <w:rPr>
          <w:rFonts w:ascii="Arial" w:cs="Arial" w:eastAsia="Arial" w:hAnsi="Arial"/>
          <w:sz w:val="14"/>
          <w:szCs w:val="14"/>
          <w:b w:val="1"/>
          <w:bCs w:val="1"/>
          <w:color w:val="16479F"/>
        </w:rPr>
        <w:t>MSCI  |  COMPENSATION MATTERS</w:t>
      </w:r>
    </w:p>
    <w:p>
      <w:pPr>
        <w:spacing w:after="0" w:line="164" w:lineRule="exact"/>
        <w:rPr>
          <w:rFonts w:ascii="Arial" w:cs="Arial" w:eastAsia="Arial" w:hAnsi="Arial"/>
          <w:sz w:val="14"/>
          <w:szCs w:val="14"/>
          <w:b w:val="1"/>
          <w:bCs w:val="1"/>
          <w:color w:val="16479F"/>
        </w:rPr>
      </w:pPr>
    </w:p>
    <w:p>
      <w:pPr>
        <w:ind w:left="280" w:right="240" w:hanging="273"/>
        <w:spacing w:after="0" w:line="182" w:lineRule="auto"/>
        <w:tabs>
          <w:tab w:leader="none" w:pos="280" w:val="left"/>
        </w:tabs>
        <w:numPr>
          <w:ilvl w:val="0"/>
          <w:numId w:val="132"/>
        </w:numPr>
        <w:rPr>
          <w:rFonts w:ascii="Arial" w:cs="Arial" w:eastAsia="Arial" w:hAnsi="Arial"/>
          <w:sz w:val="24"/>
          <w:szCs w:val="24"/>
          <w:color w:val="auto"/>
          <w:vertAlign w:val="superscript"/>
        </w:rPr>
      </w:pPr>
      <w:r>
        <w:rPr>
          <w:rFonts w:ascii="Arial" w:cs="Arial" w:eastAsia="Arial" w:hAnsi="Arial"/>
          <w:sz w:val="14"/>
          <w:szCs w:val="14"/>
          <w:color w:val="auto"/>
        </w:rPr>
        <w:t>The amount included in the “All Other Compensation” column includes Company matching contributions to the 2021 UK Medical Coverage for Mr. Pettit in 2021 for £4,676 ($6,432). The amount of British pounds sterling was converted to U.S. dollars using the fiscal year average of daily spot rates of £1 to $1.375710.</w:t>
      </w:r>
    </w:p>
    <w:p>
      <w:pPr>
        <w:spacing w:after="0" w:line="97" w:lineRule="exact"/>
        <w:rPr>
          <w:rFonts w:ascii="Arial" w:cs="Arial" w:eastAsia="Arial" w:hAnsi="Arial"/>
          <w:sz w:val="24"/>
          <w:szCs w:val="24"/>
          <w:color w:val="auto"/>
          <w:vertAlign w:val="superscript"/>
        </w:rPr>
      </w:pPr>
    </w:p>
    <w:p>
      <w:pPr>
        <w:ind w:left="280" w:right="480" w:hanging="273"/>
        <w:spacing w:after="0" w:line="182" w:lineRule="auto"/>
        <w:tabs>
          <w:tab w:leader="none" w:pos="280" w:val="left"/>
        </w:tabs>
        <w:numPr>
          <w:ilvl w:val="0"/>
          <w:numId w:val="132"/>
        </w:numPr>
        <w:rPr>
          <w:rFonts w:ascii="Arial" w:cs="Arial" w:eastAsia="Arial" w:hAnsi="Arial"/>
          <w:sz w:val="24"/>
          <w:szCs w:val="24"/>
          <w:color w:val="auto"/>
          <w:vertAlign w:val="superscript"/>
        </w:rPr>
      </w:pPr>
      <w:r>
        <w:rPr>
          <w:rFonts w:ascii="Arial" w:cs="Arial" w:eastAsia="Arial" w:hAnsi="Arial"/>
          <w:sz w:val="14"/>
          <w:szCs w:val="14"/>
          <w:color w:val="auto"/>
        </w:rPr>
        <w:t>In connection with the Company’s payment of its quarterly cash dividend, the “All Other Compensation” column includes for 2021 the payment to the NEOs of dividend equivalents for outstanding RSUs and, for Messrs. Wiechmann and Gutowski, outstanding 2018 PSUs, as follows:</w:t>
      </w:r>
    </w:p>
    <w:p>
      <w:pPr>
        <w:spacing w:after="0" w:line="239" w:lineRule="exact"/>
        <w:rPr>
          <w:rFonts w:ascii="Arial" w:cs="Arial" w:eastAsia="Arial" w:hAnsi="Arial"/>
          <w:sz w:val="24"/>
          <w:szCs w:val="24"/>
          <w:color w:val="auto"/>
          <w:vertAlign w:val="superscript"/>
        </w:rPr>
      </w:pPr>
    </w:p>
    <w:p>
      <w:pPr>
        <w:ind w:left="280"/>
        <w:spacing w:after="0"/>
        <w:rPr>
          <w:rFonts w:ascii="Arial" w:cs="Arial" w:eastAsia="Arial" w:hAnsi="Arial"/>
          <w:sz w:val="24"/>
          <w:szCs w:val="24"/>
          <w:color w:val="auto"/>
          <w:vertAlign w:val="superscript"/>
        </w:rPr>
      </w:pPr>
      <w:r>
        <w:rPr>
          <w:rFonts w:ascii="Arial" w:cs="Arial" w:eastAsia="Arial" w:hAnsi="Arial"/>
          <w:sz w:val="14"/>
          <w:szCs w:val="14"/>
          <w:b w:val="1"/>
          <w:bCs w:val="1"/>
          <w:color w:val="auto"/>
        </w:rPr>
        <w:t>2021 DIVIDEND EQUIVALENTS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8255</wp:posOffset>
            </wp:positionV>
            <wp:extent cx="696341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963410" cy="8255"/>
                    </a:xfrm>
                    <a:prstGeom prst="rect">
                      <a:avLst/>
                    </a:prstGeom>
                    <a:noFill/>
                  </pic:spPr>
                </pic:pic>
              </a:graphicData>
            </a:graphic>
          </wp:anchor>
        </w:drawing>
      </w:r>
    </w:p>
    <w:p>
      <w:pPr>
        <w:spacing w:after="0" w:line="214" w:lineRule="exact"/>
        <w:rPr>
          <w:sz w:val="20"/>
          <w:szCs w:val="20"/>
          <w:color w:val="auto"/>
        </w:rPr>
      </w:pPr>
    </w:p>
    <w:tbl>
      <w:tblPr>
        <w:tblLayout w:type="fixed"/>
        <w:tblInd w:w="280" w:type="dxa"/>
        <w:tblCellMar>
          <w:top w:w="0" w:type="dxa"/>
          <w:left w:w="0" w:type="dxa"/>
          <w:bottom w:w="0" w:type="dxa"/>
          <w:right w:w="0" w:type="dxa"/>
        </w:tblCellMar>
      </w:tblPr>
      <w:tr>
        <w:trPr>
          <w:trHeight w:val="154"/>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3260" w:type="dxa"/>
            <w:vAlign w:val="bottom"/>
          </w:tcPr>
          <w:p>
            <w:pPr>
              <w:jc w:val="right"/>
              <w:ind w:right="91"/>
              <w:spacing w:after="0"/>
              <w:rPr>
                <w:sz w:val="20"/>
                <w:szCs w:val="20"/>
                <w:color w:val="auto"/>
              </w:rPr>
            </w:pPr>
            <w:r>
              <w:rPr>
                <w:rFonts w:ascii="Arial" w:cs="Arial" w:eastAsia="Arial" w:hAnsi="Arial"/>
                <w:sz w:val="12"/>
                <w:szCs w:val="12"/>
                <w:b w:val="1"/>
                <w:bCs w:val="1"/>
                <w:color w:val="auto"/>
              </w:rPr>
              <w:t>2018</w:t>
            </w:r>
          </w:p>
        </w:tc>
        <w:tc>
          <w:tcPr>
            <w:tcW w:w="660" w:type="dxa"/>
            <w:vAlign w:val="bottom"/>
            <w:tcBorders>
              <w:bottom w:val="single" w:sz="8" w:color="16479F"/>
            </w:tcBorders>
          </w:tcPr>
          <w:p>
            <w:pPr>
              <w:spacing w:after="0"/>
              <w:rPr>
                <w:sz w:val="13"/>
                <w:szCs w:val="13"/>
                <w:color w:val="auto"/>
              </w:rPr>
            </w:pPr>
          </w:p>
        </w:tc>
        <w:tc>
          <w:tcPr>
            <w:tcW w:w="2120" w:type="dxa"/>
            <w:vAlign w:val="bottom"/>
            <w:tcBorders>
              <w:bottom w:val="single" w:sz="8" w:color="16479F"/>
            </w:tcBorders>
            <w:gridSpan w:val="3"/>
          </w:tcPr>
          <w:p>
            <w:pPr>
              <w:jc w:val="right"/>
              <w:ind w:right="470"/>
              <w:spacing w:after="0"/>
              <w:rPr>
                <w:sz w:val="20"/>
                <w:szCs w:val="20"/>
                <w:color w:val="auto"/>
              </w:rPr>
            </w:pPr>
            <w:r>
              <w:rPr>
                <w:rFonts w:ascii="Arial" w:cs="Arial" w:eastAsia="Arial" w:hAnsi="Arial"/>
                <w:sz w:val="12"/>
                <w:szCs w:val="12"/>
                <w:b w:val="1"/>
                <w:bCs w:val="1"/>
                <w:color w:val="auto"/>
              </w:rPr>
              <w:t>Outstanding RSUs</w:t>
            </w:r>
          </w:p>
        </w:tc>
        <w:tc>
          <w:tcPr>
            <w:tcW w:w="600" w:type="dxa"/>
            <w:vAlign w:val="bottom"/>
            <w:tcBorders>
              <w:bottom w:val="single" w:sz="8" w:color="16479F"/>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240" w:type="dxa"/>
            <w:vAlign w:val="bottom"/>
            <w:tcBorders>
              <w:bottom w:val="single" w:sz="8" w:color="16479F"/>
            </w:tcBorders>
            <w:vMerge w:val="continue"/>
          </w:tcPr>
          <w:p>
            <w:pPr>
              <w:spacing w:after="0"/>
              <w:rPr>
                <w:sz w:val="13"/>
                <w:szCs w:val="13"/>
                <w:color w:val="auto"/>
              </w:rPr>
            </w:pPr>
          </w:p>
        </w:tc>
        <w:tc>
          <w:tcPr>
            <w:tcW w:w="3260" w:type="dxa"/>
            <w:vAlign w:val="bottom"/>
            <w:tcBorders>
              <w:bottom w:val="single" w:sz="8" w:color="16479F"/>
            </w:tcBorders>
          </w:tcPr>
          <w:p>
            <w:pPr>
              <w:jc w:val="right"/>
              <w:ind w:right="91"/>
              <w:spacing w:after="0"/>
              <w:rPr>
                <w:sz w:val="20"/>
                <w:szCs w:val="20"/>
                <w:color w:val="auto"/>
              </w:rPr>
            </w:pPr>
            <w:r>
              <w:rPr>
                <w:rFonts w:ascii="Arial" w:cs="Arial" w:eastAsia="Arial" w:hAnsi="Arial"/>
                <w:sz w:val="12"/>
                <w:szCs w:val="12"/>
                <w:b w:val="1"/>
                <w:bCs w:val="1"/>
                <w:color w:val="auto"/>
              </w:rPr>
              <w:t>PSUs</w:t>
            </w:r>
          </w:p>
        </w:tc>
        <w:tc>
          <w:tcPr>
            <w:tcW w:w="660" w:type="dxa"/>
            <w:vAlign w:val="bottom"/>
            <w:tcBorders>
              <w:bottom w:val="single" w:sz="8" w:color="16479F"/>
            </w:tcBorders>
          </w:tcPr>
          <w:p>
            <w:pPr>
              <w:jc w:val="right"/>
              <w:ind w:right="50"/>
              <w:spacing w:after="0"/>
              <w:rPr>
                <w:sz w:val="20"/>
                <w:szCs w:val="20"/>
                <w:color w:val="auto"/>
              </w:rPr>
            </w:pPr>
            <w:r>
              <w:rPr>
                <w:rFonts w:ascii="Arial" w:cs="Arial" w:eastAsia="Arial" w:hAnsi="Arial"/>
                <w:sz w:val="12"/>
                <w:szCs w:val="12"/>
                <w:b w:val="1"/>
                <w:bCs w:val="1"/>
                <w:color w:val="auto"/>
              </w:rPr>
              <w:t>1Q 2021</w:t>
            </w:r>
          </w:p>
        </w:tc>
        <w:tc>
          <w:tcPr>
            <w:tcW w:w="700" w:type="dxa"/>
            <w:vAlign w:val="bottom"/>
            <w:tcBorders>
              <w:bottom w:val="single" w:sz="8" w:color="16479F"/>
            </w:tcBorders>
          </w:tcPr>
          <w:p>
            <w:pPr>
              <w:jc w:val="right"/>
              <w:ind w:right="31"/>
              <w:spacing w:after="0"/>
              <w:rPr>
                <w:sz w:val="20"/>
                <w:szCs w:val="20"/>
                <w:color w:val="auto"/>
              </w:rPr>
            </w:pPr>
            <w:r>
              <w:rPr>
                <w:rFonts w:ascii="Arial" w:cs="Arial" w:eastAsia="Arial" w:hAnsi="Arial"/>
                <w:sz w:val="12"/>
                <w:szCs w:val="12"/>
                <w:b w:val="1"/>
                <w:bCs w:val="1"/>
                <w:color w:val="auto"/>
              </w:rPr>
              <w:t>2Q 2021</w:t>
            </w:r>
          </w:p>
        </w:tc>
        <w:tc>
          <w:tcPr>
            <w:tcW w:w="720" w:type="dxa"/>
            <w:vAlign w:val="bottom"/>
            <w:tcBorders>
              <w:bottom w:val="single" w:sz="8" w:color="16479F"/>
            </w:tcBorders>
          </w:tcPr>
          <w:p>
            <w:pPr>
              <w:jc w:val="right"/>
              <w:ind w:right="50"/>
              <w:spacing w:after="0"/>
              <w:rPr>
                <w:sz w:val="20"/>
                <w:szCs w:val="20"/>
                <w:color w:val="auto"/>
              </w:rPr>
            </w:pPr>
            <w:r>
              <w:rPr>
                <w:rFonts w:ascii="Arial" w:cs="Arial" w:eastAsia="Arial" w:hAnsi="Arial"/>
                <w:sz w:val="12"/>
                <w:szCs w:val="12"/>
                <w:b w:val="1"/>
                <w:bCs w:val="1"/>
                <w:color w:val="auto"/>
              </w:rPr>
              <w:t>3Q 2021</w:t>
            </w:r>
          </w:p>
        </w:tc>
        <w:tc>
          <w:tcPr>
            <w:tcW w:w="700" w:type="dxa"/>
            <w:vAlign w:val="bottom"/>
            <w:tcBorders>
              <w:bottom w:val="single" w:sz="8" w:color="16479F"/>
            </w:tcBorders>
          </w:tcPr>
          <w:p>
            <w:pPr>
              <w:jc w:val="right"/>
              <w:ind w:right="30"/>
              <w:spacing w:after="0"/>
              <w:rPr>
                <w:sz w:val="20"/>
                <w:szCs w:val="20"/>
                <w:color w:val="auto"/>
              </w:rPr>
            </w:pPr>
            <w:r>
              <w:rPr>
                <w:rFonts w:ascii="Arial" w:cs="Arial" w:eastAsia="Arial" w:hAnsi="Arial"/>
                <w:sz w:val="12"/>
                <w:szCs w:val="12"/>
                <w:b w:val="1"/>
                <w:bCs w:val="1"/>
                <w:color w:val="auto"/>
              </w:rPr>
              <w:t>4Q 2021</w:t>
            </w:r>
          </w:p>
        </w:tc>
        <w:tc>
          <w:tcPr>
            <w:tcW w:w="600" w:type="dxa"/>
            <w:vAlign w:val="bottom"/>
            <w:tcBorders>
              <w:bottom w:val="single" w:sz="8" w:color="16479F"/>
            </w:tcBorders>
          </w:tcPr>
          <w:p>
            <w:pPr>
              <w:jc w:val="right"/>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81"/>
        </w:trPr>
        <w:tc>
          <w:tcPr>
            <w:tcW w:w="4240" w:type="dxa"/>
            <w:vAlign w:val="bottom"/>
            <w:shd w:val="clear" w:color="auto" w:fill="F0F1F8"/>
          </w:tcPr>
          <w:p>
            <w:pPr>
              <w:ind w:left="40"/>
              <w:spacing w:after="0"/>
              <w:rPr>
                <w:sz w:val="20"/>
                <w:szCs w:val="20"/>
                <w:color w:val="auto"/>
              </w:rPr>
            </w:pPr>
            <w:r>
              <w:rPr>
                <w:rFonts w:ascii="Arial" w:cs="Arial" w:eastAsia="Arial" w:hAnsi="Arial"/>
                <w:sz w:val="14"/>
                <w:szCs w:val="14"/>
                <w:b w:val="1"/>
                <w:bCs w:val="1"/>
                <w:color w:val="auto"/>
              </w:rPr>
              <w:t>Henry A. Fernandez</w:t>
            </w:r>
          </w:p>
        </w:tc>
        <w:tc>
          <w:tcPr>
            <w:tcW w:w="3260" w:type="dxa"/>
            <w:vAlign w:val="bottom"/>
            <w:shd w:val="clear" w:color="auto" w:fill="F0F1F8"/>
          </w:tcPr>
          <w:p>
            <w:pPr>
              <w:jc w:val="right"/>
              <w:ind w:right="91"/>
              <w:spacing w:after="0"/>
              <w:rPr>
                <w:sz w:val="20"/>
                <w:szCs w:val="20"/>
                <w:color w:val="auto"/>
              </w:rPr>
            </w:pPr>
            <w:r>
              <w:rPr>
                <w:rFonts w:ascii="Arial" w:cs="Arial" w:eastAsia="Arial" w:hAnsi="Arial"/>
                <w:sz w:val="14"/>
                <w:szCs w:val="14"/>
                <w:color w:val="auto"/>
              </w:rPr>
              <w:t>—</w:t>
            </w:r>
          </w:p>
        </w:tc>
        <w:tc>
          <w:tcPr>
            <w:tcW w:w="660" w:type="dxa"/>
            <w:vAlign w:val="bottom"/>
            <w:shd w:val="clear" w:color="auto" w:fill="F0F1F8"/>
          </w:tcPr>
          <w:p>
            <w:pPr>
              <w:jc w:val="right"/>
              <w:ind w:right="50"/>
              <w:spacing w:after="0"/>
              <w:rPr>
                <w:sz w:val="20"/>
                <w:szCs w:val="20"/>
                <w:color w:val="auto"/>
              </w:rPr>
            </w:pPr>
            <w:r>
              <w:rPr>
                <w:rFonts w:ascii="Arial" w:cs="Arial" w:eastAsia="Arial" w:hAnsi="Arial"/>
                <w:sz w:val="14"/>
                <w:szCs w:val="14"/>
                <w:color w:val="auto"/>
              </w:rPr>
              <w:t>—</w:t>
            </w:r>
          </w:p>
        </w:tc>
        <w:tc>
          <w:tcPr>
            <w:tcW w:w="700" w:type="dxa"/>
            <w:vAlign w:val="bottom"/>
            <w:shd w:val="clear" w:color="auto" w:fill="F0F1F8"/>
          </w:tcPr>
          <w:p>
            <w:pPr>
              <w:jc w:val="right"/>
              <w:ind w:right="31"/>
              <w:spacing w:after="0"/>
              <w:rPr>
                <w:sz w:val="20"/>
                <w:szCs w:val="20"/>
                <w:color w:val="auto"/>
              </w:rPr>
            </w:pPr>
            <w:r>
              <w:rPr>
                <w:rFonts w:ascii="Arial" w:cs="Arial" w:eastAsia="Arial" w:hAnsi="Arial"/>
                <w:sz w:val="14"/>
                <w:szCs w:val="14"/>
                <w:color w:val="auto"/>
              </w:rPr>
              <w:t>—</w:t>
            </w:r>
          </w:p>
        </w:tc>
        <w:tc>
          <w:tcPr>
            <w:tcW w:w="720" w:type="dxa"/>
            <w:vAlign w:val="bottom"/>
            <w:shd w:val="clear" w:color="auto" w:fill="F0F1F8"/>
          </w:tcPr>
          <w:p>
            <w:pPr>
              <w:jc w:val="right"/>
              <w:ind w:right="50"/>
              <w:spacing w:after="0"/>
              <w:rPr>
                <w:sz w:val="20"/>
                <w:szCs w:val="20"/>
                <w:color w:val="auto"/>
              </w:rPr>
            </w:pPr>
            <w:r>
              <w:rPr>
                <w:rFonts w:ascii="Arial" w:cs="Arial" w:eastAsia="Arial" w:hAnsi="Arial"/>
                <w:sz w:val="14"/>
                <w:szCs w:val="14"/>
                <w:color w:val="auto"/>
              </w:rPr>
              <w:t>—</w:t>
            </w:r>
          </w:p>
        </w:tc>
        <w:tc>
          <w:tcPr>
            <w:tcW w:w="700" w:type="dxa"/>
            <w:vAlign w:val="bottom"/>
            <w:shd w:val="clear" w:color="auto" w:fill="F0F1F8"/>
          </w:tcPr>
          <w:p>
            <w:pPr>
              <w:jc w:val="right"/>
              <w:ind w:right="30"/>
              <w:spacing w:after="0"/>
              <w:rPr>
                <w:sz w:val="20"/>
                <w:szCs w:val="20"/>
                <w:color w:val="auto"/>
              </w:rPr>
            </w:pPr>
            <w:r>
              <w:rPr>
                <w:rFonts w:ascii="Arial" w:cs="Arial" w:eastAsia="Arial" w:hAnsi="Arial"/>
                <w:sz w:val="14"/>
                <w:szCs w:val="14"/>
                <w:color w:val="auto"/>
              </w:rPr>
              <w:t>—</w:t>
            </w:r>
          </w:p>
        </w:tc>
        <w:tc>
          <w:tcPr>
            <w:tcW w:w="600" w:type="dxa"/>
            <w:vAlign w:val="bottom"/>
            <w:shd w:val="clear" w:color="auto" w:fill="F0F1F8"/>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Andrew C. Wiechmann</w:t>
            </w:r>
          </w:p>
        </w:tc>
        <w:tc>
          <w:tcPr>
            <w:tcW w:w="3260" w:type="dxa"/>
            <w:vAlign w:val="bottom"/>
          </w:tcPr>
          <w:p>
            <w:pPr>
              <w:jc w:val="right"/>
              <w:ind w:right="91"/>
              <w:spacing w:after="0"/>
              <w:rPr>
                <w:sz w:val="20"/>
                <w:szCs w:val="20"/>
                <w:color w:val="auto"/>
              </w:rPr>
            </w:pPr>
            <w:r>
              <w:rPr>
                <w:rFonts w:ascii="Arial" w:cs="Arial" w:eastAsia="Arial" w:hAnsi="Arial"/>
                <w:sz w:val="14"/>
                <w:szCs w:val="14"/>
                <w:color w:val="auto"/>
              </w:rPr>
              <w:t>31,619</w:t>
            </w:r>
          </w:p>
        </w:tc>
        <w:tc>
          <w:tcPr>
            <w:tcW w:w="660" w:type="dxa"/>
            <w:vAlign w:val="bottom"/>
          </w:tcPr>
          <w:p>
            <w:pPr>
              <w:jc w:val="right"/>
              <w:ind w:right="50"/>
              <w:spacing w:after="0"/>
              <w:rPr>
                <w:sz w:val="20"/>
                <w:szCs w:val="20"/>
                <w:color w:val="auto"/>
              </w:rPr>
            </w:pPr>
            <w:r>
              <w:rPr>
                <w:rFonts w:ascii="Arial" w:cs="Arial" w:eastAsia="Arial" w:hAnsi="Arial"/>
                <w:sz w:val="14"/>
                <w:szCs w:val="14"/>
                <w:color w:val="auto"/>
              </w:rPr>
              <w:t>3,116</w:t>
            </w:r>
          </w:p>
        </w:tc>
        <w:tc>
          <w:tcPr>
            <w:tcW w:w="700" w:type="dxa"/>
            <w:vAlign w:val="bottom"/>
          </w:tcPr>
          <w:p>
            <w:pPr>
              <w:jc w:val="right"/>
              <w:ind w:right="31"/>
              <w:spacing w:after="0"/>
              <w:rPr>
                <w:sz w:val="20"/>
                <w:szCs w:val="20"/>
                <w:color w:val="auto"/>
              </w:rPr>
            </w:pPr>
            <w:r>
              <w:rPr>
                <w:rFonts w:ascii="Arial" w:cs="Arial" w:eastAsia="Arial" w:hAnsi="Arial"/>
                <w:sz w:val="14"/>
                <w:szCs w:val="14"/>
                <w:color w:val="auto"/>
              </w:rPr>
              <w:t>3,116</w:t>
            </w: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4,155</w:t>
            </w: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4,155</w:t>
            </w:r>
          </w:p>
        </w:tc>
        <w:tc>
          <w:tcPr>
            <w:tcW w:w="600" w:type="dxa"/>
            <w:vAlign w:val="bottom"/>
          </w:tcPr>
          <w:p>
            <w:pPr>
              <w:jc w:val="right"/>
              <w:spacing w:after="0"/>
              <w:rPr>
                <w:sz w:val="20"/>
                <w:szCs w:val="20"/>
                <w:color w:val="auto"/>
              </w:rPr>
            </w:pPr>
            <w:r>
              <w:rPr>
                <w:rFonts w:ascii="Arial" w:cs="Arial" w:eastAsia="Arial" w:hAnsi="Arial"/>
                <w:sz w:val="14"/>
                <w:szCs w:val="14"/>
                <w:color w:val="auto"/>
              </w:rPr>
              <w:t>46,161</w:t>
            </w:r>
          </w:p>
        </w:tc>
        <w:tc>
          <w:tcPr>
            <w:tcW w:w="0" w:type="dxa"/>
            <w:vAlign w:val="bottom"/>
          </w:tcPr>
          <w:p>
            <w:pPr>
              <w:spacing w:after="0"/>
              <w:rPr>
                <w:sz w:val="1"/>
                <w:szCs w:val="1"/>
                <w:color w:val="auto"/>
              </w:rPr>
            </w:pPr>
          </w:p>
        </w:tc>
      </w:tr>
      <w:tr>
        <w:trPr>
          <w:trHeight w:val="187"/>
        </w:trPr>
        <w:tc>
          <w:tcPr>
            <w:tcW w:w="4240" w:type="dxa"/>
            <w:vAlign w:val="bottom"/>
            <w:shd w:val="clear" w:color="auto" w:fill="F0F1F8"/>
          </w:tcPr>
          <w:p>
            <w:pPr>
              <w:ind w:left="40"/>
              <w:spacing w:after="0"/>
              <w:rPr>
                <w:sz w:val="20"/>
                <w:szCs w:val="20"/>
                <w:color w:val="auto"/>
              </w:rPr>
            </w:pPr>
            <w:r>
              <w:rPr>
                <w:rFonts w:ascii="Arial" w:cs="Arial" w:eastAsia="Arial" w:hAnsi="Arial"/>
                <w:sz w:val="14"/>
                <w:szCs w:val="14"/>
                <w:b w:val="1"/>
                <w:bCs w:val="1"/>
                <w:color w:val="auto"/>
              </w:rPr>
              <w:t>C.D. Baer Pettit</w:t>
            </w:r>
          </w:p>
        </w:tc>
        <w:tc>
          <w:tcPr>
            <w:tcW w:w="3260" w:type="dxa"/>
            <w:vAlign w:val="bottom"/>
            <w:shd w:val="clear" w:color="auto" w:fill="F0F1F8"/>
          </w:tcPr>
          <w:p>
            <w:pPr>
              <w:jc w:val="right"/>
              <w:ind w:right="91"/>
              <w:spacing w:after="0"/>
              <w:rPr>
                <w:sz w:val="20"/>
                <w:szCs w:val="20"/>
                <w:color w:val="auto"/>
              </w:rPr>
            </w:pPr>
            <w:r>
              <w:rPr>
                <w:rFonts w:ascii="Arial" w:cs="Arial" w:eastAsia="Arial" w:hAnsi="Arial"/>
                <w:sz w:val="14"/>
                <w:szCs w:val="14"/>
                <w:color w:val="auto"/>
              </w:rPr>
              <w:t>—</w:t>
            </w:r>
          </w:p>
        </w:tc>
        <w:tc>
          <w:tcPr>
            <w:tcW w:w="660" w:type="dxa"/>
            <w:vAlign w:val="bottom"/>
            <w:shd w:val="clear" w:color="auto" w:fill="F0F1F8"/>
          </w:tcPr>
          <w:p>
            <w:pPr>
              <w:jc w:val="right"/>
              <w:ind w:right="50"/>
              <w:spacing w:after="0"/>
              <w:rPr>
                <w:sz w:val="20"/>
                <w:szCs w:val="20"/>
                <w:color w:val="auto"/>
              </w:rPr>
            </w:pPr>
            <w:r>
              <w:rPr>
                <w:rFonts w:ascii="Arial" w:cs="Arial" w:eastAsia="Arial" w:hAnsi="Arial"/>
                <w:sz w:val="14"/>
                <w:szCs w:val="14"/>
                <w:color w:val="auto"/>
              </w:rPr>
              <w:t>907</w:t>
            </w:r>
          </w:p>
        </w:tc>
        <w:tc>
          <w:tcPr>
            <w:tcW w:w="700" w:type="dxa"/>
            <w:vAlign w:val="bottom"/>
            <w:shd w:val="clear" w:color="auto" w:fill="F0F1F8"/>
          </w:tcPr>
          <w:p>
            <w:pPr>
              <w:jc w:val="right"/>
              <w:ind w:right="31"/>
              <w:spacing w:after="0"/>
              <w:rPr>
                <w:sz w:val="20"/>
                <w:szCs w:val="20"/>
                <w:color w:val="auto"/>
              </w:rPr>
            </w:pPr>
            <w:r>
              <w:rPr>
                <w:rFonts w:ascii="Arial" w:cs="Arial" w:eastAsia="Arial" w:hAnsi="Arial"/>
                <w:sz w:val="14"/>
                <w:szCs w:val="14"/>
                <w:color w:val="auto"/>
              </w:rPr>
              <w:t>907</w:t>
            </w:r>
          </w:p>
        </w:tc>
        <w:tc>
          <w:tcPr>
            <w:tcW w:w="720" w:type="dxa"/>
            <w:vAlign w:val="bottom"/>
            <w:shd w:val="clear" w:color="auto" w:fill="F0F1F8"/>
          </w:tcPr>
          <w:p>
            <w:pPr>
              <w:jc w:val="right"/>
              <w:ind w:right="50"/>
              <w:spacing w:after="0"/>
              <w:rPr>
                <w:sz w:val="20"/>
                <w:szCs w:val="20"/>
                <w:color w:val="auto"/>
              </w:rPr>
            </w:pPr>
            <w:r>
              <w:rPr>
                <w:rFonts w:ascii="Arial" w:cs="Arial" w:eastAsia="Arial" w:hAnsi="Arial"/>
                <w:sz w:val="14"/>
                <w:szCs w:val="14"/>
                <w:color w:val="auto"/>
              </w:rPr>
              <w:t>1,210</w:t>
            </w:r>
          </w:p>
        </w:tc>
        <w:tc>
          <w:tcPr>
            <w:tcW w:w="700" w:type="dxa"/>
            <w:vAlign w:val="bottom"/>
            <w:shd w:val="clear" w:color="auto" w:fill="F0F1F8"/>
          </w:tcPr>
          <w:p>
            <w:pPr>
              <w:jc w:val="right"/>
              <w:ind w:right="30"/>
              <w:spacing w:after="0"/>
              <w:rPr>
                <w:sz w:val="20"/>
                <w:szCs w:val="20"/>
                <w:color w:val="auto"/>
              </w:rPr>
            </w:pPr>
            <w:r>
              <w:rPr>
                <w:rFonts w:ascii="Arial" w:cs="Arial" w:eastAsia="Arial" w:hAnsi="Arial"/>
                <w:sz w:val="14"/>
                <w:szCs w:val="14"/>
                <w:color w:val="auto"/>
              </w:rPr>
              <w:t>1,210</w:t>
            </w:r>
          </w:p>
        </w:tc>
        <w:tc>
          <w:tcPr>
            <w:tcW w:w="600" w:type="dxa"/>
            <w:vAlign w:val="bottom"/>
            <w:shd w:val="clear" w:color="auto" w:fill="F0F1F8"/>
          </w:tcPr>
          <w:p>
            <w:pPr>
              <w:jc w:val="right"/>
              <w:spacing w:after="0"/>
              <w:rPr>
                <w:sz w:val="20"/>
                <w:szCs w:val="20"/>
                <w:color w:val="auto"/>
              </w:rPr>
            </w:pPr>
            <w:r>
              <w:rPr>
                <w:rFonts w:ascii="Arial" w:cs="Arial" w:eastAsia="Arial" w:hAnsi="Arial"/>
                <w:sz w:val="14"/>
                <w:szCs w:val="14"/>
                <w:color w:val="auto"/>
              </w:rPr>
              <w:t>4,234</w:t>
            </w:r>
          </w:p>
        </w:tc>
        <w:tc>
          <w:tcPr>
            <w:tcW w:w="0" w:type="dxa"/>
            <w:vAlign w:val="bottom"/>
          </w:tcPr>
          <w:p>
            <w:pPr>
              <w:spacing w:after="0"/>
              <w:rPr>
                <w:sz w:val="1"/>
                <w:szCs w:val="1"/>
                <w:color w:val="auto"/>
              </w:rPr>
            </w:pPr>
          </w:p>
        </w:tc>
      </w:tr>
      <w:tr>
        <w:trPr>
          <w:trHeight w:val="187"/>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Scott A. Crum</w:t>
            </w:r>
          </w:p>
        </w:tc>
        <w:tc>
          <w:tcPr>
            <w:tcW w:w="326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0"/>
              <w:spacing w:after="0"/>
              <w:rPr>
                <w:sz w:val="20"/>
                <w:szCs w:val="20"/>
                <w:color w:val="auto"/>
              </w:rPr>
            </w:pPr>
            <w:r>
              <w:rPr>
                <w:rFonts w:ascii="Arial" w:cs="Arial" w:eastAsia="Arial" w:hAnsi="Arial"/>
                <w:sz w:val="14"/>
                <w:szCs w:val="14"/>
                <w:color w:val="auto"/>
              </w:rPr>
              <w:t>2,485</w:t>
            </w:r>
          </w:p>
        </w:tc>
        <w:tc>
          <w:tcPr>
            <w:tcW w:w="700" w:type="dxa"/>
            <w:vAlign w:val="bottom"/>
          </w:tcPr>
          <w:p>
            <w:pPr>
              <w:jc w:val="right"/>
              <w:ind w:right="31"/>
              <w:spacing w:after="0"/>
              <w:rPr>
                <w:sz w:val="20"/>
                <w:szCs w:val="20"/>
                <w:color w:val="auto"/>
              </w:rPr>
            </w:pPr>
            <w:r>
              <w:rPr>
                <w:rFonts w:ascii="Arial" w:cs="Arial" w:eastAsia="Arial" w:hAnsi="Arial"/>
                <w:sz w:val="14"/>
                <w:szCs w:val="14"/>
                <w:color w:val="auto"/>
              </w:rPr>
              <w:t>2,485</w:t>
            </w: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3,313</w:t>
            </w: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3,313</w:t>
            </w:r>
          </w:p>
        </w:tc>
        <w:tc>
          <w:tcPr>
            <w:tcW w:w="600" w:type="dxa"/>
            <w:vAlign w:val="bottom"/>
          </w:tcPr>
          <w:p>
            <w:pPr>
              <w:jc w:val="right"/>
              <w:spacing w:after="0"/>
              <w:rPr>
                <w:sz w:val="20"/>
                <w:szCs w:val="20"/>
                <w:color w:val="auto"/>
              </w:rPr>
            </w:pPr>
            <w:r>
              <w:rPr>
                <w:rFonts w:ascii="Arial" w:cs="Arial" w:eastAsia="Arial" w:hAnsi="Arial"/>
                <w:sz w:val="14"/>
                <w:szCs w:val="14"/>
                <w:color w:val="auto"/>
              </w:rPr>
              <w:t>11,596</w:t>
            </w:r>
          </w:p>
        </w:tc>
        <w:tc>
          <w:tcPr>
            <w:tcW w:w="0" w:type="dxa"/>
            <w:vAlign w:val="bottom"/>
          </w:tcPr>
          <w:p>
            <w:pPr>
              <w:spacing w:after="0"/>
              <w:rPr>
                <w:sz w:val="1"/>
                <w:szCs w:val="1"/>
                <w:color w:val="auto"/>
              </w:rPr>
            </w:pPr>
          </w:p>
        </w:tc>
      </w:tr>
      <w:tr>
        <w:trPr>
          <w:trHeight w:val="187"/>
        </w:trPr>
        <w:tc>
          <w:tcPr>
            <w:tcW w:w="4240" w:type="dxa"/>
            <w:vAlign w:val="bottom"/>
            <w:tcBorders>
              <w:bottom w:val="single" w:sz="8" w:color="auto"/>
            </w:tcBorders>
            <w:shd w:val="clear" w:color="auto" w:fill="F0F1F8"/>
          </w:tcPr>
          <w:p>
            <w:pPr>
              <w:ind w:left="40"/>
              <w:spacing w:after="0"/>
              <w:rPr>
                <w:sz w:val="20"/>
                <w:szCs w:val="20"/>
                <w:color w:val="auto"/>
              </w:rPr>
            </w:pPr>
            <w:r>
              <w:rPr>
                <w:rFonts w:ascii="Arial" w:cs="Arial" w:eastAsia="Arial" w:hAnsi="Arial"/>
                <w:sz w:val="14"/>
                <w:szCs w:val="14"/>
                <w:b w:val="1"/>
                <w:bCs w:val="1"/>
                <w:color w:val="auto"/>
              </w:rPr>
              <w:t>Robert J. Gutowski</w:t>
            </w:r>
          </w:p>
        </w:tc>
        <w:tc>
          <w:tcPr>
            <w:tcW w:w="3260" w:type="dxa"/>
            <w:vAlign w:val="bottom"/>
            <w:tcBorders>
              <w:bottom w:val="single" w:sz="8" w:color="auto"/>
            </w:tcBorders>
            <w:shd w:val="clear" w:color="auto" w:fill="F0F1F8"/>
          </w:tcPr>
          <w:p>
            <w:pPr>
              <w:jc w:val="right"/>
              <w:ind w:right="91"/>
              <w:spacing w:after="0"/>
              <w:rPr>
                <w:sz w:val="20"/>
                <w:szCs w:val="20"/>
                <w:color w:val="auto"/>
              </w:rPr>
            </w:pPr>
            <w:r>
              <w:rPr>
                <w:rFonts w:ascii="Arial" w:cs="Arial" w:eastAsia="Arial" w:hAnsi="Arial"/>
                <w:sz w:val="14"/>
                <w:szCs w:val="14"/>
                <w:color w:val="auto"/>
              </w:rPr>
              <w:t>28,991</w:t>
            </w:r>
          </w:p>
        </w:tc>
        <w:tc>
          <w:tcPr>
            <w:tcW w:w="660" w:type="dxa"/>
            <w:vAlign w:val="bottom"/>
            <w:tcBorders>
              <w:bottom w:val="single" w:sz="8" w:color="auto"/>
            </w:tcBorders>
            <w:shd w:val="clear" w:color="auto" w:fill="F0F1F8"/>
          </w:tcPr>
          <w:p>
            <w:pPr>
              <w:jc w:val="right"/>
              <w:ind w:right="50"/>
              <w:spacing w:after="0"/>
              <w:rPr>
                <w:sz w:val="20"/>
                <w:szCs w:val="20"/>
                <w:color w:val="auto"/>
              </w:rPr>
            </w:pPr>
            <w:r>
              <w:rPr>
                <w:rFonts w:ascii="Arial" w:cs="Arial" w:eastAsia="Arial" w:hAnsi="Arial"/>
                <w:sz w:val="14"/>
                <w:szCs w:val="14"/>
                <w:color w:val="auto"/>
              </w:rPr>
              <w:t>980</w:t>
            </w:r>
          </w:p>
        </w:tc>
        <w:tc>
          <w:tcPr>
            <w:tcW w:w="700" w:type="dxa"/>
            <w:vAlign w:val="bottom"/>
            <w:tcBorders>
              <w:bottom w:val="single" w:sz="8" w:color="auto"/>
            </w:tcBorders>
            <w:shd w:val="clear" w:color="auto" w:fill="F0F1F8"/>
          </w:tcPr>
          <w:p>
            <w:pPr>
              <w:jc w:val="right"/>
              <w:ind w:right="31"/>
              <w:spacing w:after="0"/>
              <w:rPr>
                <w:sz w:val="20"/>
                <w:szCs w:val="20"/>
                <w:color w:val="auto"/>
              </w:rPr>
            </w:pPr>
            <w:r>
              <w:rPr>
                <w:rFonts w:ascii="Arial" w:cs="Arial" w:eastAsia="Arial" w:hAnsi="Arial"/>
                <w:sz w:val="14"/>
                <w:szCs w:val="14"/>
                <w:color w:val="auto"/>
              </w:rPr>
              <w:t>980</w:t>
            </w:r>
          </w:p>
        </w:tc>
        <w:tc>
          <w:tcPr>
            <w:tcW w:w="720" w:type="dxa"/>
            <w:vAlign w:val="bottom"/>
            <w:tcBorders>
              <w:bottom w:val="single" w:sz="8" w:color="auto"/>
            </w:tcBorders>
            <w:shd w:val="clear" w:color="auto" w:fill="F0F1F8"/>
          </w:tcPr>
          <w:p>
            <w:pPr>
              <w:jc w:val="right"/>
              <w:ind w:right="50"/>
              <w:spacing w:after="0"/>
              <w:rPr>
                <w:sz w:val="20"/>
                <w:szCs w:val="20"/>
                <w:color w:val="auto"/>
              </w:rPr>
            </w:pPr>
            <w:r>
              <w:rPr>
                <w:rFonts w:ascii="Arial" w:cs="Arial" w:eastAsia="Arial" w:hAnsi="Arial"/>
                <w:sz w:val="14"/>
                <w:szCs w:val="14"/>
                <w:color w:val="auto"/>
              </w:rPr>
              <w:t>1,306</w:t>
            </w:r>
          </w:p>
        </w:tc>
        <w:tc>
          <w:tcPr>
            <w:tcW w:w="700" w:type="dxa"/>
            <w:vAlign w:val="bottom"/>
            <w:tcBorders>
              <w:bottom w:val="single" w:sz="8" w:color="auto"/>
            </w:tcBorders>
            <w:shd w:val="clear" w:color="auto" w:fill="F0F1F8"/>
          </w:tcPr>
          <w:p>
            <w:pPr>
              <w:jc w:val="right"/>
              <w:ind w:right="30"/>
              <w:spacing w:after="0"/>
              <w:rPr>
                <w:sz w:val="20"/>
                <w:szCs w:val="20"/>
                <w:color w:val="auto"/>
              </w:rPr>
            </w:pPr>
            <w:r>
              <w:rPr>
                <w:rFonts w:ascii="Arial" w:cs="Arial" w:eastAsia="Arial" w:hAnsi="Arial"/>
                <w:sz w:val="14"/>
                <w:szCs w:val="14"/>
                <w:color w:val="auto"/>
              </w:rPr>
              <w:t>1,306</w:t>
            </w:r>
          </w:p>
        </w:tc>
        <w:tc>
          <w:tcPr>
            <w:tcW w:w="600" w:type="dxa"/>
            <w:vAlign w:val="bottom"/>
            <w:tcBorders>
              <w:bottom w:val="single" w:sz="8" w:color="auto"/>
            </w:tcBorders>
            <w:shd w:val="clear" w:color="auto" w:fill="F0F1F8"/>
          </w:tcPr>
          <w:p>
            <w:pPr>
              <w:jc w:val="right"/>
              <w:spacing w:after="0"/>
              <w:rPr>
                <w:sz w:val="20"/>
                <w:szCs w:val="20"/>
                <w:color w:val="auto"/>
              </w:rPr>
            </w:pPr>
            <w:r>
              <w:rPr>
                <w:rFonts w:ascii="Arial" w:cs="Arial" w:eastAsia="Arial" w:hAnsi="Arial"/>
                <w:sz w:val="14"/>
                <w:szCs w:val="14"/>
                <w:color w:val="auto"/>
              </w:rPr>
              <w:t>33,563</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Grants of Plan-Based Awards</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regarding awards granted to our NEOs during fiscal 2021.</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2021 GRANT OF PLAN-BASED AWARDS TABLE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2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All Other</w:t>
            </w:r>
          </w:p>
        </w:tc>
        <w:tc>
          <w:tcPr>
            <w:tcW w:w="8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Stock</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4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rPr>
              <w:t>Estimated Future Payouts Under</w:t>
            </w: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Awards:</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2120" w:type="dxa"/>
            <w:vAlign w:val="bottom"/>
            <w:gridSpan w:val="4"/>
          </w:tcPr>
          <w:p>
            <w:pPr>
              <w:jc w:val="center"/>
              <w:ind w:right="80"/>
              <w:spacing w:after="0" w:line="147" w:lineRule="exact"/>
              <w:rPr>
                <w:sz w:val="20"/>
                <w:szCs w:val="20"/>
                <w:color w:val="auto"/>
              </w:rPr>
            </w:pPr>
            <w:r>
              <w:rPr>
                <w:rFonts w:ascii="Arial" w:cs="Arial" w:eastAsia="Arial" w:hAnsi="Arial"/>
                <w:sz w:val="14"/>
                <w:szCs w:val="14"/>
                <w:b w:val="1"/>
                <w:bCs w:val="1"/>
                <w:color w:val="auto"/>
              </w:rPr>
              <w:t>Estimated Future Payouts</w:t>
            </w:r>
          </w:p>
        </w:tc>
        <w:tc>
          <w:tcPr>
            <w:tcW w:w="74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Number</w:t>
            </w:r>
          </w:p>
        </w:tc>
        <w:tc>
          <w:tcPr>
            <w:tcW w:w="84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61"/>
        </w:trPr>
        <w:tc>
          <w:tcPr>
            <w:tcW w:w="2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Non-Equity Incentive</w:t>
            </w:r>
          </w:p>
        </w:tc>
        <w:tc>
          <w:tcPr>
            <w:tcW w:w="21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Under Equity Incentive</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of Shares</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7"/>
        </w:trPr>
        <w:tc>
          <w:tcPr>
            <w:tcW w:w="2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20" w:type="dxa"/>
            <w:vAlign w:val="bottom"/>
          </w:tcPr>
          <w:p>
            <w:pPr>
              <w:jc w:val="right"/>
              <w:ind w:right="1"/>
              <w:spacing w:after="0"/>
              <w:rPr>
                <w:sz w:val="20"/>
                <w:szCs w:val="20"/>
                <w:color w:val="auto"/>
              </w:rPr>
            </w:pPr>
            <w:r>
              <w:rPr>
                <w:rFonts w:ascii="Arial" w:cs="Arial" w:eastAsia="Arial" w:hAnsi="Arial"/>
                <w:sz w:val="14"/>
                <w:szCs w:val="14"/>
                <w:b w:val="1"/>
                <w:bCs w:val="1"/>
                <w:color w:val="auto"/>
              </w:rPr>
              <w:t>Compensation</w:t>
            </w:r>
          </w:p>
        </w:tc>
        <w:tc>
          <w:tcPr>
            <w:tcW w:w="2340" w:type="dxa"/>
            <w:vAlign w:val="bottom"/>
            <w:tcBorders>
              <w:bottom w:val="single" w:sz="8" w:color="16479F"/>
            </w:tcBorders>
            <w:gridSpan w:val="3"/>
          </w:tcPr>
          <w:p>
            <w:pPr>
              <w:jc w:val="center"/>
              <w:spacing w:after="0" w:line="188" w:lineRule="exact"/>
              <w:rPr>
                <w:sz w:val="20"/>
                <w:szCs w:val="20"/>
                <w:color w:val="auto"/>
              </w:rPr>
            </w:pPr>
            <w:r>
              <w:rPr>
                <w:rFonts w:ascii="Arial" w:cs="Arial" w:eastAsia="Arial" w:hAnsi="Arial"/>
                <w:sz w:val="13"/>
                <w:szCs w:val="13"/>
                <w:b w:val="1"/>
                <w:bCs w:val="1"/>
                <w:color w:val="auto"/>
              </w:rPr>
              <w:t>Plan Awards</w:t>
            </w:r>
            <w:r>
              <w:rPr>
                <w:rFonts w:ascii="Arial" w:cs="Arial" w:eastAsia="Arial" w:hAnsi="Arial"/>
                <w:sz w:val="21"/>
                <w:szCs w:val="21"/>
                <w:b w:val="1"/>
                <w:bCs w:val="1"/>
                <w:color w:val="auto"/>
                <w:vertAlign w:val="superscript"/>
              </w:rPr>
              <w:t>(1)(2)</w:t>
            </w:r>
          </w:p>
        </w:tc>
        <w:tc>
          <w:tcPr>
            <w:tcW w:w="100" w:type="dxa"/>
            <w:vAlign w:val="bottom"/>
          </w:tcPr>
          <w:p>
            <w:pPr>
              <w:spacing w:after="0"/>
              <w:rPr>
                <w:sz w:val="16"/>
                <w:szCs w:val="16"/>
                <w:color w:val="auto"/>
              </w:rPr>
            </w:pPr>
          </w:p>
        </w:tc>
        <w:tc>
          <w:tcPr>
            <w:tcW w:w="2060" w:type="dxa"/>
            <w:vAlign w:val="bottom"/>
            <w:tcBorders>
              <w:bottom w:val="single" w:sz="8" w:color="16479F"/>
            </w:tcBorders>
            <w:gridSpan w:val="3"/>
          </w:tcPr>
          <w:p>
            <w:pPr>
              <w:jc w:val="center"/>
              <w:spacing w:after="0"/>
              <w:rPr>
                <w:sz w:val="20"/>
                <w:szCs w:val="20"/>
                <w:color w:val="auto"/>
              </w:rPr>
            </w:pPr>
            <w:r>
              <w:rPr>
                <w:rFonts w:ascii="Arial" w:cs="Arial" w:eastAsia="Arial" w:hAnsi="Arial"/>
                <w:sz w:val="14"/>
                <w:szCs w:val="14"/>
                <w:b w:val="1"/>
                <w:bCs w:val="1"/>
                <w:color w:val="auto"/>
              </w:rPr>
              <w:t>Plan Awards</w:t>
            </w:r>
          </w:p>
        </w:tc>
        <w:tc>
          <w:tcPr>
            <w:tcW w:w="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of Stock</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of Stock</w:t>
            </w:r>
          </w:p>
        </w:tc>
        <w:tc>
          <w:tcPr>
            <w:tcW w:w="0" w:type="dxa"/>
            <w:vAlign w:val="bottom"/>
          </w:tcPr>
          <w:p>
            <w:pPr>
              <w:spacing w:after="0"/>
              <w:rPr>
                <w:sz w:val="1"/>
                <w:szCs w:val="1"/>
                <w:color w:val="auto"/>
              </w:rPr>
            </w:pPr>
          </w:p>
        </w:tc>
      </w:tr>
      <w:tr>
        <w:trPr>
          <w:trHeight w:val="141"/>
        </w:trPr>
        <w:tc>
          <w:tcPr>
            <w:tcW w:w="2240" w:type="dxa"/>
            <w:vAlign w:val="bottom"/>
          </w:tcPr>
          <w:p>
            <w:pPr>
              <w:spacing w:after="0"/>
              <w:rPr>
                <w:sz w:val="12"/>
                <w:szCs w:val="12"/>
                <w:color w:val="auto"/>
              </w:rPr>
            </w:pPr>
          </w:p>
        </w:tc>
        <w:tc>
          <w:tcPr>
            <w:tcW w:w="960" w:type="dxa"/>
            <w:vAlign w:val="bottom"/>
            <w:gridSpan w:val="2"/>
          </w:tcPr>
          <w:p>
            <w:pPr>
              <w:jc w:val="right"/>
              <w:ind w:right="353"/>
              <w:spacing w:after="0" w:line="141" w:lineRule="exact"/>
              <w:rPr>
                <w:sz w:val="20"/>
                <w:szCs w:val="20"/>
                <w:color w:val="auto"/>
              </w:rPr>
            </w:pPr>
            <w:r>
              <w:rPr>
                <w:rFonts w:ascii="Arial" w:cs="Arial" w:eastAsia="Arial" w:hAnsi="Arial"/>
                <w:sz w:val="14"/>
                <w:szCs w:val="14"/>
                <w:b w:val="1"/>
                <w:bCs w:val="1"/>
                <w:color w:val="auto"/>
              </w:rPr>
              <w:t>Type of</w:t>
            </w:r>
          </w:p>
        </w:tc>
        <w:tc>
          <w:tcPr>
            <w:tcW w:w="780" w:type="dxa"/>
            <w:vAlign w:val="bottom"/>
          </w:tcPr>
          <w:p>
            <w:pPr>
              <w:jc w:val="right"/>
              <w:spacing w:after="0" w:line="141" w:lineRule="exact"/>
              <w:rPr>
                <w:sz w:val="20"/>
                <w:szCs w:val="20"/>
                <w:color w:val="auto"/>
              </w:rPr>
            </w:pPr>
            <w:r>
              <w:rPr>
                <w:rFonts w:ascii="Arial" w:cs="Arial" w:eastAsia="Arial" w:hAnsi="Arial"/>
                <w:sz w:val="14"/>
                <w:szCs w:val="14"/>
                <w:b w:val="1"/>
                <w:bCs w:val="1"/>
                <w:color w:val="auto"/>
              </w:rPr>
              <w:t>Grant</w:t>
            </w:r>
          </w:p>
        </w:tc>
        <w:tc>
          <w:tcPr>
            <w:tcW w:w="1120" w:type="dxa"/>
            <w:vAlign w:val="bottom"/>
          </w:tcPr>
          <w:p>
            <w:pPr>
              <w:jc w:val="right"/>
              <w:ind w:right="41"/>
              <w:spacing w:after="0" w:line="141" w:lineRule="exact"/>
              <w:rPr>
                <w:sz w:val="20"/>
                <w:szCs w:val="20"/>
                <w:color w:val="auto"/>
              </w:rPr>
            </w:pPr>
            <w:r>
              <w:rPr>
                <w:rFonts w:ascii="Arial" w:cs="Arial" w:eastAsia="Arial" w:hAnsi="Arial"/>
                <w:sz w:val="14"/>
                <w:szCs w:val="14"/>
                <w:b w:val="1"/>
                <w:bCs w:val="1"/>
                <w:color w:val="auto"/>
              </w:rPr>
              <w:t>Committee</w:t>
            </w:r>
          </w:p>
        </w:tc>
        <w:tc>
          <w:tcPr>
            <w:tcW w:w="820" w:type="dxa"/>
            <w:vAlign w:val="bottom"/>
          </w:tcPr>
          <w:p>
            <w:pPr>
              <w:jc w:val="right"/>
              <w:ind w:right="42"/>
              <w:spacing w:after="0" w:line="141" w:lineRule="exact"/>
              <w:rPr>
                <w:sz w:val="20"/>
                <w:szCs w:val="20"/>
                <w:color w:val="auto"/>
              </w:rPr>
            </w:pPr>
            <w:r>
              <w:rPr>
                <w:rFonts w:ascii="Arial" w:cs="Arial" w:eastAsia="Arial" w:hAnsi="Arial"/>
                <w:sz w:val="14"/>
                <w:szCs w:val="14"/>
                <w:b w:val="1"/>
                <w:bCs w:val="1"/>
                <w:color w:val="auto"/>
              </w:rPr>
              <w:t>Threshold</w:t>
            </w:r>
          </w:p>
        </w:tc>
        <w:tc>
          <w:tcPr>
            <w:tcW w:w="760" w:type="dxa"/>
            <w:vAlign w:val="bottom"/>
          </w:tcPr>
          <w:p>
            <w:pPr>
              <w:jc w:val="right"/>
              <w:spacing w:after="0" w:line="141" w:lineRule="exact"/>
              <w:rPr>
                <w:sz w:val="20"/>
                <w:szCs w:val="20"/>
                <w:color w:val="auto"/>
              </w:rPr>
            </w:pPr>
            <w:r>
              <w:rPr>
                <w:rFonts w:ascii="Arial" w:cs="Arial" w:eastAsia="Arial" w:hAnsi="Arial"/>
                <w:sz w:val="14"/>
                <w:szCs w:val="14"/>
                <w:b w:val="1"/>
                <w:bCs w:val="1"/>
                <w:color w:val="auto"/>
              </w:rPr>
              <w:t>Target</w:t>
            </w:r>
          </w:p>
        </w:tc>
        <w:tc>
          <w:tcPr>
            <w:tcW w:w="860" w:type="dxa"/>
            <w:vAlign w:val="bottom"/>
            <w:gridSpan w:val="2"/>
          </w:tcPr>
          <w:p>
            <w:pPr>
              <w:ind w:left="100"/>
              <w:spacing w:after="0" w:line="141" w:lineRule="exact"/>
              <w:rPr>
                <w:sz w:val="20"/>
                <w:szCs w:val="20"/>
                <w:color w:val="auto"/>
              </w:rPr>
            </w:pPr>
            <w:r>
              <w:rPr>
                <w:rFonts w:ascii="Arial" w:cs="Arial" w:eastAsia="Arial" w:hAnsi="Arial"/>
                <w:sz w:val="14"/>
                <w:szCs w:val="14"/>
                <w:b w:val="1"/>
                <w:bCs w:val="1"/>
                <w:color w:val="auto"/>
              </w:rPr>
              <w:t>Maximum</w:t>
            </w:r>
          </w:p>
        </w:tc>
        <w:tc>
          <w:tcPr>
            <w:tcW w:w="760" w:type="dxa"/>
            <w:vAlign w:val="bottom"/>
          </w:tcPr>
          <w:p>
            <w:pPr>
              <w:jc w:val="right"/>
              <w:ind w:right="1"/>
              <w:spacing w:after="0" w:line="141" w:lineRule="exact"/>
              <w:rPr>
                <w:sz w:val="20"/>
                <w:szCs w:val="20"/>
                <w:color w:val="auto"/>
              </w:rPr>
            </w:pPr>
            <w:r>
              <w:rPr>
                <w:rFonts w:ascii="Arial" w:cs="Arial" w:eastAsia="Arial" w:hAnsi="Arial"/>
                <w:sz w:val="14"/>
                <w:szCs w:val="14"/>
                <w:b w:val="1"/>
                <w:bCs w:val="1"/>
                <w:color w:val="auto"/>
                <w:w w:val="97"/>
              </w:rPr>
              <w:t>Threshold</w:t>
            </w:r>
          </w:p>
        </w:tc>
        <w:tc>
          <w:tcPr>
            <w:tcW w:w="60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8"/>
              </w:rPr>
              <w:t>Target</w:t>
            </w:r>
          </w:p>
        </w:tc>
        <w:tc>
          <w:tcPr>
            <w:tcW w:w="760" w:type="dxa"/>
            <w:vAlign w:val="bottom"/>
            <w:gridSpan w:val="2"/>
          </w:tcPr>
          <w:p>
            <w:pPr>
              <w:jc w:val="right"/>
              <w:ind w:right="60"/>
              <w:spacing w:after="0" w:line="141" w:lineRule="exact"/>
              <w:rPr>
                <w:sz w:val="20"/>
                <w:szCs w:val="20"/>
                <w:color w:val="auto"/>
              </w:rPr>
            </w:pPr>
            <w:r>
              <w:rPr>
                <w:rFonts w:ascii="Arial" w:cs="Arial" w:eastAsia="Arial" w:hAnsi="Arial"/>
                <w:sz w:val="14"/>
                <w:szCs w:val="14"/>
                <w:b w:val="1"/>
                <w:bCs w:val="1"/>
                <w:color w:val="auto"/>
              </w:rPr>
              <w:t>Maximum</w:t>
            </w:r>
          </w:p>
        </w:tc>
        <w:tc>
          <w:tcPr>
            <w:tcW w:w="740" w:type="dxa"/>
            <w:vAlign w:val="bottom"/>
          </w:tcPr>
          <w:p>
            <w:pPr>
              <w:jc w:val="right"/>
              <w:spacing w:after="0" w:line="141" w:lineRule="exact"/>
              <w:rPr>
                <w:sz w:val="20"/>
                <w:szCs w:val="20"/>
                <w:color w:val="auto"/>
              </w:rPr>
            </w:pPr>
            <w:r>
              <w:rPr>
                <w:rFonts w:ascii="Arial" w:cs="Arial" w:eastAsia="Arial" w:hAnsi="Arial"/>
                <w:sz w:val="14"/>
                <w:szCs w:val="14"/>
                <w:b w:val="1"/>
                <w:bCs w:val="1"/>
                <w:color w:val="auto"/>
              </w:rPr>
              <w:t>or Units</w:t>
            </w:r>
          </w:p>
        </w:tc>
        <w:tc>
          <w:tcPr>
            <w:tcW w:w="840" w:type="dxa"/>
            <w:vAlign w:val="bottom"/>
          </w:tcPr>
          <w:p>
            <w:pPr>
              <w:jc w:val="right"/>
              <w:spacing w:after="0" w:line="141" w:lineRule="exact"/>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201"/>
        </w:trPr>
        <w:tc>
          <w:tcPr>
            <w:tcW w:w="2240" w:type="dxa"/>
            <w:vAlign w:val="bottom"/>
            <w:tcBorders>
              <w:bottom w:val="single" w:sz="8" w:color="16479F"/>
            </w:tcBorders>
          </w:tcPr>
          <w:p>
            <w:pPr>
              <w:ind w:left="60"/>
              <w:spacing w:after="0"/>
              <w:rPr>
                <w:sz w:val="20"/>
                <w:szCs w:val="20"/>
                <w:color w:val="auto"/>
              </w:rPr>
            </w:pPr>
            <w:r>
              <w:rPr>
                <w:rFonts w:ascii="Arial" w:cs="Arial" w:eastAsia="Arial" w:hAnsi="Arial"/>
                <w:sz w:val="14"/>
                <w:szCs w:val="14"/>
                <w:b w:val="1"/>
                <w:bCs w:val="1"/>
                <w:color w:val="auto"/>
              </w:rPr>
              <w:t>Name</w:t>
            </w:r>
          </w:p>
        </w:tc>
        <w:tc>
          <w:tcPr>
            <w:tcW w:w="960" w:type="dxa"/>
            <w:vAlign w:val="bottom"/>
            <w:tcBorders>
              <w:bottom w:val="single" w:sz="8" w:color="16479F"/>
            </w:tcBorders>
            <w:gridSpan w:val="2"/>
          </w:tcPr>
          <w:p>
            <w:pPr>
              <w:jc w:val="right"/>
              <w:ind w:right="353"/>
              <w:spacing w:after="0"/>
              <w:rPr>
                <w:sz w:val="20"/>
                <w:szCs w:val="20"/>
                <w:color w:val="auto"/>
              </w:rPr>
            </w:pPr>
            <w:r>
              <w:rPr>
                <w:rFonts w:ascii="Arial" w:cs="Arial" w:eastAsia="Arial" w:hAnsi="Arial"/>
                <w:sz w:val="14"/>
                <w:szCs w:val="14"/>
                <w:b w:val="1"/>
                <w:bCs w:val="1"/>
                <w:color w:val="auto"/>
              </w:rPr>
              <w:t>Award</w:t>
            </w:r>
          </w:p>
        </w:tc>
        <w:tc>
          <w:tcPr>
            <w:tcW w:w="780" w:type="dxa"/>
            <w:vAlign w:val="bottom"/>
            <w:tcBorders>
              <w:bottom w:val="single" w:sz="8" w:color="16479F"/>
            </w:tcBorders>
          </w:tcPr>
          <w:p>
            <w:pPr>
              <w:jc w:val="right"/>
              <w:spacing w:after="0"/>
              <w:rPr>
                <w:sz w:val="20"/>
                <w:szCs w:val="20"/>
                <w:color w:val="auto"/>
              </w:rPr>
            </w:pPr>
            <w:r>
              <w:rPr>
                <w:rFonts w:ascii="Arial" w:cs="Arial" w:eastAsia="Arial" w:hAnsi="Arial"/>
                <w:sz w:val="14"/>
                <w:szCs w:val="14"/>
                <w:b w:val="1"/>
                <w:bCs w:val="1"/>
                <w:color w:val="auto"/>
              </w:rPr>
              <w:t>Date</w:t>
            </w:r>
          </w:p>
        </w:tc>
        <w:tc>
          <w:tcPr>
            <w:tcW w:w="1120" w:type="dxa"/>
            <w:vAlign w:val="bottom"/>
            <w:tcBorders>
              <w:bottom w:val="single" w:sz="8" w:color="16479F"/>
            </w:tcBorders>
          </w:tcPr>
          <w:p>
            <w:pPr>
              <w:jc w:val="right"/>
              <w:ind w:right="1"/>
              <w:spacing w:after="0"/>
              <w:rPr>
                <w:sz w:val="20"/>
                <w:szCs w:val="20"/>
                <w:color w:val="auto"/>
              </w:rPr>
            </w:pPr>
            <w:r>
              <w:rPr>
                <w:rFonts w:ascii="Arial" w:cs="Arial" w:eastAsia="Arial" w:hAnsi="Arial"/>
                <w:sz w:val="14"/>
                <w:szCs w:val="14"/>
                <w:b w:val="1"/>
                <w:bCs w:val="1"/>
                <w:color w:val="auto"/>
              </w:rPr>
              <w:t>Action Date</w:t>
            </w:r>
          </w:p>
        </w:tc>
        <w:tc>
          <w:tcPr>
            <w:tcW w:w="820" w:type="dxa"/>
            <w:vAlign w:val="bottom"/>
            <w:tcBorders>
              <w:bottom w:val="single" w:sz="8" w:color="16479F"/>
            </w:tcBorders>
          </w:tcPr>
          <w:p>
            <w:pPr>
              <w:jc w:val="right"/>
              <w:ind w:right="42"/>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16479F"/>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16479F"/>
            </w:tcBorders>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16479F"/>
            </w:tcBorders>
          </w:tcPr>
          <w:p>
            <w:pPr>
              <w:jc w:val="right"/>
              <w:ind w:right="1"/>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16479F"/>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16479F"/>
            </w:tcBorders>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16479F"/>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16479F"/>
            </w:tcBorders>
          </w:tcPr>
          <w:p>
            <w:pPr>
              <w:jc w:val="right"/>
              <w:spacing w:after="0" w:line="201"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(7)</w:t>
            </w:r>
          </w:p>
        </w:tc>
        <w:tc>
          <w:tcPr>
            <w:tcW w:w="0" w:type="dxa"/>
            <w:vAlign w:val="bottom"/>
          </w:tcPr>
          <w:p>
            <w:pPr>
              <w:spacing w:after="0"/>
              <w:rPr>
                <w:sz w:val="1"/>
                <w:szCs w:val="1"/>
                <w:color w:val="auto"/>
              </w:rPr>
            </w:pPr>
          </w:p>
        </w:tc>
      </w:tr>
      <w:tr>
        <w:trPr>
          <w:trHeight w:val="207"/>
        </w:trPr>
        <w:tc>
          <w:tcPr>
            <w:tcW w:w="2240" w:type="dxa"/>
            <w:vAlign w:val="bottom"/>
            <w:shd w:val="clear" w:color="auto" w:fill="F0F1F8"/>
          </w:tcPr>
          <w:p>
            <w:pPr>
              <w:ind w:left="60"/>
              <w:spacing w:after="0"/>
              <w:rPr>
                <w:sz w:val="20"/>
                <w:szCs w:val="20"/>
                <w:color w:val="auto"/>
              </w:rPr>
            </w:pPr>
            <w:r>
              <w:rPr>
                <w:rFonts w:ascii="Arial" w:cs="Arial" w:eastAsia="Arial" w:hAnsi="Arial"/>
                <w:sz w:val="16"/>
                <w:szCs w:val="16"/>
                <w:b w:val="1"/>
                <w:bCs w:val="1"/>
                <w:color w:val="auto"/>
              </w:rPr>
              <w:t>Henry A. Fernandez</w:t>
            </w:r>
          </w:p>
        </w:tc>
        <w:tc>
          <w:tcPr>
            <w:tcW w:w="960" w:type="dxa"/>
            <w:vAlign w:val="bottom"/>
            <w:gridSpan w:val="2"/>
            <w:shd w:val="clear" w:color="auto" w:fill="F0F1F8"/>
          </w:tcPr>
          <w:p>
            <w:pPr>
              <w:jc w:val="right"/>
              <w:ind w:right="353"/>
              <w:spacing w:after="0"/>
              <w:rPr>
                <w:sz w:val="20"/>
                <w:szCs w:val="20"/>
                <w:color w:val="auto"/>
              </w:rPr>
            </w:pPr>
            <w:r>
              <w:rPr>
                <w:rFonts w:ascii="Arial" w:cs="Arial" w:eastAsia="Arial" w:hAnsi="Arial"/>
                <w:sz w:val="16"/>
                <w:szCs w:val="16"/>
                <w:color w:val="auto"/>
              </w:rPr>
              <w:t>AIP</w:t>
            </w:r>
          </w:p>
        </w:tc>
        <w:tc>
          <w:tcPr>
            <w:tcW w:w="780" w:type="dxa"/>
            <w:vAlign w:val="bottom"/>
            <w:shd w:val="clear" w:color="auto" w:fill="F0F1F8"/>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F0F1F8"/>
          </w:tcPr>
          <w:p>
            <w:pPr>
              <w:jc w:val="right"/>
              <w:ind w:right="1"/>
              <w:spacing w:after="0"/>
              <w:rPr>
                <w:sz w:val="20"/>
                <w:szCs w:val="20"/>
                <w:color w:val="auto"/>
              </w:rPr>
            </w:pPr>
            <w:r>
              <w:rPr>
                <w:rFonts w:ascii="Arial" w:cs="Arial" w:eastAsia="Arial" w:hAnsi="Arial"/>
                <w:sz w:val="16"/>
                <w:szCs w:val="16"/>
                <w:color w:val="auto"/>
              </w:rPr>
              <w:t>1/26/2021</w:t>
            </w:r>
          </w:p>
        </w:tc>
        <w:tc>
          <w:tcPr>
            <w:tcW w:w="2440" w:type="dxa"/>
            <w:vAlign w:val="bottom"/>
            <w:gridSpan w:val="4"/>
            <w:shd w:val="clear" w:color="auto" w:fill="F0F1F8"/>
          </w:tcPr>
          <w:p>
            <w:pPr>
              <w:jc w:val="right"/>
              <w:ind w:right="100"/>
              <w:spacing w:after="0"/>
              <w:rPr>
                <w:sz w:val="20"/>
                <w:szCs w:val="20"/>
                <w:color w:val="auto"/>
              </w:rPr>
            </w:pPr>
            <w:r>
              <w:rPr>
                <w:rFonts w:ascii="Arial" w:cs="Arial" w:eastAsia="Arial" w:hAnsi="Arial"/>
                <w:sz w:val="16"/>
                <w:szCs w:val="16"/>
                <w:color w:val="auto"/>
              </w:rPr>
              <w:t>— 1,400,000 2,100,000</w:t>
            </w:r>
          </w:p>
        </w:tc>
        <w:tc>
          <w:tcPr>
            <w:tcW w:w="760" w:type="dxa"/>
            <w:vAlign w:val="bottom"/>
            <w:shd w:val="clear" w:color="auto" w:fill="F0F1F8"/>
          </w:tcPr>
          <w:p>
            <w:pPr>
              <w:jc w:val="right"/>
              <w:ind w:right="1"/>
              <w:spacing w:after="0"/>
              <w:rPr>
                <w:sz w:val="20"/>
                <w:szCs w:val="20"/>
                <w:color w:val="auto"/>
              </w:rPr>
            </w:pPr>
            <w:r>
              <w:rPr>
                <w:rFonts w:ascii="Arial" w:cs="Arial" w:eastAsia="Arial" w:hAnsi="Arial"/>
                <w:sz w:val="16"/>
                <w:szCs w:val="16"/>
                <w:color w:val="auto"/>
              </w:rPr>
              <w:t>—</w:t>
            </w:r>
          </w:p>
        </w:tc>
        <w:tc>
          <w:tcPr>
            <w:tcW w:w="600" w:type="dxa"/>
            <w:vAlign w:val="bottom"/>
            <w:shd w:val="clear" w:color="auto" w:fill="F0F1F8"/>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F0F1F8"/>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shd w:val="clear" w:color="auto" w:fill="F0F1F8"/>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F0F1F8"/>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2240" w:type="dxa"/>
            <w:vAlign w:val="bottom"/>
            <w:shd w:val="clear" w:color="auto" w:fill="F0F1F8"/>
          </w:tcPr>
          <w:p>
            <w:pPr>
              <w:spacing w:after="0"/>
              <w:rPr>
                <w:sz w:val="21"/>
                <w:szCs w:val="21"/>
                <w:color w:val="auto"/>
              </w:rPr>
            </w:pPr>
          </w:p>
        </w:tc>
        <w:tc>
          <w:tcPr>
            <w:tcW w:w="540" w:type="dxa"/>
            <w:vAlign w:val="bottom"/>
            <w:shd w:val="clear" w:color="auto" w:fill="F0F1F8"/>
          </w:tcPr>
          <w:p>
            <w:pPr>
              <w:jc w:val="right"/>
              <w:spacing w:after="0"/>
              <w:rPr>
                <w:sz w:val="20"/>
                <w:szCs w:val="20"/>
                <w:color w:val="auto"/>
              </w:rPr>
            </w:pPr>
            <w:r>
              <w:rPr>
                <w:rFonts w:ascii="Arial" w:cs="Arial" w:eastAsia="Arial" w:hAnsi="Arial"/>
                <w:sz w:val="16"/>
                <w:szCs w:val="16"/>
                <w:color w:val="auto"/>
              </w:rPr>
              <w:t>PSU</w:t>
            </w:r>
          </w:p>
        </w:tc>
        <w:tc>
          <w:tcPr>
            <w:tcW w:w="420" w:type="dxa"/>
            <w:vAlign w:val="bottom"/>
            <w:shd w:val="clear" w:color="auto" w:fill="F0F1F8"/>
          </w:tcPr>
          <w:p>
            <w:pPr>
              <w:jc w:val="right"/>
              <w:ind w:right="193"/>
              <w:spacing w:after="0"/>
              <w:rPr>
                <w:sz w:val="20"/>
                <w:szCs w:val="20"/>
                <w:color w:val="auto"/>
              </w:rPr>
            </w:pPr>
            <w:r>
              <w:rPr>
                <w:rFonts w:ascii="Arial" w:cs="Arial" w:eastAsia="Arial" w:hAnsi="Arial"/>
                <w:sz w:val="13"/>
                <w:szCs w:val="13"/>
                <w:color w:val="auto"/>
                <w:w w:val="87"/>
              </w:rPr>
              <w:t>(4)</w:t>
            </w:r>
          </w:p>
        </w:tc>
        <w:tc>
          <w:tcPr>
            <w:tcW w:w="780" w:type="dxa"/>
            <w:vAlign w:val="bottom"/>
            <w:shd w:val="clear" w:color="auto" w:fill="F0F1F8"/>
          </w:tcPr>
          <w:p>
            <w:pPr>
              <w:jc w:val="right"/>
              <w:spacing w:after="0"/>
              <w:rPr>
                <w:sz w:val="20"/>
                <w:szCs w:val="20"/>
                <w:color w:val="auto"/>
              </w:rPr>
            </w:pPr>
            <w:r>
              <w:rPr>
                <w:rFonts w:ascii="Arial" w:cs="Arial" w:eastAsia="Arial" w:hAnsi="Arial"/>
                <w:sz w:val="16"/>
                <w:szCs w:val="16"/>
                <w:color w:val="auto"/>
              </w:rPr>
              <w:t>2/3/2021</w:t>
            </w:r>
          </w:p>
        </w:tc>
        <w:tc>
          <w:tcPr>
            <w:tcW w:w="1120" w:type="dxa"/>
            <w:vAlign w:val="bottom"/>
            <w:shd w:val="clear" w:color="auto" w:fill="F0F1F8"/>
          </w:tcPr>
          <w:p>
            <w:pPr>
              <w:jc w:val="right"/>
              <w:ind w:right="1"/>
              <w:spacing w:after="0"/>
              <w:rPr>
                <w:sz w:val="20"/>
                <w:szCs w:val="20"/>
                <w:color w:val="auto"/>
              </w:rPr>
            </w:pPr>
            <w:r>
              <w:rPr>
                <w:rFonts w:ascii="Arial" w:cs="Arial" w:eastAsia="Arial" w:hAnsi="Arial"/>
                <w:sz w:val="16"/>
                <w:szCs w:val="16"/>
                <w:color w:val="auto"/>
              </w:rPr>
              <w:t>1/26/2021</w:t>
            </w:r>
          </w:p>
        </w:tc>
        <w:tc>
          <w:tcPr>
            <w:tcW w:w="820" w:type="dxa"/>
            <w:vAlign w:val="bottom"/>
            <w:shd w:val="clear" w:color="auto" w:fill="F0F1F8"/>
          </w:tcPr>
          <w:p>
            <w:pPr>
              <w:jc w:val="right"/>
              <w:ind w:right="42"/>
              <w:spacing w:after="0"/>
              <w:rPr>
                <w:sz w:val="20"/>
                <w:szCs w:val="20"/>
                <w:color w:val="auto"/>
              </w:rPr>
            </w:pPr>
            <w:r>
              <w:rPr>
                <w:rFonts w:ascii="Arial" w:cs="Arial" w:eastAsia="Arial" w:hAnsi="Arial"/>
                <w:sz w:val="16"/>
                <w:szCs w:val="16"/>
                <w:color w:val="auto"/>
              </w:rPr>
              <w:t>—</w:t>
            </w:r>
          </w:p>
        </w:tc>
        <w:tc>
          <w:tcPr>
            <w:tcW w:w="760" w:type="dxa"/>
            <w:vAlign w:val="bottom"/>
            <w:shd w:val="clear" w:color="auto" w:fill="F0F1F8"/>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F0F1F8"/>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shd w:val="clear" w:color="auto" w:fill="F0F1F8"/>
          </w:tcPr>
          <w:p>
            <w:pPr>
              <w:jc w:val="right"/>
              <w:ind w:right="1"/>
              <w:spacing w:after="0"/>
              <w:rPr>
                <w:sz w:val="20"/>
                <w:szCs w:val="20"/>
                <w:color w:val="auto"/>
              </w:rPr>
            </w:pPr>
            <w:r>
              <w:rPr>
                <w:rFonts w:ascii="Arial" w:cs="Arial" w:eastAsia="Arial" w:hAnsi="Arial"/>
                <w:sz w:val="16"/>
                <w:szCs w:val="16"/>
                <w:color w:val="auto"/>
              </w:rPr>
              <w:t>—</w:t>
            </w:r>
          </w:p>
        </w:tc>
        <w:tc>
          <w:tcPr>
            <w:tcW w:w="600" w:type="dxa"/>
            <w:vAlign w:val="bottom"/>
            <w:shd w:val="clear" w:color="auto" w:fill="F0F1F8"/>
          </w:tcPr>
          <w:p>
            <w:pPr>
              <w:jc w:val="right"/>
              <w:spacing w:after="0"/>
              <w:rPr>
                <w:sz w:val="20"/>
                <w:szCs w:val="20"/>
                <w:color w:val="auto"/>
              </w:rPr>
            </w:pPr>
            <w:r>
              <w:rPr>
                <w:rFonts w:ascii="Arial" w:cs="Arial" w:eastAsia="Arial" w:hAnsi="Arial"/>
                <w:sz w:val="16"/>
                <w:szCs w:val="16"/>
                <w:color w:val="auto"/>
              </w:rPr>
              <w:t>7,226</w:t>
            </w:r>
          </w:p>
        </w:tc>
        <w:tc>
          <w:tcPr>
            <w:tcW w:w="700" w:type="dxa"/>
            <w:vAlign w:val="bottom"/>
            <w:shd w:val="clear" w:color="auto" w:fill="F0F1F8"/>
          </w:tcPr>
          <w:p>
            <w:pPr>
              <w:jc w:val="right"/>
              <w:spacing w:after="0"/>
              <w:rPr>
                <w:sz w:val="20"/>
                <w:szCs w:val="20"/>
                <w:color w:val="auto"/>
              </w:rPr>
            </w:pPr>
            <w:r>
              <w:rPr>
                <w:rFonts w:ascii="Arial" w:cs="Arial" w:eastAsia="Arial" w:hAnsi="Arial"/>
                <w:sz w:val="16"/>
                <w:szCs w:val="16"/>
                <w:color w:val="auto"/>
              </w:rPr>
              <w:t>21,678</w:t>
            </w:r>
          </w:p>
        </w:tc>
        <w:tc>
          <w:tcPr>
            <w:tcW w:w="60" w:type="dxa"/>
            <w:vAlign w:val="bottom"/>
            <w:shd w:val="clear" w:color="auto" w:fill="F0F1F8"/>
          </w:tcPr>
          <w:p>
            <w:pPr>
              <w:spacing w:after="0"/>
              <w:rPr>
                <w:sz w:val="21"/>
                <w:szCs w:val="21"/>
                <w:color w:val="auto"/>
              </w:rPr>
            </w:pPr>
          </w:p>
        </w:tc>
        <w:tc>
          <w:tcPr>
            <w:tcW w:w="740" w:type="dxa"/>
            <w:vAlign w:val="bottom"/>
            <w:shd w:val="clear" w:color="auto" w:fill="F0F1F8"/>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F0F1F8"/>
          </w:tcPr>
          <w:p>
            <w:pPr>
              <w:jc w:val="right"/>
              <w:spacing w:after="0"/>
              <w:rPr>
                <w:sz w:val="20"/>
                <w:szCs w:val="20"/>
                <w:color w:val="auto"/>
              </w:rPr>
            </w:pPr>
            <w:r>
              <w:rPr>
                <w:rFonts w:ascii="Arial" w:cs="Arial" w:eastAsia="Arial" w:hAnsi="Arial"/>
                <w:sz w:val="16"/>
                <w:szCs w:val="16"/>
                <w:color w:val="auto"/>
              </w:rPr>
              <w:t>2,999,657</w:t>
            </w:r>
          </w:p>
        </w:tc>
        <w:tc>
          <w:tcPr>
            <w:tcW w:w="0" w:type="dxa"/>
            <w:vAlign w:val="bottom"/>
          </w:tcPr>
          <w:p>
            <w:pPr>
              <w:spacing w:after="0"/>
              <w:rPr>
                <w:sz w:val="1"/>
                <w:szCs w:val="1"/>
                <w:color w:val="auto"/>
              </w:rPr>
            </w:pPr>
          </w:p>
        </w:tc>
      </w:tr>
      <w:tr>
        <w:trPr>
          <w:trHeight w:val="260"/>
        </w:trPr>
        <w:tc>
          <w:tcPr>
            <w:tcW w:w="2240" w:type="dxa"/>
            <w:vAlign w:val="bottom"/>
            <w:shd w:val="clear" w:color="auto" w:fill="F0F1F8"/>
          </w:tcPr>
          <w:p>
            <w:pPr>
              <w:spacing w:after="0"/>
              <w:rPr>
                <w:sz w:val="22"/>
                <w:szCs w:val="22"/>
                <w:color w:val="auto"/>
              </w:rPr>
            </w:pPr>
          </w:p>
        </w:tc>
        <w:tc>
          <w:tcPr>
            <w:tcW w:w="540" w:type="dxa"/>
            <w:vAlign w:val="bottom"/>
            <w:shd w:val="clear" w:color="auto" w:fill="F0F1F8"/>
          </w:tcPr>
          <w:p>
            <w:pPr>
              <w:jc w:val="right"/>
              <w:spacing w:after="0"/>
              <w:rPr>
                <w:sz w:val="20"/>
                <w:szCs w:val="20"/>
                <w:color w:val="auto"/>
              </w:rPr>
            </w:pPr>
            <w:r>
              <w:rPr>
                <w:rFonts w:ascii="Arial" w:cs="Arial" w:eastAsia="Arial" w:hAnsi="Arial"/>
                <w:sz w:val="16"/>
                <w:szCs w:val="16"/>
                <w:color w:val="auto"/>
              </w:rPr>
              <w:t>PSU</w:t>
            </w:r>
          </w:p>
        </w:tc>
        <w:tc>
          <w:tcPr>
            <w:tcW w:w="420" w:type="dxa"/>
            <w:vAlign w:val="bottom"/>
            <w:shd w:val="clear" w:color="auto" w:fill="F0F1F8"/>
          </w:tcPr>
          <w:p>
            <w:pPr>
              <w:jc w:val="right"/>
              <w:ind w:right="193"/>
              <w:spacing w:after="0"/>
              <w:rPr>
                <w:sz w:val="20"/>
                <w:szCs w:val="20"/>
                <w:color w:val="auto"/>
              </w:rPr>
            </w:pPr>
            <w:r>
              <w:rPr>
                <w:rFonts w:ascii="Arial" w:cs="Arial" w:eastAsia="Arial" w:hAnsi="Arial"/>
                <w:sz w:val="13"/>
                <w:szCs w:val="13"/>
                <w:color w:val="auto"/>
                <w:w w:val="87"/>
              </w:rPr>
              <w:t>(5)</w:t>
            </w:r>
          </w:p>
        </w:tc>
        <w:tc>
          <w:tcPr>
            <w:tcW w:w="780" w:type="dxa"/>
            <w:vAlign w:val="bottom"/>
            <w:shd w:val="clear" w:color="auto" w:fill="F0F1F8"/>
          </w:tcPr>
          <w:p>
            <w:pPr>
              <w:jc w:val="right"/>
              <w:spacing w:after="0"/>
              <w:rPr>
                <w:sz w:val="20"/>
                <w:szCs w:val="20"/>
                <w:color w:val="auto"/>
              </w:rPr>
            </w:pPr>
            <w:r>
              <w:rPr>
                <w:rFonts w:ascii="Arial" w:cs="Arial" w:eastAsia="Arial" w:hAnsi="Arial"/>
                <w:sz w:val="16"/>
                <w:szCs w:val="16"/>
                <w:color w:val="auto"/>
              </w:rPr>
              <w:t>2/3/2021</w:t>
            </w:r>
          </w:p>
        </w:tc>
        <w:tc>
          <w:tcPr>
            <w:tcW w:w="1120" w:type="dxa"/>
            <w:vAlign w:val="bottom"/>
            <w:shd w:val="clear" w:color="auto" w:fill="F0F1F8"/>
          </w:tcPr>
          <w:p>
            <w:pPr>
              <w:jc w:val="right"/>
              <w:ind w:right="1"/>
              <w:spacing w:after="0"/>
              <w:rPr>
                <w:sz w:val="20"/>
                <w:szCs w:val="20"/>
                <w:color w:val="auto"/>
              </w:rPr>
            </w:pPr>
            <w:r>
              <w:rPr>
                <w:rFonts w:ascii="Arial" w:cs="Arial" w:eastAsia="Arial" w:hAnsi="Arial"/>
                <w:sz w:val="16"/>
                <w:szCs w:val="16"/>
                <w:color w:val="auto"/>
              </w:rPr>
              <w:t>1/26/2021</w:t>
            </w:r>
          </w:p>
        </w:tc>
        <w:tc>
          <w:tcPr>
            <w:tcW w:w="820" w:type="dxa"/>
            <w:vAlign w:val="bottom"/>
            <w:shd w:val="clear" w:color="auto" w:fill="F0F1F8"/>
          </w:tcPr>
          <w:p>
            <w:pPr>
              <w:jc w:val="right"/>
              <w:ind w:right="42"/>
              <w:spacing w:after="0"/>
              <w:rPr>
                <w:sz w:val="20"/>
                <w:szCs w:val="20"/>
                <w:color w:val="auto"/>
              </w:rPr>
            </w:pPr>
            <w:r>
              <w:rPr>
                <w:rFonts w:ascii="Arial" w:cs="Arial" w:eastAsia="Arial" w:hAnsi="Arial"/>
                <w:sz w:val="16"/>
                <w:szCs w:val="16"/>
                <w:color w:val="auto"/>
              </w:rPr>
              <w:t>—</w:t>
            </w:r>
          </w:p>
        </w:tc>
        <w:tc>
          <w:tcPr>
            <w:tcW w:w="760" w:type="dxa"/>
            <w:vAlign w:val="bottom"/>
            <w:shd w:val="clear" w:color="auto" w:fill="F0F1F8"/>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F0F1F8"/>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shd w:val="clear" w:color="auto" w:fill="F0F1F8"/>
          </w:tcPr>
          <w:p>
            <w:pPr>
              <w:jc w:val="right"/>
              <w:ind w:right="1"/>
              <w:spacing w:after="0"/>
              <w:rPr>
                <w:sz w:val="20"/>
                <w:szCs w:val="20"/>
                <w:color w:val="auto"/>
              </w:rPr>
            </w:pPr>
            <w:r>
              <w:rPr>
                <w:rFonts w:ascii="Arial" w:cs="Arial" w:eastAsia="Arial" w:hAnsi="Arial"/>
                <w:sz w:val="16"/>
                <w:szCs w:val="16"/>
                <w:color w:val="auto"/>
              </w:rPr>
              <w:t>—</w:t>
            </w:r>
          </w:p>
        </w:tc>
        <w:tc>
          <w:tcPr>
            <w:tcW w:w="600" w:type="dxa"/>
            <w:vAlign w:val="bottom"/>
            <w:shd w:val="clear" w:color="auto" w:fill="F0F1F8"/>
          </w:tcPr>
          <w:p>
            <w:pPr>
              <w:jc w:val="right"/>
              <w:spacing w:after="0"/>
              <w:rPr>
                <w:sz w:val="20"/>
                <w:szCs w:val="20"/>
                <w:color w:val="auto"/>
              </w:rPr>
            </w:pPr>
            <w:r>
              <w:rPr>
                <w:rFonts w:ascii="Arial" w:cs="Arial" w:eastAsia="Arial" w:hAnsi="Arial"/>
                <w:sz w:val="16"/>
                <w:szCs w:val="16"/>
                <w:color w:val="auto"/>
              </w:rPr>
              <w:t>17,420</w:t>
            </w:r>
          </w:p>
        </w:tc>
        <w:tc>
          <w:tcPr>
            <w:tcW w:w="700" w:type="dxa"/>
            <w:vAlign w:val="bottom"/>
            <w:shd w:val="clear" w:color="auto" w:fill="F0F1F8"/>
          </w:tcPr>
          <w:p>
            <w:pPr>
              <w:jc w:val="right"/>
              <w:spacing w:after="0"/>
              <w:rPr>
                <w:sz w:val="20"/>
                <w:szCs w:val="20"/>
                <w:color w:val="auto"/>
              </w:rPr>
            </w:pPr>
            <w:r>
              <w:rPr>
                <w:rFonts w:ascii="Arial" w:cs="Arial" w:eastAsia="Arial" w:hAnsi="Arial"/>
                <w:sz w:val="16"/>
                <w:szCs w:val="16"/>
                <w:color w:val="auto"/>
              </w:rPr>
              <w:t>34,840</w:t>
            </w:r>
          </w:p>
        </w:tc>
        <w:tc>
          <w:tcPr>
            <w:tcW w:w="60" w:type="dxa"/>
            <w:vAlign w:val="bottom"/>
            <w:shd w:val="clear" w:color="auto" w:fill="F0F1F8"/>
          </w:tcPr>
          <w:p>
            <w:pPr>
              <w:spacing w:after="0"/>
              <w:rPr>
                <w:sz w:val="22"/>
                <w:szCs w:val="22"/>
                <w:color w:val="auto"/>
              </w:rPr>
            </w:pPr>
          </w:p>
        </w:tc>
        <w:tc>
          <w:tcPr>
            <w:tcW w:w="740" w:type="dxa"/>
            <w:vAlign w:val="bottom"/>
            <w:shd w:val="clear" w:color="auto" w:fill="F0F1F8"/>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F0F1F8"/>
          </w:tcPr>
          <w:p>
            <w:pPr>
              <w:jc w:val="right"/>
              <w:spacing w:after="0"/>
              <w:rPr>
                <w:sz w:val="20"/>
                <w:szCs w:val="20"/>
                <w:color w:val="auto"/>
              </w:rPr>
            </w:pPr>
            <w:r>
              <w:rPr>
                <w:rFonts w:ascii="Arial" w:cs="Arial" w:eastAsia="Arial" w:hAnsi="Arial"/>
                <w:sz w:val="16"/>
                <w:szCs w:val="16"/>
                <w:color w:val="auto"/>
              </w:rPr>
              <w:t>4,499,934</w:t>
            </w:r>
          </w:p>
        </w:tc>
        <w:tc>
          <w:tcPr>
            <w:tcW w:w="0" w:type="dxa"/>
            <w:vAlign w:val="bottom"/>
          </w:tcPr>
          <w:p>
            <w:pPr>
              <w:spacing w:after="0"/>
              <w:rPr>
                <w:sz w:val="1"/>
                <w:szCs w:val="1"/>
                <w:color w:val="auto"/>
              </w:rPr>
            </w:pPr>
          </w:p>
        </w:tc>
      </w:tr>
      <w:tr>
        <w:trPr>
          <w:trHeight w:val="213"/>
        </w:trPr>
        <w:tc>
          <w:tcPr>
            <w:tcW w:w="2240" w:type="dxa"/>
            <w:vAlign w:val="bottom"/>
          </w:tcPr>
          <w:p>
            <w:pPr>
              <w:ind w:left="60"/>
              <w:spacing w:after="0"/>
              <w:rPr>
                <w:sz w:val="20"/>
                <w:szCs w:val="20"/>
                <w:color w:val="auto"/>
              </w:rPr>
            </w:pPr>
            <w:r>
              <w:rPr>
                <w:rFonts w:ascii="Arial" w:cs="Arial" w:eastAsia="Arial" w:hAnsi="Arial"/>
                <w:sz w:val="16"/>
                <w:szCs w:val="16"/>
                <w:b w:val="1"/>
                <w:bCs w:val="1"/>
                <w:color w:val="auto"/>
              </w:rPr>
              <w:t>Andrew C. Wiechmann</w:t>
            </w:r>
          </w:p>
        </w:tc>
        <w:tc>
          <w:tcPr>
            <w:tcW w:w="960" w:type="dxa"/>
            <w:vAlign w:val="bottom"/>
            <w:gridSpan w:val="2"/>
          </w:tcPr>
          <w:p>
            <w:pPr>
              <w:jc w:val="right"/>
              <w:ind w:right="353"/>
              <w:spacing w:after="0"/>
              <w:rPr>
                <w:sz w:val="20"/>
                <w:szCs w:val="20"/>
                <w:color w:val="auto"/>
              </w:rPr>
            </w:pPr>
            <w:r>
              <w:rPr>
                <w:rFonts w:ascii="Arial" w:cs="Arial" w:eastAsia="Arial" w:hAnsi="Arial"/>
                <w:sz w:val="16"/>
                <w:szCs w:val="16"/>
                <w:color w:val="auto"/>
              </w:rPr>
              <w:t>AIP</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1/26/2021</w:t>
            </w: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600,000</w:t>
            </w:r>
          </w:p>
        </w:tc>
        <w:tc>
          <w:tcPr>
            <w:tcW w:w="760" w:type="dxa"/>
            <w:vAlign w:val="bottom"/>
          </w:tcPr>
          <w:p>
            <w:pPr>
              <w:jc w:val="right"/>
              <w:spacing w:after="0"/>
              <w:rPr>
                <w:sz w:val="20"/>
                <w:szCs w:val="20"/>
                <w:color w:val="auto"/>
              </w:rPr>
            </w:pPr>
            <w:r>
              <w:rPr>
                <w:rFonts w:ascii="Arial" w:cs="Arial" w:eastAsia="Arial" w:hAnsi="Arial"/>
                <w:sz w:val="16"/>
                <w:szCs w:val="16"/>
                <w:color w:val="auto"/>
              </w:rPr>
              <w:t>900,000</w:t>
            </w:r>
          </w:p>
        </w:tc>
        <w:tc>
          <w:tcPr>
            <w:tcW w:w="10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8"/>
        </w:trPr>
        <w:tc>
          <w:tcPr>
            <w:tcW w:w="2240" w:type="dxa"/>
            <w:vAlign w:val="bottom"/>
          </w:tcPr>
          <w:p>
            <w:pPr>
              <w:spacing w:after="0"/>
              <w:rPr>
                <w:sz w:val="23"/>
                <w:szCs w:val="23"/>
                <w:color w:val="auto"/>
              </w:rPr>
            </w:pPr>
          </w:p>
        </w:tc>
        <w:tc>
          <w:tcPr>
            <w:tcW w:w="960" w:type="dxa"/>
            <w:vAlign w:val="bottom"/>
            <w:gridSpan w:val="2"/>
          </w:tcPr>
          <w:p>
            <w:pPr>
              <w:jc w:val="right"/>
              <w:ind w:right="193"/>
              <w:spacing w:after="0" w:line="268" w:lineRule="exact"/>
              <w:rPr>
                <w:sz w:val="20"/>
                <w:szCs w:val="20"/>
                <w:color w:val="auto"/>
              </w:rPr>
            </w:pPr>
            <w:r>
              <w:rPr>
                <w:rFonts w:ascii="Arial" w:cs="Arial" w:eastAsia="Arial" w:hAnsi="Arial"/>
                <w:sz w:val="31"/>
                <w:szCs w:val="31"/>
                <w:color w:val="auto"/>
                <w:vertAlign w:val="subscript"/>
              </w:rPr>
              <w:t>RSU</w:t>
            </w:r>
            <w:r>
              <w:rPr>
                <w:rFonts w:ascii="Arial" w:cs="Arial" w:eastAsia="Arial" w:hAnsi="Arial"/>
                <w:sz w:val="13"/>
                <w:szCs w:val="13"/>
                <w:color w:val="auto"/>
              </w:rPr>
              <w:t>(3)</w:t>
            </w:r>
          </w:p>
        </w:tc>
        <w:tc>
          <w:tcPr>
            <w:tcW w:w="780" w:type="dxa"/>
            <w:vAlign w:val="bottom"/>
          </w:tcPr>
          <w:p>
            <w:pPr>
              <w:jc w:val="right"/>
              <w:spacing w:after="0"/>
              <w:rPr>
                <w:sz w:val="20"/>
                <w:szCs w:val="20"/>
                <w:color w:val="auto"/>
              </w:rPr>
            </w:pPr>
            <w:r>
              <w:rPr>
                <w:rFonts w:ascii="Arial" w:cs="Arial" w:eastAsia="Arial" w:hAnsi="Arial"/>
                <w:sz w:val="16"/>
                <w:szCs w:val="16"/>
                <w:color w:val="auto"/>
              </w:rPr>
              <w:t>2/3/2021</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1/26/2021</w:t>
            </w: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647</w:t>
            </w:r>
          </w:p>
        </w:tc>
        <w:tc>
          <w:tcPr>
            <w:tcW w:w="840" w:type="dxa"/>
            <w:vAlign w:val="bottom"/>
          </w:tcPr>
          <w:p>
            <w:pPr>
              <w:jc w:val="right"/>
              <w:spacing w:after="0"/>
              <w:rPr>
                <w:sz w:val="20"/>
                <w:szCs w:val="20"/>
                <w:color w:val="auto"/>
              </w:rPr>
            </w:pPr>
            <w:r>
              <w:rPr>
                <w:rFonts w:ascii="Arial" w:cs="Arial" w:eastAsia="Arial" w:hAnsi="Arial"/>
                <w:sz w:val="16"/>
                <w:szCs w:val="16"/>
                <w:color w:val="auto"/>
              </w:rPr>
              <w:t>269,715</w:t>
            </w:r>
          </w:p>
        </w:tc>
        <w:tc>
          <w:tcPr>
            <w:tcW w:w="0" w:type="dxa"/>
            <w:vAlign w:val="bottom"/>
          </w:tcPr>
          <w:p>
            <w:pPr>
              <w:spacing w:after="0"/>
              <w:rPr>
                <w:sz w:val="1"/>
                <w:szCs w:val="1"/>
                <w:color w:val="auto"/>
              </w:rPr>
            </w:pPr>
          </w:p>
        </w:tc>
      </w:tr>
      <w:tr>
        <w:trPr>
          <w:trHeight w:val="254"/>
        </w:trPr>
        <w:tc>
          <w:tcPr>
            <w:tcW w:w="2240" w:type="dxa"/>
            <w:vAlign w:val="bottom"/>
          </w:tcPr>
          <w:p>
            <w:pPr>
              <w:spacing w:after="0"/>
              <w:rPr>
                <w:sz w:val="22"/>
                <w:szCs w:val="22"/>
                <w:color w:val="auto"/>
              </w:rPr>
            </w:pPr>
          </w:p>
        </w:tc>
        <w:tc>
          <w:tcPr>
            <w:tcW w:w="960" w:type="dxa"/>
            <w:vAlign w:val="bottom"/>
            <w:gridSpan w:val="2"/>
          </w:tcPr>
          <w:p>
            <w:pPr>
              <w:jc w:val="right"/>
              <w:ind w:right="193"/>
              <w:spacing w:after="0" w:line="255" w:lineRule="exact"/>
              <w:rPr>
                <w:sz w:val="20"/>
                <w:szCs w:val="20"/>
                <w:color w:val="auto"/>
              </w:rPr>
            </w:pPr>
            <w:r>
              <w:rPr>
                <w:rFonts w:ascii="Arial" w:cs="Arial" w:eastAsia="Arial" w:hAnsi="Arial"/>
                <w:sz w:val="16"/>
                <w:szCs w:val="16"/>
                <w:color w:val="auto"/>
              </w:rPr>
              <w:t>PSU</w:t>
            </w:r>
            <w:r>
              <w:rPr>
                <w:rFonts w:ascii="Arial" w:cs="Arial" w:eastAsia="Arial" w:hAnsi="Arial"/>
                <w:sz w:val="26"/>
                <w:szCs w:val="26"/>
                <w:color w:val="auto"/>
                <w:vertAlign w:val="superscript"/>
              </w:rPr>
              <w:t>(4)</w:t>
            </w:r>
          </w:p>
        </w:tc>
        <w:tc>
          <w:tcPr>
            <w:tcW w:w="780" w:type="dxa"/>
            <w:vAlign w:val="bottom"/>
          </w:tcPr>
          <w:p>
            <w:pPr>
              <w:jc w:val="right"/>
              <w:spacing w:after="0"/>
              <w:rPr>
                <w:sz w:val="20"/>
                <w:szCs w:val="20"/>
                <w:color w:val="auto"/>
              </w:rPr>
            </w:pPr>
            <w:r>
              <w:rPr>
                <w:rFonts w:ascii="Arial" w:cs="Arial" w:eastAsia="Arial" w:hAnsi="Arial"/>
                <w:sz w:val="16"/>
                <w:szCs w:val="16"/>
                <w:color w:val="auto"/>
              </w:rPr>
              <w:t>2/3/2021</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1/26/2021</w:t>
            </w: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758</w:t>
            </w: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2,274</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314,661</w:t>
            </w:r>
          </w:p>
        </w:tc>
        <w:tc>
          <w:tcPr>
            <w:tcW w:w="0" w:type="dxa"/>
            <w:vAlign w:val="bottom"/>
          </w:tcPr>
          <w:p>
            <w:pPr>
              <w:spacing w:after="0"/>
              <w:rPr>
                <w:sz w:val="1"/>
                <w:szCs w:val="1"/>
                <w:color w:val="auto"/>
              </w:rPr>
            </w:pPr>
          </w:p>
        </w:tc>
      </w:tr>
      <w:tr>
        <w:trPr>
          <w:trHeight w:val="242"/>
        </w:trPr>
        <w:tc>
          <w:tcPr>
            <w:tcW w:w="2240" w:type="dxa"/>
            <w:vAlign w:val="bottom"/>
          </w:tcPr>
          <w:p>
            <w:pPr>
              <w:spacing w:after="0"/>
              <w:rPr>
                <w:sz w:val="21"/>
                <w:szCs w:val="21"/>
                <w:color w:val="auto"/>
              </w:rPr>
            </w:pPr>
          </w:p>
        </w:tc>
        <w:tc>
          <w:tcPr>
            <w:tcW w:w="960" w:type="dxa"/>
            <w:vAlign w:val="bottom"/>
            <w:gridSpan w:val="2"/>
          </w:tcPr>
          <w:p>
            <w:pPr>
              <w:jc w:val="right"/>
              <w:ind w:right="193"/>
              <w:spacing w:after="0" w:line="242" w:lineRule="exact"/>
              <w:rPr>
                <w:sz w:val="20"/>
                <w:szCs w:val="20"/>
                <w:color w:val="auto"/>
              </w:rPr>
            </w:pPr>
            <w:r>
              <w:rPr>
                <w:rFonts w:ascii="Arial" w:cs="Arial" w:eastAsia="Arial" w:hAnsi="Arial"/>
                <w:sz w:val="28"/>
                <w:szCs w:val="28"/>
                <w:color w:val="auto"/>
                <w:vertAlign w:val="subscript"/>
              </w:rPr>
              <w:t>PSU</w:t>
            </w:r>
            <w:r>
              <w:rPr>
                <w:rFonts w:ascii="Arial" w:cs="Arial" w:eastAsia="Arial" w:hAnsi="Arial"/>
                <w:sz w:val="12"/>
                <w:szCs w:val="12"/>
                <w:color w:val="auto"/>
              </w:rPr>
              <w:t>(5)</w:t>
            </w:r>
          </w:p>
        </w:tc>
        <w:tc>
          <w:tcPr>
            <w:tcW w:w="780" w:type="dxa"/>
            <w:vAlign w:val="bottom"/>
          </w:tcPr>
          <w:p>
            <w:pPr>
              <w:jc w:val="right"/>
              <w:spacing w:after="0"/>
              <w:rPr>
                <w:sz w:val="20"/>
                <w:szCs w:val="20"/>
                <w:color w:val="auto"/>
              </w:rPr>
            </w:pPr>
            <w:r>
              <w:rPr>
                <w:rFonts w:ascii="Arial" w:cs="Arial" w:eastAsia="Arial" w:hAnsi="Arial"/>
                <w:sz w:val="16"/>
                <w:szCs w:val="16"/>
                <w:color w:val="auto"/>
              </w:rPr>
              <w:t>2/3/2021</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1/26/2021</w:t>
            </w: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1,219</w:t>
            </w: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2,438</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314,892</w:t>
            </w:r>
          </w:p>
        </w:tc>
        <w:tc>
          <w:tcPr>
            <w:tcW w:w="0" w:type="dxa"/>
            <w:vAlign w:val="bottom"/>
          </w:tcPr>
          <w:p>
            <w:pPr>
              <w:spacing w:after="0"/>
              <w:rPr>
                <w:sz w:val="1"/>
                <w:szCs w:val="1"/>
                <w:color w:val="auto"/>
              </w:rPr>
            </w:pPr>
          </w:p>
        </w:tc>
      </w:tr>
      <w:tr>
        <w:trPr>
          <w:trHeight w:val="214"/>
        </w:trPr>
        <w:tc>
          <w:tcPr>
            <w:tcW w:w="2240" w:type="dxa"/>
            <w:vAlign w:val="bottom"/>
            <w:shd w:val="clear" w:color="auto" w:fill="F0F1F8"/>
          </w:tcPr>
          <w:p>
            <w:pPr>
              <w:ind w:left="60"/>
              <w:spacing w:after="0" w:line="214" w:lineRule="exact"/>
              <w:rPr>
                <w:sz w:val="20"/>
                <w:szCs w:val="20"/>
                <w:color w:val="auto"/>
              </w:rPr>
            </w:pPr>
            <w:r>
              <w:rPr>
                <w:rFonts w:ascii="Arial" w:cs="Arial" w:eastAsia="Arial" w:hAnsi="Arial"/>
                <w:sz w:val="15"/>
                <w:szCs w:val="15"/>
                <w:b w:val="1"/>
                <w:bCs w:val="1"/>
                <w:color w:val="auto"/>
              </w:rPr>
              <w:t>C.D. Baer Pettit</w:t>
            </w:r>
            <w:r>
              <w:rPr>
                <w:rFonts w:ascii="Arial" w:cs="Arial" w:eastAsia="Arial" w:hAnsi="Arial"/>
                <w:sz w:val="24"/>
                <w:szCs w:val="24"/>
                <w:b w:val="1"/>
                <w:bCs w:val="1"/>
                <w:color w:val="auto"/>
                <w:vertAlign w:val="superscript"/>
              </w:rPr>
              <w:t>(2)</w:t>
            </w:r>
          </w:p>
        </w:tc>
        <w:tc>
          <w:tcPr>
            <w:tcW w:w="960" w:type="dxa"/>
            <w:vAlign w:val="bottom"/>
            <w:gridSpan w:val="2"/>
            <w:shd w:val="clear" w:color="auto" w:fill="F0F1F8"/>
          </w:tcPr>
          <w:p>
            <w:pPr>
              <w:jc w:val="right"/>
              <w:ind w:right="353"/>
              <w:spacing w:after="0"/>
              <w:rPr>
                <w:sz w:val="20"/>
                <w:szCs w:val="20"/>
                <w:color w:val="auto"/>
              </w:rPr>
            </w:pPr>
            <w:r>
              <w:rPr>
                <w:rFonts w:ascii="Arial" w:cs="Arial" w:eastAsia="Arial" w:hAnsi="Arial"/>
                <w:sz w:val="16"/>
                <w:szCs w:val="16"/>
                <w:color w:val="auto"/>
              </w:rPr>
              <w:t>AIP</w:t>
            </w:r>
          </w:p>
        </w:tc>
        <w:tc>
          <w:tcPr>
            <w:tcW w:w="780" w:type="dxa"/>
            <w:vAlign w:val="bottom"/>
            <w:shd w:val="clear" w:color="auto" w:fill="F0F1F8"/>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F0F1F8"/>
          </w:tcPr>
          <w:p>
            <w:pPr>
              <w:jc w:val="right"/>
              <w:ind w:right="1"/>
              <w:spacing w:after="0"/>
              <w:rPr>
                <w:sz w:val="20"/>
                <w:szCs w:val="20"/>
                <w:color w:val="auto"/>
              </w:rPr>
            </w:pPr>
            <w:r>
              <w:rPr>
                <w:rFonts w:ascii="Arial" w:cs="Arial" w:eastAsia="Arial" w:hAnsi="Arial"/>
                <w:sz w:val="16"/>
                <w:szCs w:val="16"/>
                <w:color w:val="auto"/>
              </w:rPr>
              <w:t>1/26/2021</w:t>
            </w:r>
          </w:p>
        </w:tc>
        <w:tc>
          <w:tcPr>
            <w:tcW w:w="2440" w:type="dxa"/>
            <w:vAlign w:val="bottom"/>
            <w:gridSpan w:val="4"/>
            <w:shd w:val="clear" w:color="auto" w:fill="F0F1F8"/>
          </w:tcPr>
          <w:p>
            <w:pPr>
              <w:jc w:val="right"/>
              <w:ind w:right="100"/>
              <w:spacing w:after="0"/>
              <w:rPr>
                <w:sz w:val="20"/>
                <w:szCs w:val="20"/>
                <w:color w:val="auto"/>
              </w:rPr>
            </w:pPr>
            <w:r>
              <w:rPr>
                <w:rFonts w:ascii="Arial" w:cs="Arial" w:eastAsia="Arial" w:hAnsi="Arial"/>
                <w:sz w:val="16"/>
                <w:szCs w:val="16"/>
                <w:color w:val="auto"/>
              </w:rPr>
              <w:t>— 1,238,139 1,857,209</w:t>
            </w:r>
          </w:p>
        </w:tc>
        <w:tc>
          <w:tcPr>
            <w:tcW w:w="760" w:type="dxa"/>
            <w:vAlign w:val="bottom"/>
            <w:shd w:val="clear" w:color="auto" w:fill="F0F1F8"/>
          </w:tcPr>
          <w:p>
            <w:pPr>
              <w:jc w:val="right"/>
              <w:ind w:right="1"/>
              <w:spacing w:after="0"/>
              <w:rPr>
                <w:sz w:val="20"/>
                <w:szCs w:val="20"/>
                <w:color w:val="auto"/>
              </w:rPr>
            </w:pPr>
            <w:r>
              <w:rPr>
                <w:rFonts w:ascii="Arial" w:cs="Arial" w:eastAsia="Arial" w:hAnsi="Arial"/>
                <w:sz w:val="16"/>
                <w:szCs w:val="16"/>
                <w:color w:val="auto"/>
              </w:rPr>
              <w:t>—</w:t>
            </w:r>
          </w:p>
        </w:tc>
        <w:tc>
          <w:tcPr>
            <w:tcW w:w="600" w:type="dxa"/>
            <w:vAlign w:val="bottom"/>
            <w:shd w:val="clear" w:color="auto" w:fill="F0F1F8"/>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F0F1F8"/>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shd w:val="clear" w:color="auto" w:fill="F0F1F8"/>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F0F1F8"/>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9"/>
        </w:trPr>
        <w:tc>
          <w:tcPr>
            <w:tcW w:w="2240" w:type="dxa"/>
            <w:vAlign w:val="bottom"/>
            <w:shd w:val="clear" w:color="auto" w:fill="F0F1F8"/>
          </w:tcPr>
          <w:p>
            <w:pPr>
              <w:spacing w:after="0"/>
              <w:rPr>
                <w:sz w:val="21"/>
                <w:szCs w:val="21"/>
                <w:color w:val="auto"/>
              </w:rPr>
            </w:pPr>
          </w:p>
        </w:tc>
        <w:tc>
          <w:tcPr>
            <w:tcW w:w="540" w:type="dxa"/>
            <w:vAlign w:val="bottom"/>
            <w:shd w:val="clear" w:color="auto" w:fill="F0F1F8"/>
          </w:tcPr>
          <w:p>
            <w:pPr>
              <w:jc w:val="right"/>
              <w:spacing w:after="0"/>
              <w:rPr>
                <w:sz w:val="20"/>
                <w:szCs w:val="20"/>
                <w:color w:val="auto"/>
              </w:rPr>
            </w:pPr>
            <w:r>
              <w:rPr>
                <w:rFonts w:ascii="Arial" w:cs="Arial" w:eastAsia="Arial" w:hAnsi="Arial"/>
                <w:sz w:val="16"/>
                <w:szCs w:val="16"/>
                <w:color w:val="auto"/>
              </w:rPr>
              <w:t>RSU</w:t>
            </w:r>
          </w:p>
        </w:tc>
        <w:tc>
          <w:tcPr>
            <w:tcW w:w="420" w:type="dxa"/>
            <w:vAlign w:val="bottom"/>
            <w:shd w:val="clear" w:color="auto" w:fill="F0F1F8"/>
          </w:tcPr>
          <w:p>
            <w:pPr>
              <w:jc w:val="right"/>
              <w:ind w:right="193"/>
              <w:spacing w:after="0"/>
              <w:rPr>
                <w:sz w:val="20"/>
                <w:szCs w:val="20"/>
                <w:color w:val="auto"/>
              </w:rPr>
            </w:pPr>
            <w:r>
              <w:rPr>
                <w:rFonts w:ascii="Arial" w:cs="Arial" w:eastAsia="Arial" w:hAnsi="Arial"/>
                <w:sz w:val="13"/>
                <w:szCs w:val="13"/>
                <w:color w:val="auto"/>
                <w:w w:val="87"/>
              </w:rPr>
              <w:t>(3)</w:t>
            </w:r>
          </w:p>
        </w:tc>
        <w:tc>
          <w:tcPr>
            <w:tcW w:w="780" w:type="dxa"/>
            <w:vAlign w:val="bottom"/>
            <w:shd w:val="clear" w:color="auto" w:fill="F0F1F8"/>
          </w:tcPr>
          <w:p>
            <w:pPr>
              <w:jc w:val="right"/>
              <w:spacing w:after="0"/>
              <w:rPr>
                <w:sz w:val="20"/>
                <w:szCs w:val="20"/>
                <w:color w:val="auto"/>
              </w:rPr>
            </w:pPr>
            <w:r>
              <w:rPr>
                <w:rFonts w:ascii="Arial" w:cs="Arial" w:eastAsia="Arial" w:hAnsi="Arial"/>
                <w:sz w:val="16"/>
                <w:szCs w:val="16"/>
                <w:color w:val="auto"/>
              </w:rPr>
              <w:t>2/3/2021</w:t>
            </w:r>
          </w:p>
        </w:tc>
        <w:tc>
          <w:tcPr>
            <w:tcW w:w="1120" w:type="dxa"/>
            <w:vAlign w:val="bottom"/>
            <w:shd w:val="clear" w:color="auto" w:fill="F0F1F8"/>
          </w:tcPr>
          <w:p>
            <w:pPr>
              <w:jc w:val="right"/>
              <w:ind w:right="1"/>
              <w:spacing w:after="0"/>
              <w:rPr>
                <w:sz w:val="20"/>
                <w:szCs w:val="20"/>
                <w:color w:val="auto"/>
              </w:rPr>
            </w:pPr>
            <w:r>
              <w:rPr>
                <w:rFonts w:ascii="Arial" w:cs="Arial" w:eastAsia="Arial" w:hAnsi="Arial"/>
                <w:sz w:val="16"/>
                <w:szCs w:val="16"/>
                <w:color w:val="auto"/>
              </w:rPr>
              <w:t>1/26/2021</w:t>
            </w:r>
          </w:p>
        </w:tc>
        <w:tc>
          <w:tcPr>
            <w:tcW w:w="820" w:type="dxa"/>
            <w:vAlign w:val="bottom"/>
            <w:shd w:val="clear" w:color="auto" w:fill="F0F1F8"/>
          </w:tcPr>
          <w:p>
            <w:pPr>
              <w:jc w:val="right"/>
              <w:ind w:right="42"/>
              <w:spacing w:after="0"/>
              <w:rPr>
                <w:sz w:val="20"/>
                <w:szCs w:val="20"/>
                <w:color w:val="auto"/>
              </w:rPr>
            </w:pPr>
            <w:r>
              <w:rPr>
                <w:rFonts w:ascii="Arial" w:cs="Arial" w:eastAsia="Arial" w:hAnsi="Arial"/>
                <w:sz w:val="16"/>
                <w:szCs w:val="16"/>
                <w:color w:val="auto"/>
              </w:rPr>
              <w:t>—</w:t>
            </w:r>
          </w:p>
        </w:tc>
        <w:tc>
          <w:tcPr>
            <w:tcW w:w="760" w:type="dxa"/>
            <w:vAlign w:val="bottom"/>
            <w:shd w:val="clear" w:color="auto" w:fill="F0F1F8"/>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F0F1F8"/>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shd w:val="clear" w:color="auto" w:fill="F0F1F8"/>
          </w:tcPr>
          <w:p>
            <w:pPr>
              <w:jc w:val="right"/>
              <w:ind w:right="1"/>
              <w:spacing w:after="0"/>
              <w:rPr>
                <w:sz w:val="20"/>
                <w:szCs w:val="20"/>
                <w:color w:val="auto"/>
              </w:rPr>
            </w:pPr>
            <w:r>
              <w:rPr>
                <w:rFonts w:ascii="Arial" w:cs="Arial" w:eastAsia="Arial" w:hAnsi="Arial"/>
                <w:sz w:val="16"/>
                <w:szCs w:val="16"/>
                <w:color w:val="auto"/>
              </w:rPr>
              <w:t>—</w:t>
            </w:r>
          </w:p>
        </w:tc>
        <w:tc>
          <w:tcPr>
            <w:tcW w:w="600" w:type="dxa"/>
            <w:vAlign w:val="bottom"/>
            <w:shd w:val="clear" w:color="auto" w:fill="F0F1F8"/>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F0F1F8"/>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shd w:val="clear" w:color="auto" w:fill="F0F1F8"/>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F0F1F8"/>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4"/>
        </w:trPr>
        <w:tc>
          <w:tcPr>
            <w:tcW w:w="2240" w:type="dxa"/>
            <w:vAlign w:val="bottom"/>
            <w:shd w:val="clear" w:color="auto" w:fill="F0F1F8"/>
          </w:tcPr>
          <w:p>
            <w:pPr>
              <w:spacing w:after="0"/>
              <w:rPr>
                <w:sz w:val="22"/>
                <w:szCs w:val="22"/>
                <w:color w:val="auto"/>
              </w:rPr>
            </w:pPr>
          </w:p>
        </w:tc>
        <w:tc>
          <w:tcPr>
            <w:tcW w:w="540" w:type="dxa"/>
            <w:vAlign w:val="bottom"/>
            <w:shd w:val="clear" w:color="auto" w:fill="F0F1F8"/>
          </w:tcPr>
          <w:p>
            <w:pPr>
              <w:jc w:val="right"/>
              <w:spacing w:after="0"/>
              <w:rPr>
                <w:sz w:val="20"/>
                <w:szCs w:val="20"/>
                <w:color w:val="auto"/>
              </w:rPr>
            </w:pPr>
            <w:r>
              <w:rPr>
                <w:rFonts w:ascii="Arial" w:cs="Arial" w:eastAsia="Arial" w:hAnsi="Arial"/>
                <w:sz w:val="16"/>
                <w:szCs w:val="16"/>
                <w:color w:val="auto"/>
              </w:rPr>
              <w:t>PSU</w:t>
            </w:r>
          </w:p>
        </w:tc>
        <w:tc>
          <w:tcPr>
            <w:tcW w:w="420" w:type="dxa"/>
            <w:vAlign w:val="bottom"/>
            <w:shd w:val="clear" w:color="auto" w:fill="F0F1F8"/>
          </w:tcPr>
          <w:p>
            <w:pPr>
              <w:jc w:val="right"/>
              <w:ind w:right="193"/>
              <w:spacing w:after="0"/>
              <w:rPr>
                <w:sz w:val="20"/>
                <w:szCs w:val="20"/>
                <w:color w:val="auto"/>
              </w:rPr>
            </w:pPr>
            <w:r>
              <w:rPr>
                <w:rFonts w:ascii="Arial" w:cs="Arial" w:eastAsia="Arial" w:hAnsi="Arial"/>
                <w:sz w:val="13"/>
                <w:szCs w:val="13"/>
                <w:color w:val="auto"/>
                <w:w w:val="87"/>
              </w:rPr>
              <w:t>(4)</w:t>
            </w:r>
          </w:p>
        </w:tc>
        <w:tc>
          <w:tcPr>
            <w:tcW w:w="780" w:type="dxa"/>
            <w:vAlign w:val="bottom"/>
            <w:shd w:val="clear" w:color="auto" w:fill="F0F1F8"/>
          </w:tcPr>
          <w:p>
            <w:pPr>
              <w:jc w:val="right"/>
              <w:spacing w:after="0"/>
              <w:rPr>
                <w:sz w:val="20"/>
                <w:szCs w:val="20"/>
                <w:color w:val="auto"/>
              </w:rPr>
            </w:pPr>
            <w:r>
              <w:rPr>
                <w:rFonts w:ascii="Arial" w:cs="Arial" w:eastAsia="Arial" w:hAnsi="Arial"/>
                <w:sz w:val="16"/>
                <w:szCs w:val="16"/>
                <w:color w:val="auto"/>
              </w:rPr>
              <w:t>2/3/2021</w:t>
            </w:r>
          </w:p>
        </w:tc>
        <w:tc>
          <w:tcPr>
            <w:tcW w:w="1120" w:type="dxa"/>
            <w:vAlign w:val="bottom"/>
            <w:shd w:val="clear" w:color="auto" w:fill="F0F1F8"/>
          </w:tcPr>
          <w:p>
            <w:pPr>
              <w:jc w:val="right"/>
              <w:ind w:right="1"/>
              <w:spacing w:after="0"/>
              <w:rPr>
                <w:sz w:val="20"/>
                <w:szCs w:val="20"/>
                <w:color w:val="auto"/>
              </w:rPr>
            </w:pPr>
            <w:r>
              <w:rPr>
                <w:rFonts w:ascii="Arial" w:cs="Arial" w:eastAsia="Arial" w:hAnsi="Arial"/>
                <w:sz w:val="16"/>
                <w:szCs w:val="16"/>
                <w:color w:val="auto"/>
              </w:rPr>
              <w:t>1/26/2021</w:t>
            </w:r>
          </w:p>
        </w:tc>
        <w:tc>
          <w:tcPr>
            <w:tcW w:w="820" w:type="dxa"/>
            <w:vAlign w:val="bottom"/>
            <w:shd w:val="clear" w:color="auto" w:fill="F0F1F8"/>
          </w:tcPr>
          <w:p>
            <w:pPr>
              <w:jc w:val="right"/>
              <w:ind w:right="42"/>
              <w:spacing w:after="0"/>
              <w:rPr>
                <w:sz w:val="20"/>
                <w:szCs w:val="20"/>
                <w:color w:val="auto"/>
              </w:rPr>
            </w:pPr>
            <w:r>
              <w:rPr>
                <w:rFonts w:ascii="Arial" w:cs="Arial" w:eastAsia="Arial" w:hAnsi="Arial"/>
                <w:sz w:val="16"/>
                <w:szCs w:val="16"/>
                <w:color w:val="auto"/>
              </w:rPr>
              <w:t>—</w:t>
            </w:r>
          </w:p>
        </w:tc>
        <w:tc>
          <w:tcPr>
            <w:tcW w:w="760" w:type="dxa"/>
            <w:vAlign w:val="bottom"/>
            <w:shd w:val="clear" w:color="auto" w:fill="F0F1F8"/>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F0F1F8"/>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shd w:val="clear" w:color="auto" w:fill="F0F1F8"/>
          </w:tcPr>
          <w:p>
            <w:pPr>
              <w:jc w:val="right"/>
              <w:ind w:right="1"/>
              <w:spacing w:after="0"/>
              <w:rPr>
                <w:sz w:val="20"/>
                <w:szCs w:val="20"/>
                <w:color w:val="auto"/>
              </w:rPr>
            </w:pPr>
            <w:r>
              <w:rPr>
                <w:rFonts w:ascii="Arial" w:cs="Arial" w:eastAsia="Arial" w:hAnsi="Arial"/>
                <w:sz w:val="16"/>
                <w:szCs w:val="16"/>
                <w:color w:val="auto"/>
              </w:rPr>
              <w:t>—</w:t>
            </w:r>
          </w:p>
        </w:tc>
        <w:tc>
          <w:tcPr>
            <w:tcW w:w="600" w:type="dxa"/>
            <w:vAlign w:val="bottom"/>
            <w:shd w:val="clear" w:color="auto" w:fill="F0F1F8"/>
          </w:tcPr>
          <w:p>
            <w:pPr>
              <w:jc w:val="right"/>
              <w:spacing w:after="0"/>
              <w:rPr>
                <w:sz w:val="20"/>
                <w:szCs w:val="20"/>
                <w:color w:val="auto"/>
              </w:rPr>
            </w:pPr>
            <w:r>
              <w:rPr>
                <w:rFonts w:ascii="Arial" w:cs="Arial" w:eastAsia="Arial" w:hAnsi="Arial"/>
                <w:sz w:val="16"/>
                <w:szCs w:val="16"/>
                <w:color w:val="auto"/>
              </w:rPr>
              <w:t>3,854</w:t>
            </w:r>
          </w:p>
        </w:tc>
        <w:tc>
          <w:tcPr>
            <w:tcW w:w="700" w:type="dxa"/>
            <w:vAlign w:val="bottom"/>
            <w:shd w:val="clear" w:color="auto" w:fill="F0F1F8"/>
          </w:tcPr>
          <w:p>
            <w:pPr>
              <w:jc w:val="right"/>
              <w:spacing w:after="0"/>
              <w:rPr>
                <w:sz w:val="20"/>
                <w:szCs w:val="20"/>
                <w:color w:val="auto"/>
              </w:rPr>
            </w:pPr>
            <w:r>
              <w:rPr>
                <w:rFonts w:ascii="Arial" w:cs="Arial" w:eastAsia="Arial" w:hAnsi="Arial"/>
                <w:sz w:val="16"/>
                <w:szCs w:val="16"/>
                <w:color w:val="auto"/>
              </w:rPr>
              <w:t>11,562</w:t>
            </w:r>
          </w:p>
        </w:tc>
        <w:tc>
          <w:tcPr>
            <w:tcW w:w="60" w:type="dxa"/>
            <w:vAlign w:val="bottom"/>
            <w:shd w:val="clear" w:color="auto" w:fill="F0F1F8"/>
          </w:tcPr>
          <w:p>
            <w:pPr>
              <w:spacing w:after="0"/>
              <w:rPr>
                <w:sz w:val="22"/>
                <w:szCs w:val="22"/>
                <w:color w:val="auto"/>
              </w:rPr>
            </w:pPr>
          </w:p>
        </w:tc>
        <w:tc>
          <w:tcPr>
            <w:tcW w:w="740" w:type="dxa"/>
            <w:vAlign w:val="bottom"/>
            <w:shd w:val="clear" w:color="auto" w:fill="F0F1F8"/>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F0F1F8"/>
          </w:tcPr>
          <w:p>
            <w:pPr>
              <w:jc w:val="right"/>
              <w:spacing w:after="0"/>
              <w:rPr>
                <w:sz w:val="20"/>
                <w:szCs w:val="20"/>
                <w:color w:val="auto"/>
              </w:rPr>
            </w:pPr>
            <w:r>
              <w:rPr>
                <w:rFonts w:ascii="Arial" w:cs="Arial" w:eastAsia="Arial" w:hAnsi="Arial"/>
                <w:sz w:val="16"/>
                <w:szCs w:val="16"/>
                <w:color w:val="auto"/>
              </w:rPr>
              <w:t>1,599,872</w:t>
            </w:r>
          </w:p>
        </w:tc>
        <w:tc>
          <w:tcPr>
            <w:tcW w:w="0" w:type="dxa"/>
            <w:vAlign w:val="bottom"/>
          </w:tcPr>
          <w:p>
            <w:pPr>
              <w:spacing w:after="0"/>
              <w:rPr>
                <w:sz w:val="1"/>
                <w:szCs w:val="1"/>
                <w:color w:val="auto"/>
              </w:rPr>
            </w:pPr>
          </w:p>
        </w:tc>
      </w:tr>
      <w:tr>
        <w:trPr>
          <w:trHeight w:val="260"/>
        </w:trPr>
        <w:tc>
          <w:tcPr>
            <w:tcW w:w="2240" w:type="dxa"/>
            <w:vAlign w:val="bottom"/>
            <w:shd w:val="clear" w:color="auto" w:fill="F0F1F8"/>
          </w:tcPr>
          <w:p>
            <w:pPr>
              <w:spacing w:after="0"/>
              <w:rPr>
                <w:sz w:val="22"/>
                <w:szCs w:val="22"/>
                <w:color w:val="auto"/>
              </w:rPr>
            </w:pPr>
          </w:p>
        </w:tc>
        <w:tc>
          <w:tcPr>
            <w:tcW w:w="540" w:type="dxa"/>
            <w:vAlign w:val="bottom"/>
            <w:shd w:val="clear" w:color="auto" w:fill="F0F1F8"/>
          </w:tcPr>
          <w:p>
            <w:pPr>
              <w:jc w:val="right"/>
              <w:spacing w:after="0"/>
              <w:rPr>
                <w:sz w:val="20"/>
                <w:szCs w:val="20"/>
                <w:color w:val="auto"/>
              </w:rPr>
            </w:pPr>
            <w:r>
              <w:rPr>
                <w:rFonts w:ascii="Arial" w:cs="Arial" w:eastAsia="Arial" w:hAnsi="Arial"/>
                <w:sz w:val="16"/>
                <w:szCs w:val="16"/>
                <w:color w:val="auto"/>
              </w:rPr>
              <w:t>PSU</w:t>
            </w:r>
          </w:p>
        </w:tc>
        <w:tc>
          <w:tcPr>
            <w:tcW w:w="420" w:type="dxa"/>
            <w:vAlign w:val="bottom"/>
            <w:shd w:val="clear" w:color="auto" w:fill="F0F1F8"/>
          </w:tcPr>
          <w:p>
            <w:pPr>
              <w:jc w:val="right"/>
              <w:ind w:right="193"/>
              <w:spacing w:after="0"/>
              <w:rPr>
                <w:sz w:val="20"/>
                <w:szCs w:val="20"/>
                <w:color w:val="auto"/>
              </w:rPr>
            </w:pPr>
            <w:r>
              <w:rPr>
                <w:rFonts w:ascii="Arial" w:cs="Arial" w:eastAsia="Arial" w:hAnsi="Arial"/>
                <w:sz w:val="13"/>
                <w:szCs w:val="13"/>
                <w:color w:val="auto"/>
                <w:w w:val="87"/>
              </w:rPr>
              <w:t>(5)</w:t>
            </w:r>
          </w:p>
        </w:tc>
        <w:tc>
          <w:tcPr>
            <w:tcW w:w="780" w:type="dxa"/>
            <w:vAlign w:val="bottom"/>
            <w:shd w:val="clear" w:color="auto" w:fill="F0F1F8"/>
          </w:tcPr>
          <w:p>
            <w:pPr>
              <w:jc w:val="right"/>
              <w:spacing w:after="0"/>
              <w:rPr>
                <w:sz w:val="20"/>
                <w:szCs w:val="20"/>
                <w:color w:val="auto"/>
              </w:rPr>
            </w:pPr>
            <w:r>
              <w:rPr>
                <w:rFonts w:ascii="Arial" w:cs="Arial" w:eastAsia="Arial" w:hAnsi="Arial"/>
                <w:sz w:val="16"/>
                <w:szCs w:val="16"/>
                <w:color w:val="auto"/>
              </w:rPr>
              <w:t>2/3/2021</w:t>
            </w:r>
          </w:p>
        </w:tc>
        <w:tc>
          <w:tcPr>
            <w:tcW w:w="1120" w:type="dxa"/>
            <w:vAlign w:val="bottom"/>
            <w:shd w:val="clear" w:color="auto" w:fill="F0F1F8"/>
          </w:tcPr>
          <w:p>
            <w:pPr>
              <w:jc w:val="right"/>
              <w:ind w:right="1"/>
              <w:spacing w:after="0"/>
              <w:rPr>
                <w:sz w:val="20"/>
                <w:szCs w:val="20"/>
                <w:color w:val="auto"/>
              </w:rPr>
            </w:pPr>
            <w:r>
              <w:rPr>
                <w:rFonts w:ascii="Arial" w:cs="Arial" w:eastAsia="Arial" w:hAnsi="Arial"/>
                <w:sz w:val="16"/>
                <w:szCs w:val="16"/>
                <w:color w:val="auto"/>
              </w:rPr>
              <w:t>1/26/2021</w:t>
            </w:r>
          </w:p>
        </w:tc>
        <w:tc>
          <w:tcPr>
            <w:tcW w:w="820" w:type="dxa"/>
            <w:vAlign w:val="bottom"/>
            <w:shd w:val="clear" w:color="auto" w:fill="F0F1F8"/>
          </w:tcPr>
          <w:p>
            <w:pPr>
              <w:jc w:val="right"/>
              <w:ind w:right="42"/>
              <w:spacing w:after="0"/>
              <w:rPr>
                <w:sz w:val="20"/>
                <w:szCs w:val="20"/>
                <w:color w:val="auto"/>
              </w:rPr>
            </w:pPr>
            <w:r>
              <w:rPr>
                <w:rFonts w:ascii="Arial" w:cs="Arial" w:eastAsia="Arial" w:hAnsi="Arial"/>
                <w:sz w:val="16"/>
                <w:szCs w:val="16"/>
                <w:color w:val="auto"/>
              </w:rPr>
              <w:t>—</w:t>
            </w:r>
          </w:p>
        </w:tc>
        <w:tc>
          <w:tcPr>
            <w:tcW w:w="760" w:type="dxa"/>
            <w:vAlign w:val="bottom"/>
            <w:shd w:val="clear" w:color="auto" w:fill="F0F1F8"/>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F0F1F8"/>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shd w:val="clear" w:color="auto" w:fill="F0F1F8"/>
          </w:tcPr>
          <w:p>
            <w:pPr>
              <w:jc w:val="right"/>
              <w:ind w:right="1"/>
              <w:spacing w:after="0"/>
              <w:rPr>
                <w:sz w:val="20"/>
                <w:szCs w:val="20"/>
                <w:color w:val="auto"/>
              </w:rPr>
            </w:pPr>
            <w:r>
              <w:rPr>
                <w:rFonts w:ascii="Arial" w:cs="Arial" w:eastAsia="Arial" w:hAnsi="Arial"/>
                <w:sz w:val="16"/>
                <w:szCs w:val="16"/>
                <w:color w:val="auto"/>
              </w:rPr>
              <w:t>—</w:t>
            </w:r>
          </w:p>
        </w:tc>
        <w:tc>
          <w:tcPr>
            <w:tcW w:w="600" w:type="dxa"/>
            <w:vAlign w:val="bottom"/>
            <w:shd w:val="clear" w:color="auto" w:fill="F0F1F8"/>
          </w:tcPr>
          <w:p>
            <w:pPr>
              <w:jc w:val="right"/>
              <w:spacing w:after="0"/>
              <w:rPr>
                <w:sz w:val="20"/>
                <w:szCs w:val="20"/>
                <w:color w:val="auto"/>
              </w:rPr>
            </w:pPr>
            <w:r>
              <w:rPr>
                <w:rFonts w:ascii="Arial" w:cs="Arial" w:eastAsia="Arial" w:hAnsi="Arial"/>
                <w:sz w:val="16"/>
                <w:szCs w:val="16"/>
                <w:color w:val="auto"/>
              </w:rPr>
              <w:t>9,290</w:t>
            </w:r>
          </w:p>
        </w:tc>
        <w:tc>
          <w:tcPr>
            <w:tcW w:w="700" w:type="dxa"/>
            <w:vAlign w:val="bottom"/>
            <w:shd w:val="clear" w:color="auto" w:fill="F0F1F8"/>
          </w:tcPr>
          <w:p>
            <w:pPr>
              <w:jc w:val="right"/>
              <w:spacing w:after="0"/>
              <w:rPr>
                <w:sz w:val="20"/>
                <w:szCs w:val="20"/>
                <w:color w:val="auto"/>
              </w:rPr>
            </w:pPr>
            <w:r>
              <w:rPr>
                <w:rFonts w:ascii="Arial" w:cs="Arial" w:eastAsia="Arial" w:hAnsi="Arial"/>
                <w:sz w:val="16"/>
                <w:szCs w:val="16"/>
                <w:color w:val="auto"/>
              </w:rPr>
              <w:t>18,580</w:t>
            </w:r>
          </w:p>
        </w:tc>
        <w:tc>
          <w:tcPr>
            <w:tcW w:w="60" w:type="dxa"/>
            <w:vAlign w:val="bottom"/>
            <w:shd w:val="clear" w:color="auto" w:fill="F0F1F8"/>
          </w:tcPr>
          <w:p>
            <w:pPr>
              <w:spacing w:after="0"/>
              <w:rPr>
                <w:sz w:val="22"/>
                <w:szCs w:val="22"/>
                <w:color w:val="auto"/>
              </w:rPr>
            </w:pPr>
          </w:p>
        </w:tc>
        <w:tc>
          <w:tcPr>
            <w:tcW w:w="740" w:type="dxa"/>
            <w:vAlign w:val="bottom"/>
            <w:shd w:val="clear" w:color="auto" w:fill="F0F1F8"/>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F0F1F8"/>
          </w:tcPr>
          <w:p>
            <w:pPr>
              <w:jc w:val="right"/>
              <w:spacing w:after="0"/>
              <w:rPr>
                <w:sz w:val="20"/>
                <w:szCs w:val="20"/>
                <w:color w:val="auto"/>
              </w:rPr>
            </w:pPr>
            <w:r>
              <w:rPr>
                <w:rFonts w:ascii="Arial" w:cs="Arial" w:eastAsia="Arial" w:hAnsi="Arial"/>
                <w:sz w:val="16"/>
                <w:szCs w:val="16"/>
                <w:color w:val="auto"/>
              </w:rPr>
              <w:t>2,399,793</w:t>
            </w:r>
          </w:p>
        </w:tc>
        <w:tc>
          <w:tcPr>
            <w:tcW w:w="0" w:type="dxa"/>
            <w:vAlign w:val="bottom"/>
          </w:tcPr>
          <w:p>
            <w:pPr>
              <w:spacing w:after="0"/>
              <w:rPr>
                <w:sz w:val="1"/>
                <w:szCs w:val="1"/>
                <w:color w:val="auto"/>
              </w:rPr>
            </w:pPr>
          </w:p>
        </w:tc>
      </w:tr>
      <w:tr>
        <w:trPr>
          <w:trHeight w:val="213"/>
        </w:trPr>
        <w:tc>
          <w:tcPr>
            <w:tcW w:w="2240" w:type="dxa"/>
            <w:vAlign w:val="bottom"/>
          </w:tcPr>
          <w:p>
            <w:pPr>
              <w:ind w:left="60"/>
              <w:spacing w:after="0"/>
              <w:rPr>
                <w:sz w:val="20"/>
                <w:szCs w:val="20"/>
                <w:color w:val="auto"/>
              </w:rPr>
            </w:pPr>
            <w:r>
              <w:rPr>
                <w:rFonts w:ascii="Arial" w:cs="Arial" w:eastAsia="Arial" w:hAnsi="Arial"/>
                <w:sz w:val="16"/>
                <w:szCs w:val="16"/>
                <w:b w:val="1"/>
                <w:bCs w:val="1"/>
                <w:color w:val="auto"/>
              </w:rPr>
              <w:t>Scott A. Crum</w:t>
            </w:r>
          </w:p>
        </w:tc>
        <w:tc>
          <w:tcPr>
            <w:tcW w:w="960" w:type="dxa"/>
            <w:vAlign w:val="bottom"/>
            <w:gridSpan w:val="2"/>
          </w:tcPr>
          <w:p>
            <w:pPr>
              <w:jc w:val="right"/>
              <w:ind w:right="353"/>
              <w:spacing w:after="0"/>
              <w:rPr>
                <w:sz w:val="20"/>
                <w:szCs w:val="20"/>
                <w:color w:val="auto"/>
              </w:rPr>
            </w:pPr>
            <w:r>
              <w:rPr>
                <w:rFonts w:ascii="Arial" w:cs="Arial" w:eastAsia="Arial" w:hAnsi="Arial"/>
                <w:sz w:val="16"/>
                <w:szCs w:val="16"/>
                <w:color w:val="auto"/>
              </w:rPr>
              <w:t>AIP</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1/26/2021</w:t>
            </w: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700,000</w:t>
            </w:r>
          </w:p>
        </w:tc>
        <w:tc>
          <w:tcPr>
            <w:tcW w:w="760" w:type="dxa"/>
            <w:vAlign w:val="bottom"/>
          </w:tcPr>
          <w:p>
            <w:pPr>
              <w:jc w:val="right"/>
              <w:spacing w:after="0"/>
              <w:rPr>
                <w:sz w:val="20"/>
                <w:szCs w:val="20"/>
                <w:color w:val="auto"/>
              </w:rPr>
            </w:pPr>
            <w:r>
              <w:rPr>
                <w:rFonts w:ascii="Arial" w:cs="Arial" w:eastAsia="Arial" w:hAnsi="Arial"/>
                <w:sz w:val="16"/>
                <w:szCs w:val="16"/>
                <w:color w:val="auto"/>
              </w:rPr>
              <w:t>1,050,000</w:t>
            </w:r>
          </w:p>
        </w:tc>
        <w:tc>
          <w:tcPr>
            <w:tcW w:w="10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8"/>
        </w:trPr>
        <w:tc>
          <w:tcPr>
            <w:tcW w:w="2240" w:type="dxa"/>
            <w:vAlign w:val="bottom"/>
          </w:tcPr>
          <w:p>
            <w:pPr>
              <w:spacing w:after="0"/>
              <w:rPr>
                <w:sz w:val="23"/>
                <w:szCs w:val="23"/>
                <w:color w:val="auto"/>
              </w:rPr>
            </w:pPr>
          </w:p>
        </w:tc>
        <w:tc>
          <w:tcPr>
            <w:tcW w:w="960" w:type="dxa"/>
            <w:vAlign w:val="bottom"/>
            <w:gridSpan w:val="2"/>
          </w:tcPr>
          <w:p>
            <w:pPr>
              <w:jc w:val="right"/>
              <w:ind w:right="193"/>
              <w:spacing w:after="0" w:line="268" w:lineRule="exact"/>
              <w:rPr>
                <w:sz w:val="20"/>
                <w:szCs w:val="20"/>
                <w:color w:val="auto"/>
              </w:rPr>
            </w:pPr>
            <w:r>
              <w:rPr>
                <w:rFonts w:ascii="Arial" w:cs="Arial" w:eastAsia="Arial" w:hAnsi="Arial"/>
                <w:sz w:val="16"/>
                <w:szCs w:val="16"/>
                <w:color w:val="auto"/>
              </w:rPr>
              <w:t>RSU</w:t>
            </w:r>
            <w:r>
              <w:rPr>
                <w:rFonts w:ascii="Arial" w:cs="Arial" w:eastAsia="Arial" w:hAnsi="Arial"/>
                <w:sz w:val="26"/>
                <w:szCs w:val="26"/>
                <w:color w:val="auto"/>
                <w:vertAlign w:val="superscript"/>
              </w:rPr>
              <w:t>(3)</w:t>
            </w:r>
          </w:p>
        </w:tc>
        <w:tc>
          <w:tcPr>
            <w:tcW w:w="780" w:type="dxa"/>
            <w:vAlign w:val="bottom"/>
          </w:tcPr>
          <w:p>
            <w:pPr>
              <w:jc w:val="right"/>
              <w:spacing w:after="0"/>
              <w:rPr>
                <w:sz w:val="20"/>
                <w:szCs w:val="20"/>
                <w:color w:val="auto"/>
              </w:rPr>
            </w:pPr>
            <w:r>
              <w:rPr>
                <w:rFonts w:ascii="Arial" w:cs="Arial" w:eastAsia="Arial" w:hAnsi="Arial"/>
                <w:sz w:val="16"/>
                <w:szCs w:val="16"/>
                <w:color w:val="auto"/>
              </w:rPr>
              <w:t>2/3/2021</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1/26/2021</w:t>
            </w: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863</w:t>
            </w:r>
          </w:p>
        </w:tc>
        <w:tc>
          <w:tcPr>
            <w:tcW w:w="840" w:type="dxa"/>
            <w:vAlign w:val="bottom"/>
          </w:tcPr>
          <w:p>
            <w:pPr>
              <w:jc w:val="right"/>
              <w:spacing w:after="0"/>
              <w:rPr>
                <w:sz w:val="20"/>
                <w:szCs w:val="20"/>
                <w:color w:val="auto"/>
              </w:rPr>
            </w:pPr>
            <w:r>
              <w:rPr>
                <w:rFonts w:ascii="Arial" w:cs="Arial" w:eastAsia="Arial" w:hAnsi="Arial"/>
                <w:sz w:val="16"/>
                <w:szCs w:val="16"/>
                <w:color w:val="auto"/>
              </w:rPr>
              <w:t>359,759</w:t>
            </w:r>
          </w:p>
        </w:tc>
        <w:tc>
          <w:tcPr>
            <w:tcW w:w="0" w:type="dxa"/>
            <w:vAlign w:val="bottom"/>
          </w:tcPr>
          <w:p>
            <w:pPr>
              <w:spacing w:after="0"/>
              <w:rPr>
                <w:sz w:val="1"/>
                <w:szCs w:val="1"/>
                <w:color w:val="auto"/>
              </w:rPr>
            </w:pPr>
          </w:p>
        </w:tc>
      </w:tr>
      <w:tr>
        <w:trPr>
          <w:trHeight w:val="254"/>
        </w:trPr>
        <w:tc>
          <w:tcPr>
            <w:tcW w:w="2240" w:type="dxa"/>
            <w:vAlign w:val="bottom"/>
          </w:tcPr>
          <w:p>
            <w:pPr>
              <w:spacing w:after="0"/>
              <w:rPr>
                <w:sz w:val="22"/>
                <w:szCs w:val="22"/>
                <w:color w:val="auto"/>
              </w:rPr>
            </w:pPr>
          </w:p>
        </w:tc>
        <w:tc>
          <w:tcPr>
            <w:tcW w:w="960" w:type="dxa"/>
            <w:vAlign w:val="bottom"/>
            <w:gridSpan w:val="2"/>
          </w:tcPr>
          <w:p>
            <w:pPr>
              <w:jc w:val="right"/>
              <w:ind w:right="33"/>
              <w:spacing w:after="0" w:line="255" w:lineRule="exact"/>
              <w:rPr>
                <w:sz w:val="20"/>
                <w:szCs w:val="20"/>
                <w:color w:val="auto"/>
              </w:rPr>
            </w:pPr>
            <w:r>
              <w:rPr>
                <w:rFonts w:ascii="Arial" w:cs="Arial" w:eastAsia="Arial" w:hAnsi="Arial"/>
                <w:sz w:val="29"/>
                <w:szCs w:val="29"/>
                <w:color w:val="auto"/>
                <w:vertAlign w:val="subscript"/>
              </w:rPr>
              <w:t>RSU</w:t>
            </w:r>
            <w:r>
              <w:rPr>
                <w:rFonts w:ascii="Arial" w:cs="Arial" w:eastAsia="Arial" w:hAnsi="Arial"/>
                <w:sz w:val="13"/>
                <w:szCs w:val="13"/>
                <w:color w:val="auto"/>
              </w:rPr>
              <w:t>(3)(6)</w:t>
            </w:r>
          </w:p>
        </w:tc>
        <w:tc>
          <w:tcPr>
            <w:tcW w:w="780" w:type="dxa"/>
            <w:vAlign w:val="bottom"/>
          </w:tcPr>
          <w:p>
            <w:pPr>
              <w:jc w:val="right"/>
              <w:spacing w:after="0"/>
              <w:rPr>
                <w:sz w:val="20"/>
                <w:szCs w:val="20"/>
                <w:color w:val="auto"/>
              </w:rPr>
            </w:pPr>
            <w:r>
              <w:rPr>
                <w:rFonts w:ascii="Arial" w:cs="Arial" w:eastAsia="Arial" w:hAnsi="Arial"/>
                <w:sz w:val="16"/>
                <w:szCs w:val="16"/>
                <w:color w:val="auto"/>
              </w:rPr>
              <w:t>2/3/2021</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1/26/2021</w:t>
            </w: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659</w:t>
            </w:r>
          </w:p>
        </w:tc>
        <w:tc>
          <w:tcPr>
            <w:tcW w:w="840" w:type="dxa"/>
            <w:vAlign w:val="bottom"/>
          </w:tcPr>
          <w:p>
            <w:pPr>
              <w:jc w:val="right"/>
              <w:spacing w:after="0"/>
              <w:rPr>
                <w:sz w:val="20"/>
                <w:szCs w:val="20"/>
                <w:color w:val="auto"/>
              </w:rPr>
            </w:pPr>
            <w:r>
              <w:rPr>
                <w:rFonts w:ascii="Arial" w:cs="Arial" w:eastAsia="Arial" w:hAnsi="Arial"/>
                <w:sz w:val="16"/>
                <w:szCs w:val="16"/>
                <w:color w:val="auto"/>
              </w:rPr>
              <w:t>274,717</w:t>
            </w:r>
          </w:p>
        </w:tc>
        <w:tc>
          <w:tcPr>
            <w:tcW w:w="0" w:type="dxa"/>
            <w:vAlign w:val="bottom"/>
          </w:tcPr>
          <w:p>
            <w:pPr>
              <w:spacing w:after="0"/>
              <w:rPr>
                <w:sz w:val="1"/>
                <w:szCs w:val="1"/>
                <w:color w:val="auto"/>
              </w:rPr>
            </w:pPr>
          </w:p>
        </w:tc>
      </w:tr>
      <w:tr>
        <w:trPr>
          <w:trHeight w:val="254"/>
        </w:trPr>
        <w:tc>
          <w:tcPr>
            <w:tcW w:w="2240" w:type="dxa"/>
            <w:vAlign w:val="bottom"/>
          </w:tcPr>
          <w:p>
            <w:pPr>
              <w:spacing w:after="0"/>
              <w:rPr>
                <w:sz w:val="22"/>
                <w:szCs w:val="22"/>
                <w:color w:val="auto"/>
              </w:rPr>
            </w:pPr>
          </w:p>
        </w:tc>
        <w:tc>
          <w:tcPr>
            <w:tcW w:w="960" w:type="dxa"/>
            <w:vAlign w:val="bottom"/>
            <w:gridSpan w:val="2"/>
          </w:tcPr>
          <w:p>
            <w:pPr>
              <w:jc w:val="right"/>
              <w:ind w:right="193"/>
              <w:spacing w:after="0" w:line="255" w:lineRule="exact"/>
              <w:rPr>
                <w:sz w:val="20"/>
                <w:szCs w:val="20"/>
                <w:color w:val="auto"/>
              </w:rPr>
            </w:pPr>
            <w:r>
              <w:rPr>
                <w:rFonts w:ascii="Arial" w:cs="Arial" w:eastAsia="Arial" w:hAnsi="Arial"/>
                <w:sz w:val="16"/>
                <w:szCs w:val="16"/>
                <w:color w:val="auto"/>
              </w:rPr>
              <w:t>PSU</w:t>
            </w:r>
            <w:r>
              <w:rPr>
                <w:rFonts w:ascii="Arial" w:cs="Arial" w:eastAsia="Arial" w:hAnsi="Arial"/>
                <w:sz w:val="26"/>
                <w:szCs w:val="26"/>
                <w:color w:val="auto"/>
                <w:vertAlign w:val="superscript"/>
              </w:rPr>
              <w:t>(4)</w:t>
            </w:r>
          </w:p>
        </w:tc>
        <w:tc>
          <w:tcPr>
            <w:tcW w:w="780" w:type="dxa"/>
            <w:vAlign w:val="bottom"/>
          </w:tcPr>
          <w:p>
            <w:pPr>
              <w:jc w:val="right"/>
              <w:spacing w:after="0"/>
              <w:rPr>
                <w:sz w:val="20"/>
                <w:szCs w:val="20"/>
                <w:color w:val="auto"/>
              </w:rPr>
            </w:pPr>
            <w:r>
              <w:rPr>
                <w:rFonts w:ascii="Arial" w:cs="Arial" w:eastAsia="Arial" w:hAnsi="Arial"/>
                <w:sz w:val="16"/>
                <w:szCs w:val="16"/>
                <w:color w:val="auto"/>
              </w:rPr>
              <w:t>2/3/2021</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1/26/2021</w:t>
            </w: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1,011</w:t>
            </w: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3,033</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419,685</w:t>
            </w:r>
          </w:p>
        </w:tc>
        <w:tc>
          <w:tcPr>
            <w:tcW w:w="0" w:type="dxa"/>
            <w:vAlign w:val="bottom"/>
          </w:tcPr>
          <w:p>
            <w:pPr>
              <w:spacing w:after="0"/>
              <w:rPr>
                <w:sz w:val="1"/>
                <w:szCs w:val="1"/>
                <w:color w:val="auto"/>
              </w:rPr>
            </w:pPr>
          </w:p>
        </w:tc>
      </w:tr>
      <w:tr>
        <w:trPr>
          <w:trHeight w:val="242"/>
        </w:trPr>
        <w:tc>
          <w:tcPr>
            <w:tcW w:w="2240" w:type="dxa"/>
            <w:vAlign w:val="bottom"/>
          </w:tcPr>
          <w:p>
            <w:pPr>
              <w:spacing w:after="0"/>
              <w:rPr>
                <w:sz w:val="21"/>
                <w:szCs w:val="21"/>
                <w:color w:val="auto"/>
              </w:rPr>
            </w:pPr>
          </w:p>
        </w:tc>
        <w:tc>
          <w:tcPr>
            <w:tcW w:w="960" w:type="dxa"/>
            <w:vAlign w:val="bottom"/>
            <w:gridSpan w:val="2"/>
          </w:tcPr>
          <w:p>
            <w:pPr>
              <w:jc w:val="right"/>
              <w:ind w:right="193"/>
              <w:spacing w:after="0" w:line="242" w:lineRule="exact"/>
              <w:rPr>
                <w:sz w:val="20"/>
                <w:szCs w:val="20"/>
                <w:color w:val="auto"/>
              </w:rPr>
            </w:pPr>
            <w:r>
              <w:rPr>
                <w:rFonts w:ascii="Arial" w:cs="Arial" w:eastAsia="Arial" w:hAnsi="Arial"/>
                <w:sz w:val="28"/>
                <w:szCs w:val="28"/>
                <w:color w:val="auto"/>
                <w:vertAlign w:val="subscript"/>
              </w:rPr>
              <w:t>PSU</w:t>
            </w:r>
            <w:r>
              <w:rPr>
                <w:rFonts w:ascii="Arial" w:cs="Arial" w:eastAsia="Arial" w:hAnsi="Arial"/>
                <w:sz w:val="12"/>
                <w:szCs w:val="12"/>
                <w:color w:val="auto"/>
              </w:rPr>
              <w:t>(5)</w:t>
            </w:r>
          </w:p>
        </w:tc>
        <w:tc>
          <w:tcPr>
            <w:tcW w:w="780" w:type="dxa"/>
            <w:vAlign w:val="bottom"/>
          </w:tcPr>
          <w:p>
            <w:pPr>
              <w:jc w:val="right"/>
              <w:spacing w:after="0"/>
              <w:rPr>
                <w:sz w:val="20"/>
                <w:szCs w:val="20"/>
                <w:color w:val="auto"/>
              </w:rPr>
            </w:pPr>
            <w:r>
              <w:rPr>
                <w:rFonts w:ascii="Arial" w:cs="Arial" w:eastAsia="Arial" w:hAnsi="Arial"/>
                <w:sz w:val="16"/>
                <w:szCs w:val="16"/>
                <w:color w:val="auto"/>
              </w:rPr>
              <w:t>2/3/2021</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1/26/2021</w:t>
            </w: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1,625</w:t>
            </w: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3,250</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419,770</w:t>
            </w:r>
          </w:p>
        </w:tc>
        <w:tc>
          <w:tcPr>
            <w:tcW w:w="0" w:type="dxa"/>
            <w:vAlign w:val="bottom"/>
          </w:tcPr>
          <w:p>
            <w:pPr>
              <w:spacing w:after="0"/>
              <w:rPr>
                <w:sz w:val="1"/>
                <w:szCs w:val="1"/>
                <w:color w:val="auto"/>
              </w:rPr>
            </w:pPr>
          </w:p>
        </w:tc>
      </w:tr>
      <w:tr>
        <w:trPr>
          <w:trHeight w:val="213"/>
        </w:trPr>
        <w:tc>
          <w:tcPr>
            <w:tcW w:w="2240" w:type="dxa"/>
            <w:vAlign w:val="bottom"/>
            <w:shd w:val="clear" w:color="auto" w:fill="F0F1F8"/>
          </w:tcPr>
          <w:p>
            <w:pPr>
              <w:ind w:left="60"/>
              <w:spacing w:after="0"/>
              <w:rPr>
                <w:sz w:val="20"/>
                <w:szCs w:val="20"/>
                <w:color w:val="auto"/>
              </w:rPr>
            </w:pPr>
            <w:r>
              <w:rPr>
                <w:rFonts w:ascii="Arial" w:cs="Arial" w:eastAsia="Arial" w:hAnsi="Arial"/>
                <w:sz w:val="16"/>
                <w:szCs w:val="16"/>
                <w:b w:val="1"/>
                <w:bCs w:val="1"/>
                <w:color w:val="auto"/>
              </w:rPr>
              <w:t>Robert J. Gutowski</w:t>
            </w:r>
          </w:p>
        </w:tc>
        <w:tc>
          <w:tcPr>
            <w:tcW w:w="960" w:type="dxa"/>
            <w:vAlign w:val="bottom"/>
            <w:gridSpan w:val="2"/>
            <w:shd w:val="clear" w:color="auto" w:fill="F0F1F8"/>
          </w:tcPr>
          <w:p>
            <w:pPr>
              <w:jc w:val="right"/>
              <w:ind w:right="353"/>
              <w:spacing w:after="0"/>
              <w:rPr>
                <w:sz w:val="20"/>
                <w:szCs w:val="20"/>
                <w:color w:val="auto"/>
              </w:rPr>
            </w:pPr>
            <w:r>
              <w:rPr>
                <w:rFonts w:ascii="Arial" w:cs="Arial" w:eastAsia="Arial" w:hAnsi="Arial"/>
                <w:sz w:val="16"/>
                <w:szCs w:val="16"/>
                <w:color w:val="auto"/>
              </w:rPr>
              <w:t>AIP</w:t>
            </w:r>
          </w:p>
        </w:tc>
        <w:tc>
          <w:tcPr>
            <w:tcW w:w="780" w:type="dxa"/>
            <w:vAlign w:val="bottom"/>
            <w:shd w:val="clear" w:color="auto" w:fill="F0F1F8"/>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F0F1F8"/>
          </w:tcPr>
          <w:p>
            <w:pPr>
              <w:jc w:val="right"/>
              <w:ind w:right="1"/>
              <w:spacing w:after="0"/>
              <w:rPr>
                <w:sz w:val="20"/>
                <w:szCs w:val="20"/>
                <w:color w:val="auto"/>
              </w:rPr>
            </w:pPr>
            <w:r>
              <w:rPr>
                <w:rFonts w:ascii="Arial" w:cs="Arial" w:eastAsia="Arial" w:hAnsi="Arial"/>
                <w:sz w:val="16"/>
                <w:szCs w:val="16"/>
                <w:color w:val="auto"/>
              </w:rPr>
              <w:t>1/26/2021</w:t>
            </w:r>
          </w:p>
        </w:tc>
        <w:tc>
          <w:tcPr>
            <w:tcW w:w="820" w:type="dxa"/>
            <w:vAlign w:val="bottom"/>
            <w:shd w:val="clear" w:color="auto" w:fill="F0F1F8"/>
          </w:tcPr>
          <w:p>
            <w:pPr>
              <w:jc w:val="right"/>
              <w:ind w:right="42"/>
              <w:spacing w:after="0"/>
              <w:rPr>
                <w:sz w:val="20"/>
                <w:szCs w:val="20"/>
                <w:color w:val="auto"/>
              </w:rPr>
            </w:pPr>
            <w:r>
              <w:rPr>
                <w:rFonts w:ascii="Arial" w:cs="Arial" w:eastAsia="Arial" w:hAnsi="Arial"/>
                <w:sz w:val="16"/>
                <w:szCs w:val="16"/>
                <w:color w:val="auto"/>
              </w:rPr>
              <w:t>—</w:t>
            </w:r>
          </w:p>
        </w:tc>
        <w:tc>
          <w:tcPr>
            <w:tcW w:w="760" w:type="dxa"/>
            <w:vAlign w:val="bottom"/>
            <w:shd w:val="clear" w:color="auto" w:fill="F0F1F8"/>
          </w:tcPr>
          <w:p>
            <w:pPr>
              <w:jc w:val="right"/>
              <w:spacing w:after="0"/>
              <w:rPr>
                <w:sz w:val="20"/>
                <w:szCs w:val="20"/>
                <w:color w:val="auto"/>
              </w:rPr>
            </w:pPr>
            <w:r>
              <w:rPr>
                <w:rFonts w:ascii="Arial" w:cs="Arial" w:eastAsia="Arial" w:hAnsi="Arial"/>
                <w:sz w:val="16"/>
                <w:szCs w:val="16"/>
                <w:color w:val="auto"/>
              </w:rPr>
              <w:t>650,000</w:t>
            </w:r>
          </w:p>
        </w:tc>
        <w:tc>
          <w:tcPr>
            <w:tcW w:w="760" w:type="dxa"/>
            <w:vAlign w:val="bottom"/>
            <w:shd w:val="clear" w:color="auto" w:fill="F0F1F8"/>
          </w:tcPr>
          <w:p>
            <w:pPr>
              <w:jc w:val="right"/>
              <w:spacing w:after="0"/>
              <w:rPr>
                <w:sz w:val="20"/>
                <w:szCs w:val="20"/>
                <w:color w:val="auto"/>
              </w:rPr>
            </w:pPr>
            <w:r>
              <w:rPr>
                <w:rFonts w:ascii="Arial" w:cs="Arial" w:eastAsia="Arial" w:hAnsi="Arial"/>
                <w:sz w:val="16"/>
                <w:szCs w:val="16"/>
                <w:color w:val="auto"/>
              </w:rPr>
              <w:t>975,000</w:t>
            </w:r>
          </w:p>
        </w:tc>
        <w:tc>
          <w:tcPr>
            <w:tcW w:w="100" w:type="dxa"/>
            <w:vAlign w:val="bottom"/>
            <w:shd w:val="clear" w:color="auto" w:fill="F0F1F8"/>
          </w:tcPr>
          <w:p>
            <w:pPr>
              <w:spacing w:after="0"/>
              <w:rPr>
                <w:sz w:val="18"/>
                <w:szCs w:val="18"/>
                <w:color w:val="auto"/>
              </w:rPr>
            </w:pPr>
          </w:p>
        </w:tc>
        <w:tc>
          <w:tcPr>
            <w:tcW w:w="760" w:type="dxa"/>
            <w:vAlign w:val="bottom"/>
            <w:shd w:val="clear" w:color="auto" w:fill="F0F1F8"/>
          </w:tcPr>
          <w:p>
            <w:pPr>
              <w:jc w:val="right"/>
              <w:ind w:right="1"/>
              <w:spacing w:after="0"/>
              <w:rPr>
                <w:sz w:val="20"/>
                <w:szCs w:val="20"/>
                <w:color w:val="auto"/>
              </w:rPr>
            </w:pPr>
            <w:r>
              <w:rPr>
                <w:rFonts w:ascii="Arial" w:cs="Arial" w:eastAsia="Arial" w:hAnsi="Arial"/>
                <w:sz w:val="16"/>
                <w:szCs w:val="16"/>
                <w:color w:val="auto"/>
              </w:rPr>
              <w:t>—</w:t>
            </w:r>
          </w:p>
        </w:tc>
        <w:tc>
          <w:tcPr>
            <w:tcW w:w="600" w:type="dxa"/>
            <w:vAlign w:val="bottom"/>
            <w:shd w:val="clear" w:color="auto" w:fill="F0F1F8"/>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F0F1F8"/>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shd w:val="clear" w:color="auto" w:fill="F0F1F8"/>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F0F1F8"/>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2240" w:type="dxa"/>
            <w:vAlign w:val="bottom"/>
            <w:shd w:val="clear" w:color="auto" w:fill="F0F1F8"/>
          </w:tcPr>
          <w:p>
            <w:pPr>
              <w:spacing w:after="0"/>
              <w:rPr>
                <w:sz w:val="21"/>
                <w:szCs w:val="21"/>
                <w:color w:val="auto"/>
              </w:rPr>
            </w:pPr>
          </w:p>
        </w:tc>
        <w:tc>
          <w:tcPr>
            <w:tcW w:w="540" w:type="dxa"/>
            <w:vAlign w:val="bottom"/>
            <w:shd w:val="clear" w:color="auto" w:fill="F0F1F8"/>
          </w:tcPr>
          <w:p>
            <w:pPr>
              <w:jc w:val="right"/>
              <w:spacing w:after="0"/>
              <w:rPr>
                <w:sz w:val="20"/>
                <w:szCs w:val="20"/>
                <w:color w:val="auto"/>
              </w:rPr>
            </w:pPr>
            <w:r>
              <w:rPr>
                <w:rFonts w:ascii="Arial" w:cs="Arial" w:eastAsia="Arial" w:hAnsi="Arial"/>
                <w:sz w:val="16"/>
                <w:szCs w:val="16"/>
                <w:color w:val="auto"/>
              </w:rPr>
              <w:t>RSU</w:t>
            </w:r>
          </w:p>
        </w:tc>
        <w:tc>
          <w:tcPr>
            <w:tcW w:w="420" w:type="dxa"/>
            <w:vAlign w:val="bottom"/>
            <w:shd w:val="clear" w:color="auto" w:fill="F0F1F8"/>
          </w:tcPr>
          <w:p>
            <w:pPr>
              <w:jc w:val="right"/>
              <w:ind w:right="193"/>
              <w:spacing w:after="0"/>
              <w:rPr>
                <w:sz w:val="20"/>
                <w:szCs w:val="20"/>
                <w:color w:val="auto"/>
              </w:rPr>
            </w:pPr>
            <w:r>
              <w:rPr>
                <w:rFonts w:ascii="Arial" w:cs="Arial" w:eastAsia="Arial" w:hAnsi="Arial"/>
                <w:sz w:val="13"/>
                <w:szCs w:val="13"/>
                <w:color w:val="auto"/>
                <w:w w:val="87"/>
              </w:rPr>
              <w:t>(3)</w:t>
            </w:r>
          </w:p>
        </w:tc>
        <w:tc>
          <w:tcPr>
            <w:tcW w:w="780" w:type="dxa"/>
            <w:vAlign w:val="bottom"/>
            <w:shd w:val="clear" w:color="auto" w:fill="F0F1F8"/>
          </w:tcPr>
          <w:p>
            <w:pPr>
              <w:jc w:val="right"/>
              <w:spacing w:after="0"/>
              <w:rPr>
                <w:sz w:val="20"/>
                <w:szCs w:val="20"/>
                <w:color w:val="auto"/>
              </w:rPr>
            </w:pPr>
            <w:r>
              <w:rPr>
                <w:rFonts w:ascii="Arial" w:cs="Arial" w:eastAsia="Arial" w:hAnsi="Arial"/>
                <w:sz w:val="16"/>
                <w:szCs w:val="16"/>
                <w:color w:val="auto"/>
              </w:rPr>
              <w:t>2/3/2021</w:t>
            </w:r>
          </w:p>
        </w:tc>
        <w:tc>
          <w:tcPr>
            <w:tcW w:w="1120" w:type="dxa"/>
            <w:vAlign w:val="bottom"/>
            <w:shd w:val="clear" w:color="auto" w:fill="F0F1F8"/>
          </w:tcPr>
          <w:p>
            <w:pPr>
              <w:jc w:val="right"/>
              <w:ind w:right="1"/>
              <w:spacing w:after="0"/>
              <w:rPr>
                <w:sz w:val="20"/>
                <w:szCs w:val="20"/>
                <w:color w:val="auto"/>
              </w:rPr>
            </w:pPr>
            <w:r>
              <w:rPr>
                <w:rFonts w:ascii="Arial" w:cs="Arial" w:eastAsia="Arial" w:hAnsi="Arial"/>
                <w:sz w:val="16"/>
                <w:szCs w:val="16"/>
                <w:color w:val="auto"/>
              </w:rPr>
              <w:t>1/26/2021</w:t>
            </w:r>
          </w:p>
        </w:tc>
        <w:tc>
          <w:tcPr>
            <w:tcW w:w="820" w:type="dxa"/>
            <w:vAlign w:val="bottom"/>
            <w:shd w:val="clear" w:color="auto" w:fill="F0F1F8"/>
          </w:tcPr>
          <w:p>
            <w:pPr>
              <w:jc w:val="right"/>
              <w:ind w:right="42"/>
              <w:spacing w:after="0"/>
              <w:rPr>
                <w:sz w:val="20"/>
                <w:szCs w:val="20"/>
                <w:color w:val="auto"/>
              </w:rPr>
            </w:pPr>
            <w:r>
              <w:rPr>
                <w:rFonts w:ascii="Arial" w:cs="Arial" w:eastAsia="Arial" w:hAnsi="Arial"/>
                <w:sz w:val="16"/>
                <w:szCs w:val="16"/>
                <w:color w:val="auto"/>
              </w:rPr>
              <w:t>—</w:t>
            </w:r>
          </w:p>
        </w:tc>
        <w:tc>
          <w:tcPr>
            <w:tcW w:w="760" w:type="dxa"/>
            <w:vAlign w:val="bottom"/>
            <w:shd w:val="clear" w:color="auto" w:fill="F0F1F8"/>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F0F1F8"/>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shd w:val="clear" w:color="auto" w:fill="F0F1F8"/>
          </w:tcPr>
          <w:p>
            <w:pPr>
              <w:jc w:val="right"/>
              <w:ind w:right="1"/>
              <w:spacing w:after="0"/>
              <w:rPr>
                <w:sz w:val="20"/>
                <w:szCs w:val="20"/>
                <w:color w:val="auto"/>
              </w:rPr>
            </w:pPr>
            <w:r>
              <w:rPr>
                <w:rFonts w:ascii="Arial" w:cs="Arial" w:eastAsia="Arial" w:hAnsi="Arial"/>
                <w:sz w:val="16"/>
                <w:szCs w:val="16"/>
                <w:color w:val="auto"/>
              </w:rPr>
              <w:t>—</w:t>
            </w:r>
          </w:p>
        </w:tc>
        <w:tc>
          <w:tcPr>
            <w:tcW w:w="600" w:type="dxa"/>
            <w:vAlign w:val="bottom"/>
            <w:shd w:val="clear" w:color="auto" w:fill="F0F1F8"/>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F0F1F8"/>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shd w:val="clear" w:color="auto" w:fill="F0F1F8"/>
          </w:tcPr>
          <w:p>
            <w:pPr>
              <w:jc w:val="right"/>
              <w:spacing w:after="0"/>
              <w:rPr>
                <w:sz w:val="20"/>
                <w:szCs w:val="20"/>
                <w:color w:val="auto"/>
              </w:rPr>
            </w:pPr>
            <w:r>
              <w:rPr>
                <w:rFonts w:ascii="Arial" w:cs="Arial" w:eastAsia="Arial" w:hAnsi="Arial"/>
                <w:sz w:val="16"/>
                <w:szCs w:val="16"/>
                <w:color w:val="auto"/>
              </w:rPr>
              <w:t>647</w:t>
            </w:r>
          </w:p>
        </w:tc>
        <w:tc>
          <w:tcPr>
            <w:tcW w:w="840" w:type="dxa"/>
            <w:vAlign w:val="bottom"/>
            <w:shd w:val="clear" w:color="auto" w:fill="F0F1F8"/>
          </w:tcPr>
          <w:p>
            <w:pPr>
              <w:jc w:val="right"/>
              <w:spacing w:after="0"/>
              <w:rPr>
                <w:sz w:val="20"/>
                <w:szCs w:val="20"/>
                <w:color w:val="auto"/>
              </w:rPr>
            </w:pPr>
            <w:r>
              <w:rPr>
                <w:rFonts w:ascii="Arial" w:cs="Arial" w:eastAsia="Arial" w:hAnsi="Arial"/>
                <w:sz w:val="16"/>
                <w:szCs w:val="16"/>
                <w:color w:val="auto"/>
              </w:rPr>
              <w:t>269,715</w:t>
            </w:r>
          </w:p>
        </w:tc>
        <w:tc>
          <w:tcPr>
            <w:tcW w:w="0" w:type="dxa"/>
            <w:vAlign w:val="bottom"/>
          </w:tcPr>
          <w:p>
            <w:pPr>
              <w:spacing w:after="0"/>
              <w:rPr>
                <w:sz w:val="1"/>
                <w:szCs w:val="1"/>
                <w:color w:val="auto"/>
              </w:rPr>
            </w:pPr>
          </w:p>
        </w:tc>
      </w:tr>
      <w:tr>
        <w:trPr>
          <w:trHeight w:val="254"/>
        </w:trPr>
        <w:tc>
          <w:tcPr>
            <w:tcW w:w="2240" w:type="dxa"/>
            <w:vAlign w:val="bottom"/>
            <w:shd w:val="clear" w:color="auto" w:fill="F0F1F8"/>
          </w:tcPr>
          <w:p>
            <w:pPr>
              <w:spacing w:after="0"/>
              <w:rPr>
                <w:sz w:val="22"/>
                <w:szCs w:val="22"/>
                <w:color w:val="auto"/>
              </w:rPr>
            </w:pPr>
          </w:p>
        </w:tc>
        <w:tc>
          <w:tcPr>
            <w:tcW w:w="540" w:type="dxa"/>
            <w:vAlign w:val="bottom"/>
            <w:shd w:val="clear" w:color="auto" w:fill="F0F1F8"/>
          </w:tcPr>
          <w:p>
            <w:pPr>
              <w:jc w:val="right"/>
              <w:spacing w:after="0"/>
              <w:rPr>
                <w:sz w:val="20"/>
                <w:szCs w:val="20"/>
                <w:color w:val="auto"/>
              </w:rPr>
            </w:pPr>
            <w:r>
              <w:rPr>
                <w:rFonts w:ascii="Arial" w:cs="Arial" w:eastAsia="Arial" w:hAnsi="Arial"/>
                <w:sz w:val="16"/>
                <w:szCs w:val="16"/>
                <w:color w:val="auto"/>
              </w:rPr>
              <w:t>PSU</w:t>
            </w:r>
          </w:p>
        </w:tc>
        <w:tc>
          <w:tcPr>
            <w:tcW w:w="420" w:type="dxa"/>
            <w:vAlign w:val="bottom"/>
            <w:shd w:val="clear" w:color="auto" w:fill="F0F1F8"/>
          </w:tcPr>
          <w:p>
            <w:pPr>
              <w:jc w:val="right"/>
              <w:ind w:right="193"/>
              <w:spacing w:after="0"/>
              <w:rPr>
                <w:sz w:val="20"/>
                <w:szCs w:val="20"/>
                <w:color w:val="auto"/>
              </w:rPr>
            </w:pPr>
            <w:r>
              <w:rPr>
                <w:rFonts w:ascii="Arial" w:cs="Arial" w:eastAsia="Arial" w:hAnsi="Arial"/>
                <w:sz w:val="13"/>
                <w:szCs w:val="13"/>
                <w:color w:val="auto"/>
                <w:w w:val="87"/>
              </w:rPr>
              <w:t>(4)</w:t>
            </w:r>
          </w:p>
        </w:tc>
        <w:tc>
          <w:tcPr>
            <w:tcW w:w="780" w:type="dxa"/>
            <w:vAlign w:val="bottom"/>
            <w:shd w:val="clear" w:color="auto" w:fill="F0F1F8"/>
          </w:tcPr>
          <w:p>
            <w:pPr>
              <w:jc w:val="right"/>
              <w:spacing w:after="0"/>
              <w:rPr>
                <w:sz w:val="20"/>
                <w:szCs w:val="20"/>
                <w:color w:val="auto"/>
              </w:rPr>
            </w:pPr>
            <w:r>
              <w:rPr>
                <w:rFonts w:ascii="Arial" w:cs="Arial" w:eastAsia="Arial" w:hAnsi="Arial"/>
                <w:sz w:val="16"/>
                <w:szCs w:val="16"/>
                <w:color w:val="auto"/>
              </w:rPr>
              <w:t>2/3/2021</w:t>
            </w:r>
          </w:p>
        </w:tc>
        <w:tc>
          <w:tcPr>
            <w:tcW w:w="1120" w:type="dxa"/>
            <w:vAlign w:val="bottom"/>
            <w:shd w:val="clear" w:color="auto" w:fill="F0F1F8"/>
          </w:tcPr>
          <w:p>
            <w:pPr>
              <w:jc w:val="right"/>
              <w:ind w:right="1"/>
              <w:spacing w:after="0"/>
              <w:rPr>
                <w:sz w:val="20"/>
                <w:szCs w:val="20"/>
                <w:color w:val="auto"/>
              </w:rPr>
            </w:pPr>
            <w:r>
              <w:rPr>
                <w:rFonts w:ascii="Arial" w:cs="Arial" w:eastAsia="Arial" w:hAnsi="Arial"/>
                <w:sz w:val="16"/>
                <w:szCs w:val="16"/>
                <w:color w:val="auto"/>
              </w:rPr>
              <w:t>1/26/2021</w:t>
            </w:r>
          </w:p>
        </w:tc>
        <w:tc>
          <w:tcPr>
            <w:tcW w:w="820" w:type="dxa"/>
            <w:vAlign w:val="bottom"/>
            <w:shd w:val="clear" w:color="auto" w:fill="F0F1F8"/>
          </w:tcPr>
          <w:p>
            <w:pPr>
              <w:jc w:val="right"/>
              <w:ind w:right="42"/>
              <w:spacing w:after="0"/>
              <w:rPr>
                <w:sz w:val="20"/>
                <w:szCs w:val="20"/>
                <w:color w:val="auto"/>
              </w:rPr>
            </w:pPr>
            <w:r>
              <w:rPr>
                <w:rFonts w:ascii="Arial" w:cs="Arial" w:eastAsia="Arial" w:hAnsi="Arial"/>
                <w:sz w:val="16"/>
                <w:szCs w:val="16"/>
                <w:color w:val="auto"/>
              </w:rPr>
              <w:t>—</w:t>
            </w:r>
          </w:p>
        </w:tc>
        <w:tc>
          <w:tcPr>
            <w:tcW w:w="760" w:type="dxa"/>
            <w:vAlign w:val="bottom"/>
            <w:shd w:val="clear" w:color="auto" w:fill="F0F1F8"/>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F0F1F8"/>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shd w:val="clear" w:color="auto" w:fill="F0F1F8"/>
          </w:tcPr>
          <w:p>
            <w:pPr>
              <w:jc w:val="right"/>
              <w:ind w:right="1"/>
              <w:spacing w:after="0"/>
              <w:rPr>
                <w:sz w:val="20"/>
                <w:szCs w:val="20"/>
                <w:color w:val="auto"/>
              </w:rPr>
            </w:pPr>
            <w:r>
              <w:rPr>
                <w:rFonts w:ascii="Arial" w:cs="Arial" w:eastAsia="Arial" w:hAnsi="Arial"/>
                <w:sz w:val="16"/>
                <w:szCs w:val="16"/>
                <w:color w:val="auto"/>
              </w:rPr>
              <w:t>—</w:t>
            </w:r>
          </w:p>
        </w:tc>
        <w:tc>
          <w:tcPr>
            <w:tcW w:w="600" w:type="dxa"/>
            <w:vAlign w:val="bottom"/>
            <w:shd w:val="clear" w:color="auto" w:fill="F0F1F8"/>
          </w:tcPr>
          <w:p>
            <w:pPr>
              <w:jc w:val="right"/>
              <w:spacing w:after="0"/>
              <w:rPr>
                <w:sz w:val="20"/>
                <w:szCs w:val="20"/>
                <w:color w:val="auto"/>
              </w:rPr>
            </w:pPr>
            <w:r>
              <w:rPr>
                <w:rFonts w:ascii="Arial" w:cs="Arial" w:eastAsia="Arial" w:hAnsi="Arial"/>
                <w:sz w:val="16"/>
                <w:szCs w:val="16"/>
                <w:color w:val="auto"/>
              </w:rPr>
              <w:t>758</w:t>
            </w:r>
          </w:p>
        </w:tc>
        <w:tc>
          <w:tcPr>
            <w:tcW w:w="760" w:type="dxa"/>
            <w:vAlign w:val="bottom"/>
            <w:gridSpan w:val="2"/>
            <w:shd w:val="clear" w:color="auto" w:fill="F0F1F8"/>
          </w:tcPr>
          <w:p>
            <w:pPr>
              <w:jc w:val="right"/>
              <w:ind w:right="60"/>
              <w:spacing w:after="0"/>
              <w:rPr>
                <w:sz w:val="20"/>
                <w:szCs w:val="20"/>
                <w:color w:val="auto"/>
              </w:rPr>
            </w:pPr>
            <w:r>
              <w:rPr>
                <w:rFonts w:ascii="Arial" w:cs="Arial" w:eastAsia="Arial" w:hAnsi="Arial"/>
                <w:sz w:val="16"/>
                <w:szCs w:val="16"/>
                <w:color w:val="auto"/>
              </w:rPr>
              <w:t>2,274</w:t>
            </w:r>
          </w:p>
        </w:tc>
        <w:tc>
          <w:tcPr>
            <w:tcW w:w="740" w:type="dxa"/>
            <w:vAlign w:val="bottom"/>
            <w:shd w:val="clear" w:color="auto" w:fill="F0F1F8"/>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F0F1F8"/>
          </w:tcPr>
          <w:p>
            <w:pPr>
              <w:jc w:val="right"/>
              <w:spacing w:after="0"/>
              <w:rPr>
                <w:sz w:val="20"/>
                <w:szCs w:val="20"/>
                <w:color w:val="auto"/>
              </w:rPr>
            </w:pPr>
            <w:r>
              <w:rPr>
                <w:rFonts w:ascii="Arial" w:cs="Arial" w:eastAsia="Arial" w:hAnsi="Arial"/>
                <w:sz w:val="16"/>
                <w:szCs w:val="16"/>
                <w:color w:val="auto"/>
              </w:rPr>
              <w:t>314,661</w:t>
            </w:r>
          </w:p>
        </w:tc>
        <w:tc>
          <w:tcPr>
            <w:tcW w:w="0" w:type="dxa"/>
            <w:vAlign w:val="bottom"/>
          </w:tcPr>
          <w:p>
            <w:pPr>
              <w:spacing w:after="0"/>
              <w:rPr>
                <w:sz w:val="1"/>
                <w:szCs w:val="1"/>
                <w:color w:val="auto"/>
              </w:rPr>
            </w:pPr>
          </w:p>
        </w:tc>
      </w:tr>
      <w:tr>
        <w:trPr>
          <w:trHeight w:val="257"/>
        </w:trPr>
        <w:tc>
          <w:tcPr>
            <w:tcW w:w="2240" w:type="dxa"/>
            <w:vAlign w:val="bottom"/>
            <w:tcBorders>
              <w:bottom w:val="single" w:sz="8" w:color="auto"/>
            </w:tcBorders>
            <w:shd w:val="clear" w:color="auto" w:fill="F0F1F8"/>
          </w:tcPr>
          <w:p>
            <w:pPr>
              <w:spacing w:after="0"/>
              <w:rPr>
                <w:sz w:val="22"/>
                <w:szCs w:val="22"/>
                <w:color w:val="auto"/>
              </w:rPr>
            </w:pPr>
          </w:p>
        </w:tc>
        <w:tc>
          <w:tcPr>
            <w:tcW w:w="540" w:type="dxa"/>
            <w:vAlign w:val="bottom"/>
            <w:tcBorders>
              <w:bottom w:val="single" w:sz="8" w:color="auto"/>
            </w:tcBorders>
            <w:shd w:val="clear" w:color="auto" w:fill="F0F1F8"/>
          </w:tcPr>
          <w:p>
            <w:pPr>
              <w:jc w:val="right"/>
              <w:spacing w:after="0"/>
              <w:rPr>
                <w:sz w:val="20"/>
                <w:szCs w:val="20"/>
                <w:color w:val="auto"/>
              </w:rPr>
            </w:pPr>
            <w:r>
              <w:rPr>
                <w:rFonts w:ascii="Arial" w:cs="Arial" w:eastAsia="Arial" w:hAnsi="Arial"/>
                <w:sz w:val="16"/>
                <w:szCs w:val="16"/>
                <w:color w:val="auto"/>
              </w:rPr>
              <w:t>PSU</w:t>
            </w:r>
          </w:p>
        </w:tc>
        <w:tc>
          <w:tcPr>
            <w:tcW w:w="420" w:type="dxa"/>
            <w:vAlign w:val="bottom"/>
            <w:tcBorders>
              <w:bottom w:val="single" w:sz="8" w:color="auto"/>
            </w:tcBorders>
            <w:shd w:val="clear" w:color="auto" w:fill="F0F1F8"/>
          </w:tcPr>
          <w:p>
            <w:pPr>
              <w:jc w:val="right"/>
              <w:ind w:right="193"/>
              <w:spacing w:after="0"/>
              <w:rPr>
                <w:sz w:val="20"/>
                <w:szCs w:val="20"/>
                <w:color w:val="auto"/>
              </w:rPr>
            </w:pPr>
            <w:r>
              <w:rPr>
                <w:rFonts w:ascii="Arial" w:cs="Arial" w:eastAsia="Arial" w:hAnsi="Arial"/>
                <w:sz w:val="13"/>
                <w:szCs w:val="13"/>
                <w:color w:val="auto"/>
                <w:w w:val="87"/>
              </w:rPr>
              <w:t>(5)</w:t>
            </w:r>
          </w:p>
        </w:tc>
        <w:tc>
          <w:tcPr>
            <w:tcW w:w="780" w:type="dxa"/>
            <w:vAlign w:val="bottom"/>
            <w:tcBorders>
              <w:bottom w:val="single" w:sz="8" w:color="auto"/>
            </w:tcBorders>
            <w:shd w:val="clear" w:color="auto" w:fill="F0F1F8"/>
          </w:tcPr>
          <w:p>
            <w:pPr>
              <w:jc w:val="right"/>
              <w:spacing w:after="0"/>
              <w:rPr>
                <w:sz w:val="20"/>
                <w:szCs w:val="20"/>
                <w:color w:val="auto"/>
              </w:rPr>
            </w:pPr>
            <w:r>
              <w:rPr>
                <w:rFonts w:ascii="Arial" w:cs="Arial" w:eastAsia="Arial" w:hAnsi="Arial"/>
                <w:sz w:val="16"/>
                <w:szCs w:val="16"/>
                <w:color w:val="auto"/>
              </w:rPr>
              <w:t>2/3/2021</w:t>
            </w:r>
          </w:p>
        </w:tc>
        <w:tc>
          <w:tcPr>
            <w:tcW w:w="1120" w:type="dxa"/>
            <w:vAlign w:val="bottom"/>
            <w:tcBorders>
              <w:bottom w:val="single" w:sz="8" w:color="auto"/>
            </w:tcBorders>
            <w:shd w:val="clear" w:color="auto" w:fill="F0F1F8"/>
          </w:tcPr>
          <w:p>
            <w:pPr>
              <w:jc w:val="right"/>
              <w:ind w:right="1"/>
              <w:spacing w:after="0"/>
              <w:rPr>
                <w:sz w:val="20"/>
                <w:szCs w:val="20"/>
                <w:color w:val="auto"/>
              </w:rPr>
            </w:pPr>
            <w:r>
              <w:rPr>
                <w:rFonts w:ascii="Arial" w:cs="Arial" w:eastAsia="Arial" w:hAnsi="Arial"/>
                <w:sz w:val="16"/>
                <w:szCs w:val="16"/>
                <w:color w:val="auto"/>
              </w:rPr>
              <w:t>1/26/2021</w:t>
            </w:r>
          </w:p>
        </w:tc>
        <w:tc>
          <w:tcPr>
            <w:tcW w:w="820" w:type="dxa"/>
            <w:vAlign w:val="bottom"/>
            <w:tcBorders>
              <w:bottom w:val="single" w:sz="8" w:color="auto"/>
            </w:tcBorders>
            <w:shd w:val="clear" w:color="auto" w:fill="F0F1F8"/>
          </w:tcPr>
          <w:p>
            <w:pPr>
              <w:jc w:val="right"/>
              <w:ind w:right="42"/>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F0F1F8"/>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gridSpan w:val="2"/>
            <w:shd w:val="clear" w:color="auto" w:fill="F0F1F8"/>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F0F1F8"/>
          </w:tcPr>
          <w:p>
            <w:pPr>
              <w:jc w:val="right"/>
              <w:ind w:right="1"/>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F0F1F8"/>
          </w:tcPr>
          <w:p>
            <w:pPr>
              <w:jc w:val="right"/>
              <w:spacing w:after="0"/>
              <w:rPr>
                <w:sz w:val="20"/>
                <w:szCs w:val="20"/>
                <w:color w:val="auto"/>
              </w:rPr>
            </w:pPr>
            <w:r>
              <w:rPr>
                <w:rFonts w:ascii="Arial" w:cs="Arial" w:eastAsia="Arial" w:hAnsi="Arial"/>
                <w:sz w:val="16"/>
                <w:szCs w:val="16"/>
                <w:color w:val="auto"/>
              </w:rPr>
              <w:t>1,219</w:t>
            </w:r>
          </w:p>
        </w:tc>
        <w:tc>
          <w:tcPr>
            <w:tcW w:w="760" w:type="dxa"/>
            <w:vAlign w:val="bottom"/>
            <w:tcBorders>
              <w:bottom w:val="single" w:sz="8" w:color="auto"/>
            </w:tcBorders>
            <w:gridSpan w:val="2"/>
            <w:shd w:val="clear" w:color="auto" w:fill="F0F1F8"/>
          </w:tcPr>
          <w:p>
            <w:pPr>
              <w:jc w:val="right"/>
              <w:ind w:right="60"/>
              <w:spacing w:after="0"/>
              <w:rPr>
                <w:sz w:val="20"/>
                <w:szCs w:val="20"/>
                <w:color w:val="auto"/>
              </w:rPr>
            </w:pPr>
            <w:r>
              <w:rPr>
                <w:rFonts w:ascii="Arial" w:cs="Arial" w:eastAsia="Arial" w:hAnsi="Arial"/>
                <w:sz w:val="16"/>
                <w:szCs w:val="16"/>
                <w:color w:val="auto"/>
              </w:rPr>
              <w:t>2,438</w:t>
            </w:r>
          </w:p>
        </w:tc>
        <w:tc>
          <w:tcPr>
            <w:tcW w:w="740" w:type="dxa"/>
            <w:vAlign w:val="bottom"/>
            <w:tcBorders>
              <w:bottom w:val="single" w:sz="8" w:color="auto"/>
            </w:tcBorders>
            <w:shd w:val="clear" w:color="auto" w:fill="F0F1F8"/>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F0F1F8"/>
          </w:tcPr>
          <w:p>
            <w:pPr>
              <w:jc w:val="right"/>
              <w:spacing w:after="0"/>
              <w:rPr>
                <w:sz w:val="20"/>
                <w:szCs w:val="20"/>
                <w:color w:val="auto"/>
              </w:rPr>
            </w:pPr>
            <w:r>
              <w:rPr>
                <w:rFonts w:ascii="Arial" w:cs="Arial" w:eastAsia="Arial" w:hAnsi="Arial"/>
                <w:sz w:val="16"/>
                <w:szCs w:val="16"/>
                <w:color w:val="auto"/>
              </w:rPr>
              <w:t>314,892</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280" w:right="20" w:hanging="273"/>
        <w:spacing w:after="0" w:line="182" w:lineRule="auto"/>
        <w:tabs>
          <w:tab w:leader="none" w:pos="280" w:val="left"/>
        </w:tabs>
        <w:numPr>
          <w:ilvl w:val="0"/>
          <w:numId w:val="133"/>
        </w:numPr>
        <w:rPr>
          <w:rFonts w:ascii="Arial" w:cs="Arial" w:eastAsia="Arial" w:hAnsi="Arial"/>
          <w:sz w:val="24"/>
          <w:szCs w:val="24"/>
          <w:color w:val="auto"/>
          <w:vertAlign w:val="superscript"/>
        </w:rPr>
      </w:pPr>
      <w:r>
        <w:rPr>
          <w:rFonts w:ascii="Arial" w:cs="Arial" w:eastAsia="Arial" w:hAnsi="Arial"/>
          <w:sz w:val="14"/>
          <w:szCs w:val="14"/>
          <w:color w:val="auto"/>
        </w:rPr>
        <w:t>Represents the target and maximum payouts with respect to the AIP for 2021. There are no threshold or minimum payouts under the AIP. For additional information regarding the AIP, see “Compensation Discussion and Analysis–Variable Compensation–Annual Cash Incentives” above.</w:t>
      </w:r>
    </w:p>
    <w:p>
      <w:pPr>
        <w:spacing w:after="0" w:line="43" w:lineRule="exact"/>
        <w:rPr>
          <w:rFonts w:ascii="Arial" w:cs="Arial" w:eastAsia="Arial" w:hAnsi="Arial"/>
          <w:sz w:val="24"/>
          <w:szCs w:val="24"/>
          <w:color w:val="auto"/>
          <w:vertAlign w:val="superscript"/>
        </w:rPr>
      </w:pPr>
    </w:p>
    <w:p>
      <w:pPr>
        <w:ind w:left="280" w:right="380" w:hanging="273"/>
        <w:spacing w:after="0" w:line="182" w:lineRule="auto"/>
        <w:tabs>
          <w:tab w:leader="none" w:pos="280" w:val="left"/>
        </w:tabs>
        <w:numPr>
          <w:ilvl w:val="0"/>
          <w:numId w:val="133"/>
        </w:numPr>
        <w:rPr>
          <w:rFonts w:ascii="Arial" w:cs="Arial" w:eastAsia="Arial" w:hAnsi="Arial"/>
          <w:sz w:val="24"/>
          <w:szCs w:val="24"/>
          <w:color w:val="auto"/>
          <w:vertAlign w:val="superscript"/>
        </w:rPr>
      </w:pPr>
      <w:r>
        <w:rPr>
          <w:rFonts w:ascii="Arial" w:cs="Arial" w:eastAsia="Arial" w:hAnsi="Arial"/>
          <w:sz w:val="14"/>
          <w:szCs w:val="14"/>
          <w:color w:val="auto"/>
        </w:rPr>
        <w:t>AIP payment for Mr. Pettit was paid in British pounds sterling and converted to U.S. dollars using the 2021 fiscal year average of daily spot rates of £1 to $1.375710. Mr. Pettit’s 2021 AIP payment was £1,238,139.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56515</wp:posOffset>
            </wp:positionV>
            <wp:extent cx="7154545" cy="209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00" w:type="dxa"/>
            <w:vAlign w:val="bottom"/>
            <w:tcBorders>
              <w:right w:val="single" w:sz="8" w:color="16479F"/>
            </w:tcBorders>
          </w:tcPr>
          <w:p>
            <w:pPr>
              <w:ind w:left="8740"/>
              <w:spacing w:after="0"/>
              <w:rPr>
                <w:sz w:val="20"/>
                <w:szCs w:val="20"/>
                <w:color w:val="auto"/>
              </w:rPr>
            </w:pPr>
            <w:r>
              <w:rPr>
                <w:rFonts w:ascii="Arial" w:cs="Arial" w:eastAsia="Arial" w:hAnsi="Arial"/>
                <w:sz w:val="14"/>
                <w:szCs w:val="14"/>
                <w:b w:val="1"/>
                <w:bCs w:val="1"/>
                <w:color w:val="16479F"/>
              </w:rPr>
              <w:t>2022 PROXY STATEMENT</w:t>
            </w:r>
          </w:p>
        </w:tc>
        <w:tc>
          <w:tcPr>
            <w:tcW w:w="640" w:type="dxa"/>
            <w:vAlign w:val="bottom"/>
          </w:tcPr>
          <w:p>
            <w:pPr>
              <w:jc w:val="right"/>
              <w:ind w:right="9"/>
              <w:spacing w:after="0"/>
              <w:rPr>
                <w:sz w:val="20"/>
                <w:szCs w:val="20"/>
                <w:color w:val="auto"/>
              </w:rPr>
            </w:pPr>
            <w:r>
              <w:rPr>
                <w:rFonts w:ascii="Arial" w:cs="Arial" w:eastAsia="Arial" w:hAnsi="Arial"/>
                <w:sz w:val="14"/>
                <w:szCs w:val="14"/>
                <w:b w:val="1"/>
                <w:bCs w:val="1"/>
                <w:color w:val="16479F"/>
              </w:rPr>
              <w:t>89</w:t>
            </w:r>
          </w:p>
        </w:tc>
      </w:tr>
      <w:tr>
        <w:trPr>
          <w:trHeight w:val="65"/>
        </w:trPr>
        <w:tc>
          <w:tcPr>
            <w:tcW w:w="10600" w:type="dxa"/>
            <w:vAlign w:val="bottom"/>
            <w:tcBorders>
              <w:bottom w:val="single" w:sz="8" w:color="16479F"/>
              <w:right w:val="single" w:sz="8" w:color="16479F"/>
            </w:tcBorders>
          </w:tcPr>
          <w:p>
            <w:pPr>
              <w:spacing w:after="0"/>
              <w:rPr>
                <w:sz w:val="5"/>
                <w:szCs w:val="5"/>
                <w:color w:val="auto"/>
              </w:rPr>
            </w:pPr>
          </w:p>
        </w:tc>
        <w:tc>
          <w:tcPr>
            <w:tcW w:w="640" w:type="dxa"/>
            <w:vAlign w:val="bottom"/>
            <w:tcBorders>
              <w:bottom w:val="single" w:sz="8" w:color="16479F"/>
            </w:tcBorders>
          </w:tcPr>
          <w:p>
            <w:pPr>
              <w:spacing w:after="0"/>
              <w:rPr>
                <w:sz w:val="5"/>
                <w:szCs w:val="5"/>
                <w:color w:val="auto"/>
              </w:rPr>
            </w:pPr>
          </w:p>
        </w:tc>
      </w:tr>
    </w:tbl>
    <w:p>
      <w:pPr>
        <w:spacing w:after="0" w:line="58" w:lineRule="exact"/>
        <w:rPr>
          <w:sz w:val="20"/>
          <w:szCs w:val="20"/>
          <w:color w:val="auto"/>
        </w:rPr>
      </w:pPr>
    </w:p>
    <w:p>
      <w:pPr>
        <w:ind w:left="280" w:right="20" w:hanging="273"/>
        <w:spacing w:after="0" w:line="182" w:lineRule="auto"/>
        <w:tabs>
          <w:tab w:leader="none" w:pos="280" w:val="left"/>
        </w:tabs>
        <w:numPr>
          <w:ilvl w:val="0"/>
          <w:numId w:val="134"/>
        </w:numPr>
        <w:rPr>
          <w:rFonts w:ascii="Arial" w:cs="Arial" w:eastAsia="Arial" w:hAnsi="Arial"/>
          <w:sz w:val="24"/>
          <w:szCs w:val="24"/>
          <w:color w:val="auto"/>
          <w:vertAlign w:val="superscript"/>
        </w:rPr>
      </w:pPr>
      <w:r>
        <w:rPr>
          <w:rFonts w:ascii="Arial" w:cs="Arial" w:eastAsia="Arial" w:hAnsi="Arial"/>
          <w:sz w:val="14"/>
          <w:szCs w:val="14"/>
          <w:color w:val="auto"/>
        </w:rPr>
        <w:t>Represents service vesting RSUs granted during 2021. The RSUs vest in three annual installments of 34%, 33% and 33% on each of the first three anniversaries of the grant date, subject to continued service through each applicable vesting date.</w:t>
      </w:r>
    </w:p>
    <w:p>
      <w:pPr>
        <w:spacing w:after="0" w:line="43" w:lineRule="exact"/>
        <w:rPr>
          <w:rFonts w:ascii="Arial" w:cs="Arial" w:eastAsia="Arial" w:hAnsi="Arial"/>
          <w:sz w:val="24"/>
          <w:szCs w:val="24"/>
          <w:color w:val="auto"/>
          <w:vertAlign w:val="superscript"/>
        </w:rPr>
      </w:pPr>
    </w:p>
    <w:p>
      <w:pPr>
        <w:ind w:left="280" w:right="520" w:hanging="273"/>
        <w:spacing w:after="0" w:line="197" w:lineRule="auto"/>
        <w:tabs>
          <w:tab w:leader="none" w:pos="280" w:val="left"/>
        </w:tabs>
        <w:numPr>
          <w:ilvl w:val="0"/>
          <w:numId w:val="134"/>
        </w:numPr>
        <w:rPr>
          <w:rFonts w:ascii="Arial" w:cs="Arial" w:eastAsia="Arial" w:hAnsi="Arial"/>
          <w:sz w:val="24"/>
          <w:szCs w:val="24"/>
          <w:color w:val="auto"/>
          <w:vertAlign w:val="superscript"/>
        </w:rPr>
      </w:pPr>
      <w:r>
        <w:rPr>
          <w:rFonts w:ascii="Arial" w:cs="Arial" w:eastAsia="Arial" w:hAnsi="Arial"/>
          <w:sz w:val="14"/>
          <w:szCs w:val="14"/>
          <w:color w:val="auto"/>
        </w:rPr>
        <w:t>Represents 3-Year PSUs granted during 2021, which cliff-vest at the end of a three-year performance cycle from February 2, 2021 to February 1, 2024, based on achievement of a TSR CAGR performance metric and subject to continued service through the last day of the performance period. The actual number of PSUs will be determined at the end of the performance period and may be adjusted down to 0% or up to 300% of the target amount.</w:t>
      </w:r>
    </w:p>
    <w:p>
      <w:pPr>
        <w:spacing w:after="0" w:line="44" w:lineRule="exact"/>
        <w:rPr>
          <w:rFonts w:ascii="Arial" w:cs="Arial" w:eastAsia="Arial" w:hAnsi="Arial"/>
          <w:sz w:val="24"/>
          <w:szCs w:val="24"/>
          <w:color w:val="auto"/>
          <w:vertAlign w:val="superscript"/>
        </w:rPr>
      </w:pPr>
    </w:p>
    <w:p>
      <w:pPr>
        <w:ind w:left="280" w:right="60" w:hanging="273"/>
        <w:spacing w:after="0" w:line="197" w:lineRule="auto"/>
        <w:tabs>
          <w:tab w:leader="none" w:pos="280" w:val="left"/>
        </w:tabs>
        <w:numPr>
          <w:ilvl w:val="0"/>
          <w:numId w:val="134"/>
        </w:numPr>
        <w:rPr>
          <w:rFonts w:ascii="Arial" w:cs="Arial" w:eastAsia="Arial" w:hAnsi="Arial"/>
          <w:sz w:val="24"/>
          <w:szCs w:val="24"/>
          <w:color w:val="auto"/>
          <w:vertAlign w:val="superscript"/>
        </w:rPr>
      </w:pPr>
      <w:r>
        <w:rPr>
          <w:rFonts w:ascii="Arial" w:cs="Arial" w:eastAsia="Arial" w:hAnsi="Arial"/>
          <w:sz w:val="14"/>
          <w:szCs w:val="14"/>
          <w:color w:val="auto"/>
        </w:rPr>
        <w:t>Represents 5-Year PSUs granted during 2021, which cliff-vest at the end of a five-year performance cycle from February 2, 2021 to February 1, 2026, based on achievement of a TSR CAGR performance metric and subject to continued service through the last day of the performance period. The actual number of PSUs will be determined at the end of the performance period and may be adjusted down to 0% or up to 200% of the target amount.</w:t>
      </w:r>
    </w:p>
    <w:p>
      <w:pPr>
        <w:spacing w:after="0" w:line="1" w:lineRule="exact"/>
        <w:rPr>
          <w:rFonts w:ascii="Arial" w:cs="Arial" w:eastAsia="Arial" w:hAnsi="Arial"/>
          <w:sz w:val="24"/>
          <w:szCs w:val="24"/>
          <w:color w:val="auto"/>
          <w:vertAlign w:val="superscript"/>
        </w:rPr>
      </w:pPr>
    </w:p>
    <w:p>
      <w:pPr>
        <w:ind w:left="280" w:hanging="273"/>
        <w:spacing w:after="0" w:line="186" w:lineRule="auto"/>
        <w:tabs>
          <w:tab w:leader="none" w:pos="280" w:val="left"/>
        </w:tabs>
        <w:numPr>
          <w:ilvl w:val="0"/>
          <w:numId w:val="134"/>
        </w:numPr>
        <w:rPr>
          <w:rFonts w:ascii="Arial" w:cs="Arial" w:eastAsia="Arial" w:hAnsi="Arial"/>
          <w:sz w:val="24"/>
          <w:szCs w:val="24"/>
          <w:color w:val="auto"/>
          <w:vertAlign w:val="superscript"/>
        </w:rPr>
      </w:pPr>
      <w:r>
        <w:rPr>
          <w:rFonts w:ascii="Arial" w:cs="Arial" w:eastAsia="Arial" w:hAnsi="Arial"/>
          <w:sz w:val="14"/>
          <w:szCs w:val="14"/>
          <w:color w:val="auto"/>
        </w:rPr>
        <w:t>Represents one-time retention RSUs granted to Mr. Crum in early 2021 in recognition of his leadership and dedication supporting our employees during the pandemic.</w:t>
      </w:r>
    </w:p>
    <w:p>
      <w:pPr>
        <w:spacing w:after="0" w:line="43" w:lineRule="exact"/>
        <w:rPr>
          <w:rFonts w:ascii="Arial" w:cs="Arial" w:eastAsia="Arial" w:hAnsi="Arial"/>
          <w:sz w:val="24"/>
          <w:szCs w:val="24"/>
          <w:color w:val="auto"/>
          <w:vertAlign w:val="superscript"/>
        </w:rPr>
      </w:pPr>
    </w:p>
    <w:p>
      <w:pPr>
        <w:ind w:left="280" w:right="80" w:hanging="273"/>
        <w:spacing w:after="0" w:line="212" w:lineRule="auto"/>
        <w:tabs>
          <w:tab w:leader="none" w:pos="280" w:val="left"/>
        </w:tabs>
        <w:numPr>
          <w:ilvl w:val="0"/>
          <w:numId w:val="134"/>
        </w:numPr>
        <w:rPr>
          <w:rFonts w:ascii="Arial" w:cs="Arial" w:eastAsia="Arial" w:hAnsi="Arial"/>
          <w:sz w:val="24"/>
          <w:szCs w:val="24"/>
          <w:color w:val="auto"/>
          <w:vertAlign w:val="superscript"/>
        </w:rPr>
      </w:pPr>
      <w:r>
        <w:rPr>
          <w:rFonts w:ascii="Arial" w:cs="Arial" w:eastAsia="Arial" w:hAnsi="Arial"/>
          <w:sz w:val="14"/>
          <w:szCs w:val="14"/>
          <w:color w:val="auto"/>
        </w:rPr>
        <w:t>Represents the grant date fair value of stock awards as computed in accordance with FASB ASC Subtopic 718-10. The grant date fair value for these stock awards was based on the closing price of MSCI’s common shares on the trading day preceding the grant date or service inception date as the case may be. For PSUs, the grant date fair value is based on the probable outcome of the performance conditions as of the grant date, consistent with the estimate of aggregate compensation cost to be recognized over the service period determined as of the grant date under FASB ASC Subtopic 718-10. For the values of these PSUs, assuming attainment of the maximum level of the performance conditions, see footnote 2 to the “Summary Compensation Table” above.</w:t>
      </w:r>
    </w:p>
    <w:p>
      <w:pPr>
        <w:spacing w:after="0" w:line="165"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Outstanding Equity Awards at Fiscal Year-End</w:t>
      </w:r>
    </w:p>
    <w:p>
      <w:pPr>
        <w:spacing w:after="0" w:line="249" w:lineRule="exact"/>
        <w:rPr>
          <w:sz w:val="20"/>
          <w:szCs w:val="20"/>
          <w:color w:val="auto"/>
        </w:rPr>
      </w:pPr>
    </w:p>
    <w:p>
      <w:pPr>
        <w:ind w:right="580"/>
        <w:spacing w:after="0" w:line="256" w:lineRule="auto"/>
        <w:rPr>
          <w:sz w:val="20"/>
          <w:szCs w:val="20"/>
          <w:color w:val="auto"/>
        </w:rPr>
      </w:pPr>
      <w:r>
        <w:rPr>
          <w:rFonts w:ascii="Arial" w:cs="Arial" w:eastAsia="Arial" w:hAnsi="Arial"/>
          <w:sz w:val="16"/>
          <w:szCs w:val="16"/>
          <w:color w:val="auto"/>
        </w:rPr>
        <w:t>The following table shows the number of shares covered by exercisable and unexercisable outstanding RSUs and PSUs held by each of our NEOs on December 31, 2021, which units remain subject to forfeiture and cancellation provisions.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00" w:type="dxa"/>
            <w:vAlign w:val="bottom"/>
          </w:tcPr>
          <w:p>
            <w:pPr>
              <w:spacing w:after="0"/>
              <w:rPr>
                <w:sz w:val="16"/>
                <w:szCs w:val="16"/>
                <w:color w:val="auto"/>
              </w:rPr>
            </w:pPr>
          </w:p>
        </w:tc>
        <w:tc>
          <w:tcPr>
            <w:tcW w:w="840" w:type="dxa"/>
            <w:vAlign w:val="bottom"/>
            <w:tcBorders>
              <w:bottom w:val="single" w:sz="8" w:color="16479F"/>
            </w:tcBorders>
          </w:tcPr>
          <w:p>
            <w:pPr>
              <w:spacing w:after="0"/>
              <w:rPr>
                <w:sz w:val="16"/>
                <w:szCs w:val="16"/>
                <w:color w:val="auto"/>
              </w:rPr>
            </w:pPr>
          </w:p>
        </w:tc>
        <w:tc>
          <w:tcPr>
            <w:tcW w:w="2060" w:type="dxa"/>
            <w:vAlign w:val="bottom"/>
            <w:tcBorders>
              <w:bottom w:val="single" w:sz="8" w:color="16479F"/>
            </w:tcBorders>
            <w:gridSpan w:val="2"/>
          </w:tcPr>
          <w:p>
            <w:pPr>
              <w:jc w:val="right"/>
              <w:ind w:right="387"/>
              <w:spacing w:after="0"/>
              <w:rPr>
                <w:sz w:val="20"/>
                <w:szCs w:val="20"/>
                <w:color w:val="auto"/>
              </w:rPr>
            </w:pPr>
            <w:r>
              <w:rPr>
                <w:rFonts w:ascii="Arial" w:cs="Arial" w:eastAsia="Arial" w:hAnsi="Arial"/>
                <w:sz w:val="14"/>
                <w:szCs w:val="14"/>
                <w:b w:val="1"/>
                <w:bCs w:val="1"/>
                <w:color w:val="auto"/>
              </w:rPr>
              <w:t>Stock Awards</w:t>
            </w:r>
          </w:p>
        </w:tc>
        <w:tc>
          <w:tcPr>
            <w:tcW w:w="1040" w:type="dxa"/>
            <w:vAlign w:val="bottom"/>
            <w:tcBorders>
              <w:bottom w:val="single" w:sz="8" w:color="16479F"/>
            </w:tcBorders>
          </w:tcPr>
          <w:p>
            <w:pPr>
              <w:spacing w:after="0"/>
              <w:rPr>
                <w:sz w:val="16"/>
                <w:szCs w:val="16"/>
                <w:color w:val="auto"/>
              </w:rPr>
            </w:pPr>
          </w:p>
        </w:tc>
      </w:tr>
      <w:tr>
        <w:trPr>
          <w:trHeight w:val="173"/>
        </w:trPr>
        <w:tc>
          <w:tcPr>
            <w:tcW w:w="7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Equity</w:t>
            </w:r>
          </w:p>
        </w:tc>
      </w:tr>
      <w:tr>
        <w:trPr>
          <w:trHeight w:val="161"/>
        </w:trPr>
        <w:tc>
          <w:tcPr>
            <w:tcW w:w="7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20" w:type="dxa"/>
            <w:vAlign w:val="bottom"/>
          </w:tcPr>
          <w:p>
            <w:pPr>
              <w:jc w:val="right"/>
              <w:ind w:right="47"/>
              <w:spacing w:after="0"/>
              <w:rPr>
                <w:sz w:val="20"/>
                <w:szCs w:val="20"/>
                <w:color w:val="auto"/>
              </w:rPr>
            </w:pPr>
            <w:r>
              <w:rPr>
                <w:rFonts w:ascii="Arial" w:cs="Arial" w:eastAsia="Arial" w:hAnsi="Arial"/>
                <w:sz w:val="14"/>
                <w:szCs w:val="14"/>
                <w:b w:val="1"/>
                <w:bCs w:val="1"/>
                <w:color w:val="auto"/>
              </w:rPr>
              <w:t>Equity</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Incentive</w:t>
            </w:r>
          </w:p>
        </w:tc>
      </w:tr>
      <w:tr>
        <w:trPr>
          <w:trHeight w:val="161"/>
        </w:trPr>
        <w:tc>
          <w:tcPr>
            <w:tcW w:w="7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20" w:type="dxa"/>
            <w:vAlign w:val="bottom"/>
          </w:tcPr>
          <w:p>
            <w:pPr>
              <w:jc w:val="right"/>
              <w:ind w:right="47"/>
              <w:spacing w:after="0"/>
              <w:rPr>
                <w:sz w:val="20"/>
                <w:szCs w:val="20"/>
                <w:color w:val="auto"/>
              </w:rPr>
            </w:pPr>
            <w:r>
              <w:rPr>
                <w:rFonts w:ascii="Arial" w:cs="Arial" w:eastAsia="Arial" w:hAnsi="Arial"/>
                <w:sz w:val="14"/>
                <w:szCs w:val="14"/>
                <w:b w:val="1"/>
                <w:bCs w:val="1"/>
                <w:color w:val="auto"/>
              </w:rPr>
              <w:t>Incentive</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Plan Awards:</w:t>
            </w:r>
          </w:p>
        </w:tc>
      </w:tr>
      <w:tr>
        <w:trPr>
          <w:trHeight w:val="161"/>
        </w:trPr>
        <w:tc>
          <w:tcPr>
            <w:tcW w:w="7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20" w:type="dxa"/>
            <w:vAlign w:val="bottom"/>
          </w:tcPr>
          <w:p>
            <w:pPr>
              <w:jc w:val="right"/>
              <w:ind w:right="47"/>
              <w:spacing w:after="0"/>
              <w:rPr>
                <w:sz w:val="20"/>
                <w:szCs w:val="20"/>
                <w:color w:val="auto"/>
              </w:rPr>
            </w:pPr>
            <w:r>
              <w:rPr>
                <w:rFonts w:ascii="Arial" w:cs="Arial" w:eastAsia="Arial" w:hAnsi="Arial"/>
                <w:sz w:val="14"/>
                <w:szCs w:val="14"/>
                <w:b w:val="1"/>
                <w:bCs w:val="1"/>
                <w:color w:val="auto"/>
              </w:rPr>
              <w:t>Plan Awards:</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Market or</w:t>
            </w:r>
          </w:p>
        </w:tc>
      </w:tr>
      <w:tr>
        <w:trPr>
          <w:trHeight w:val="161"/>
        </w:trPr>
        <w:tc>
          <w:tcPr>
            <w:tcW w:w="7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jc w:val="right"/>
              <w:ind w:right="46"/>
              <w:spacing w:after="0"/>
              <w:rPr>
                <w:sz w:val="20"/>
                <w:szCs w:val="20"/>
                <w:color w:val="auto"/>
              </w:rPr>
            </w:pPr>
            <w:r>
              <w:rPr>
                <w:rFonts w:ascii="Arial" w:cs="Arial" w:eastAsia="Arial" w:hAnsi="Arial"/>
                <w:sz w:val="14"/>
                <w:szCs w:val="14"/>
                <w:b w:val="1"/>
                <w:bCs w:val="1"/>
                <w:color w:val="auto"/>
              </w:rPr>
              <w:t>Market</w:t>
            </w:r>
          </w:p>
        </w:tc>
        <w:tc>
          <w:tcPr>
            <w:tcW w:w="1120" w:type="dxa"/>
            <w:vAlign w:val="bottom"/>
          </w:tcPr>
          <w:p>
            <w:pPr>
              <w:jc w:val="right"/>
              <w:ind w:right="47"/>
              <w:spacing w:after="0"/>
              <w:rPr>
                <w:sz w:val="20"/>
                <w:szCs w:val="20"/>
                <w:color w:val="auto"/>
              </w:rPr>
            </w:pPr>
            <w:r>
              <w:rPr>
                <w:rFonts w:ascii="Arial" w:cs="Arial" w:eastAsia="Arial" w:hAnsi="Arial"/>
                <w:sz w:val="14"/>
                <w:szCs w:val="14"/>
                <w:b w:val="1"/>
                <w:bCs w:val="1"/>
                <w:color w:val="auto"/>
              </w:rPr>
              <w:t>Number of</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Payout Value</w:t>
            </w:r>
          </w:p>
        </w:tc>
      </w:tr>
      <w:tr>
        <w:trPr>
          <w:trHeight w:val="161"/>
        </w:trPr>
        <w:tc>
          <w:tcPr>
            <w:tcW w:w="7300" w:type="dxa"/>
            <w:vAlign w:val="bottom"/>
          </w:tcPr>
          <w:p>
            <w:pPr>
              <w:spacing w:after="0"/>
              <w:rPr>
                <w:sz w:val="13"/>
                <w:szCs w:val="13"/>
                <w:color w:val="auto"/>
              </w:rPr>
            </w:pPr>
          </w:p>
        </w:tc>
        <w:tc>
          <w:tcPr>
            <w:tcW w:w="840" w:type="dxa"/>
            <w:vAlign w:val="bottom"/>
          </w:tcPr>
          <w:p>
            <w:pPr>
              <w:jc w:val="right"/>
              <w:ind w:right="46"/>
              <w:spacing w:after="0"/>
              <w:rPr>
                <w:sz w:val="20"/>
                <w:szCs w:val="20"/>
                <w:color w:val="auto"/>
              </w:rPr>
            </w:pPr>
            <w:r>
              <w:rPr>
                <w:rFonts w:ascii="Arial" w:cs="Arial" w:eastAsia="Arial" w:hAnsi="Arial"/>
                <w:sz w:val="14"/>
                <w:szCs w:val="14"/>
                <w:b w:val="1"/>
                <w:bCs w:val="1"/>
                <w:color w:val="auto"/>
              </w:rPr>
              <w:t>Number</w:t>
            </w:r>
          </w:p>
        </w:tc>
        <w:tc>
          <w:tcPr>
            <w:tcW w:w="940" w:type="dxa"/>
            <w:vAlign w:val="bottom"/>
          </w:tcPr>
          <w:p>
            <w:pPr>
              <w:jc w:val="right"/>
              <w:ind w:right="46"/>
              <w:spacing w:after="0"/>
              <w:rPr>
                <w:sz w:val="20"/>
                <w:szCs w:val="20"/>
                <w:color w:val="auto"/>
              </w:rPr>
            </w:pPr>
            <w:r>
              <w:rPr>
                <w:rFonts w:ascii="Arial" w:cs="Arial" w:eastAsia="Arial" w:hAnsi="Arial"/>
                <w:sz w:val="14"/>
                <w:szCs w:val="14"/>
                <w:b w:val="1"/>
                <w:bCs w:val="1"/>
                <w:color w:val="auto"/>
              </w:rPr>
              <w:t>Value of</w:t>
            </w:r>
          </w:p>
        </w:tc>
        <w:tc>
          <w:tcPr>
            <w:tcW w:w="1120" w:type="dxa"/>
            <w:vAlign w:val="bottom"/>
          </w:tcPr>
          <w:p>
            <w:pPr>
              <w:jc w:val="right"/>
              <w:ind w:right="47"/>
              <w:spacing w:after="0"/>
              <w:rPr>
                <w:sz w:val="20"/>
                <w:szCs w:val="20"/>
                <w:color w:val="auto"/>
              </w:rPr>
            </w:pPr>
            <w:r>
              <w:rPr>
                <w:rFonts w:ascii="Arial" w:cs="Arial" w:eastAsia="Arial" w:hAnsi="Arial"/>
                <w:sz w:val="14"/>
                <w:szCs w:val="14"/>
                <w:b w:val="1"/>
                <w:bCs w:val="1"/>
                <w:color w:val="auto"/>
              </w:rPr>
              <w:t>Unearned</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of Unearned</w:t>
            </w:r>
          </w:p>
        </w:tc>
      </w:tr>
      <w:tr>
        <w:trPr>
          <w:trHeight w:val="161"/>
        </w:trPr>
        <w:tc>
          <w:tcPr>
            <w:tcW w:w="7300" w:type="dxa"/>
            <w:vAlign w:val="bottom"/>
          </w:tcPr>
          <w:p>
            <w:pPr>
              <w:spacing w:after="0"/>
              <w:rPr>
                <w:sz w:val="13"/>
                <w:szCs w:val="13"/>
                <w:color w:val="auto"/>
              </w:rPr>
            </w:pPr>
          </w:p>
        </w:tc>
        <w:tc>
          <w:tcPr>
            <w:tcW w:w="840" w:type="dxa"/>
            <w:vAlign w:val="bottom"/>
          </w:tcPr>
          <w:p>
            <w:pPr>
              <w:jc w:val="right"/>
              <w:ind w:right="46"/>
              <w:spacing w:after="0"/>
              <w:rPr>
                <w:sz w:val="20"/>
                <w:szCs w:val="20"/>
                <w:color w:val="auto"/>
              </w:rPr>
            </w:pPr>
            <w:r>
              <w:rPr>
                <w:rFonts w:ascii="Arial" w:cs="Arial" w:eastAsia="Arial" w:hAnsi="Arial"/>
                <w:sz w:val="14"/>
                <w:szCs w:val="14"/>
                <w:b w:val="1"/>
                <w:bCs w:val="1"/>
                <w:color w:val="auto"/>
              </w:rPr>
              <w:t>of Shares</w:t>
            </w:r>
          </w:p>
        </w:tc>
        <w:tc>
          <w:tcPr>
            <w:tcW w:w="940" w:type="dxa"/>
            <w:vAlign w:val="bottom"/>
          </w:tcPr>
          <w:p>
            <w:pPr>
              <w:jc w:val="right"/>
              <w:ind w:right="46"/>
              <w:spacing w:after="0"/>
              <w:rPr>
                <w:sz w:val="20"/>
                <w:szCs w:val="20"/>
                <w:color w:val="auto"/>
              </w:rPr>
            </w:pPr>
            <w:r>
              <w:rPr>
                <w:rFonts w:ascii="Arial" w:cs="Arial" w:eastAsia="Arial" w:hAnsi="Arial"/>
                <w:sz w:val="14"/>
                <w:szCs w:val="14"/>
                <w:b w:val="1"/>
                <w:bCs w:val="1"/>
                <w:color w:val="auto"/>
              </w:rPr>
              <w:t>Shares or</w:t>
            </w:r>
          </w:p>
        </w:tc>
        <w:tc>
          <w:tcPr>
            <w:tcW w:w="1120" w:type="dxa"/>
            <w:vAlign w:val="bottom"/>
          </w:tcPr>
          <w:p>
            <w:pPr>
              <w:jc w:val="right"/>
              <w:ind w:right="47"/>
              <w:spacing w:after="0"/>
              <w:rPr>
                <w:sz w:val="20"/>
                <w:szCs w:val="20"/>
                <w:color w:val="auto"/>
              </w:rPr>
            </w:pPr>
            <w:r>
              <w:rPr>
                <w:rFonts w:ascii="Arial" w:cs="Arial" w:eastAsia="Arial" w:hAnsi="Arial"/>
                <w:sz w:val="14"/>
                <w:szCs w:val="14"/>
                <w:b w:val="1"/>
                <w:bCs w:val="1"/>
                <w:color w:val="auto"/>
              </w:rPr>
              <w:t>Shares, Units</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Shares,</w:t>
            </w:r>
          </w:p>
        </w:tc>
      </w:tr>
      <w:tr>
        <w:trPr>
          <w:trHeight w:val="161"/>
        </w:trPr>
        <w:tc>
          <w:tcPr>
            <w:tcW w:w="7300" w:type="dxa"/>
            <w:vAlign w:val="bottom"/>
          </w:tcPr>
          <w:p>
            <w:pPr>
              <w:spacing w:after="0"/>
              <w:rPr>
                <w:sz w:val="13"/>
                <w:szCs w:val="13"/>
                <w:color w:val="auto"/>
              </w:rPr>
            </w:pPr>
          </w:p>
        </w:tc>
        <w:tc>
          <w:tcPr>
            <w:tcW w:w="840" w:type="dxa"/>
            <w:vAlign w:val="bottom"/>
          </w:tcPr>
          <w:p>
            <w:pPr>
              <w:jc w:val="right"/>
              <w:ind w:right="46"/>
              <w:spacing w:after="0"/>
              <w:rPr>
                <w:sz w:val="20"/>
                <w:szCs w:val="20"/>
                <w:color w:val="auto"/>
              </w:rPr>
            </w:pPr>
            <w:r>
              <w:rPr>
                <w:rFonts w:ascii="Arial" w:cs="Arial" w:eastAsia="Arial" w:hAnsi="Arial"/>
                <w:sz w:val="14"/>
                <w:szCs w:val="14"/>
                <w:b w:val="1"/>
                <w:bCs w:val="1"/>
                <w:color w:val="auto"/>
                <w:w w:val="99"/>
              </w:rPr>
              <w:t>or Units of</w:t>
            </w:r>
          </w:p>
        </w:tc>
        <w:tc>
          <w:tcPr>
            <w:tcW w:w="940" w:type="dxa"/>
            <w:vAlign w:val="bottom"/>
          </w:tcPr>
          <w:p>
            <w:pPr>
              <w:jc w:val="right"/>
              <w:ind w:right="46"/>
              <w:spacing w:after="0"/>
              <w:rPr>
                <w:sz w:val="20"/>
                <w:szCs w:val="20"/>
                <w:color w:val="auto"/>
              </w:rPr>
            </w:pPr>
            <w:r>
              <w:rPr>
                <w:rFonts w:ascii="Arial" w:cs="Arial" w:eastAsia="Arial" w:hAnsi="Arial"/>
                <w:sz w:val="14"/>
                <w:szCs w:val="14"/>
                <w:b w:val="1"/>
                <w:bCs w:val="1"/>
                <w:color w:val="auto"/>
              </w:rPr>
              <w:t>Units of</w:t>
            </w:r>
          </w:p>
        </w:tc>
        <w:tc>
          <w:tcPr>
            <w:tcW w:w="1120" w:type="dxa"/>
            <w:vAlign w:val="bottom"/>
          </w:tcPr>
          <w:p>
            <w:pPr>
              <w:jc w:val="right"/>
              <w:ind w:right="47"/>
              <w:spacing w:after="0"/>
              <w:rPr>
                <w:sz w:val="20"/>
                <w:szCs w:val="20"/>
                <w:color w:val="auto"/>
              </w:rPr>
            </w:pPr>
            <w:r>
              <w:rPr>
                <w:rFonts w:ascii="Arial" w:cs="Arial" w:eastAsia="Arial" w:hAnsi="Arial"/>
                <w:sz w:val="14"/>
                <w:szCs w:val="14"/>
                <w:b w:val="1"/>
                <w:bCs w:val="1"/>
                <w:color w:val="auto"/>
              </w:rPr>
              <w:t>or Other</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Units or</w:t>
            </w:r>
          </w:p>
        </w:tc>
      </w:tr>
      <w:tr>
        <w:trPr>
          <w:trHeight w:val="161"/>
        </w:trPr>
        <w:tc>
          <w:tcPr>
            <w:tcW w:w="7300" w:type="dxa"/>
            <w:vAlign w:val="bottom"/>
          </w:tcPr>
          <w:p>
            <w:pPr>
              <w:spacing w:after="0"/>
              <w:rPr>
                <w:sz w:val="13"/>
                <w:szCs w:val="13"/>
                <w:color w:val="auto"/>
              </w:rPr>
            </w:pPr>
          </w:p>
        </w:tc>
        <w:tc>
          <w:tcPr>
            <w:tcW w:w="840" w:type="dxa"/>
            <w:vAlign w:val="bottom"/>
          </w:tcPr>
          <w:p>
            <w:pPr>
              <w:jc w:val="right"/>
              <w:ind w:right="46"/>
              <w:spacing w:after="0"/>
              <w:rPr>
                <w:sz w:val="20"/>
                <w:szCs w:val="20"/>
                <w:color w:val="auto"/>
              </w:rPr>
            </w:pPr>
            <w:r>
              <w:rPr>
                <w:rFonts w:ascii="Arial" w:cs="Arial" w:eastAsia="Arial" w:hAnsi="Arial"/>
                <w:sz w:val="14"/>
                <w:szCs w:val="14"/>
                <w:b w:val="1"/>
                <w:bCs w:val="1"/>
                <w:color w:val="auto"/>
                <w:w w:val="97"/>
              </w:rPr>
              <w:t>Stock That</w:t>
            </w:r>
          </w:p>
        </w:tc>
        <w:tc>
          <w:tcPr>
            <w:tcW w:w="940" w:type="dxa"/>
            <w:vAlign w:val="bottom"/>
          </w:tcPr>
          <w:p>
            <w:pPr>
              <w:jc w:val="right"/>
              <w:ind w:right="46"/>
              <w:spacing w:after="0"/>
              <w:rPr>
                <w:sz w:val="20"/>
                <w:szCs w:val="20"/>
                <w:color w:val="auto"/>
              </w:rPr>
            </w:pPr>
            <w:r>
              <w:rPr>
                <w:rFonts w:ascii="Arial" w:cs="Arial" w:eastAsia="Arial" w:hAnsi="Arial"/>
                <w:sz w:val="14"/>
                <w:szCs w:val="14"/>
                <w:b w:val="1"/>
                <w:bCs w:val="1"/>
                <w:color w:val="auto"/>
              </w:rPr>
              <w:t>Stock That</w:t>
            </w:r>
          </w:p>
        </w:tc>
        <w:tc>
          <w:tcPr>
            <w:tcW w:w="1120" w:type="dxa"/>
            <w:vAlign w:val="bottom"/>
          </w:tcPr>
          <w:p>
            <w:pPr>
              <w:jc w:val="right"/>
              <w:ind w:right="47"/>
              <w:spacing w:after="0"/>
              <w:rPr>
                <w:sz w:val="20"/>
                <w:szCs w:val="20"/>
                <w:color w:val="auto"/>
              </w:rPr>
            </w:pPr>
            <w:r>
              <w:rPr>
                <w:rFonts w:ascii="Arial" w:cs="Arial" w:eastAsia="Arial" w:hAnsi="Arial"/>
                <w:sz w:val="14"/>
                <w:szCs w:val="14"/>
                <w:b w:val="1"/>
                <w:bCs w:val="1"/>
                <w:color w:val="auto"/>
              </w:rPr>
              <w:t>Rights That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other Rights</w:t>
            </w:r>
          </w:p>
        </w:tc>
      </w:tr>
      <w:tr>
        <w:trPr>
          <w:trHeight w:val="161"/>
        </w:trPr>
        <w:tc>
          <w:tcPr>
            <w:tcW w:w="7300" w:type="dxa"/>
            <w:vAlign w:val="bottom"/>
          </w:tcPr>
          <w:p>
            <w:pPr>
              <w:spacing w:after="0"/>
              <w:rPr>
                <w:sz w:val="13"/>
                <w:szCs w:val="13"/>
                <w:color w:val="auto"/>
              </w:rPr>
            </w:pPr>
          </w:p>
        </w:tc>
        <w:tc>
          <w:tcPr>
            <w:tcW w:w="840" w:type="dxa"/>
            <w:vAlign w:val="bottom"/>
          </w:tcPr>
          <w:p>
            <w:pPr>
              <w:jc w:val="right"/>
              <w:ind w:right="46"/>
              <w:spacing w:after="0"/>
              <w:rPr>
                <w:sz w:val="20"/>
                <w:szCs w:val="20"/>
                <w:color w:val="auto"/>
              </w:rPr>
            </w:pPr>
            <w:r>
              <w:rPr>
                <w:rFonts w:ascii="Arial" w:cs="Arial" w:eastAsia="Arial" w:hAnsi="Arial"/>
                <w:sz w:val="14"/>
                <w:szCs w:val="14"/>
                <w:b w:val="1"/>
                <w:bCs w:val="1"/>
                <w:color w:val="auto"/>
              </w:rPr>
              <w:t>Have Not</w:t>
            </w:r>
          </w:p>
        </w:tc>
        <w:tc>
          <w:tcPr>
            <w:tcW w:w="940" w:type="dxa"/>
            <w:vAlign w:val="bottom"/>
          </w:tcPr>
          <w:p>
            <w:pPr>
              <w:jc w:val="right"/>
              <w:ind w:right="46"/>
              <w:spacing w:after="0"/>
              <w:rPr>
                <w:sz w:val="20"/>
                <w:szCs w:val="20"/>
                <w:color w:val="auto"/>
              </w:rPr>
            </w:pPr>
            <w:r>
              <w:rPr>
                <w:rFonts w:ascii="Arial" w:cs="Arial" w:eastAsia="Arial" w:hAnsi="Arial"/>
                <w:sz w:val="14"/>
                <w:szCs w:val="14"/>
                <w:b w:val="1"/>
                <w:bCs w:val="1"/>
                <w:color w:val="auto"/>
              </w:rPr>
              <w:t>Have Not</w:t>
            </w:r>
          </w:p>
        </w:tc>
        <w:tc>
          <w:tcPr>
            <w:tcW w:w="1120" w:type="dxa"/>
            <w:vAlign w:val="bottom"/>
          </w:tcPr>
          <w:p>
            <w:pPr>
              <w:jc w:val="right"/>
              <w:ind w:right="47"/>
              <w:spacing w:after="0"/>
              <w:rPr>
                <w:sz w:val="20"/>
                <w:szCs w:val="20"/>
                <w:color w:val="auto"/>
              </w:rPr>
            </w:pPr>
            <w:r>
              <w:rPr>
                <w:rFonts w:ascii="Arial" w:cs="Arial" w:eastAsia="Arial" w:hAnsi="Arial"/>
                <w:sz w:val="14"/>
                <w:szCs w:val="14"/>
                <w:b w:val="1"/>
                <w:bCs w:val="1"/>
                <w:color w:val="auto"/>
              </w:rPr>
              <w:t>Have Not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That Have</w:t>
            </w:r>
          </w:p>
        </w:tc>
      </w:tr>
      <w:tr>
        <w:trPr>
          <w:trHeight w:val="159"/>
        </w:trPr>
        <w:tc>
          <w:tcPr>
            <w:tcW w:w="7300" w:type="dxa"/>
            <w:vAlign w:val="bottom"/>
          </w:tcPr>
          <w:p>
            <w:pPr>
              <w:spacing w:after="0"/>
              <w:rPr>
                <w:sz w:val="13"/>
                <w:szCs w:val="13"/>
                <w:color w:val="auto"/>
              </w:rPr>
            </w:pPr>
          </w:p>
        </w:tc>
        <w:tc>
          <w:tcPr>
            <w:tcW w:w="840" w:type="dxa"/>
            <w:vAlign w:val="bottom"/>
          </w:tcPr>
          <w:p>
            <w:pPr>
              <w:jc w:val="right"/>
              <w:ind w:right="46"/>
              <w:spacing w:after="0" w:line="159" w:lineRule="exact"/>
              <w:rPr>
                <w:sz w:val="20"/>
                <w:szCs w:val="20"/>
                <w:color w:val="auto"/>
              </w:rPr>
            </w:pPr>
            <w:r>
              <w:rPr>
                <w:rFonts w:ascii="Arial" w:cs="Arial" w:eastAsia="Arial" w:hAnsi="Arial"/>
                <w:sz w:val="14"/>
                <w:szCs w:val="14"/>
                <w:b w:val="1"/>
                <w:bCs w:val="1"/>
                <w:color w:val="auto"/>
              </w:rPr>
              <w:t>Vested</w:t>
            </w:r>
          </w:p>
        </w:tc>
        <w:tc>
          <w:tcPr>
            <w:tcW w:w="940" w:type="dxa"/>
            <w:vAlign w:val="bottom"/>
          </w:tcPr>
          <w:p>
            <w:pPr>
              <w:jc w:val="right"/>
              <w:ind w:right="46"/>
              <w:spacing w:after="0" w:line="159" w:lineRule="exact"/>
              <w:rPr>
                <w:sz w:val="20"/>
                <w:szCs w:val="20"/>
                <w:color w:val="auto"/>
              </w:rPr>
            </w:pPr>
            <w:r>
              <w:rPr>
                <w:rFonts w:ascii="Arial" w:cs="Arial" w:eastAsia="Arial" w:hAnsi="Arial"/>
                <w:sz w:val="14"/>
                <w:szCs w:val="14"/>
                <w:b w:val="1"/>
                <w:bCs w:val="1"/>
                <w:color w:val="auto"/>
              </w:rPr>
              <w:t>Vested</w:t>
            </w:r>
          </w:p>
        </w:tc>
        <w:tc>
          <w:tcPr>
            <w:tcW w:w="1120" w:type="dxa"/>
            <w:vAlign w:val="bottom"/>
          </w:tcPr>
          <w:p>
            <w:pPr>
              <w:jc w:val="right"/>
              <w:ind w:right="47"/>
              <w:spacing w:after="0" w:line="159" w:lineRule="exact"/>
              <w:rPr>
                <w:sz w:val="20"/>
                <w:szCs w:val="20"/>
                <w:color w:val="auto"/>
              </w:rPr>
            </w:pPr>
            <w:r>
              <w:rPr>
                <w:rFonts w:ascii="Arial" w:cs="Arial" w:eastAsia="Arial" w:hAnsi="Arial"/>
                <w:sz w:val="14"/>
                <w:szCs w:val="14"/>
                <w:b w:val="1"/>
                <w:bCs w:val="1"/>
                <w:color w:val="auto"/>
              </w:rPr>
              <w:t>Vested</w:t>
            </w:r>
          </w:p>
        </w:tc>
        <w:tc>
          <w:tcPr>
            <w:tcW w:w="104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Not Vested</w:t>
            </w:r>
          </w:p>
        </w:tc>
      </w:tr>
      <w:tr>
        <w:trPr>
          <w:trHeight w:val="229"/>
        </w:trPr>
        <w:tc>
          <w:tcPr>
            <w:tcW w:w="7300" w:type="dxa"/>
            <w:vAlign w:val="bottom"/>
            <w:tcBorders>
              <w:bottom w:val="single" w:sz="8" w:color="16479F"/>
            </w:tcBorders>
          </w:tcPr>
          <w:p>
            <w:pPr>
              <w:ind w:left="60"/>
              <w:spacing w:after="0"/>
              <w:rPr>
                <w:sz w:val="20"/>
                <w:szCs w:val="20"/>
                <w:color w:val="auto"/>
              </w:rPr>
            </w:pPr>
            <w:r>
              <w:rPr>
                <w:rFonts w:ascii="Arial" w:cs="Arial" w:eastAsia="Arial" w:hAnsi="Arial"/>
                <w:sz w:val="14"/>
                <w:szCs w:val="14"/>
                <w:b w:val="1"/>
                <w:bCs w:val="1"/>
                <w:color w:val="auto"/>
              </w:rPr>
              <w:t>Name</w:t>
            </w:r>
          </w:p>
        </w:tc>
        <w:tc>
          <w:tcPr>
            <w:tcW w:w="840" w:type="dxa"/>
            <w:vAlign w:val="bottom"/>
            <w:tcBorders>
              <w:bottom w:val="single" w:sz="8" w:color="16479F"/>
            </w:tcBorders>
          </w:tcPr>
          <w:p>
            <w:pPr>
              <w:jc w:val="right"/>
              <w:ind w:right="46"/>
              <w:spacing w:after="0" w:line="228"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1"/>
                <w:szCs w:val="11"/>
                <w:b w:val="1"/>
                <w:bCs w:val="1"/>
                <w:color w:val="auto"/>
              </w:rPr>
              <w:t>(1)</w:t>
            </w:r>
          </w:p>
        </w:tc>
        <w:tc>
          <w:tcPr>
            <w:tcW w:w="940" w:type="dxa"/>
            <w:vAlign w:val="bottom"/>
            <w:tcBorders>
              <w:bottom w:val="single" w:sz="8" w:color="16479F"/>
            </w:tcBorders>
          </w:tcPr>
          <w:p>
            <w:pPr>
              <w:jc w:val="right"/>
              <w:ind w:right="46"/>
              <w:spacing w:after="0" w:line="228"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1"/>
                <w:szCs w:val="11"/>
                <w:b w:val="1"/>
                <w:bCs w:val="1"/>
                <w:color w:val="auto"/>
              </w:rPr>
              <w:t>(2)</w:t>
            </w:r>
          </w:p>
        </w:tc>
        <w:tc>
          <w:tcPr>
            <w:tcW w:w="1120" w:type="dxa"/>
            <w:vAlign w:val="bottom"/>
            <w:tcBorders>
              <w:bottom w:val="single" w:sz="8" w:color="16479F"/>
            </w:tcBorders>
          </w:tcPr>
          <w:p>
            <w:pPr>
              <w:jc w:val="right"/>
              <w:ind w:right="47"/>
              <w:spacing w:after="0" w:line="228"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1"/>
                <w:szCs w:val="11"/>
                <w:b w:val="1"/>
                <w:bCs w:val="1"/>
                <w:color w:val="auto"/>
              </w:rPr>
              <w:t>(3)</w:t>
            </w:r>
          </w:p>
        </w:tc>
        <w:tc>
          <w:tcPr>
            <w:tcW w:w="1040" w:type="dxa"/>
            <w:vAlign w:val="bottom"/>
            <w:tcBorders>
              <w:bottom w:val="single" w:sz="8" w:color="16479F"/>
            </w:tcBorders>
          </w:tcPr>
          <w:p>
            <w:pPr>
              <w:jc w:val="right"/>
              <w:spacing w:after="0" w:line="228"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1"/>
                <w:szCs w:val="11"/>
                <w:b w:val="1"/>
                <w:bCs w:val="1"/>
                <w:color w:val="auto"/>
              </w:rPr>
              <w:t>(3)</w:t>
            </w:r>
          </w:p>
        </w:tc>
      </w:tr>
      <w:tr>
        <w:trPr>
          <w:trHeight w:val="234"/>
        </w:trPr>
        <w:tc>
          <w:tcPr>
            <w:tcW w:w="7300" w:type="dxa"/>
            <w:vAlign w:val="bottom"/>
            <w:shd w:val="clear" w:color="auto" w:fill="F0F1F8"/>
          </w:tcPr>
          <w:p>
            <w:pPr>
              <w:ind w:left="60"/>
              <w:spacing w:after="0"/>
              <w:rPr>
                <w:sz w:val="20"/>
                <w:szCs w:val="20"/>
                <w:color w:val="auto"/>
              </w:rPr>
            </w:pPr>
            <w:r>
              <w:rPr>
                <w:rFonts w:ascii="Arial" w:cs="Arial" w:eastAsia="Arial" w:hAnsi="Arial"/>
                <w:sz w:val="16"/>
                <w:szCs w:val="16"/>
                <w:b w:val="1"/>
                <w:bCs w:val="1"/>
                <w:color w:val="auto"/>
              </w:rPr>
              <w:t>Henry A. Fernandez</w:t>
            </w:r>
          </w:p>
        </w:tc>
        <w:tc>
          <w:tcPr>
            <w:tcW w:w="840" w:type="dxa"/>
            <w:vAlign w:val="bottom"/>
            <w:shd w:val="clear" w:color="auto" w:fill="F0F1F8"/>
          </w:tcPr>
          <w:p>
            <w:pPr>
              <w:jc w:val="right"/>
              <w:ind w:right="46"/>
              <w:spacing w:after="0"/>
              <w:rPr>
                <w:sz w:val="20"/>
                <w:szCs w:val="20"/>
                <w:color w:val="auto"/>
              </w:rPr>
            </w:pPr>
            <w:r>
              <w:rPr>
                <w:rFonts w:ascii="Arial" w:cs="Arial" w:eastAsia="Arial" w:hAnsi="Arial"/>
                <w:sz w:val="16"/>
                <w:szCs w:val="16"/>
                <w:color w:val="auto"/>
              </w:rPr>
              <w:t>—</w:t>
            </w:r>
          </w:p>
        </w:tc>
        <w:tc>
          <w:tcPr>
            <w:tcW w:w="940" w:type="dxa"/>
            <w:vAlign w:val="bottom"/>
            <w:shd w:val="clear" w:color="auto" w:fill="F0F1F8"/>
          </w:tcPr>
          <w:p>
            <w:pPr>
              <w:jc w:val="right"/>
              <w:ind w:right="46"/>
              <w:spacing w:after="0"/>
              <w:rPr>
                <w:sz w:val="20"/>
                <w:szCs w:val="20"/>
                <w:color w:val="auto"/>
              </w:rPr>
            </w:pPr>
            <w:r>
              <w:rPr>
                <w:rFonts w:ascii="Arial" w:cs="Arial" w:eastAsia="Arial" w:hAnsi="Arial"/>
                <w:sz w:val="16"/>
                <w:szCs w:val="16"/>
                <w:color w:val="auto"/>
              </w:rPr>
              <w:t>—</w:t>
            </w:r>
          </w:p>
        </w:tc>
        <w:tc>
          <w:tcPr>
            <w:tcW w:w="1120" w:type="dxa"/>
            <w:vAlign w:val="bottom"/>
            <w:shd w:val="clear" w:color="auto" w:fill="F0F1F8"/>
          </w:tcPr>
          <w:p>
            <w:pPr>
              <w:jc w:val="right"/>
              <w:ind w:right="47"/>
              <w:spacing w:after="0"/>
              <w:rPr>
                <w:sz w:val="20"/>
                <w:szCs w:val="20"/>
                <w:color w:val="auto"/>
              </w:rPr>
            </w:pPr>
            <w:r>
              <w:rPr>
                <w:rFonts w:ascii="Arial" w:cs="Arial" w:eastAsia="Arial" w:hAnsi="Arial"/>
                <w:sz w:val="16"/>
                <w:szCs w:val="16"/>
                <w:color w:val="auto"/>
              </w:rPr>
              <w:t>334,619</w:t>
            </w:r>
          </w:p>
        </w:tc>
        <w:tc>
          <w:tcPr>
            <w:tcW w:w="1040" w:type="dxa"/>
            <w:vAlign w:val="bottom"/>
            <w:shd w:val="clear" w:color="auto" w:fill="F0F1F8"/>
          </w:tcPr>
          <w:p>
            <w:pPr>
              <w:jc w:val="right"/>
              <w:spacing w:after="0"/>
              <w:rPr>
                <w:sz w:val="20"/>
                <w:szCs w:val="20"/>
                <w:color w:val="auto"/>
              </w:rPr>
            </w:pPr>
            <w:r>
              <w:rPr>
                <w:rFonts w:ascii="Arial" w:cs="Arial" w:eastAsia="Arial" w:hAnsi="Arial"/>
                <w:sz w:val="16"/>
                <w:szCs w:val="16"/>
                <w:color w:val="auto"/>
              </w:rPr>
              <w:t>205,017,715</w:t>
            </w:r>
          </w:p>
        </w:tc>
      </w:tr>
      <w:tr>
        <w:trPr>
          <w:trHeight w:val="232"/>
        </w:trPr>
        <w:tc>
          <w:tcPr>
            <w:tcW w:w="7300" w:type="dxa"/>
            <w:vAlign w:val="bottom"/>
          </w:tcPr>
          <w:p>
            <w:pPr>
              <w:ind w:left="60"/>
              <w:spacing w:after="0"/>
              <w:rPr>
                <w:sz w:val="20"/>
                <w:szCs w:val="20"/>
                <w:color w:val="auto"/>
              </w:rPr>
            </w:pPr>
            <w:r>
              <w:rPr>
                <w:rFonts w:ascii="Arial" w:cs="Arial" w:eastAsia="Arial" w:hAnsi="Arial"/>
                <w:sz w:val="16"/>
                <w:szCs w:val="16"/>
                <w:b w:val="1"/>
                <w:bCs w:val="1"/>
                <w:color w:val="auto"/>
              </w:rPr>
              <w:t>Andrew C. Wiechmann</w:t>
            </w:r>
          </w:p>
        </w:tc>
        <w:tc>
          <w:tcPr>
            <w:tcW w:w="840" w:type="dxa"/>
            <w:vAlign w:val="bottom"/>
          </w:tcPr>
          <w:p>
            <w:pPr>
              <w:jc w:val="right"/>
              <w:ind w:right="46"/>
              <w:spacing w:after="0"/>
              <w:rPr>
                <w:sz w:val="20"/>
                <w:szCs w:val="20"/>
                <w:color w:val="auto"/>
              </w:rPr>
            </w:pPr>
            <w:r>
              <w:rPr>
                <w:rFonts w:ascii="Arial" w:cs="Arial" w:eastAsia="Arial" w:hAnsi="Arial"/>
                <w:sz w:val="16"/>
                <w:szCs w:val="16"/>
                <w:color w:val="auto"/>
              </w:rPr>
              <w:t>3,995</w:t>
            </w:r>
          </w:p>
        </w:tc>
        <w:tc>
          <w:tcPr>
            <w:tcW w:w="940" w:type="dxa"/>
            <w:vAlign w:val="bottom"/>
          </w:tcPr>
          <w:p>
            <w:pPr>
              <w:jc w:val="right"/>
              <w:ind w:right="46"/>
              <w:spacing w:after="0"/>
              <w:rPr>
                <w:sz w:val="20"/>
                <w:szCs w:val="20"/>
                <w:color w:val="auto"/>
              </w:rPr>
            </w:pPr>
            <w:r>
              <w:rPr>
                <w:rFonts w:ascii="Arial" w:cs="Arial" w:eastAsia="Arial" w:hAnsi="Arial"/>
                <w:sz w:val="16"/>
                <w:szCs w:val="16"/>
                <w:color w:val="auto"/>
              </w:rPr>
              <w:t>2,447,697</w:t>
            </w:r>
          </w:p>
        </w:tc>
        <w:tc>
          <w:tcPr>
            <w:tcW w:w="1120" w:type="dxa"/>
            <w:vAlign w:val="bottom"/>
          </w:tcPr>
          <w:p>
            <w:pPr>
              <w:jc w:val="right"/>
              <w:ind w:right="47"/>
              <w:spacing w:after="0"/>
              <w:rPr>
                <w:sz w:val="20"/>
                <w:szCs w:val="20"/>
                <w:color w:val="auto"/>
              </w:rPr>
            </w:pPr>
            <w:r>
              <w:rPr>
                <w:rFonts w:ascii="Arial" w:cs="Arial" w:eastAsia="Arial" w:hAnsi="Arial"/>
                <w:sz w:val="16"/>
                <w:szCs w:val="16"/>
                <w:color w:val="auto"/>
              </w:rPr>
              <w:t>14,347</w:t>
            </w:r>
          </w:p>
        </w:tc>
        <w:tc>
          <w:tcPr>
            <w:tcW w:w="1040" w:type="dxa"/>
            <w:vAlign w:val="bottom"/>
          </w:tcPr>
          <w:p>
            <w:pPr>
              <w:jc w:val="right"/>
              <w:spacing w:after="0"/>
              <w:rPr>
                <w:sz w:val="20"/>
                <w:szCs w:val="20"/>
                <w:color w:val="auto"/>
              </w:rPr>
            </w:pPr>
            <w:r>
              <w:rPr>
                <w:rFonts w:ascii="Arial" w:cs="Arial" w:eastAsia="Arial" w:hAnsi="Arial"/>
                <w:sz w:val="16"/>
                <w:szCs w:val="16"/>
                <w:color w:val="auto"/>
              </w:rPr>
              <w:t>8,790,263</w:t>
            </w:r>
          </w:p>
        </w:tc>
      </w:tr>
      <w:tr>
        <w:trPr>
          <w:trHeight w:val="250"/>
        </w:trPr>
        <w:tc>
          <w:tcPr>
            <w:tcW w:w="7300" w:type="dxa"/>
            <w:vAlign w:val="bottom"/>
            <w:shd w:val="clear" w:color="auto" w:fill="F0F1F8"/>
          </w:tcPr>
          <w:p>
            <w:pPr>
              <w:ind w:left="60"/>
              <w:spacing w:after="0"/>
              <w:rPr>
                <w:sz w:val="20"/>
                <w:szCs w:val="20"/>
                <w:color w:val="auto"/>
              </w:rPr>
            </w:pPr>
            <w:r>
              <w:rPr>
                <w:rFonts w:ascii="Arial" w:cs="Arial" w:eastAsia="Arial" w:hAnsi="Arial"/>
                <w:sz w:val="16"/>
                <w:szCs w:val="16"/>
                <w:b w:val="1"/>
                <w:bCs w:val="1"/>
                <w:color w:val="auto"/>
              </w:rPr>
              <w:t>C.D. Baer Pettit</w:t>
            </w:r>
          </w:p>
        </w:tc>
        <w:tc>
          <w:tcPr>
            <w:tcW w:w="840" w:type="dxa"/>
            <w:vAlign w:val="bottom"/>
            <w:shd w:val="clear" w:color="auto" w:fill="F0F1F8"/>
          </w:tcPr>
          <w:p>
            <w:pPr>
              <w:jc w:val="right"/>
              <w:ind w:right="46"/>
              <w:spacing w:after="0"/>
              <w:rPr>
                <w:sz w:val="20"/>
                <w:szCs w:val="20"/>
                <w:color w:val="auto"/>
              </w:rPr>
            </w:pPr>
            <w:r>
              <w:rPr>
                <w:rFonts w:ascii="Arial" w:cs="Arial" w:eastAsia="Arial" w:hAnsi="Arial"/>
                <w:sz w:val="16"/>
                <w:szCs w:val="16"/>
                <w:color w:val="auto"/>
              </w:rPr>
              <w:t>1,163</w:t>
            </w:r>
          </w:p>
        </w:tc>
        <w:tc>
          <w:tcPr>
            <w:tcW w:w="940" w:type="dxa"/>
            <w:vAlign w:val="bottom"/>
            <w:shd w:val="clear" w:color="auto" w:fill="F0F1F8"/>
          </w:tcPr>
          <w:p>
            <w:pPr>
              <w:jc w:val="right"/>
              <w:ind w:right="46"/>
              <w:spacing w:after="0"/>
              <w:rPr>
                <w:sz w:val="20"/>
                <w:szCs w:val="20"/>
                <w:color w:val="auto"/>
              </w:rPr>
            </w:pPr>
            <w:r>
              <w:rPr>
                <w:rFonts w:ascii="Arial" w:cs="Arial" w:eastAsia="Arial" w:hAnsi="Arial"/>
                <w:sz w:val="16"/>
                <w:szCs w:val="16"/>
                <w:color w:val="auto"/>
              </w:rPr>
              <w:t>712,558</w:t>
            </w:r>
          </w:p>
        </w:tc>
        <w:tc>
          <w:tcPr>
            <w:tcW w:w="1120" w:type="dxa"/>
            <w:vAlign w:val="bottom"/>
            <w:shd w:val="clear" w:color="auto" w:fill="F0F1F8"/>
          </w:tcPr>
          <w:p>
            <w:pPr>
              <w:jc w:val="right"/>
              <w:ind w:right="47"/>
              <w:spacing w:after="0"/>
              <w:rPr>
                <w:sz w:val="20"/>
                <w:szCs w:val="20"/>
                <w:color w:val="auto"/>
              </w:rPr>
            </w:pPr>
            <w:r>
              <w:rPr>
                <w:rFonts w:ascii="Arial" w:cs="Arial" w:eastAsia="Arial" w:hAnsi="Arial"/>
                <w:sz w:val="16"/>
                <w:szCs w:val="16"/>
                <w:color w:val="auto"/>
              </w:rPr>
              <w:t>150,524</w:t>
            </w:r>
          </w:p>
        </w:tc>
        <w:tc>
          <w:tcPr>
            <w:tcW w:w="1040" w:type="dxa"/>
            <w:vAlign w:val="bottom"/>
            <w:shd w:val="clear" w:color="auto" w:fill="F0F1F8"/>
          </w:tcPr>
          <w:p>
            <w:pPr>
              <w:jc w:val="right"/>
              <w:spacing w:after="0"/>
              <w:rPr>
                <w:sz w:val="20"/>
                <w:szCs w:val="20"/>
                <w:color w:val="auto"/>
              </w:rPr>
            </w:pPr>
            <w:r>
              <w:rPr>
                <w:rFonts w:ascii="Arial" w:cs="Arial" w:eastAsia="Arial" w:hAnsi="Arial"/>
                <w:sz w:val="16"/>
                <w:szCs w:val="16"/>
                <w:color w:val="auto"/>
              </w:rPr>
              <w:t>92,224,550</w:t>
            </w:r>
          </w:p>
        </w:tc>
      </w:tr>
      <w:tr>
        <w:trPr>
          <w:trHeight w:val="232"/>
        </w:trPr>
        <w:tc>
          <w:tcPr>
            <w:tcW w:w="7300" w:type="dxa"/>
            <w:vAlign w:val="bottom"/>
          </w:tcPr>
          <w:p>
            <w:pPr>
              <w:ind w:left="60"/>
              <w:spacing w:after="0"/>
              <w:rPr>
                <w:sz w:val="20"/>
                <w:szCs w:val="20"/>
                <w:color w:val="auto"/>
              </w:rPr>
            </w:pPr>
            <w:r>
              <w:rPr>
                <w:rFonts w:ascii="Arial" w:cs="Arial" w:eastAsia="Arial" w:hAnsi="Arial"/>
                <w:sz w:val="16"/>
                <w:szCs w:val="16"/>
                <w:b w:val="1"/>
                <w:bCs w:val="1"/>
                <w:color w:val="auto"/>
              </w:rPr>
              <w:t>Scott A. Crum</w:t>
            </w:r>
          </w:p>
        </w:tc>
        <w:tc>
          <w:tcPr>
            <w:tcW w:w="840" w:type="dxa"/>
            <w:vAlign w:val="bottom"/>
          </w:tcPr>
          <w:p>
            <w:pPr>
              <w:jc w:val="right"/>
              <w:ind w:right="46"/>
              <w:spacing w:after="0"/>
              <w:rPr>
                <w:sz w:val="20"/>
                <w:szCs w:val="20"/>
                <w:color w:val="auto"/>
              </w:rPr>
            </w:pPr>
            <w:r>
              <w:rPr>
                <w:rFonts w:ascii="Arial" w:cs="Arial" w:eastAsia="Arial" w:hAnsi="Arial"/>
                <w:sz w:val="16"/>
                <w:szCs w:val="16"/>
                <w:color w:val="auto"/>
              </w:rPr>
              <w:t>3,186</w:t>
            </w:r>
          </w:p>
        </w:tc>
        <w:tc>
          <w:tcPr>
            <w:tcW w:w="940" w:type="dxa"/>
            <w:vAlign w:val="bottom"/>
          </w:tcPr>
          <w:p>
            <w:pPr>
              <w:jc w:val="right"/>
              <w:ind w:right="46"/>
              <w:spacing w:after="0"/>
              <w:rPr>
                <w:sz w:val="20"/>
                <w:szCs w:val="20"/>
                <w:color w:val="auto"/>
              </w:rPr>
            </w:pPr>
            <w:r>
              <w:rPr>
                <w:rFonts w:ascii="Arial" w:cs="Arial" w:eastAsia="Arial" w:hAnsi="Arial"/>
                <w:sz w:val="16"/>
                <w:szCs w:val="16"/>
                <w:color w:val="auto"/>
              </w:rPr>
              <w:t>1,952,030</w:t>
            </w:r>
          </w:p>
        </w:tc>
        <w:tc>
          <w:tcPr>
            <w:tcW w:w="1120" w:type="dxa"/>
            <w:vAlign w:val="bottom"/>
          </w:tcPr>
          <w:p>
            <w:pPr>
              <w:jc w:val="right"/>
              <w:ind w:right="47"/>
              <w:spacing w:after="0"/>
              <w:rPr>
                <w:sz w:val="20"/>
                <w:szCs w:val="20"/>
                <w:color w:val="auto"/>
              </w:rPr>
            </w:pPr>
            <w:r>
              <w:rPr>
                <w:rFonts w:ascii="Arial" w:cs="Arial" w:eastAsia="Arial" w:hAnsi="Arial"/>
                <w:sz w:val="16"/>
                <w:szCs w:val="16"/>
                <w:color w:val="auto"/>
              </w:rPr>
              <w:t>35,444</w:t>
            </w:r>
          </w:p>
        </w:tc>
        <w:tc>
          <w:tcPr>
            <w:tcW w:w="1040" w:type="dxa"/>
            <w:vAlign w:val="bottom"/>
          </w:tcPr>
          <w:p>
            <w:pPr>
              <w:jc w:val="right"/>
              <w:spacing w:after="0"/>
              <w:rPr>
                <w:sz w:val="20"/>
                <w:szCs w:val="20"/>
                <w:color w:val="auto"/>
              </w:rPr>
            </w:pPr>
            <w:r>
              <w:rPr>
                <w:rFonts w:ascii="Arial" w:cs="Arial" w:eastAsia="Arial" w:hAnsi="Arial"/>
                <w:sz w:val="16"/>
                <w:szCs w:val="16"/>
                <w:color w:val="auto"/>
              </w:rPr>
              <w:t>21,716,184</w:t>
            </w:r>
          </w:p>
        </w:tc>
      </w:tr>
      <w:tr>
        <w:trPr>
          <w:trHeight w:val="244"/>
        </w:trPr>
        <w:tc>
          <w:tcPr>
            <w:tcW w:w="7300" w:type="dxa"/>
            <w:vAlign w:val="bottom"/>
            <w:tcBorders>
              <w:bottom w:val="single" w:sz="8" w:color="auto"/>
            </w:tcBorders>
            <w:shd w:val="clear" w:color="auto" w:fill="F0F1F8"/>
          </w:tcPr>
          <w:p>
            <w:pPr>
              <w:ind w:left="60"/>
              <w:spacing w:after="0"/>
              <w:rPr>
                <w:sz w:val="20"/>
                <w:szCs w:val="20"/>
                <w:color w:val="auto"/>
              </w:rPr>
            </w:pPr>
            <w:r>
              <w:rPr>
                <w:rFonts w:ascii="Arial" w:cs="Arial" w:eastAsia="Arial" w:hAnsi="Arial"/>
                <w:sz w:val="16"/>
                <w:szCs w:val="16"/>
                <w:b w:val="1"/>
                <w:bCs w:val="1"/>
                <w:color w:val="auto"/>
              </w:rPr>
              <w:t>Robert J. Gutowski</w:t>
            </w:r>
          </w:p>
        </w:tc>
        <w:tc>
          <w:tcPr>
            <w:tcW w:w="840" w:type="dxa"/>
            <w:vAlign w:val="bottom"/>
            <w:tcBorders>
              <w:bottom w:val="single" w:sz="8" w:color="auto"/>
            </w:tcBorders>
            <w:shd w:val="clear" w:color="auto" w:fill="F0F1F8"/>
          </w:tcPr>
          <w:p>
            <w:pPr>
              <w:jc w:val="right"/>
              <w:ind w:right="46"/>
              <w:spacing w:after="0"/>
              <w:rPr>
                <w:sz w:val="20"/>
                <w:szCs w:val="20"/>
                <w:color w:val="auto"/>
              </w:rPr>
            </w:pPr>
            <w:r>
              <w:rPr>
                <w:rFonts w:ascii="Arial" w:cs="Arial" w:eastAsia="Arial" w:hAnsi="Arial"/>
                <w:sz w:val="16"/>
                <w:szCs w:val="16"/>
                <w:color w:val="auto"/>
              </w:rPr>
              <w:t>1,256</w:t>
            </w:r>
          </w:p>
        </w:tc>
        <w:tc>
          <w:tcPr>
            <w:tcW w:w="940" w:type="dxa"/>
            <w:vAlign w:val="bottom"/>
            <w:tcBorders>
              <w:bottom w:val="single" w:sz="8" w:color="auto"/>
            </w:tcBorders>
            <w:shd w:val="clear" w:color="auto" w:fill="F0F1F8"/>
          </w:tcPr>
          <w:p>
            <w:pPr>
              <w:jc w:val="right"/>
              <w:ind w:right="46"/>
              <w:spacing w:after="0"/>
              <w:rPr>
                <w:sz w:val="20"/>
                <w:szCs w:val="20"/>
                <w:color w:val="auto"/>
              </w:rPr>
            </w:pPr>
            <w:r>
              <w:rPr>
                <w:rFonts w:ascii="Arial" w:cs="Arial" w:eastAsia="Arial" w:hAnsi="Arial"/>
                <w:sz w:val="16"/>
                <w:szCs w:val="16"/>
                <w:color w:val="auto"/>
              </w:rPr>
              <w:t>769,539</w:t>
            </w:r>
          </w:p>
        </w:tc>
        <w:tc>
          <w:tcPr>
            <w:tcW w:w="1120" w:type="dxa"/>
            <w:vAlign w:val="bottom"/>
            <w:tcBorders>
              <w:bottom w:val="single" w:sz="8" w:color="auto"/>
            </w:tcBorders>
            <w:shd w:val="clear" w:color="auto" w:fill="F0F1F8"/>
          </w:tcPr>
          <w:p>
            <w:pPr>
              <w:jc w:val="right"/>
              <w:ind w:right="47"/>
              <w:spacing w:after="0"/>
              <w:rPr>
                <w:sz w:val="20"/>
                <w:szCs w:val="20"/>
                <w:color w:val="auto"/>
              </w:rPr>
            </w:pPr>
            <w:r>
              <w:rPr>
                <w:rFonts w:ascii="Arial" w:cs="Arial" w:eastAsia="Arial" w:hAnsi="Arial"/>
                <w:sz w:val="16"/>
                <w:szCs w:val="16"/>
                <w:color w:val="auto"/>
              </w:rPr>
              <w:t>13,295</w:t>
            </w:r>
          </w:p>
        </w:tc>
        <w:tc>
          <w:tcPr>
            <w:tcW w:w="1040" w:type="dxa"/>
            <w:vAlign w:val="bottom"/>
            <w:tcBorders>
              <w:bottom w:val="single" w:sz="8" w:color="auto"/>
            </w:tcBorders>
            <w:shd w:val="clear" w:color="auto" w:fill="F0F1F8"/>
          </w:tcPr>
          <w:p>
            <w:pPr>
              <w:jc w:val="right"/>
              <w:spacing w:after="0"/>
              <w:rPr>
                <w:sz w:val="20"/>
                <w:szCs w:val="20"/>
                <w:color w:val="auto"/>
              </w:rPr>
            </w:pPr>
            <w:r>
              <w:rPr>
                <w:rFonts w:ascii="Arial" w:cs="Arial" w:eastAsia="Arial" w:hAnsi="Arial"/>
                <w:sz w:val="16"/>
                <w:szCs w:val="16"/>
                <w:color w:val="auto"/>
              </w:rPr>
              <w:t>8,145,714</w:t>
            </w:r>
          </w:p>
        </w:tc>
      </w:tr>
    </w:tbl>
    <w:p>
      <w:pPr>
        <w:spacing w:after="0" w:line="58" w:lineRule="exact"/>
        <w:rPr>
          <w:sz w:val="20"/>
          <w:szCs w:val="20"/>
          <w:color w:val="auto"/>
        </w:rPr>
      </w:pPr>
    </w:p>
    <w:p>
      <w:pPr>
        <w:ind w:left="280" w:right="60" w:hanging="273"/>
        <w:spacing w:after="0" w:line="206" w:lineRule="auto"/>
        <w:tabs>
          <w:tab w:leader="none" w:pos="280" w:val="left"/>
        </w:tabs>
        <w:numPr>
          <w:ilvl w:val="0"/>
          <w:numId w:val="135"/>
        </w:numPr>
        <w:rPr>
          <w:rFonts w:ascii="Arial" w:cs="Arial" w:eastAsia="Arial" w:hAnsi="Arial"/>
          <w:sz w:val="24"/>
          <w:szCs w:val="24"/>
          <w:color w:val="auto"/>
          <w:vertAlign w:val="superscript"/>
        </w:rPr>
      </w:pPr>
      <w:r>
        <w:rPr>
          <w:rFonts w:ascii="Arial" w:cs="Arial" w:eastAsia="Arial" w:hAnsi="Arial"/>
          <w:sz w:val="14"/>
          <w:szCs w:val="14"/>
          <w:color w:val="auto"/>
        </w:rPr>
        <w:t>Represents unvested RSUs outstanding as of December 31, 2021. This column does not give effect to retirement provisions for Messrs. Fernandez and Pettit. Equity awards granted to employees eligible for retirement treatment vest on the date retirement eligibility is attained. Messrs. Fernandez and Pettit became eligible for retirement treatment by satisfying one of the following conditions: age 50 with 12 years as a Managing Director, at age 50 with 15 years as an officer, at least age 55 with 5 years of service (the sum of age plus years of service must equal or exceed 65) or 20 years of service. The number of RSUs included in this table vest on the following dates for each NEO:</w:t>
      </w:r>
    </w:p>
    <w:p>
      <w:pPr>
        <w:spacing w:after="0" w:line="47" w:lineRule="exact"/>
        <w:rPr>
          <w:sz w:val="20"/>
          <w:szCs w:val="20"/>
          <w:color w:val="auto"/>
        </w:rPr>
      </w:pPr>
    </w:p>
    <w:tbl>
      <w:tblPr>
        <w:tblLayout w:type="fixed"/>
        <w:tblInd w:w="280" w:type="dxa"/>
        <w:tblCellMar>
          <w:top w:w="0" w:type="dxa"/>
          <w:left w:w="0" w:type="dxa"/>
          <w:bottom w:w="0" w:type="dxa"/>
          <w:right w:w="0" w:type="dxa"/>
        </w:tblCellMar>
      </w:tblPr>
      <w:tr>
        <w:trPr>
          <w:trHeight w:val="174"/>
        </w:trPr>
        <w:tc>
          <w:tcPr>
            <w:tcW w:w="6840" w:type="dxa"/>
            <w:vAlign w:val="bottom"/>
          </w:tcPr>
          <w:p>
            <w:pPr>
              <w:spacing w:after="0"/>
              <w:rPr>
                <w:sz w:val="15"/>
                <w:szCs w:val="15"/>
                <w:color w:val="auto"/>
              </w:rPr>
            </w:pPr>
          </w:p>
        </w:tc>
        <w:tc>
          <w:tcPr>
            <w:tcW w:w="560" w:type="dxa"/>
            <w:vAlign w:val="bottom"/>
            <w:tcBorders>
              <w:bottom w:val="single" w:sz="8" w:color="16479F"/>
            </w:tcBorders>
          </w:tcPr>
          <w:p>
            <w:pPr>
              <w:spacing w:after="0"/>
              <w:rPr>
                <w:sz w:val="15"/>
                <w:szCs w:val="15"/>
                <w:color w:val="auto"/>
              </w:rPr>
            </w:pPr>
          </w:p>
        </w:tc>
        <w:tc>
          <w:tcPr>
            <w:tcW w:w="480" w:type="dxa"/>
            <w:vAlign w:val="bottom"/>
            <w:tcBorders>
              <w:bottom w:val="single" w:sz="8" w:color="16479F"/>
            </w:tcBorders>
          </w:tcPr>
          <w:p>
            <w:pPr>
              <w:spacing w:after="0"/>
              <w:rPr>
                <w:sz w:val="15"/>
                <w:szCs w:val="15"/>
                <w:color w:val="auto"/>
              </w:rPr>
            </w:pPr>
          </w:p>
        </w:tc>
        <w:tc>
          <w:tcPr>
            <w:tcW w:w="2000" w:type="dxa"/>
            <w:vAlign w:val="bottom"/>
            <w:tcBorders>
              <w:bottom w:val="single" w:sz="8" w:color="16479F"/>
            </w:tcBorders>
            <w:gridSpan w:val="3"/>
          </w:tcPr>
          <w:p>
            <w:pPr>
              <w:jc w:val="right"/>
              <w:spacing w:after="0"/>
              <w:rPr>
                <w:sz w:val="20"/>
                <w:szCs w:val="20"/>
                <w:color w:val="auto"/>
              </w:rPr>
            </w:pPr>
            <w:r>
              <w:rPr>
                <w:rFonts w:ascii="Arial" w:cs="Arial" w:eastAsia="Arial" w:hAnsi="Arial"/>
                <w:sz w:val="12"/>
                <w:szCs w:val="12"/>
                <w:b w:val="1"/>
                <w:bCs w:val="1"/>
                <w:color w:val="auto"/>
              </w:rPr>
              <w:t>Number of RSUs By Vesting Date</w:t>
            </w:r>
          </w:p>
        </w:tc>
        <w:tc>
          <w:tcPr>
            <w:tcW w:w="500" w:type="dxa"/>
            <w:vAlign w:val="bottom"/>
            <w:tcBorders>
              <w:bottom w:val="single" w:sz="8" w:color="16479F"/>
            </w:tcBorders>
          </w:tcPr>
          <w:p>
            <w:pPr>
              <w:spacing w:after="0"/>
              <w:rPr>
                <w:sz w:val="15"/>
                <w:szCs w:val="15"/>
                <w:color w:val="auto"/>
              </w:rPr>
            </w:pPr>
          </w:p>
        </w:tc>
        <w:tc>
          <w:tcPr>
            <w:tcW w:w="500" w:type="dxa"/>
            <w:vAlign w:val="bottom"/>
            <w:tcBorders>
              <w:bottom w:val="single" w:sz="8" w:color="16479F"/>
            </w:tcBorders>
          </w:tcPr>
          <w:p>
            <w:pPr>
              <w:spacing w:after="0"/>
              <w:rPr>
                <w:sz w:val="15"/>
                <w:szCs w:val="15"/>
                <w:color w:val="auto"/>
              </w:rPr>
            </w:pPr>
          </w:p>
        </w:tc>
      </w:tr>
      <w:tr>
        <w:trPr>
          <w:trHeight w:val="181"/>
        </w:trPr>
        <w:tc>
          <w:tcPr>
            <w:tcW w:w="6840" w:type="dxa"/>
            <w:vAlign w:val="bottom"/>
            <w:tcBorders>
              <w:bottom w:val="single" w:sz="8" w:color="16479F"/>
            </w:tcBorders>
          </w:tcPr>
          <w:p>
            <w:pPr>
              <w:ind w:left="40"/>
              <w:spacing w:after="0"/>
              <w:rPr>
                <w:sz w:val="20"/>
                <w:szCs w:val="20"/>
                <w:color w:val="auto"/>
              </w:rPr>
            </w:pPr>
            <w:r>
              <w:rPr>
                <w:rFonts w:ascii="Arial" w:cs="Arial" w:eastAsia="Arial" w:hAnsi="Arial"/>
                <w:sz w:val="12"/>
                <w:szCs w:val="12"/>
                <w:b w:val="1"/>
                <w:bCs w:val="1"/>
                <w:color w:val="auto"/>
              </w:rPr>
              <w:t>Name</w:t>
            </w:r>
          </w:p>
        </w:tc>
        <w:tc>
          <w:tcPr>
            <w:tcW w:w="560" w:type="dxa"/>
            <w:vAlign w:val="bottom"/>
            <w:tcBorders>
              <w:bottom w:val="single" w:sz="8" w:color="16479F"/>
            </w:tcBorders>
          </w:tcPr>
          <w:p>
            <w:pPr>
              <w:jc w:val="right"/>
              <w:ind w:right="70"/>
              <w:spacing w:after="0"/>
              <w:rPr>
                <w:sz w:val="20"/>
                <w:szCs w:val="20"/>
                <w:color w:val="auto"/>
              </w:rPr>
            </w:pPr>
            <w:r>
              <w:rPr>
                <w:rFonts w:ascii="Arial" w:cs="Arial" w:eastAsia="Arial" w:hAnsi="Arial"/>
                <w:sz w:val="12"/>
                <w:szCs w:val="12"/>
                <w:b w:val="1"/>
                <w:bCs w:val="1"/>
                <w:color w:val="auto"/>
              </w:rPr>
              <w:t>2/4/22</w:t>
            </w:r>
          </w:p>
        </w:tc>
        <w:tc>
          <w:tcPr>
            <w:tcW w:w="480" w:type="dxa"/>
            <w:vAlign w:val="bottom"/>
            <w:tcBorders>
              <w:bottom w:val="single" w:sz="8" w:color="16479F"/>
            </w:tcBorders>
          </w:tcPr>
          <w:p>
            <w:pPr>
              <w:jc w:val="right"/>
              <w:spacing w:after="0"/>
              <w:rPr>
                <w:sz w:val="20"/>
                <w:szCs w:val="20"/>
                <w:color w:val="auto"/>
              </w:rPr>
            </w:pPr>
            <w:r>
              <w:rPr>
                <w:rFonts w:ascii="Arial" w:cs="Arial" w:eastAsia="Arial" w:hAnsi="Arial"/>
                <w:sz w:val="12"/>
                <w:szCs w:val="12"/>
                <w:b w:val="1"/>
                <w:bCs w:val="1"/>
                <w:color w:val="auto"/>
              </w:rPr>
              <w:t>2/6/22</w:t>
            </w:r>
          </w:p>
        </w:tc>
        <w:tc>
          <w:tcPr>
            <w:tcW w:w="720" w:type="dxa"/>
            <w:vAlign w:val="bottom"/>
            <w:tcBorders>
              <w:bottom w:val="single" w:sz="8" w:color="16479F"/>
            </w:tcBorders>
          </w:tcPr>
          <w:p>
            <w:pPr>
              <w:jc w:val="right"/>
              <w:ind w:right="51"/>
              <w:spacing w:after="0"/>
              <w:rPr>
                <w:sz w:val="20"/>
                <w:szCs w:val="20"/>
                <w:color w:val="auto"/>
              </w:rPr>
            </w:pPr>
            <w:r>
              <w:rPr>
                <w:rFonts w:ascii="Arial" w:cs="Arial" w:eastAsia="Arial" w:hAnsi="Arial"/>
                <w:sz w:val="12"/>
                <w:szCs w:val="12"/>
                <w:b w:val="1"/>
                <w:bCs w:val="1"/>
                <w:color w:val="auto"/>
              </w:rPr>
              <w:t>2/7/22</w:t>
            </w:r>
          </w:p>
        </w:tc>
        <w:tc>
          <w:tcPr>
            <w:tcW w:w="600" w:type="dxa"/>
            <w:vAlign w:val="bottom"/>
            <w:tcBorders>
              <w:bottom w:val="single" w:sz="8" w:color="16479F"/>
            </w:tcBorders>
          </w:tcPr>
          <w:p>
            <w:pPr>
              <w:jc w:val="right"/>
              <w:ind w:right="50"/>
              <w:spacing w:after="0"/>
              <w:rPr>
                <w:sz w:val="20"/>
                <w:szCs w:val="20"/>
                <w:color w:val="auto"/>
              </w:rPr>
            </w:pPr>
            <w:r>
              <w:rPr>
                <w:rFonts w:ascii="Arial" w:cs="Arial" w:eastAsia="Arial" w:hAnsi="Arial"/>
                <w:sz w:val="12"/>
                <w:szCs w:val="12"/>
                <w:b w:val="1"/>
                <w:bCs w:val="1"/>
                <w:color w:val="auto"/>
              </w:rPr>
              <w:t>3/5/22</w:t>
            </w:r>
          </w:p>
        </w:tc>
        <w:tc>
          <w:tcPr>
            <w:tcW w:w="680" w:type="dxa"/>
            <w:vAlign w:val="bottom"/>
            <w:tcBorders>
              <w:bottom w:val="single" w:sz="8" w:color="16479F"/>
            </w:tcBorders>
          </w:tcPr>
          <w:p>
            <w:pPr>
              <w:jc w:val="right"/>
              <w:ind w:right="130"/>
              <w:spacing w:after="0"/>
              <w:rPr>
                <w:sz w:val="20"/>
                <w:szCs w:val="20"/>
                <w:color w:val="auto"/>
              </w:rPr>
            </w:pPr>
            <w:r>
              <w:rPr>
                <w:rFonts w:ascii="Arial" w:cs="Arial" w:eastAsia="Arial" w:hAnsi="Arial"/>
                <w:sz w:val="12"/>
                <w:szCs w:val="12"/>
                <w:b w:val="1"/>
                <w:bCs w:val="1"/>
                <w:color w:val="auto"/>
              </w:rPr>
              <w:t>2/4/23</w:t>
            </w:r>
          </w:p>
        </w:tc>
        <w:tc>
          <w:tcPr>
            <w:tcW w:w="500" w:type="dxa"/>
            <w:vAlign w:val="bottom"/>
            <w:tcBorders>
              <w:bottom w:val="single" w:sz="8" w:color="16479F"/>
            </w:tcBorders>
          </w:tcPr>
          <w:p>
            <w:pPr>
              <w:jc w:val="right"/>
              <w:ind w:right="30"/>
              <w:spacing w:after="0"/>
              <w:rPr>
                <w:sz w:val="20"/>
                <w:szCs w:val="20"/>
                <w:color w:val="auto"/>
              </w:rPr>
            </w:pPr>
            <w:r>
              <w:rPr>
                <w:rFonts w:ascii="Arial" w:cs="Arial" w:eastAsia="Arial" w:hAnsi="Arial"/>
                <w:sz w:val="12"/>
                <w:szCs w:val="12"/>
                <w:b w:val="1"/>
                <w:bCs w:val="1"/>
                <w:color w:val="auto"/>
              </w:rPr>
              <w:t>2/6/23</w:t>
            </w:r>
          </w:p>
        </w:tc>
        <w:tc>
          <w:tcPr>
            <w:tcW w:w="500" w:type="dxa"/>
            <w:vAlign w:val="bottom"/>
            <w:tcBorders>
              <w:bottom w:val="single" w:sz="8" w:color="16479F"/>
            </w:tcBorders>
          </w:tcPr>
          <w:p>
            <w:pPr>
              <w:jc w:val="right"/>
              <w:spacing w:after="0"/>
              <w:rPr>
                <w:sz w:val="20"/>
                <w:szCs w:val="20"/>
                <w:color w:val="auto"/>
              </w:rPr>
            </w:pPr>
            <w:r>
              <w:rPr>
                <w:rFonts w:ascii="Arial" w:cs="Arial" w:eastAsia="Arial" w:hAnsi="Arial"/>
                <w:sz w:val="12"/>
                <w:szCs w:val="12"/>
                <w:b w:val="1"/>
                <w:bCs w:val="1"/>
                <w:color w:val="auto"/>
              </w:rPr>
              <w:t>2/4/24</w:t>
            </w:r>
          </w:p>
        </w:tc>
      </w:tr>
      <w:tr>
        <w:trPr>
          <w:trHeight w:val="214"/>
        </w:trPr>
        <w:tc>
          <w:tcPr>
            <w:tcW w:w="6840" w:type="dxa"/>
            <w:vAlign w:val="bottom"/>
            <w:shd w:val="clear" w:color="auto" w:fill="F0F1F8"/>
          </w:tcPr>
          <w:p>
            <w:pPr>
              <w:ind w:left="40"/>
              <w:spacing w:after="0"/>
              <w:rPr>
                <w:sz w:val="20"/>
                <w:szCs w:val="20"/>
                <w:color w:val="auto"/>
              </w:rPr>
            </w:pPr>
            <w:r>
              <w:rPr>
                <w:rFonts w:ascii="Arial" w:cs="Arial" w:eastAsia="Arial" w:hAnsi="Arial"/>
                <w:sz w:val="14"/>
                <w:szCs w:val="14"/>
                <w:b w:val="1"/>
                <w:bCs w:val="1"/>
                <w:color w:val="auto"/>
              </w:rPr>
              <w:t>Henry A. Fernandez</w:t>
            </w:r>
          </w:p>
        </w:tc>
        <w:tc>
          <w:tcPr>
            <w:tcW w:w="560" w:type="dxa"/>
            <w:vAlign w:val="bottom"/>
            <w:shd w:val="clear" w:color="auto" w:fill="F0F1F8"/>
          </w:tcPr>
          <w:p>
            <w:pPr>
              <w:jc w:val="right"/>
              <w:ind w:right="70"/>
              <w:spacing w:after="0"/>
              <w:rPr>
                <w:sz w:val="20"/>
                <w:szCs w:val="20"/>
                <w:color w:val="auto"/>
              </w:rPr>
            </w:pPr>
            <w:r>
              <w:rPr>
                <w:rFonts w:ascii="Arial" w:cs="Arial" w:eastAsia="Arial" w:hAnsi="Arial"/>
                <w:sz w:val="14"/>
                <w:szCs w:val="14"/>
                <w:color w:val="auto"/>
              </w:rPr>
              <w:t>—</w:t>
            </w:r>
          </w:p>
        </w:tc>
        <w:tc>
          <w:tcPr>
            <w:tcW w:w="480" w:type="dxa"/>
            <w:vAlign w:val="bottom"/>
            <w:shd w:val="clear" w:color="auto" w:fill="F0F1F8"/>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F0F1F8"/>
          </w:tcPr>
          <w:p>
            <w:pPr>
              <w:jc w:val="right"/>
              <w:ind w:right="51"/>
              <w:spacing w:after="0"/>
              <w:rPr>
                <w:sz w:val="20"/>
                <w:szCs w:val="20"/>
                <w:color w:val="auto"/>
              </w:rPr>
            </w:pPr>
            <w:r>
              <w:rPr>
                <w:rFonts w:ascii="Arial" w:cs="Arial" w:eastAsia="Arial" w:hAnsi="Arial"/>
                <w:sz w:val="14"/>
                <w:szCs w:val="14"/>
                <w:color w:val="auto"/>
              </w:rPr>
              <w:t>—</w:t>
            </w:r>
          </w:p>
        </w:tc>
        <w:tc>
          <w:tcPr>
            <w:tcW w:w="600" w:type="dxa"/>
            <w:vAlign w:val="bottom"/>
            <w:shd w:val="clear" w:color="auto" w:fill="F0F1F8"/>
          </w:tcPr>
          <w:p>
            <w:pPr>
              <w:jc w:val="right"/>
              <w:ind w:right="50"/>
              <w:spacing w:after="0"/>
              <w:rPr>
                <w:sz w:val="20"/>
                <w:szCs w:val="20"/>
                <w:color w:val="auto"/>
              </w:rPr>
            </w:pPr>
            <w:r>
              <w:rPr>
                <w:rFonts w:ascii="Arial" w:cs="Arial" w:eastAsia="Arial" w:hAnsi="Arial"/>
                <w:sz w:val="14"/>
                <w:szCs w:val="14"/>
                <w:color w:val="auto"/>
              </w:rPr>
              <w:t>—</w:t>
            </w:r>
          </w:p>
        </w:tc>
        <w:tc>
          <w:tcPr>
            <w:tcW w:w="680" w:type="dxa"/>
            <w:vAlign w:val="bottom"/>
            <w:shd w:val="clear" w:color="auto" w:fill="F0F1F8"/>
          </w:tcPr>
          <w:p>
            <w:pPr>
              <w:jc w:val="right"/>
              <w:ind w:right="130"/>
              <w:spacing w:after="0"/>
              <w:rPr>
                <w:sz w:val="20"/>
                <w:szCs w:val="20"/>
                <w:color w:val="auto"/>
              </w:rPr>
            </w:pPr>
            <w:r>
              <w:rPr>
                <w:rFonts w:ascii="Arial" w:cs="Arial" w:eastAsia="Arial" w:hAnsi="Arial"/>
                <w:sz w:val="14"/>
                <w:szCs w:val="14"/>
                <w:color w:val="auto"/>
              </w:rPr>
              <w:t>—</w:t>
            </w:r>
          </w:p>
        </w:tc>
        <w:tc>
          <w:tcPr>
            <w:tcW w:w="500" w:type="dxa"/>
            <w:vAlign w:val="bottom"/>
            <w:shd w:val="clear" w:color="auto" w:fill="F0F1F8"/>
          </w:tcPr>
          <w:p>
            <w:pPr>
              <w:jc w:val="right"/>
              <w:ind w:right="30"/>
              <w:spacing w:after="0"/>
              <w:rPr>
                <w:sz w:val="20"/>
                <w:szCs w:val="20"/>
                <w:color w:val="auto"/>
              </w:rPr>
            </w:pPr>
            <w:r>
              <w:rPr>
                <w:rFonts w:ascii="Arial" w:cs="Arial" w:eastAsia="Arial" w:hAnsi="Arial"/>
                <w:sz w:val="14"/>
                <w:szCs w:val="14"/>
                <w:color w:val="auto"/>
              </w:rPr>
              <w:t>—</w:t>
            </w:r>
          </w:p>
        </w:tc>
        <w:tc>
          <w:tcPr>
            <w:tcW w:w="500" w:type="dxa"/>
            <w:vAlign w:val="bottom"/>
            <w:shd w:val="clear" w:color="auto" w:fill="F0F1F8"/>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6840" w:type="dxa"/>
            <w:vAlign w:val="bottom"/>
          </w:tcPr>
          <w:p>
            <w:pPr>
              <w:ind w:left="40"/>
              <w:spacing w:after="0"/>
              <w:rPr>
                <w:sz w:val="20"/>
                <w:szCs w:val="20"/>
                <w:color w:val="auto"/>
              </w:rPr>
            </w:pPr>
            <w:r>
              <w:rPr>
                <w:rFonts w:ascii="Arial" w:cs="Arial" w:eastAsia="Arial" w:hAnsi="Arial"/>
                <w:sz w:val="14"/>
                <w:szCs w:val="14"/>
                <w:b w:val="1"/>
                <w:bCs w:val="1"/>
                <w:color w:val="auto"/>
              </w:rPr>
              <w:t>Andrew C. Wiechmann</w:t>
            </w:r>
          </w:p>
        </w:tc>
        <w:tc>
          <w:tcPr>
            <w:tcW w:w="560" w:type="dxa"/>
            <w:vAlign w:val="bottom"/>
          </w:tcPr>
          <w:p>
            <w:pPr>
              <w:jc w:val="right"/>
              <w:ind w:right="70"/>
              <w:spacing w:after="0"/>
              <w:rPr>
                <w:sz w:val="20"/>
                <w:szCs w:val="20"/>
                <w:color w:val="auto"/>
              </w:rPr>
            </w:pPr>
            <w:r>
              <w:rPr>
                <w:rFonts w:ascii="Arial" w:cs="Arial" w:eastAsia="Arial" w:hAnsi="Arial"/>
                <w:sz w:val="14"/>
                <w:szCs w:val="14"/>
                <w:color w:val="auto"/>
              </w:rPr>
              <w:t>216</w:t>
            </w:r>
          </w:p>
        </w:tc>
        <w:tc>
          <w:tcPr>
            <w:tcW w:w="480" w:type="dxa"/>
            <w:vAlign w:val="bottom"/>
          </w:tcPr>
          <w:p>
            <w:pPr>
              <w:jc w:val="right"/>
              <w:spacing w:after="0"/>
              <w:rPr>
                <w:sz w:val="20"/>
                <w:szCs w:val="20"/>
                <w:color w:val="auto"/>
              </w:rPr>
            </w:pPr>
            <w:r>
              <w:rPr>
                <w:rFonts w:ascii="Arial" w:cs="Arial" w:eastAsia="Arial" w:hAnsi="Arial"/>
                <w:sz w:val="14"/>
                <w:szCs w:val="14"/>
                <w:color w:val="auto"/>
              </w:rPr>
              <w:t>169</w:t>
            </w:r>
          </w:p>
        </w:tc>
        <w:tc>
          <w:tcPr>
            <w:tcW w:w="720" w:type="dxa"/>
            <w:vAlign w:val="bottom"/>
          </w:tcPr>
          <w:p>
            <w:pPr>
              <w:jc w:val="right"/>
              <w:ind w:right="51"/>
              <w:spacing w:after="0"/>
              <w:rPr>
                <w:sz w:val="20"/>
                <w:szCs w:val="20"/>
                <w:color w:val="auto"/>
              </w:rPr>
            </w:pPr>
            <w:r>
              <w:rPr>
                <w:rFonts w:ascii="Arial" w:cs="Arial" w:eastAsia="Arial" w:hAnsi="Arial"/>
                <w:sz w:val="14"/>
                <w:szCs w:val="14"/>
                <w:color w:val="auto"/>
              </w:rPr>
              <w:t>339</w:t>
            </w:r>
          </w:p>
        </w:tc>
        <w:tc>
          <w:tcPr>
            <w:tcW w:w="600" w:type="dxa"/>
            <w:vAlign w:val="bottom"/>
          </w:tcPr>
          <w:p>
            <w:pPr>
              <w:jc w:val="right"/>
              <w:ind w:right="50"/>
              <w:spacing w:after="0"/>
              <w:rPr>
                <w:sz w:val="20"/>
                <w:szCs w:val="20"/>
                <w:color w:val="auto"/>
              </w:rPr>
            </w:pPr>
            <w:r>
              <w:rPr>
                <w:rFonts w:ascii="Arial" w:cs="Arial" w:eastAsia="Arial" w:hAnsi="Arial"/>
                <w:sz w:val="14"/>
                <w:szCs w:val="14"/>
                <w:color w:val="auto"/>
              </w:rPr>
              <w:t>2,671</w:t>
            </w:r>
          </w:p>
        </w:tc>
        <w:tc>
          <w:tcPr>
            <w:tcW w:w="680" w:type="dxa"/>
            <w:vAlign w:val="bottom"/>
          </w:tcPr>
          <w:p>
            <w:pPr>
              <w:jc w:val="right"/>
              <w:ind w:right="130"/>
              <w:spacing w:after="0"/>
              <w:rPr>
                <w:sz w:val="20"/>
                <w:szCs w:val="20"/>
                <w:color w:val="auto"/>
              </w:rPr>
            </w:pPr>
            <w:r>
              <w:rPr>
                <w:rFonts w:ascii="Arial" w:cs="Arial" w:eastAsia="Arial" w:hAnsi="Arial"/>
                <w:sz w:val="14"/>
                <w:szCs w:val="14"/>
                <w:color w:val="auto"/>
              </w:rPr>
              <w:t>216</w:t>
            </w:r>
          </w:p>
        </w:tc>
        <w:tc>
          <w:tcPr>
            <w:tcW w:w="500" w:type="dxa"/>
            <w:vAlign w:val="bottom"/>
          </w:tcPr>
          <w:p>
            <w:pPr>
              <w:jc w:val="right"/>
              <w:ind w:right="30"/>
              <w:spacing w:after="0"/>
              <w:rPr>
                <w:sz w:val="20"/>
                <w:szCs w:val="20"/>
                <w:color w:val="auto"/>
              </w:rPr>
            </w:pPr>
            <w:r>
              <w:rPr>
                <w:rFonts w:ascii="Arial" w:cs="Arial" w:eastAsia="Arial" w:hAnsi="Arial"/>
                <w:sz w:val="14"/>
                <w:szCs w:val="14"/>
                <w:color w:val="auto"/>
              </w:rPr>
              <w:t>169</w:t>
            </w:r>
          </w:p>
        </w:tc>
        <w:tc>
          <w:tcPr>
            <w:tcW w:w="500" w:type="dxa"/>
            <w:vAlign w:val="bottom"/>
          </w:tcPr>
          <w:p>
            <w:pPr>
              <w:jc w:val="right"/>
              <w:spacing w:after="0"/>
              <w:rPr>
                <w:sz w:val="20"/>
                <w:szCs w:val="20"/>
                <w:color w:val="auto"/>
              </w:rPr>
            </w:pPr>
            <w:r>
              <w:rPr>
                <w:rFonts w:ascii="Arial" w:cs="Arial" w:eastAsia="Arial" w:hAnsi="Arial"/>
                <w:sz w:val="14"/>
                <w:szCs w:val="14"/>
                <w:color w:val="auto"/>
              </w:rPr>
              <w:t>215</w:t>
            </w:r>
          </w:p>
        </w:tc>
      </w:tr>
      <w:tr>
        <w:trPr>
          <w:trHeight w:val="220"/>
        </w:trPr>
        <w:tc>
          <w:tcPr>
            <w:tcW w:w="6840" w:type="dxa"/>
            <w:vAlign w:val="bottom"/>
            <w:shd w:val="clear" w:color="auto" w:fill="F0F1F8"/>
          </w:tcPr>
          <w:p>
            <w:pPr>
              <w:ind w:left="40"/>
              <w:spacing w:after="0"/>
              <w:rPr>
                <w:sz w:val="20"/>
                <w:szCs w:val="20"/>
                <w:color w:val="auto"/>
              </w:rPr>
            </w:pPr>
            <w:r>
              <w:rPr>
                <w:rFonts w:ascii="Arial" w:cs="Arial" w:eastAsia="Arial" w:hAnsi="Arial"/>
                <w:sz w:val="14"/>
                <w:szCs w:val="14"/>
                <w:b w:val="1"/>
                <w:bCs w:val="1"/>
                <w:color w:val="auto"/>
              </w:rPr>
              <w:t>C.D. Baer Pettit</w:t>
            </w:r>
          </w:p>
        </w:tc>
        <w:tc>
          <w:tcPr>
            <w:tcW w:w="560" w:type="dxa"/>
            <w:vAlign w:val="bottom"/>
            <w:shd w:val="clear" w:color="auto" w:fill="F0F1F8"/>
          </w:tcPr>
          <w:p>
            <w:pPr>
              <w:jc w:val="right"/>
              <w:ind w:right="70"/>
              <w:spacing w:after="0"/>
              <w:rPr>
                <w:sz w:val="20"/>
                <w:szCs w:val="20"/>
                <w:color w:val="auto"/>
              </w:rPr>
            </w:pPr>
            <w:r>
              <w:rPr>
                <w:rFonts w:ascii="Arial" w:cs="Arial" w:eastAsia="Arial" w:hAnsi="Arial"/>
                <w:sz w:val="14"/>
                <w:szCs w:val="14"/>
                <w:color w:val="auto"/>
              </w:rPr>
              <w:t>—</w:t>
            </w:r>
          </w:p>
        </w:tc>
        <w:tc>
          <w:tcPr>
            <w:tcW w:w="480" w:type="dxa"/>
            <w:vAlign w:val="bottom"/>
            <w:shd w:val="clear" w:color="auto" w:fill="F0F1F8"/>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F0F1F8"/>
          </w:tcPr>
          <w:p>
            <w:pPr>
              <w:jc w:val="right"/>
              <w:ind w:right="51"/>
              <w:spacing w:after="0"/>
              <w:rPr>
                <w:sz w:val="20"/>
                <w:szCs w:val="20"/>
                <w:color w:val="auto"/>
              </w:rPr>
            </w:pPr>
            <w:r>
              <w:rPr>
                <w:rFonts w:ascii="Arial" w:cs="Arial" w:eastAsia="Arial" w:hAnsi="Arial"/>
                <w:sz w:val="14"/>
                <w:szCs w:val="14"/>
                <w:color w:val="auto"/>
              </w:rPr>
              <w:t>1,163</w:t>
            </w:r>
          </w:p>
        </w:tc>
        <w:tc>
          <w:tcPr>
            <w:tcW w:w="600" w:type="dxa"/>
            <w:vAlign w:val="bottom"/>
            <w:shd w:val="clear" w:color="auto" w:fill="F0F1F8"/>
          </w:tcPr>
          <w:p>
            <w:pPr>
              <w:jc w:val="right"/>
              <w:ind w:right="50"/>
              <w:spacing w:after="0"/>
              <w:rPr>
                <w:sz w:val="20"/>
                <w:szCs w:val="20"/>
                <w:color w:val="auto"/>
              </w:rPr>
            </w:pPr>
            <w:r>
              <w:rPr>
                <w:rFonts w:ascii="Arial" w:cs="Arial" w:eastAsia="Arial" w:hAnsi="Arial"/>
                <w:sz w:val="14"/>
                <w:szCs w:val="14"/>
                <w:color w:val="auto"/>
              </w:rPr>
              <w:t>—</w:t>
            </w:r>
          </w:p>
        </w:tc>
        <w:tc>
          <w:tcPr>
            <w:tcW w:w="680" w:type="dxa"/>
            <w:vAlign w:val="bottom"/>
            <w:shd w:val="clear" w:color="auto" w:fill="F0F1F8"/>
          </w:tcPr>
          <w:p>
            <w:pPr>
              <w:jc w:val="right"/>
              <w:ind w:right="130"/>
              <w:spacing w:after="0"/>
              <w:rPr>
                <w:sz w:val="20"/>
                <w:szCs w:val="20"/>
                <w:color w:val="auto"/>
              </w:rPr>
            </w:pPr>
            <w:r>
              <w:rPr>
                <w:rFonts w:ascii="Arial" w:cs="Arial" w:eastAsia="Arial" w:hAnsi="Arial"/>
                <w:sz w:val="14"/>
                <w:szCs w:val="14"/>
                <w:color w:val="auto"/>
              </w:rPr>
              <w:t>—</w:t>
            </w:r>
          </w:p>
        </w:tc>
        <w:tc>
          <w:tcPr>
            <w:tcW w:w="500" w:type="dxa"/>
            <w:vAlign w:val="bottom"/>
            <w:shd w:val="clear" w:color="auto" w:fill="F0F1F8"/>
          </w:tcPr>
          <w:p>
            <w:pPr>
              <w:jc w:val="right"/>
              <w:ind w:right="30"/>
              <w:spacing w:after="0"/>
              <w:rPr>
                <w:sz w:val="20"/>
                <w:szCs w:val="20"/>
                <w:color w:val="auto"/>
              </w:rPr>
            </w:pPr>
            <w:r>
              <w:rPr>
                <w:rFonts w:ascii="Arial" w:cs="Arial" w:eastAsia="Arial" w:hAnsi="Arial"/>
                <w:sz w:val="14"/>
                <w:szCs w:val="14"/>
                <w:color w:val="auto"/>
              </w:rPr>
              <w:t>—</w:t>
            </w:r>
          </w:p>
        </w:tc>
        <w:tc>
          <w:tcPr>
            <w:tcW w:w="500" w:type="dxa"/>
            <w:vAlign w:val="bottom"/>
            <w:shd w:val="clear" w:color="auto" w:fill="F0F1F8"/>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6840" w:type="dxa"/>
            <w:vAlign w:val="bottom"/>
          </w:tcPr>
          <w:p>
            <w:pPr>
              <w:ind w:left="40"/>
              <w:spacing w:after="0"/>
              <w:rPr>
                <w:sz w:val="20"/>
                <w:szCs w:val="20"/>
                <w:color w:val="auto"/>
              </w:rPr>
            </w:pPr>
            <w:r>
              <w:rPr>
                <w:rFonts w:ascii="Arial" w:cs="Arial" w:eastAsia="Arial" w:hAnsi="Arial"/>
                <w:sz w:val="14"/>
                <w:szCs w:val="14"/>
                <w:b w:val="1"/>
                <w:bCs w:val="1"/>
                <w:color w:val="auto"/>
              </w:rPr>
              <w:t>Scott A. Crum</w:t>
            </w:r>
          </w:p>
        </w:tc>
        <w:tc>
          <w:tcPr>
            <w:tcW w:w="560" w:type="dxa"/>
            <w:vAlign w:val="bottom"/>
          </w:tcPr>
          <w:p>
            <w:pPr>
              <w:jc w:val="right"/>
              <w:ind w:right="70"/>
              <w:spacing w:after="0"/>
              <w:rPr>
                <w:sz w:val="20"/>
                <w:szCs w:val="20"/>
                <w:color w:val="auto"/>
              </w:rPr>
            </w:pPr>
            <w:r>
              <w:rPr>
                <w:rFonts w:ascii="Arial" w:cs="Arial" w:eastAsia="Arial" w:hAnsi="Arial"/>
                <w:sz w:val="14"/>
                <w:szCs w:val="14"/>
                <w:color w:val="auto"/>
              </w:rPr>
              <w:t>508</w:t>
            </w:r>
          </w:p>
        </w:tc>
        <w:tc>
          <w:tcPr>
            <w:tcW w:w="480" w:type="dxa"/>
            <w:vAlign w:val="bottom"/>
          </w:tcPr>
          <w:p>
            <w:pPr>
              <w:jc w:val="right"/>
              <w:spacing w:after="0"/>
              <w:rPr>
                <w:sz w:val="20"/>
                <w:szCs w:val="20"/>
                <w:color w:val="auto"/>
              </w:rPr>
            </w:pPr>
            <w:r>
              <w:rPr>
                <w:rFonts w:ascii="Arial" w:cs="Arial" w:eastAsia="Arial" w:hAnsi="Arial"/>
                <w:sz w:val="14"/>
                <w:szCs w:val="14"/>
                <w:color w:val="auto"/>
              </w:rPr>
              <w:t>406</w:t>
            </w:r>
          </w:p>
        </w:tc>
        <w:tc>
          <w:tcPr>
            <w:tcW w:w="720" w:type="dxa"/>
            <w:vAlign w:val="bottom"/>
          </w:tcPr>
          <w:p>
            <w:pPr>
              <w:jc w:val="right"/>
              <w:ind w:right="51"/>
              <w:spacing w:after="0"/>
              <w:rPr>
                <w:sz w:val="20"/>
                <w:szCs w:val="20"/>
                <w:color w:val="auto"/>
              </w:rPr>
            </w:pPr>
            <w:r>
              <w:rPr>
                <w:rFonts w:ascii="Arial" w:cs="Arial" w:eastAsia="Arial" w:hAnsi="Arial"/>
                <w:sz w:val="14"/>
                <w:szCs w:val="14"/>
                <w:color w:val="auto"/>
              </w:rPr>
              <w:t>852</w:t>
            </w:r>
          </w:p>
        </w:tc>
        <w:tc>
          <w:tcPr>
            <w:tcW w:w="60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30"/>
              <w:spacing w:after="0"/>
              <w:rPr>
                <w:sz w:val="20"/>
                <w:szCs w:val="20"/>
                <w:color w:val="auto"/>
              </w:rPr>
            </w:pPr>
            <w:r>
              <w:rPr>
                <w:rFonts w:ascii="Arial" w:cs="Arial" w:eastAsia="Arial" w:hAnsi="Arial"/>
                <w:sz w:val="14"/>
                <w:szCs w:val="14"/>
                <w:color w:val="auto"/>
              </w:rPr>
              <w:t>508</w:t>
            </w:r>
          </w:p>
        </w:tc>
        <w:tc>
          <w:tcPr>
            <w:tcW w:w="500" w:type="dxa"/>
            <w:vAlign w:val="bottom"/>
          </w:tcPr>
          <w:p>
            <w:pPr>
              <w:jc w:val="right"/>
              <w:ind w:right="30"/>
              <w:spacing w:after="0"/>
              <w:rPr>
                <w:sz w:val="20"/>
                <w:szCs w:val="20"/>
                <w:color w:val="auto"/>
              </w:rPr>
            </w:pPr>
            <w:r>
              <w:rPr>
                <w:rFonts w:ascii="Arial" w:cs="Arial" w:eastAsia="Arial" w:hAnsi="Arial"/>
                <w:sz w:val="14"/>
                <w:szCs w:val="14"/>
                <w:color w:val="auto"/>
              </w:rPr>
              <w:t>406</w:t>
            </w:r>
          </w:p>
        </w:tc>
        <w:tc>
          <w:tcPr>
            <w:tcW w:w="500" w:type="dxa"/>
            <w:vAlign w:val="bottom"/>
          </w:tcPr>
          <w:p>
            <w:pPr>
              <w:jc w:val="right"/>
              <w:spacing w:after="0"/>
              <w:rPr>
                <w:sz w:val="20"/>
                <w:szCs w:val="20"/>
                <w:color w:val="auto"/>
              </w:rPr>
            </w:pPr>
            <w:r>
              <w:rPr>
                <w:rFonts w:ascii="Arial" w:cs="Arial" w:eastAsia="Arial" w:hAnsi="Arial"/>
                <w:sz w:val="14"/>
                <w:szCs w:val="14"/>
                <w:color w:val="auto"/>
              </w:rPr>
              <w:t>506</w:t>
            </w:r>
          </w:p>
        </w:tc>
      </w:tr>
      <w:tr>
        <w:trPr>
          <w:trHeight w:val="214"/>
        </w:trPr>
        <w:tc>
          <w:tcPr>
            <w:tcW w:w="6840" w:type="dxa"/>
            <w:vAlign w:val="bottom"/>
            <w:tcBorders>
              <w:bottom w:val="single" w:sz="8" w:color="auto"/>
            </w:tcBorders>
            <w:shd w:val="clear" w:color="auto" w:fill="F0F1F8"/>
          </w:tcPr>
          <w:p>
            <w:pPr>
              <w:ind w:left="40"/>
              <w:spacing w:after="0"/>
              <w:rPr>
                <w:sz w:val="20"/>
                <w:szCs w:val="20"/>
                <w:color w:val="auto"/>
              </w:rPr>
            </w:pPr>
            <w:r>
              <w:rPr>
                <w:rFonts w:ascii="Arial" w:cs="Arial" w:eastAsia="Arial" w:hAnsi="Arial"/>
                <w:sz w:val="14"/>
                <w:szCs w:val="14"/>
                <w:b w:val="1"/>
                <w:bCs w:val="1"/>
                <w:color w:val="auto"/>
              </w:rPr>
              <w:t>Robert J. Gutowski</w:t>
            </w:r>
          </w:p>
        </w:tc>
        <w:tc>
          <w:tcPr>
            <w:tcW w:w="560" w:type="dxa"/>
            <w:vAlign w:val="bottom"/>
            <w:tcBorders>
              <w:bottom w:val="single" w:sz="8" w:color="auto"/>
            </w:tcBorders>
            <w:shd w:val="clear" w:color="auto" w:fill="F0F1F8"/>
          </w:tcPr>
          <w:p>
            <w:pPr>
              <w:jc w:val="right"/>
              <w:ind w:right="70"/>
              <w:spacing w:after="0"/>
              <w:rPr>
                <w:sz w:val="20"/>
                <w:szCs w:val="20"/>
                <w:color w:val="auto"/>
              </w:rPr>
            </w:pPr>
            <w:r>
              <w:rPr>
                <w:rFonts w:ascii="Arial" w:cs="Arial" w:eastAsia="Arial" w:hAnsi="Arial"/>
                <w:sz w:val="14"/>
                <w:szCs w:val="14"/>
                <w:color w:val="auto"/>
              </w:rPr>
              <w:t>216</w:t>
            </w:r>
          </w:p>
        </w:tc>
        <w:tc>
          <w:tcPr>
            <w:tcW w:w="480" w:type="dxa"/>
            <w:vAlign w:val="bottom"/>
            <w:tcBorders>
              <w:bottom w:val="single" w:sz="8" w:color="auto"/>
            </w:tcBorders>
            <w:shd w:val="clear" w:color="auto" w:fill="F0F1F8"/>
          </w:tcPr>
          <w:p>
            <w:pPr>
              <w:jc w:val="right"/>
              <w:spacing w:after="0"/>
              <w:rPr>
                <w:sz w:val="20"/>
                <w:szCs w:val="20"/>
                <w:color w:val="auto"/>
              </w:rPr>
            </w:pPr>
            <w:r>
              <w:rPr>
                <w:rFonts w:ascii="Arial" w:cs="Arial" w:eastAsia="Arial" w:hAnsi="Arial"/>
                <w:sz w:val="14"/>
                <w:szCs w:val="14"/>
                <w:color w:val="auto"/>
              </w:rPr>
              <w:t>135</w:t>
            </w:r>
          </w:p>
        </w:tc>
        <w:tc>
          <w:tcPr>
            <w:tcW w:w="720" w:type="dxa"/>
            <w:vAlign w:val="bottom"/>
            <w:tcBorders>
              <w:bottom w:val="single" w:sz="8" w:color="auto"/>
            </w:tcBorders>
            <w:shd w:val="clear" w:color="auto" w:fill="F0F1F8"/>
          </w:tcPr>
          <w:p>
            <w:pPr>
              <w:jc w:val="right"/>
              <w:ind w:right="51"/>
              <w:spacing w:after="0"/>
              <w:rPr>
                <w:sz w:val="20"/>
                <w:szCs w:val="20"/>
                <w:color w:val="auto"/>
              </w:rPr>
            </w:pPr>
            <w:r>
              <w:rPr>
                <w:rFonts w:ascii="Arial" w:cs="Arial" w:eastAsia="Arial" w:hAnsi="Arial"/>
                <w:sz w:val="14"/>
                <w:szCs w:val="14"/>
                <w:color w:val="auto"/>
              </w:rPr>
              <w:t>339</w:t>
            </w:r>
          </w:p>
        </w:tc>
        <w:tc>
          <w:tcPr>
            <w:tcW w:w="600" w:type="dxa"/>
            <w:vAlign w:val="bottom"/>
            <w:tcBorders>
              <w:bottom w:val="single" w:sz="8" w:color="auto"/>
            </w:tcBorders>
            <w:shd w:val="clear" w:color="auto" w:fill="F0F1F8"/>
          </w:tcPr>
          <w:p>
            <w:pPr>
              <w:jc w:val="right"/>
              <w:ind w:right="5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F0F1F8"/>
          </w:tcPr>
          <w:p>
            <w:pPr>
              <w:jc w:val="right"/>
              <w:ind w:right="130"/>
              <w:spacing w:after="0"/>
              <w:rPr>
                <w:sz w:val="20"/>
                <w:szCs w:val="20"/>
                <w:color w:val="auto"/>
              </w:rPr>
            </w:pPr>
            <w:r>
              <w:rPr>
                <w:rFonts w:ascii="Arial" w:cs="Arial" w:eastAsia="Arial" w:hAnsi="Arial"/>
                <w:sz w:val="14"/>
                <w:szCs w:val="14"/>
                <w:color w:val="auto"/>
              </w:rPr>
              <w:t>216</w:t>
            </w:r>
          </w:p>
        </w:tc>
        <w:tc>
          <w:tcPr>
            <w:tcW w:w="500" w:type="dxa"/>
            <w:vAlign w:val="bottom"/>
            <w:tcBorders>
              <w:bottom w:val="single" w:sz="8" w:color="auto"/>
            </w:tcBorders>
            <w:shd w:val="clear" w:color="auto" w:fill="F0F1F8"/>
          </w:tcPr>
          <w:p>
            <w:pPr>
              <w:jc w:val="right"/>
              <w:ind w:right="30"/>
              <w:spacing w:after="0"/>
              <w:rPr>
                <w:sz w:val="20"/>
                <w:szCs w:val="20"/>
                <w:color w:val="auto"/>
              </w:rPr>
            </w:pPr>
            <w:r>
              <w:rPr>
                <w:rFonts w:ascii="Arial" w:cs="Arial" w:eastAsia="Arial" w:hAnsi="Arial"/>
                <w:sz w:val="14"/>
                <w:szCs w:val="14"/>
                <w:color w:val="auto"/>
              </w:rPr>
              <w:t>135</w:t>
            </w:r>
          </w:p>
        </w:tc>
        <w:tc>
          <w:tcPr>
            <w:tcW w:w="500" w:type="dxa"/>
            <w:vAlign w:val="bottom"/>
            <w:tcBorders>
              <w:bottom w:val="single" w:sz="8" w:color="auto"/>
            </w:tcBorders>
            <w:shd w:val="clear" w:color="auto" w:fill="F0F1F8"/>
          </w:tcPr>
          <w:p>
            <w:pPr>
              <w:jc w:val="right"/>
              <w:spacing w:after="0"/>
              <w:rPr>
                <w:sz w:val="20"/>
                <w:szCs w:val="20"/>
                <w:color w:val="auto"/>
              </w:rPr>
            </w:pPr>
            <w:r>
              <w:rPr>
                <w:rFonts w:ascii="Arial" w:cs="Arial" w:eastAsia="Arial" w:hAnsi="Arial"/>
                <w:sz w:val="14"/>
                <w:szCs w:val="14"/>
                <w:color w:val="auto"/>
              </w:rPr>
              <w:t>215</w:t>
            </w:r>
          </w:p>
        </w:tc>
      </w:tr>
    </w:tbl>
    <w:p>
      <w:pPr>
        <w:spacing w:after="0" w:line="58" w:lineRule="exact"/>
        <w:rPr>
          <w:sz w:val="20"/>
          <w:szCs w:val="20"/>
          <w:color w:val="auto"/>
        </w:rPr>
      </w:pPr>
    </w:p>
    <w:p>
      <w:pPr>
        <w:ind w:left="280" w:right="260" w:hanging="273"/>
        <w:spacing w:after="0" w:line="182" w:lineRule="auto"/>
        <w:tabs>
          <w:tab w:leader="none" w:pos="280" w:val="left"/>
        </w:tabs>
        <w:numPr>
          <w:ilvl w:val="0"/>
          <w:numId w:val="136"/>
        </w:numPr>
        <w:rPr>
          <w:rFonts w:ascii="Arial" w:cs="Arial" w:eastAsia="Arial" w:hAnsi="Arial"/>
          <w:sz w:val="24"/>
          <w:szCs w:val="24"/>
          <w:color w:val="auto"/>
          <w:vertAlign w:val="superscript"/>
        </w:rPr>
      </w:pPr>
      <w:r>
        <w:rPr>
          <w:rFonts w:ascii="Arial" w:cs="Arial" w:eastAsia="Arial" w:hAnsi="Arial"/>
          <w:sz w:val="14"/>
          <w:szCs w:val="14"/>
          <w:color w:val="auto"/>
        </w:rPr>
        <w:t>The market value of outstanding RSUs is based on a share price of $612.69, the closing price of MSCI Inc. common stock on December 31, 2021, rounded to the nearest whole number.</w:t>
      </w:r>
    </w:p>
    <w:p>
      <w:pPr>
        <w:spacing w:after="0" w:line="97" w:lineRule="exact"/>
        <w:rPr>
          <w:rFonts w:ascii="Arial" w:cs="Arial" w:eastAsia="Arial" w:hAnsi="Arial"/>
          <w:sz w:val="24"/>
          <w:szCs w:val="24"/>
          <w:color w:val="auto"/>
          <w:vertAlign w:val="superscript"/>
        </w:rPr>
      </w:pPr>
    </w:p>
    <w:p>
      <w:pPr>
        <w:ind w:left="280" w:right="160" w:hanging="273"/>
        <w:spacing w:after="0" w:line="197" w:lineRule="auto"/>
        <w:tabs>
          <w:tab w:leader="none" w:pos="280" w:val="left"/>
        </w:tabs>
        <w:numPr>
          <w:ilvl w:val="0"/>
          <w:numId w:val="136"/>
        </w:numPr>
        <w:rPr>
          <w:rFonts w:ascii="Arial" w:cs="Arial" w:eastAsia="Arial" w:hAnsi="Arial"/>
          <w:sz w:val="24"/>
          <w:szCs w:val="24"/>
          <w:color w:val="auto"/>
          <w:vertAlign w:val="superscript"/>
        </w:rPr>
      </w:pPr>
      <w:r>
        <w:rPr>
          <w:rFonts w:ascii="Arial" w:cs="Arial" w:eastAsia="Arial" w:hAnsi="Arial"/>
          <w:sz w:val="14"/>
          <w:szCs w:val="14"/>
          <w:color w:val="auto"/>
        </w:rPr>
        <w:t>Represents outstanding and unvested PSUs held on December 31, 2021 that remain subject to performance adjustment and forfeiture provisions, as illustrated in the following tables. This column does not give effect to retirement provisions for Messrs. Fernandez and Pettit. These numbers represent PSUs each NEO would receive upon vesting, assuming maximum attainment of the applicable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91440</wp:posOffset>
            </wp:positionV>
            <wp:extent cx="7154545" cy="209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00" w:type="dxa"/>
            <w:vAlign w:val="bottom"/>
            <w:tcBorders>
              <w:right w:val="single" w:sz="8" w:color="16479F"/>
            </w:tcBorders>
          </w:tcPr>
          <w:p>
            <w:pPr>
              <w:jc w:val="right"/>
              <w:ind w:right="369"/>
              <w:spacing w:after="0"/>
              <w:rPr>
                <w:sz w:val="20"/>
                <w:szCs w:val="20"/>
                <w:color w:val="auto"/>
              </w:rPr>
            </w:pPr>
            <w:r>
              <w:rPr>
                <w:rFonts w:ascii="Arial" w:cs="Arial" w:eastAsia="Arial" w:hAnsi="Arial"/>
                <w:sz w:val="14"/>
                <w:szCs w:val="14"/>
                <w:b w:val="1"/>
                <w:bCs w:val="1"/>
                <w:color w:val="16479F"/>
              </w:rPr>
              <w:t>90</w:t>
            </w:r>
          </w:p>
        </w:tc>
        <w:tc>
          <w:tcPr>
            <w:tcW w:w="10540" w:type="dxa"/>
            <w:vAlign w:val="bottom"/>
          </w:tcPr>
          <w:p>
            <w:pPr>
              <w:ind w:left="100"/>
              <w:spacing w:after="0"/>
              <w:rPr>
                <w:sz w:val="20"/>
                <w:szCs w:val="20"/>
                <w:color w:val="auto"/>
              </w:rPr>
            </w:pPr>
            <w:r>
              <w:rPr>
                <w:rFonts w:ascii="Arial" w:cs="Arial" w:eastAsia="Arial" w:hAnsi="Arial"/>
                <w:sz w:val="14"/>
                <w:szCs w:val="14"/>
                <w:b w:val="1"/>
                <w:bCs w:val="1"/>
                <w:color w:val="16479F"/>
              </w:rPr>
              <w:t>MSCI  |  COMPENSATION MATTERS</w:t>
            </w:r>
          </w:p>
        </w:tc>
      </w:tr>
      <w:tr>
        <w:trPr>
          <w:trHeight w:val="65"/>
        </w:trPr>
        <w:tc>
          <w:tcPr>
            <w:tcW w:w="700" w:type="dxa"/>
            <w:vAlign w:val="bottom"/>
            <w:tcBorders>
              <w:bottom w:val="single" w:sz="8" w:color="16479F"/>
              <w:right w:val="single" w:sz="8" w:color="16479F"/>
            </w:tcBorders>
          </w:tcPr>
          <w:p>
            <w:pPr>
              <w:spacing w:after="0"/>
              <w:rPr>
                <w:sz w:val="5"/>
                <w:szCs w:val="5"/>
                <w:color w:val="auto"/>
              </w:rPr>
            </w:pPr>
          </w:p>
        </w:tc>
        <w:tc>
          <w:tcPr>
            <w:tcW w:w="10540" w:type="dxa"/>
            <w:vAlign w:val="bottom"/>
            <w:tcBorders>
              <w:bottom w:val="single" w:sz="8" w:color="16479F"/>
            </w:tcBorders>
          </w:tcPr>
          <w:p>
            <w:pPr>
              <w:spacing w:after="0"/>
              <w:rPr>
                <w:sz w:val="5"/>
                <w:szCs w:val="5"/>
                <w:color w:val="auto"/>
              </w:rPr>
            </w:pPr>
          </w:p>
        </w:tc>
      </w:tr>
    </w:tbl>
    <w:p>
      <w:pPr>
        <w:spacing w:after="0" w:line="196" w:lineRule="exact"/>
        <w:rPr>
          <w:sz w:val="20"/>
          <w:szCs w:val="20"/>
          <w:color w:val="auto"/>
        </w:rPr>
      </w:pPr>
    </w:p>
    <w:p>
      <w:pPr>
        <w:ind w:right="4660"/>
        <w:spacing w:after="0" w:line="527" w:lineRule="auto"/>
        <w:rPr>
          <w:sz w:val="20"/>
          <w:szCs w:val="20"/>
          <w:color w:val="auto"/>
        </w:rPr>
      </w:pPr>
      <w:r>
        <w:rPr>
          <w:rFonts w:ascii="Arial" w:cs="Arial" w:eastAsia="Arial" w:hAnsi="Arial"/>
          <w:sz w:val="16"/>
          <w:szCs w:val="16"/>
          <w:b w:val="1"/>
          <w:bCs w:val="1"/>
          <w:color w:val="auto"/>
        </w:rPr>
        <w:t>2019, 2020 and 2021 PSU Awards, subject to forfeiture and cancellation provisions 2019—3-Year PSU Award-Unadjusted, subject to forfeiture and cancellation provisions</w:t>
      </w: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5520" w:type="dxa"/>
            <w:vAlign w:val="bottom"/>
          </w:tcPr>
          <w:p>
            <w:pPr>
              <w:jc w:val="right"/>
              <w:spacing w:after="0"/>
              <w:rPr>
                <w:sz w:val="20"/>
                <w:szCs w:val="20"/>
                <w:color w:val="auto"/>
              </w:rPr>
            </w:pPr>
            <w:r>
              <w:rPr>
                <w:rFonts w:ascii="Arial" w:cs="Arial" w:eastAsia="Arial" w:hAnsi="Arial"/>
                <w:sz w:val="14"/>
                <w:szCs w:val="14"/>
                <w:b w:val="1"/>
                <w:bCs w:val="1"/>
                <w:color w:val="auto"/>
              </w:rPr>
              <w:t>Number of PSUs at 300%</w:t>
            </w:r>
          </w:p>
        </w:tc>
      </w:tr>
      <w:tr>
        <w:trPr>
          <w:trHeight w:val="195"/>
        </w:trPr>
        <w:tc>
          <w:tcPr>
            <w:tcW w:w="5720" w:type="dxa"/>
            <w:vAlign w:val="bottom"/>
            <w:tcBorders>
              <w:bottom w:val="single" w:sz="8" w:color="16479F"/>
            </w:tcBorders>
          </w:tcPr>
          <w:p>
            <w:pPr>
              <w:ind w:left="60"/>
              <w:spacing w:after="0"/>
              <w:rPr>
                <w:sz w:val="20"/>
                <w:szCs w:val="20"/>
                <w:color w:val="auto"/>
              </w:rPr>
            </w:pPr>
            <w:r>
              <w:rPr>
                <w:rFonts w:ascii="Arial" w:cs="Arial" w:eastAsia="Arial" w:hAnsi="Arial"/>
                <w:sz w:val="14"/>
                <w:szCs w:val="14"/>
                <w:b w:val="1"/>
                <w:bCs w:val="1"/>
                <w:color w:val="auto"/>
              </w:rPr>
              <w:t>Name</w:t>
            </w:r>
          </w:p>
        </w:tc>
        <w:tc>
          <w:tcPr>
            <w:tcW w:w="5520" w:type="dxa"/>
            <w:vAlign w:val="bottom"/>
            <w:tcBorders>
              <w:bottom w:val="single" w:sz="8" w:color="16479F"/>
            </w:tcBorders>
          </w:tcPr>
          <w:p>
            <w:pPr>
              <w:jc w:val="right"/>
              <w:spacing w:after="0"/>
              <w:rPr>
                <w:sz w:val="20"/>
                <w:szCs w:val="20"/>
                <w:color w:val="auto"/>
              </w:rPr>
            </w:pPr>
            <w:r>
              <w:rPr>
                <w:rFonts w:ascii="Arial" w:cs="Arial" w:eastAsia="Arial" w:hAnsi="Arial"/>
                <w:sz w:val="14"/>
                <w:szCs w:val="14"/>
                <w:b w:val="1"/>
                <w:bCs w:val="1"/>
                <w:color w:val="auto"/>
              </w:rPr>
              <w:t>(Maximum) Vesting</w:t>
            </w:r>
          </w:p>
        </w:tc>
      </w:tr>
      <w:tr>
        <w:trPr>
          <w:trHeight w:val="280"/>
        </w:trPr>
        <w:tc>
          <w:tcPr>
            <w:tcW w:w="5720" w:type="dxa"/>
            <w:vAlign w:val="bottom"/>
            <w:shd w:val="clear" w:color="auto" w:fill="F0F1F8"/>
          </w:tcPr>
          <w:p>
            <w:pPr>
              <w:ind w:left="60"/>
              <w:spacing w:after="0" w:line="281" w:lineRule="exact"/>
              <w:rPr>
                <w:sz w:val="20"/>
                <w:szCs w:val="20"/>
                <w:color w:val="auto"/>
              </w:rPr>
            </w:pPr>
            <w:r>
              <w:rPr>
                <w:rFonts w:ascii="Arial" w:cs="Arial" w:eastAsia="Arial" w:hAnsi="Arial"/>
                <w:sz w:val="16"/>
                <w:szCs w:val="16"/>
                <w:b w:val="1"/>
                <w:bCs w:val="1"/>
                <w:color w:val="auto"/>
              </w:rPr>
              <w:t>Henry A. Fernandez</w:t>
            </w:r>
            <w:r>
              <w:rPr>
                <w:rFonts w:ascii="Arial" w:cs="Arial" w:eastAsia="Arial" w:hAnsi="Arial"/>
                <w:sz w:val="26"/>
                <w:szCs w:val="26"/>
                <w:b w:val="1"/>
                <w:bCs w:val="1"/>
                <w:color w:val="auto"/>
                <w:vertAlign w:val="superscript"/>
              </w:rPr>
              <w:t>(1)</w:t>
            </w:r>
          </w:p>
        </w:tc>
        <w:tc>
          <w:tcPr>
            <w:tcW w:w="5520" w:type="dxa"/>
            <w:vAlign w:val="bottom"/>
            <w:shd w:val="clear" w:color="auto" w:fill="F0F1F8"/>
          </w:tcPr>
          <w:p>
            <w:pPr>
              <w:jc w:val="right"/>
              <w:spacing w:after="0"/>
              <w:rPr>
                <w:sz w:val="20"/>
                <w:szCs w:val="20"/>
                <w:color w:val="auto"/>
              </w:rPr>
            </w:pPr>
            <w:r>
              <w:rPr>
                <w:rFonts w:ascii="Arial" w:cs="Arial" w:eastAsia="Arial" w:hAnsi="Arial"/>
                <w:sz w:val="16"/>
                <w:szCs w:val="16"/>
                <w:color w:val="auto"/>
              </w:rPr>
              <w:t>80,187</w:t>
            </w:r>
          </w:p>
        </w:tc>
      </w:tr>
      <w:tr>
        <w:trPr>
          <w:trHeight w:val="281"/>
        </w:trPr>
        <w:tc>
          <w:tcPr>
            <w:tcW w:w="5720" w:type="dxa"/>
            <w:vAlign w:val="bottom"/>
          </w:tcPr>
          <w:p>
            <w:pPr>
              <w:ind w:left="60"/>
              <w:spacing w:after="0" w:line="281" w:lineRule="exact"/>
              <w:rPr>
                <w:sz w:val="20"/>
                <w:szCs w:val="20"/>
                <w:color w:val="auto"/>
              </w:rPr>
            </w:pPr>
            <w:r>
              <w:rPr>
                <w:rFonts w:ascii="Arial" w:cs="Arial" w:eastAsia="Arial" w:hAnsi="Arial"/>
                <w:sz w:val="16"/>
                <w:szCs w:val="16"/>
                <w:b w:val="1"/>
                <w:bCs w:val="1"/>
                <w:color w:val="auto"/>
              </w:rPr>
              <w:t>Andrew C. Wiechmann</w:t>
            </w:r>
            <w:r>
              <w:rPr>
                <w:rFonts w:ascii="Arial" w:cs="Arial" w:eastAsia="Arial" w:hAnsi="Arial"/>
                <w:sz w:val="26"/>
                <w:szCs w:val="26"/>
                <w:b w:val="1"/>
                <w:bCs w:val="1"/>
                <w:color w:val="auto"/>
                <w:vertAlign w:val="superscript"/>
              </w:rPr>
              <w:t>(2)</w:t>
            </w:r>
          </w:p>
        </w:tc>
        <w:tc>
          <w:tcPr>
            <w:tcW w:w="5520" w:type="dxa"/>
            <w:vAlign w:val="bottom"/>
          </w:tcPr>
          <w:p>
            <w:pPr>
              <w:jc w:val="right"/>
              <w:spacing w:after="0"/>
              <w:rPr>
                <w:sz w:val="20"/>
                <w:szCs w:val="20"/>
                <w:color w:val="auto"/>
              </w:rPr>
            </w:pPr>
            <w:r>
              <w:rPr>
                <w:rFonts w:ascii="Arial" w:cs="Arial" w:eastAsia="Arial" w:hAnsi="Arial"/>
                <w:sz w:val="16"/>
                <w:szCs w:val="16"/>
                <w:color w:val="auto"/>
              </w:rPr>
              <w:t>3,021</w:t>
            </w:r>
          </w:p>
        </w:tc>
      </w:tr>
      <w:tr>
        <w:trPr>
          <w:trHeight w:val="281"/>
        </w:trPr>
        <w:tc>
          <w:tcPr>
            <w:tcW w:w="5720" w:type="dxa"/>
            <w:vAlign w:val="bottom"/>
            <w:shd w:val="clear" w:color="auto" w:fill="F0F1F8"/>
          </w:tcPr>
          <w:p>
            <w:pPr>
              <w:ind w:left="60"/>
              <w:spacing w:after="0" w:line="281" w:lineRule="exact"/>
              <w:rPr>
                <w:sz w:val="20"/>
                <w:szCs w:val="20"/>
                <w:color w:val="auto"/>
              </w:rPr>
            </w:pPr>
            <w:r>
              <w:rPr>
                <w:rFonts w:ascii="Arial" w:cs="Arial" w:eastAsia="Arial" w:hAnsi="Arial"/>
                <w:sz w:val="16"/>
                <w:szCs w:val="16"/>
                <w:b w:val="1"/>
                <w:bCs w:val="1"/>
                <w:color w:val="auto"/>
              </w:rPr>
              <w:t>C.D. Baer Pettit</w:t>
            </w:r>
            <w:r>
              <w:rPr>
                <w:rFonts w:ascii="Arial" w:cs="Arial" w:eastAsia="Arial" w:hAnsi="Arial"/>
                <w:sz w:val="26"/>
                <w:szCs w:val="26"/>
                <w:b w:val="1"/>
                <w:bCs w:val="1"/>
                <w:color w:val="auto"/>
                <w:vertAlign w:val="superscript"/>
              </w:rPr>
              <w:t>(3)</w:t>
            </w:r>
          </w:p>
        </w:tc>
        <w:tc>
          <w:tcPr>
            <w:tcW w:w="5520" w:type="dxa"/>
            <w:vAlign w:val="bottom"/>
            <w:shd w:val="clear" w:color="auto" w:fill="F0F1F8"/>
          </w:tcPr>
          <w:p>
            <w:pPr>
              <w:jc w:val="right"/>
              <w:spacing w:after="0"/>
              <w:rPr>
                <w:sz w:val="20"/>
                <w:szCs w:val="20"/>
                <w:color w:val="auto"/>
              </w:rPr>
            </w:pPr>
            <w:r>
              <w:rPr>
                <w:rFonts w:ascii="Arial" w:cs="Arial" w:eastAsia="Arial" w:hAnsi="Arial"/>
                <w:sz w:val="16"/>
                <w:szCs w:val="16"/>
                <w:color w:val="auto"/>
              </w:rPr>
              <w:t>37,008</w:t>
            </w:r>
          </w:p>
        </w:tc>
      </w:tr>
      <w:tr>
        <w:trPr>
          <w:trHeight w:val="281"/>
        </w:trPr>
        <w:tc>
          <w:tcPr>
            <w:tcW w:w="5720" w:type="dxa"/>
            <w:vAlign w:val="bottom"/>
          </w:tcPr>
          <w:p>
            <w:pPr>
              <w:ind w:left="60"/>
              <w:spacing w:after="0" w:line="281" w:lineRule="exact"/>
              <w:rPr>
                <w:sz w:val="20"/>
                <w:szCs w:val="20"/>
                <w:color w:val="auto"/>
              </w:rPr>
            </w:pPr>
            <w:r>
              <w:rPr>
                <w:rFonts w:ascii="Arial" w:cs="Arial" w:eastAsia="Arial" w:hAnsi="Arial"/>
                <w:sz w:val="16"/>
                <w:szCs w:val="16"/>
                <w:b w:val="1"/>
                <w:bCs w:val="1"/>
                <w:color w:val="auto"/>
              </w:rPr>
              <w:t>Scott A. Crum</w:t>
            </w:r>
            <w:r>
              <w:rPr>
                <w:rFonts w:ascii="Arial" w:cs="Arial" w:eastAsia="Arial" w:hAnsi="Arial"/>
                <w:sz w:val="26"/>
                <w:szCs w:val="26"/>
                <w:b w:val="1"/>
                <w:bCs w:val="1"/>
                <w:color w:val="auto"/>
                <w:vertAlign w:val="superscript"/>
              </w:rPr>
              <w:t>(4)</w:t>
            </w:r>
          </w:p>
        </w:tc>
        <w:tc>
          <w:tcPr>
            <w:tcW w:w="5520" w:type="dxa"/>
            <w:vAlign w:val="bottom"/>
          </w:tcPr>
          <w:p>
            <w:pPr>
              <w:jc w:val="right"/>
              <w:spacing w:after="0"/>
              <w:rPr>
                <w:sz w:val="20"/>
                <w:szCs w:val="20"/>
                <w:color w:val="auto"/>
              </w:rPr>
            </w:pPr>
            <w:r>
              <w:rPr>
                <w:rFonts w:ascii="Arial" w:cs="Arial" w:eastAsia="Arial" w:hAnsi="Arial"/>
                <w:sz w:val="16"/>
                <w:szCs w:val="16"/>
                <w:color w:val="auto"/>
              </w:rPr>
              <w:t>10,854</w:t>
            </w:r>
          </w:p>
        </w:tc>
      </w:tr>
      <w:tr>
        <w:trPr>
          <w:trHeight w:val="281"/>
        </w:trPr>
        <w:tc>
          <w:tcPr>
            <w:tcW w:w="5720" w:type="dxa"/>
            <w:vAlign w:val="bottom"/>
            <w:tcBorders>
              <w:bottom w:val="single" w:sz="8" w:color="auto"/>
            </w:tcBorders>
            <w:shd w:val="clear" w:color="auto" w:fill="F0F1F8"/>
          </w:tcPr>
          <w:p>
            <w:pPr>
              <w:ind w:left="60"/>
              <w:spacing w:after="0" w:line="281" w:lineRule="exact"/>
              <w:rPr>
                <w:sz w:val="20"/>
                <w:szCs w:val="20"/>
                <w:color w:val="auto"/>
              </w:rPr>
            </w:pPr>
            <w:r>
              <w:rPr>
                <w:rFonts w:ascii="Arial" w:cs="Arial" w:eastAsia="Arial" w:hAnsi="Arial"/>
                <w:sz w:val="16"/>
                <w:szCs w:val="16"/>
                <w:b w:val="1"/>
                <w:bCs w:val="1"/>
                <w:color w:val="auto"/>
              </w:rPr>
              <w:t>Robert J. Gutowski</w:t>
            </w:r>
            <w:r>
              <w:rPr>
                <w:rFonts w:ascii="Arial" w:cs="Arial" w:eastAsia="Arial" w:hAnsi="Arial"/>
                <w:sz w:val="26"/>
                <w:szCs w:val="26"/>
                <w:b w:val="1"/>
                <w:bCs w:val="1"/>
                <w:color w:val="auto"/>
                <w:vertAlign w:val="superscript"/>
              </w:rPr>
              <w:t>(5)</w:t>
            </w:r>
          </w:p>
        </w:tc>
        <w:tc>
          <w:tcPr>
            <w:tcW w:w="5520" w:type="dxa"/>
            <w:vAlign w:val="bottom"/>
            <w:tcBorders>
              <w:bottom w:val="single" w:sz="8" w:color="auto"/>
            </w:tcBorders>
            <w:shd w:val="clear" w:color="auto" w:fill="F0F1F8"/>
          </w:tcPr>
          <w:p>
            <w:pPr>
              <w:jc w:val="right"/>
              <w:spacing w:after="0"/>
              <w:rPr>
                <w:sz w:val="20"/>
                <w:szCs w:val="20"/>
                <w:color w:val="auto"/>
              </w:rPr>
            </w:pPr>
            <w:r>
              <w:rPr>
                <w:rFonts w:ascii="Arial" w:cs="Arial" w:eastAsia="Arial" w:hAnsi="Arial"/>
                <w:sz w:val="16"/>
                <w:szCs w:val="16"/>
                <w:color w:val="auto"/>
              </w:rPr>
              <w:t>3,021</w:t>
            </w:r>
          </w:p>
        </w:tc>
      </w:tr>
    </w:tbl>
    <w:p>
      <w:pPr>
        <w:ind w:left="280" w:hanging="273"/>
        <w:spacing w:after="0" w:line="199" w:lineRule="auto"/>
        <w:tabs>
          <w:tab w:leader="none" w:pos="280" w:val="left"/>
        </w:tabs>
        <w:numPr>
          <w:ilvl w:val="0"/>
          <w:numId w:val="137"/>
        </w:numPr>
        <w:rPr>
          <w:rFonts w:ascii="Arial" w:cs="Arial" w:eastAsia="Arial" w:hAnsi="Arial"/>
          <w:sz w:val="24"/>
          <w:szCs w:val="24"/>
          <w:color w:val="auto"/>
          <w:vertAlign w:val="superscript"/>
        </w:rPr>
      </w:pPr>
      <w:r>
        <w:rPr>
          <w:rFonts w:ascii="Arial" w:cs="Arial" w:eastAsia="Arial" w:hAnsi="Arial"/>
          <w:sz w:val="14"/>
          <w:szCs w:val="14"/>
          <w:color w:val="auto"/>
        </w:rPr>
        <w:t>Following the performance adjustment, Mr. Fernandez received 80,187 PSUs which vested and converted to shares on February 7, 2022.</w:t>
      </w:r>
    </w:p>
    <w:p>
      <w:pPr>
        <w:spacing w:after="0" w:line="43" w:lineRule="exact"/>
        <w:rPr>
          <w:rFonts w:ascii="Arial" w:cs="Arial" w:eastAsia="Arial" w:hAnsi="Arial"/>
          <w:sz w:val="24"/>
          <w:szCs w:val="24"/>
          <w:color w:val="auto"/>
          <w:vertAlign w:val="superscript"/>
        </w:rPr>
      </w:pPr>
    </w:p>
    <w:p>
      <w:pPr>
        <w:ind w:left="280" w:hanging="273"/>
        <w:spacing w:after="0" w:line="188" w:lineRule="auto"/>
        <w:tabs>
          <w:tab w:leader="none" w:pos="280" w:val="left"/>
        </w:tabs>
        <w:numPr>
          <w:ilvl w:val="0"/>
          <w:numId w:val="137"/>
        </w:numPr>
        <w:rPr>
          <w:rFonts w:ascii="Arial" w:cs="Arial" w:eastAsia="Arial" w:hAnsi="Arial"/>
          <w:sz w:val="19"/>
          <w:szCs w:val="19"/>
          <w:color w:val="auto"/>
          <w:vertAlign w:val="superscript"/>
        </w:rPr>
      </w:pPr>
      <w:r>
        <w:rPr>
          <w:rFonts w:ascii="Arial" w:cs="Arial" w:eastAsia="Arial" w:hAnsi="Arial"/>
          <w:sz w:val="12"/>
          <w:szCs w:val="12"/>
          <w:color w:val="auto"/>
        </w:rPr>
        <w:t>Following the performance adjustment, Mr. Wiechmann received 3,021 PSUs which vested and converted to shares on February 7, 2022.</w:t>
      </w:r>
    </w:p>
    <w:p>
      <w:pPr>
        <w:spacing w:after="0" w:line="43" w:lineRule="exact"/>
        <w:rPr>
          <w:rFonts w:ascii="Arial" w:cs="Arial" w:eastAsia="Arial" w:hAnsi="Arial"/>
          <w:sz w:val="19"/>
          <w:szCs w:val="19"/>
          <w:color w:val="auto"/>
          <w:vertAlign w:val="superscript"/>
        </w:rPr>
      </w:pPr>
    </w:p>
    <w:p>
      <w:pPr>
        <w:ind w:left="280" w:hanging="273"/>
        <w:spacing w:after="0" w:line="188" w:lineRule="auto"/>
        <w:tabs>
          <w:tab w:leader="none" w:pos="280" w:val="left"/>
        </w:tabs>
        <w:numPr>
          <w:ilvl w:val="0"/>
          <w:numId w:val="137"/>
        </w:numPr>
        <w:rPr>
          <w:rFonts w:ascii="Arial" w:cs="Arial" w:eastAsia="Arial" w:hAnsi="Arial"/>
          <w:sz w:val="19"/>
          <w:szCs w:val="19"/>
          <w:color w:val="auto"/>
          <w:vertAlign w:val="superscript"/>
        </w:rPr>
      </w:pPr>
      <w:r>
        <w:rPr>
          <w:rFonts w:ascii="Arial" w:cs="Arial" w:eastAsia="Arial" w:hAnsi="Arial"/>
          <w:sz w:val="12"/>
          <w:szCs w:val="12"/>
          <w:color w:val="auto"/>
        </w:rPr>
        <w:t>Following the performance adjustment, Mr. Pettit received 37,008 PSUs which vested and converted to shares on February 7, 2022.</w:t>
      </w:r>
    </w:p>
    <w:p>
      <w:pPr>
        <w:spacing w:after="0" w:line="43" w:lineRule="exact"/>
        <w:rPr>
          <w:rFonts w:ascii="Arial" w:cs="Arial" w:eastAsia="Arial" w:hAnsi="Arial"/>
          <w:sz w:val="19"/>
          <w:szCs w:val="19"/>
          <w:color w:val="auto"/>
          <w:vertAlign w:val="superscript"/>
        </w:rPr>
      </w:pPr>
    </w:p>
    <w:p>
      <w:pPr>
        <w:ind w:left="280" w:hanging="273"/>
        <w:spacing w:after="0" w:line="188" w:lineRule="auto"/>
        <w:tabs>
          <w:tab w:leader="none" w:pos="280" w:val="left"/>
        </w:tabs>
        <w:numPr>
          <w:ilvl w:val="0"/>
          <w:numId w:val="137"/>
        </w:numPr>
        <w:rPr>
          <w:rFonts w:ascii="Arial" w:cs="Arial" w:eastAsia="Arial" w:hAnsi="Arial"/>
          <w:sz w:val="19"/>
          <w:szCs w:val="19"/>
          <w:color w:val="auto"/>
          <w:vertAlign w:val="superscript"/>
        </w:rPr>
      </w:pPr>
      <w:r>
        <w:rPr>
          <w:rFonts w:ascii="Arial" w:cs="Arial" w:eastAsia="Arial" w:hAnsi="Arial"/>
          <w:sz w:val="12"/>
          <w:szCs w:val="12"/>
          <w:color w:val="auto"/>
        </w:rPr>
        <w:t>Following the performance adjustment, Mr. Crum received 10,854 PSUs which vested and converted to shares on February 7, 2022.</w:t>
      </w:r>
    </w:p>
    <w:p>
      <w:pPr>
        <w:spacing w:after="0" w:line="43" w:lineRule="exact"/>
        <w:rPr>
          <w:rFonts w:ascii="Arial" w:cs="Arial" w:eastAsia="Arial" w:hAnsi="Arial"/>
          <w:sz w:val="19"/>
          <w:szCs w:val="19"/>
          <w:color w:val="auto"/>
          <w:vertAlign w:val="superscript"/>
        </w:rPr>
      </w:pPr>
    </w:p>
    <w:p>
      <w:pPr>
        <w:ind w:left="280" w:hanging="273"/>
        <w:spacing w:after="0" w:line="188" w:lineRule="auto"/>
        <w:tabs>
          <w:tab w:leader="none" w:pos="280" w:val="left"/>
        </w:tabs>
        <w:numPr>
          <w:ilvl w:val="0"/>
          <w:numId w:val="137"/>
        </w:numPr>
        <w:rPr>
          <w:rFonts w:ascii="Arial" w:cs="Arial" w:eastAsia="Arial" w:hAnsi="Arial"/>
          <w:sz w:val="19"/>
          <w:szCs w:val="19"/>
          <w:color w:val="auto"/>
          <w:vertAlign w:val="superscript"/>
        </w:rPr>
      </w:pPr>
      <w:r>
        <w:rPr>
          <w:rFonts w:ascii="Arial" w:cs="Arial" w:eastAsia="Arial" w:hAnsi="Arial"/>
          <w:sz w:val="12"/>
          <w:szCs w:val="12"/>
          <w:color w:val="auto"/>
        </w:rPr>
        <w:t>Following the performance adjustment, Mr. Gutowski received 3,021 PSUs which vested and converted to shares on February 7, 2022.</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2019—5-Year PSU Award-Unadjusted, subject to forfeiture and cancellation provisions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1960" w:type="dxa"/>
            <w:vAlign w:val="bottom"/>
          </w:tcPr>
          <w:p>
            <w:pPr>
              <w:jc w:val="right"/>
              <w:spacing w:after="0"/>
              <w:rPr>
                <w:sz w:val="20"/>
                <w:szCs w:val="20"/>
                <w:color w:val="auto"/>
              </w:rPr>
            </w:pPr>
            <w:r>
              <w:rPr>
                <w:rFonts w:ascii="Arial" w:cs="Arial" w:eastAsia="Arial" w:hAnsi="Arial"/>
                <w:sz w:val="14"/>
                <w:szCs w:val="14"/>
                <w:b w:val="1"/>
                <w:bCs w:val="1"/>
                <w:color w:val="auto"/>
              </w:rPr>
              <w:t>Number of PSUs at 200%</w:t>
            </w:r>
          </w:p>
        </w:tc>
        <w:tc>
          <w:tcPr>
            <w:tcW w:w="20" w:type="dxa"/>
            <w:vAlign w:val="bottom"/>
          </w:tcPr>
          <w:p>
            <w:pPr>
              <w:spacing w:after="0"/>
              <w:rPr>
                <w:sz w:val="14"/>
                <w:szCs w:val="14"/>
                <w:color w:val="auto"/>
              </w:rPr>
            </w:pPr>
          </w:p>
        </w:tc>
      </w:tr>
      <w:tr>
        <w:trPr>
          <w:trHeight w:val="195"/>
        </w:trPr>
        <w:tc>
          <w:tcPr>
            <w:tcW w:w="9280" w:type="dxa"/>
            <w:vAlign w:val="bottom"/>
            <w:tcBorders>
              <w:bottom w:val="single" w:sz="8" w:color="16479F"/>
            </w:tcBorders>
          </w:tcPr>
          <w:p>
            <w:pPr>
              <w:ind w:left="60"/>
              <w:spacing w:after="0"/>
              <w:rPr>
                <w:sz w:val="20"/>
                <w:szCs w:val="20"/>
                <w:color w:val="auto"/>
              </w:rPr>
            </w:pPr>
            <w:r>
              <w:rPr>
                <w:rFonts w:ascii="Arial" w:cs="Arial" w:eastAsia="Arial" w:hAnsi="Arial"/>
                <w:sz w:val="14"/>
                <w:szCs w:val="14"/>
                <w:b w:val="1"/>
                <w:bCs w:val="1"/>
                <w:color w:val="auto"/>
              </w:rPr>
              <w:t>Name</w:t>
            </w:r>
          </w:p>
        </w:tc>
        <w:tc>
          <w:tcPr>
            <w:tcW w:w="1960" w:type="dxa"/>
            <w:vAlign w:val="bottom"/>
            <w:tcBorders>
              <w:bottom w:val="single" w:sz="8" w:color="16479F"/>
            </w:tcBorders>
          </w:tcPr>
          <w:p>
            <w:pPr>
              <w:jc w:val="right"/>
              <w:spacing w:after="0"/>
              <w:rPr>
                <w:sz w:val="20"/>
                <w:szCs w:val="20"/>
                <w:color w:val="auto"/>
              </w:rPr>
            </w:pPr>
            <w:r>
              <w:rPr>
                <w:rFonts w:ascii="Arial" w:cs="Arial" w:eastAsia="Arial" w:hAnsi="Arial"/>
                <w:sz w:val="14"/>
                <w:szCs w:val="14"/>
                <w:b w:val="1"/>
                <w:bCs w:val="1"/>
                <w:color w:val="auto"/>
              </w:rPr>
              <w:t>(Maximum) Vesting</w:t>
            </w:r>
          </w:p>
        </w:tc>
        <w:tc>
          <w:tcPr>
            <w:tcW w:w="20" w:type="dxa"/>
            <w:vAlign w:val="bottom"/>
          </w:tcPr>
          <w:p>
            <w:pPr>
              <w:spacing w:after="0"/>
              <w:rPr>
                <w:sz w:val="16"/>
                <w:szCs w:val="16"/>
                <w:color w:val="auto"/>
              </w:rPr>
            </w:pPr>
          </w:p>
        </w:tc>
      </w:tr>
      <w:tr>
        <w:trPr>
          <w:trHeight w:val="240"/>
        </w:trPr>
        <w:tc>
          <w:tcPr>
            <w:tcW w:w="9280" w:type="dxa"/>
            <w:vAlign w:val="bottom"/>
            <w:shd w:val="clear" w:color="auto" w:fill="F0F1F8"/>
          </w:tcPr>
          <w:p>
            <w:pPr>
              <w:ind w:left="60"/>
              <w:spacing w:after="0"/>
              <w:rPr>
                <w:sz w:val="20"/>
                <w:szCs w:val="20"/>
                <w:color w:val="auto"/>
              </w:rPr>
            </w:pPr>
            <w:r>
              <w:rPr>
                <w:rFonts w:ascii="Arial" w:cs="Arial" w:eastAsia="Arial" w:hAnsi="Arial"/>
                <w:sz w:val="16"/>
                <w:szCs w:val="16"/>
                <w:b w:val="1"/>
                <w:bCs w:val="1"/>
                <w:color w:val="auto"/>
              </w:rPr>
              <w:t>Henry A. Fernandez</w:t>
            </w:r>
          </w:p>
        </w:tc>
        <w:tc>
          <w:tcPr>
            <w:tcW w:w="1960" w:type="dxa"/>
            <w:vAlign w:val="bottom"/>
            <w:shd w:val="clear" w:color="auto" w:fill="F0F1F8"/>
          </w:tcPr>
          <w:p>
            <w:pPr>
              <w:jc w:val="right"/>
              <w:spacing w:after="0"/>
              <w:rPr>
                <w:sz w:val="20"/>
                <w:szCs w:val="20"/>
                <w:color w:val="auto"/>
              </w:rPr>
            </w:pPr>
            <w:r>
              <w:rPr>
                <w:rFonts w:ascii="Arial" w:cs="Arial" w:eastAsia="Arial" w:hAnsi="Arial"/>
                <w:sz w:val="16"/>
                <w:szCs w:val="16"/>
                <w:color w:val="auto"/>
              </w:rPr>
              <w:t>84,022</w:t>
            </w:r>
          </w:p>
        </w:tc>
        <w:tc>
          <w:tcPr>
            <w:tcW w:w="20" w:type="dxa"/>
            <w:vAlign w:val="bottom"/>
          </w:tcPr>
          <w:p>
            <w:pPr>
              <w:spacing w:after="0"/>
              <w:rPr>
                <w:sz w:val="20"/>
                <w:szCs w:val="20"/>
                <w:color w:val="auto"/>
              </w:rPr>
            </w:pPr>
          </w:p>
        </w:tc>
      </w:tr>
      <w:tr>
        <w:trPr>
          <w:trHeight w:val="232"/>
        </w:trPr>
        <w:tc>
          <w:tcPr>
            <w:tcW w:w="9280" w:type="dxa"/>
            <w:vAlign w:val="bottom"/>
          </w:tcPr>
          <w:p>
            <w:pPr>
              <w:ind w:left="60"/>
              <w:spacing w:after="0"/>
              <w:rPr>
                <w:sz w:val="20"/>
                <w:szCs w:val="20"/>
                <w:color w:val="auto"/>
              </w:rPr>
            </w:pPr>
            <w:r>
              <w:rPr>
                <w:rFonts w:ascii="Arial" w:cs="Arial" w:eastAsia="Arial" w:hAnsi="Arial"/>
                <w:sz w:val="16"/>
                <w:szCs w:val="16"/>
                <w:b w:val="1"/>
                <w:bCs w:val="1"/>
                <w:color w:val="auto"/>
              </w:rPr>
              <w:t>Andrew C. Wiechmann</w:t>
            </w:r>
          </w:p>
        </w:tc>
        <w:tc>
          <w:tcPr>
            <w:tcW w:w="1960" w:type="dxa"/>
            <w:vAlign w:val="bottom"/>
          </w:tcPr>
          <w:p>
            <w:pPr>
              <w:jc w:val="right"/>
              <w:spacing w:after="0"/>
              <w:rPr>
                <w:sz w:val="20"/>
                <w:szCs w:val="20"/>
                <w:color w:val="auto"/>
              </w:rPr>
            </w:pPr>
            <w:r>
              <w:rPr>
                <w:rFonts w:ascii="Arial" w:cs="Arial" w:eastAsia="Arial" w:hAnsi="Arial"/>
                <w:sz w:val="16"/>
                <w:szCs w:val="16"/>
                <w:color w:val="auto"/>
              </w:rPr>
              <w:t>1,356</w:t>
            </w:r>
          </w:p>
        </w:tc>
        <w:tc>
          <w:tcPr>
            <w:tcW w:w="20" w:type="dxa"/>
            <w:vAlign w:val="bottom"/>
          </w:tcPr>
          <w:p>
            <w:pPr>
              <w:spacing w:after="0"/>
              <w:rPr>
                <w:sz w:val="20"/>
                <w:szCs w:val="20"/>
                <w:color w:val="auto"/>
              </w:rPr>
            </w:pPr>
          </w:p>
        </w:tc>
      </w:tr>
      <w:tr>
        <w:trPr>
          <w:trHeight w:val="250"/>
        </w:trPr>
        <w:tc>
          <w:tcPr>
            <w:tcW w:w="9280" w:type="dxa"/>
            <w:vAlign w:val="bottom"/>
            <w:shd w:val="clear" w:color="auto" w:fill="F0F1F8"/>
          </w:tcPr>
          <w:p>
            <w:pPr>
              <w:ind w:left="60"/>
              <w:spacing w:after="0"/>
              <w:rPr>
                <w:sz w:val="20"/>
                <w:szCs w:val="20"/>
                <w:color w:val="auto"/>
              </w:rPr>
            </w:pPr>
            <w:r>
              <w:rPr>
                <w:rFonts w:ascii="Arial" w:cs="Arial" w:eastAsia="Arial" w:hAnsi="Arial"/>
                <w:sz w:val="16"/>
                <w:szCs w:val="16"/>
                <w:b w:val="1"/>
                <w:bCs w:val="1"/>
                <w:color w:val="auto"/>
              </w:rPr>
              <w:t>C.D. Baer Pettit</w:t>
            </w:r>
          </w:p>
        </w:tc>
        <w:tc>
          <w:tcPr>
            <w:tcW w:w="1960" w:type="dxa"/>
            <w:vAlign w:val="bottom"/>
            <w:shd w:val="clear" w:color="auto" w:fill="F0F1F8"/>
          </w:tcPr>
          <w:p>
            <w:pPr>
              <w:jc w:val="right"/>
              <w:spacing w:after="0"/>
              <w:rPr>
                <w:sz w:val="20"/>
                <w:szCs w:val="20"/>
                <w:color w:val="auto"/>
              </w:rPr>
            </w:pPr>
            <w:r>
              <w:rPr>
                <w:rFonts w:ascii="Arial" w:cs="Arial" w:eastAsia="Arial" w:hAnsi="Arial"/>
                <w:sz w:val="16"/>
                <w:szCs w:val="16"/>
                <w:color w:val="auto"/>
              </w:rPr>
              <w:t>23,266</w:t>
            </w:r>
          </w:p>
        </w:tc>
        <w:tc>
          <w:tcPr>
            <w:tcW w:w="20" w:type="dxa"/>
            <w:vAlign w:val="bottom"/>
          </w:tcPr>
          <w:p>
            <w:pPr>
              <w:spacing w:after="0"/>
              <w:rPr>
                <w:sz w:val="21"/>
                <w:szCs w:val="21"/>
                <w:color w:val="auto"/>
              </w:rPr>
            </w:pPr>
          </w:p>
        </w:tc>
      </w:tr>
      <w:tr>
        <w:trPr>
          <w:trHeight w:val="232"/>
        </w:trPr>
        <w:tc>
          <w:tcPr>
            <w:tcW w:w="9280" w:type="dxa"/>
            <w:vAlign w:val="bottom"/>
          </w:tcPr>
          <w:p>
            <w:pPr>
              <w:ind w:left="60"/>
              <w:spacing w:after="0"/>
              <w:rPr>
                <w:sz w:val="20"/>
                <w:szCs w:val="20"/>
                <w:color w:val="auto"/>
              </w:rPr>
            </w:pPr>
            <w:r>
              <w:rPr>
                <w:rFonts w:ascii="Arial" w:cs="Arial" w:eastAsia="Arial" w:hAnsi="Arial"/>
                <w:sz w:val="16"/>
                <w:szCs w:val="16"/>
                <w:b w:val="1"/>
                <w:bCs w:val="1"/>
                <w:color w:val="auto"/>
              </w:rPr>
              <w:t>Scott A. Crum</w:t>
            </w:r>
          </w:p>
        </w:tc>
        <w:tc>
          <w:tcPr>
            <w:tcW w:w="1960" w:type="dxa"/>
            <w:vAlign w:val="bottom"/>
          </w:tcPr>
          <w:p>
            <w:pPr>
              <w:jc w:val="right"/>
              <w:spacing w:after="0"/>
              <w:rPr>
                <w:sz w:val="20"/>
                <w:szCs w:val="20"/>
                <w:color w:val="auto"/>
              </w:rPr>
            </w:pPr>
            <w:r>
              <w:rPr>
                <w:rFonts w:ascii="Arial" w:cs="Arial" w:eastAsia="Arial" w:hAnsi="Arial"/>
                <w:sz w:val="16"/>
                <w:szCs w:val="16"/>
                <w:color w:val="auto"/>
              </w:rPr>
              <w:t>5,686</w:t>
            </w:r>
          </w:p>
        </w:tc>
        <w:tc>
          <w:tcPr>
            <w:tcW w:w="20" w:type="dxa"/>
            <w:vAlign w:val="bottom"/>
          </w:tcPr>
          <w:p>
            <w:pPr>
              <w:spacing w:after="0"/>
              <w:rPr>
                <w:sz w:val="20"/>
                <w:szCs w:val="20"/>
                <w:color w:val="auto"/>
              </w:rPr>
            </w:pPr>
          </w:p>
        </w:tc>
      </w:tr>
      <w:tr>
        <w:trPr>
          <w:trHeight w:val="244"/>
        </w:trPr>
        <w:tc>
          <w:tcPr>
            <w:tcW w:w="9280" w:type="dxa"/>
            <w:vAlign w:val="bottom"/>
            <w:tcBorders>
              <w:bottom w:val="single" w:sz="8" w:color="auto"/>
            </w:tcBorders>
            <w:shd w:val="clear" w:color="auto" w:fill="F0F1F8"/>
          </w:tcPr>
          <w:p>
            <w:pPr>
              <w:ind w:left="60"/>
              <w:spacing w:after="0"/>
              <w:rPr>
                <w:sz w:val="20"/>
                <w:szCs w:val="20"/>
                <w:color w:val="auto"/>
              </w:rPr>
            </w:pPr>
            <w:r>
              <w:rPr>
                <w:rFonts w:ascii="Arial" w:cs="Arial" w:eastAsia="Arial" w:hAnsi="Arial"/>
                <w:sz w:val="16"/>
                <w:szCs w:val="16"/>
                <w:b w:val="1"/>
                <w:bCs w:val="1"/>
                <w:color w:val="auto"/>
              </w:rPr>
              <w:t>Robert J. Gutowski</w:t>
            </w:r>
          </w:p>
        </w:tc>
        <w:tc>
          <w:tcPr>
            <w:tcW w:w="1960" w:type="dxa"/>
            <w:vAlign w:val="bottom"/>
            <w:tcBorders>
              <w:bottom w:val="single" w:sz="8" w:color="auto"/>
            </w:tcBorders>
            <w:shd w:val="clear" w:color="auto" w:fill="F0F1F8"/>
          </w:tcPr>
          <w:p>
            <w:pPr>
              <w:jc w:val="right"/>
              <w:spacing w:after="0"/>
              <w:rPr>
                <w:sz w:val="20"/>
                <w:szCs w:val="20"/>
                <w:color w:val="auto"/>
              </w:rPr>
            </w:pPr>
            <w:r>
              <w:rPr>
                <w:rFonts w:ascii="Arial" w:cs="Arial" w:eastAsia="Arial" w:hAnsi="Arial"/>
                <w:sz w:val="16"/>
                <w:szCs w:val="16"/>
                <w:color w:val="auto"/>
              </w:rPr>
              <w:t>1,356</w:t>
            </w:r>
          </w:p>
        </w:tc>
        <w:tc>
          <w:tcPr>
            <w:tcW w:w="20" w:type="dxa"/>
            <w:vAlign w:val="bottom"/>
          </w:tcPr>
          <w:p>
            <w:pPr>
              <w:spacing w:after="0"/>
              <w:rPr>
                <w:sz w:val="21"/>
                <w:szCs w:val="21"/>
                <w:color w:val="auto"/>
              </w:rPr>
            </w:pPr>
          </w:p>
        </w:tc>
      </w:tr>
      <w:tr>
        <w:trPr>
          <w:trHeight w:val="463"/>
        </w:trPr>
        <w:tc>
          <w:tcPr>
            <w:tcW w:w="9280" w:type="dxa"/>
            <w:vAlign w:val="bottom"/>
          </w:tcPr>
          <w:p>
            <w:pPr>
              <w:spacing w:after="0"/>
              <w:rPr>
                <w:sz w:val="20"/>
                <w:szCs w:val="20"/>
                <w:color w:val="auto"/>
              </w:rPr>
            </w:pPr>
            <w:r>
              <w:rPr>
                <w:rFonts w:ascii="Arial" w:cs="Arial" w:eastAsia="Arial" w:hAnsi="Arial"/>
                <w:sz w:val="16"/>
                <w:szCs w:val="16"/>
                <w:b w:val="1"/>
                <w:bCs w:val="1"/>
                <w:color w:val="auto"/>
              </w:rPr>
              <w:t>2020—3-Year PSU Award-Unadjusted, subject to forfeiture and cancellation provisions</w:t>
            </w: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0"/>
        </w:trPr>
        <w:tc>
          <w:tcPr>
            <w:tcW w:w="92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74"/>
        </w:trPr>
        <w:tc>
          <w:tcPr>
            <w:tcW w:w="9280" w:type="dxa"/>
            <w:vAlign w:val="bottom"/>
            <w:shd w:val="clear" w:color="auto" w:fill="F0F1F8"/>
          </w:tcPr>
          <w:p>
            <w:pPr>
              <w:spacing w:after="0"/>
              <w:rPr>
                <w:sz w:val="15"/>
                <w:szCs w:val="15"/>
                <w:color w:val="auto"/>
              </w:rPr>
            </w:pPr>
          </w:p>
        </w:tc>
        <w:tc>
          <w:tcPr>
            <w:tcW w:w="1960" w:type="dxa"/>
            <w:vAlign w:val="bottom"/>
            <w:shd w:val="clear" w:color="auto" w:fill="F0F1F8"/>
          </w:tcPr>
          <w:p>
            <w:pPr>
              <w:jc w:val="right"/>
              <w:spacing w:after="0"/>
              <w:rPr>
                <w:sz w:val="20"/>
                <w:szCs w:val="20"/>
                <w:color w:val="auto"/>
              </w:rPr>
            </w:pPr>
            <w:r>
              <w:rPr>
                <w:rFonts w:ascii="Arial" w:cs="Arial" w:eastAsia="Arial" w:hAnsi="Arial"/>
                <w:sz w:val="14"/>
                <w:szCs w:val="14"/>
                <w:b w:val="1"/>
                <w:bCs w:val="1"/>
                <w:color w:val="auto"/>
              </w:rPr>
              <w:t>Number of PSUs at 300%</w:t>
            </w:r>
          </w:p>
        </w:tc>
        <w:tc>
          <w:tcPr>
            <w:tcW w:w="20" w:type="dxa"/>
            <w:vAlign w:val="bottom"/>
          </w:tcPr>
          <w:p>
            <w:pPr>
              <w:spacing w:after="0"/>
              <w:rPr>
                <w:sz w:val="15"/>
                <w:szCs w:val="15"/>
                <w:color w:val="auto"/>
              </w:rPr>
            </w:pPr>
          </w:p>
        </w:tc>
      </w:tr>
      <w:tr>
        <w:trPr>
          <w:trHeight w:val="195"/>
        </w:trPr>
        <w:tc>
          <w:tcPr>
            <w:tcW w:w="9280" w:type="dxa"/>
            <w:vAlign w:val="bottom"/>
            <w:tcBorders>
              <w:bottom w:val="single" w:sz="8" w:color="16479F"/>
            </w:tcBorders>
            <w:shd w:val="clear" w:color="auto" w:fill="F0F1F8"/>
          </w:tcPr>
          <w:p>
            <w:pPr>
              <w:ind w:left="60"/>
              <w:spacing w:after="0"/>
              <w:rPr>
                <w:sz w:val="20"/>
                <w:szCs w:val="20"/>
                <w:color w:val="auto"/>
              </w:rPr>
            </w:pPr>
            <w:r>
              <w:rPr>
                <w:rFonts w:ascii="Arial" w:cs="Arial" w:eastAsia="Arial" w:hAnsi="Arial"/>
                <w:sz w:val="14"/>
                <w:szCs w:val="14"/>
                <w:b w:val="1"/>
                <w:bCs w:val="1"/>
                <w:color w:val="auto"/>
              </w:rPr>
              <w:t>Name</w:t>
            </w:r>
          </w:p>
        </w:tc>
        <w:tc>
          <w:tcPr>
            <w:tcW w:w="1960" w:type="dxa"/>
            <w:vAlign w:val="bottom"/>
            <w:tcBorders>
              <w:bottom w:val="single" w:sz="8" w:color="16479F"/>
            </w:tcBorders>
            <w:shd w:val="clear" w:color="auto" w:fill="F0F1F8"/>
          </w:tcPr>
          <w:p>
            <w:pPr>
              <w:jc w:val="right"/>
              <w:spacing w:after="0"/>
              <w:rPr>
                <w:sz w:val="20"/>
                <w:szCs w:val="20"/>
                <w:color w:val="auto"/>
              </w:rPr>
            </w:pPr>
            <w:r>
              <w:rPr>
                <w:rFonts w:ascii="Arial" w:cs="Arial" w:eastAsia="Arial" w:hAnsi="Arial"/>
                <w:sz w:val="14"/>
                <w:szCs w:val="14"/>
                <w:b w:val="1"/>
                <w:bCs w:val="1"/>
                <w:color w:val="auto"/>
              </w:rPr>
              <w:t>(Maximum) Vesting</w:t>
            </w:r>
          </w:p>
        </w:tc>
        <w:tc>
          <w:tcPr>
            <w:tcW w:w="20" w:type="dxa"/>
            <w:vAlign w:val="bottom"/>
          </w:tcPr>
          <w:p>
            <w:pPr>
              <w:spacing w:after="0"/>
              <w:rPr>
                <w:sz w:val="16"/>
                <w:szCs w:val="16"/>
                <w:color w:val="auto"/>
              </w:rPr>
            </w:pPr>
          </w:p>
        </w:tc>
      </w:tr>
      <w:tr>
        <w:trPr>
          <w:trHeight w:val="240"/>
        </w:trPr>
        <w:tc>
          <w:tcPr>
            <w:tcW w:w="9280" w:type="dxa"/>
            <w:vAlign w:val="bottom"/>
            <w:shd w:val="clear" w:color="auto" w:fill="F0F1F8"/>
          </w:tcPr>
          <w:p>
            <w:pPr>
              <w:ind w:left="60"/>
              <w:spacing w:after="0"/>
              <w:rPr>
                <w:sz w:val="20"/>
                <w:szCs w:val="20"/>
                <w:color w:val="auto"/>
              </w:rPr>
            </w:pPr>
            <w:r>
              <w:rPr>
                <w:rFonts w:ascii="Arial" w:cs="Arial" w:eastAsia="Arial" w:hAnsi="Arial"/>
                <w:sz w:val="16"/>
                <w:szCs w:val="16"/>
                <w:b w:val="1"/>
                <w:bCs w:val="1"/>
                <w:color w:val="auto"/>
              </w:rPr>
              <w:t>Henry A. Fernandez</w:t>
            </w:r>
          </w:p>
        </w:tc>
        <w:tc>
          <w:tcPr>
            <w:tcW w:w="1960" w:type="dxa"/>
            <w:vAlign w:val="bottom"/>
            <w:shd w:val="clear" w:color="auto" w:fill="F0F1F8"/>
          </w:tcPr>
          <w:p>
            <w:pPr>
              <w:jc w:val="right"/>
              <w:spacing w:after="0"/>
              <w:rPr>
                <w:sz w:val="20"/>
                <w:szCs w:val="20"/>
                <w:color w:val="auto"/>
              </w:rPr>
            </w:pPr>
            <w:r>
              <w:rPr>
                <w:rFonts w:ascii="Arial" w:cs="Arial" w:eastAsia="Arial" w:hAnsi="Arial"/>
                <w:sz w:val="16"/>
                <w:szCs w:val="16"/>
                <w:color w:val="auto"/>
              </w:rPr>
              <w:t>42,708</w:t>
            </w:r>
          </w:p>
        </w:tc>
        <w:tc>
          <w:tcPr>
            <w:tcW w:w="20" w:type="dxa"/>
            <w:vAlign w:val="bottom"/>
          </w:tcPr>
          <w:p>
            <w:pPr>
              <w:spacing w:after="0"/>
              <w:rPr>
                <w:sz w:val="20"/>
                <w:szCs w:val="20"/>
                <w:color w:val="auto"/>
              </w:rPr>
            </w:pPr>
          </w:p>
        </w:tc>
      </w:tr>
      <w:tr>
        <w:trPr>
          <w:trHeight w:val="232"/>
        </w:trPr>
        <w:tc>
          <w:tcPr>
            <w:tcW w:w="9280" w:type="dxa"/>
            <w:vAlign w:val="bottom"/>
          </w:tcPr>
          <w:p>
            <w:pPr>
              <w:ind w:left="60"/>
              <w:spacing w:after="0"/>
              <w:rPr>
                <w:sz w:val="20"/>
                <w:szCs w:val="20"/>
                <w:color w:val="auto"/>
              </w:rPr>
            </w:pPr>
            <w:r>
              <w:rPr>
                <w:rFonts w:ascii="Arial" w:cs="Arial" w:eastAsia="Arial" w:hAnsi="Arial"/>
                <w:sz w:val="16"/>
                <w:szCs w:val="16"/>
                <w:b w:val="1"/>
                <w:bCs w:val="1"/>
                <w:color w:val="auto"/>
              </w:rPr>
              <w:t>Andrew C. Wiechmann</w:t>
            </w:r>
          </w:p>
        </w:tc>
        <w:tc>
          <w:tcPr>
            <w:tcW w:w="1960" w:type="dxa"/>
            <w:vAlign w:val="bottom"/>
          </w:tcPr>
          <w:p>
            <w:pPr>
              <w:jc w:val="right"/>
              <w:spacing w:after="0"/>
              <w:rPr>
                <w:sz w:val="20"/>
                <w:szCs w:val="20"/>
                <w:color w:val="auto"/>
              </w:rPr>
            </w:pPr>
            <w:r>
              <w:rPr>
                <w:rFonts w:ascii="Arial" w:cs="Arial" w:eastAsia="Arial" w:hAnsi="Arial"/>
                <w:sz w:val="16"/>
                <w:szCs w:val="16"/>
                <w:color w:val="auto"/>
              </w:rPr>
              <w:t>2,490</w:t>
            </w:r>
          </w:p>
        </w:tc>
        <w:tc>
          <w:tcPr>
            <w:tcW w:w="20" w:type="dxa"/>
            <w:vAlign w:val="bottom"/>
          </w:tcPr>
          <w:p>
            <w:pPr>
              <w:spacing w:after="0"/>
              <w:rPr>
                <w:sz w:val="20"/>
                <w:szCs w:val="20"/>
                <w:color w:val="auto"/>
              </w:rPr>
            </w:pPr>
          </w:p>
        </w:tc>
      </w:tr>
      <w:tr>
        <w:trPr>
          <w:trHeight w:val="250"/>
        </w:trPr>
        <w:tc>
          <w:tcPr>
            <w:tcW w:w="9280" w:type="dxa"/>
            <w:vAlign w:val="bottom"/>
            <w:shd w:val="clear" w:color="auto" w:fill="F0F1F8"/>
          </w:tcPr>
          <w:p>
            <w:pPr>
              <w:ind w:left="60"/>
              <w:spacing w:after="0"/>
              <w:rPr>
                <w:sz w:val="20"/>
                <w:szCs w:val="20"/>
                <w:color w:val="auto"/>
              </w:rPr>
            </w:pPr>
            <w:r>
              <w:rPr>
                <w:rFonts w:ascii="Arial" w:cs="Arial" w:eastAsia="Arial" w:hAnsi="Arial"/>
                <w:sz w:val="16"/>
                <w:szCs w:val="16"/>
                <w:b w:val="1"/>
                <w:bCs w:val="1"/>
                <w:color w:val="auto"/>
              </w:rPr>
              <w:t>C.D. Baer Pettit</w:t>
            </w:r>
          </w:p>
        </w:tc>
        <w:tc>
          <w:tcPr>
            <w:tcW w:w="1960" w:type="dxa"/>
            <w:vAlign w:val="bottom"/>
            <w:shd w:val="clear" w:color="auto" w:fill="F0F1F8"/>
          </w:tcPr>
          <w:p>
            <w:pPr>
              <w:jc w:val="right"/>
              <w:spacing w:after="0"/>
              <w:rPr>
                <w:sz w:val="20"/>
                <w:szCs w:val="20"/>
                <w:color w:val="auto"/>
              </w:rPr>
            </w:pPr>
            <w:r>
              <w:rPr>
                <w:rFonts w:ascii="Arial" w:cs="Arial" w:eastAsia="Arial" w:hAnsi="Arial"/>
                <w:sz w:val="16"/>
                <w:szCs w:val="16"/>
                <w:color w:val="auto"/>
              </w:rPr>
              <w:t>28,470</w:t>
            </w:r>
          </w:p>
        </w:tc>
        <w:tc>
          <w:tcPr>
            <w:tcW w:w="20" w:type="dxa"/>
            <w:vAlign w:val="bottom"/>
          </w:tcPr>
          <w:p>
            <w:pPr>
              <w:spacing w:after="0"/>
              <w:rPr>
                <w:sz w:val="21"/>
                <w:szCs w:val="21"/>
                <w:color w:val="auto"/>
              </w:rPr>
            </w:pPr>
          </w:p>
        </w:tc>
      </w:tr>
      <w:tr>
        <w:trPr>
          <w:trHeight w:val="232"/>
        </w:trPr>
        <w:tc>
          <w:tcPr>
            <w:tcW w:w="9280" w:type="dxa"/>
            <w:vAlign w:val="bottom"/>
          </w:tcPr>
          <w:p>
            <w:pPr>
              <w:ind w:left="60"/>
              <w:spacing w:after="0"/>
              <w:rPr>
                <w:sz w:val="20"/>
                <w:szCs w:val="20"/>
                <w:color w:val="auto"/>
              </w:rPr>
            </w:pPr>
            <w:r>
              <w:rPr>
                <w:rFonts w:ascii="Arial" w:cs="Arial" w:eastAsia="Arial" w:hAnsi="Arial"/>
                <w:sz w:val="16"/>
                <w:szCs w:val="16"/>
                <w:b w:val="1"/>
                <w:bCs w:val="1"/>
                <w:color w:val="auto"/>
              </w:rPr>
              <w:t>Scott A. Crum</w:t>
            </w:r>
          </w:p>
        </w:tc>
        <w:tc>
          <w:tcPr>
            <w:tcW w:w="1960" w:type="dxa"/>
            <w:vAlign w:val="bottom"/>
          </w:tcPr>
          <w:p>
            <w:pPr>
              <w:jc w:val="right"/>
              <w:spacing w:after="0"/>
              <w:rPr>
                <w:sz w:val="20"/>
                <w:szCs w:val="20"/>
                <w:color w:val="auto"/>
              </w:rPr>
            </w:pPr>
            <w:r>
              <w:rPr>
                <w:rFonts w:ascii="Arial" w:cs="Arial" w:eastAsia="Arial" w:hAnsi="Arial"/>
                <w:sz w:val="16"/>
                <w:szCs w:val="16"/>
                <w:color w:val="auto"/>
              </w:rPr>
              <w:t>5,979</w:t>
            </w:r>
          </w:p>
        </w:tc>
        <w:tc>
          <w:tcPr>
            <w:tcW w:w="20" w:type="dxa"/>
            <w:vAlign w:val="bottom"/>
          </w:tcPr>
          <w:p>
            <w:pPr>
              <w:spacing w:after="0"/>
              <w:rPr>
                <w:sz w:val="20"/>
                <w:szCs w:val="20"/>
                <w:color w:val="auto"/>
              </w:rPr>
            </w:pPr>
          </w:p>
        </w:tc>
      </w:tr>
      <w:tr>
        <w:trPr>
          <w:trHeight w:val="244"/>
        </w:trPr>
        <w:tc>
          <w:tcPr>
            <w:tcW w:w="9280" w:type="dxa"/>
            <w:vAlign w:val="bottom"/>
            <w:tcBorders>
              <w:bottom w:val="single" w:sz="8" w:color="auto"/>
            </w:tcBorders>
            <w:shd w:val="clear" w:color="auto" w:fill="F0F1F8"/>
          </w:tcPr>
          <w:p>
            <w:pPr>
              <w:ind w:left="60"/>
              <w:spacing w:after="0"/>
              <w:rPr>
                <w:sz w:val="20"/>
                <w:szCs w:val="20"/>
                <w:color w:val="auto"/>
              </w:rPr>
            </w:pPr>
            <w:r>
              <w:rPr>
                <w:rFonts w:ascii="Arial" w:cs="Arial" w:eastAsia="Arial" w:hAnsi="Arial"/>
                <w:sz w:val="16"/>
                <w:szCs w:val="16"/>
                <w:b w:val="1"/>
                <w:bCs w:val="1"/>
                <w:color w:val="auto"/>
              </w:rPr>
              <w:t>Robert J. Gutowski</w:t>
            </w:r>
          </w:p>
        </w:tc>
        <w:tc>
          <w:tcPr>
            <w:tcW w:w="1960" w:type="dxa"/>
            <w:vAlign w:val="bottom"/>
            <w:tcBorders>
              <w:bottom w:val="single" w:sz="8" w:color="auto"/>
            </w:tcBorders>
            <w:shd w:val="clear" w:color="auto" w:fill="F0F1F8"/>
          </w:tcPr>
          <w:p>
            <w:pPr>
              <w:jc w:val="right"/>
              <w:spacing w:after="0"/>
              <w:rPr>
                <w:sz w:val="20"/>
                <w:szCs w:val="20"/>
                <w:color w:val="auto"/>
              </w:rPr>
            </w:pPr>
            <w:r>
              <w:rPr>
                <w:rFonts w:ascii="Arial" w:cs="Arial" w:eastAsia="Arial" w:hAnsi="Arial"/>
                <w:sz w:val="16"/>
                <w:szCs w:val="16"/>
                <w:color w:val="auto"/>
              </w:rPr>
              <w:t>1,992</w:t>
            </w:r>
          </w:p>
        </w:tc>
        <w:tc>
          <w:tcPr>
            <w:tcW w:w="20" w:type="dxa"/>
            <w:vAlign w:val="bottom"/>
          </w:tcPr>
          <w:p>
            <w:pPr>
              <w:spacing w:after="0"/>
              <w:rPr>
                <w:sz w:val="21"/>
                <w:szCs w:val="21"/>
                <w:color w:val="auto"/>
              </w:rPr>
            </w:pPr>
          </w:p>
        </w:tc>
      </w:tr>
      <w:tr>
        <w:trPr>
          <w:trHeight w:val="463"/>
        </w:trPr>
        <w:tc>
          <w:tcPr>
            <w:tcW w:w="9280" w:type="dxa"/>
            <w:vAlign w:val="bottom"/>
          </w:tcPr>
          <w:p>
            <w:pPr>
              <w:spacing w:after="0"/>
              <w:rPr>
                <w:sz w:val="20"/>
                <w:szCs w:val="20"/>
                <w:color w:val="auto"/>
              </w:rPr>
            </w:pPr>
            <w:r>
              <w:rPr>
                <w:rFonts w:ascii="Arial" w:cs="Arial" w:eastAsia="Arial" w:hAnsi="Arial"/>
                <w:sz w:val="16"/>
                <w:szCs w:val="16"/>
                <w:b w:val="1"/>
                <w:bCs w:val="1"/>
                <w:color w:val="auto"/>
              </w:rPr>
              <w:t>2020—5-Year PSU Award-Unadjusted, subject to forfeiture and cancellation provisions</w:t>
            </w: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0"/>
        </w:trPr>
        <w:tc>
          <w:tcPr>
            <w:tcW w:w="92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74"/>
        </w:trPr>
        <w:tc>
          <w:tcPr>
            <w:tcW w:w="9280" w:type="dxa"/>
            <w:vAlign w:val="bottom"/>
            <w:shd w:val="clear" w:color="auto" w:fill="F0F1F8"/>
          </w:tcPr>
          <w:p>
            <w:pPr>
              <w:spacing w:after="0"/>
              <w:rPr>
                <w:sz w:val="15"/>
                <w:szCs w:val="15"/>
                <w:color w:val="auto"/>
              </w:rPr>
            </w:pPr>
          </w:p>
        </w:tc>
        <w:tc>
          <w:tcPr>
            <w:tcW w:w="1960" w:type="dxa"/>
            <w:vAlign w:val="bottom"/>
            <w:shd w:val="clear" w:color="auto" w:fill="F0F1F8"/>
          </w:tcPr>
          <w:p>
            <w:pPr>
              <w:jc w:val="right"/>
              <w:spacing w:after="0"/>
              <w:rPr>
                <w:sz w:val="20"/>
                <w:szCs w:val="20"/>
                <w:color w:val="auto"/>
              </w:rPr>
            </w:pPr>
            <w:r>
              <w:rPr>
                <w:rFonts w:ascii="Arial" w:cs="Arial" w:eastAsia="Arial" w:hAnsi="Arial"/>
                <w:sz w:val="14"/>
                <w:szCs w:val="14"/>
                <w:b w:val="1"/>
                <w:bCs w:val="1"/>
                <w:color w:val="auto"/>
              </w:rPr>
              <w:t>Number of PSUs at 200%</w:t>
            </w:r>
          </w:p>
        </w:tc>
        <w:tc>
          <w:tcPr>
            <w:tcW w:w="20" w:type="dxa"/>
            <w:vAlign w:val="bottom"/>
          </w:tcPr>
          <w:p>
            <w:pPr>
              <w:spacing w:after="0"/>
              <w:rPr>
                <w:sz w:val="15"/>
                <w:szCs w:val="15"/>
                <w:color w:val="auto"/>
              </w:rPr>
            </w:pPr>
          </w:p>
        </w:tc>
      </w:tr>
      <w:tr>
        <w:trPr>
          <w:trHeight w:val="195"/>
        </w:trPr>
        <w:tc>
          <w:tcPr>
            <w:tcW w:w="9280" w:type="dxa"/>
            <w:vAlign w:val="bottom"/>
            <w:tcBorders>
              <w:bottom w:val="single" w:sz="8" w:color="16479F"/>
            </w:tcBorders>
            <w:shd w:val="clear" w:color="auto" w:fill="F0F1F8"/>
          </w:tcPr>
          <w:p>
            <w:pPr>
              <w:ind w:left="60"/>
              <w:spacing w:after="0"/>
              <w:rPr>
                <w:sz w:val="20"/>
                <w:szCs w:val="20"/>
                <w:color w:val="auto"/>
              </w:rPr>
            </w:pPr>
            <w:r>
              <w:rPr>
                <w:rFonts w:ascii="Arial" w:cs="Arial" w:eastAsia="Arial" w:hAnsi="Arial"/>
                <w:sz w:val="14"/>
                <w:szCs w:val="14"/>
                <w:b w:val="1"/>
                <w:bCs w:val="1"/>
                <w:color w:val="auto"/>
              </w:rPr>
              <w:t>Name</w:t>
            </w:r>
          </w:p>
        </w:tc>
        <w:tc>
          <w:tcPr>
            <w:tcW w:w="1960" w:type="dxa"/>
            <w:vAlign w:val="bottom"/>
            <w:tcBorders>
              <w:bottom w:val="single" w:sz="8" w:color="16479F"/>
            </w:tcBorders>
            <w:shd w:val="clear" w:color="auto" w:fill="F0F1F8"/>
          </w:tcPr>
          <w:p>
            <w:pPr>
              <w:jc w:val="right"/>
              <w:spacing w:after="0"/>
              <w:rPr>
                <w:sz w:val="20"/>
                <w:szCs w:val="20"/>
                <w:color w:val="auto"/>
              </w:rPr>
            </w:pPr>
            <w:r>
              <w:rPr>
                <w:rFonts w:ascii="Arial" w:cs="Arial" w:eastAsia="Arial" w:hAnsi="Arial"/>
                <w:sz w:val="14"/>
                <w:szCs w:val="14"/>
                <w:b w:val="1"/>
                <w:bCs w:val="1"/>
                <w:color w:val="auto"/>
              </w:rPr>
              <w:t>(Maximum) Vesting</w:t>
            </w:r>
          </w:p>
        </w:tc>
        <w:tc>
          <w:tcPr>
            <w:tcW w:w="20" w:type="dxa"/>
            <w:vAlign w:val="bottom"/>
          </w:tcPr>
          <w:p>
            <w:pPr>
              <w:spacing w:after="0"/>
              <w:rPr>
                <w:sz w:val="16"/>
                <w:szCs w:val="16"/>
                <w:color w:val="auto"/>
              </w:rPr>
            </w:pPr>
          </w:p>
        </w:tc>
      </w:tr>
      <w:tr>
        <w:trPr>
          <w:trHeight w:val="240"/>
        </w:trPr>
        <w:tc>
          <w:tcPr>
            <w:tcW w:w="9280" w:type="dxa"/>
            <w:vAlign w:val="bottom"/>
            <w:shd w:val="clear" w:color="auto" w:fill="F0F1F8"/>
          </w:tcPr>
          <w:p>
            <w:pPr>
              <w:ind w:left="60"/>
              <w:spacing w:after="0"/>
              <w:rPr>
                <w:sz w:val="20"/>
                <w:szCs w:val="20"/>
                <w:color w:val="auto"/>
              </w:rPr>
            </w:pPr>
            <w:r>
              <w:rPr>
                <w:rFonts w:ascii="Arial" w:cs="Arial" w:eastAsia="Arial" w:hAnsi="Arial"/>
                <w:sz w:val="16"/>
                <w:szCs w:val="16"/>
                <w:b w:val="1"/>
                <w:bCs w:val="1"/>
                <w:color w:val="auto"/>
              </w:rPr>
              <w:t>Henry A. Fernandez</w:t>
            </w:r>
          </w:p>
        </w:tc>
        <w:tc>
          <w:tcPr>
            <w:tcW w:w="1960" w:type="dxa"/>
            <w:vAlign w:val="bottom"/>
            <w:shd w:val="clear" w:color="auto" w:fill="F0F1F8"/>
          </w:tcPr>
          <w:p>
            <w:pPr>
              <w:jc w:val="right"/>
              <w:spacing w:after="0"/>
              <w:rPr>
                <w:sz w:val="20"/>
                <w:szCs w:val="20"/>
                <w:color w:val="auto"/>
              </w:rPr>
            </w:pPr>
            <w:r>
              <w:rPr>
                <w:rFonts w:ascii="Arial" w:cs="Arial" w:eastAsia="Arial" w:hAnsi="Arial"/>
                <w:sz w:val="16"/>
                <w:szCs w:val="16"/>
                <w:color w:val="auto"/>
              </w:rPr>
              <w:t>71,184</w:t>
            </w:r>
          </w:p>
        </w:tc>
        <w:tc>
          <w:tcPr>
            <w:tcW w:w="20" w:type="dxa"/>
            <w:vAlign w:val="bottom"/>
          </w:tcPr>
          <w:p>
            <w:pPr>
              <w:spacing w:after="0"/>
              <w:rPr>
                <w:sz w:val="20"/>
                <w:szCs w:val="20"/>
                <w:color w:val="auto"/>
              </w:rPr>
            </w:pPr>
          </w:p>
        </w:tc>
      </w:tr>
      <w:tr>
        <w:trPr>
          <w:trHeight w:val="232"/>
        </w:trPr>
        <w:tc>
          <w:tcPr>
            <w:tcW w:w="9280" w:type="dxa"/>
            <w:vAlign w:val="bottom"/>
          </w:tcPr>
          <w:p>
            <w:pPr>
              <w:ind w:left="60"/>
              <w:spacing w:after="0"/>
              <w:rPr>
                <w:sz w:val="20"/>
                <w:szCs w:val="20"/>
                <w:color w:val="auto"/>
              </w:rPr>
            </w:pPr>
            <w:r>
              <w:rPr>
                <w:rFonts w:ascii="Arial" w:cs="Arial" w:eastAsia="Arial" w:hAnsi="Arial"/>
                <w:sz w:val="16"/>
                <w:szCs w:val="16"/>
                <w:b w:val="1"/>
                <w:bCs w:val="1"/>
                <w:color w:val="auto"/>
              </w:rPr>
              <w:t>Andrew C. Wiechmann</w:t>
            </w:r>
          </w:p>
        </w:tc>
        <w:tc>
          <w:tcPr>
            <w:tcW w:w="1960" w:type="dxa"/>
            <w:vAlign w:val="bottom"/>
          </w:tcPr>
          <w:p>
            <w:pPr>
              <w:jc w:val="right"/>
              <w:spacing w:after="0"/>
              <w:rPr>
                <w:sz w:val="20"/>
                <w:szCs w:val="20"/>
                <w:color w:val="auto"/>
              </w:rPr>
            </w:pPr>
            <w:r>
              <w:rPr>
                <w:rFonts w:ascii="Arial" w:cs="Arial" w:eastAsia="Arial" w:hAnsi="Arial"/>
                <w:sz w:val="16"/>
                <w:szCs w:val="16"/>
                <w:color w:val="auto"/>
              </w:rPr>
              <w:t>2,768</w:t>
            </w:r>
          </w:p>
        </w:tc>
        <w:tc>
          <w:tcPr>
            <w:tcW w:w="20" w:type="dxa"/>
            <w:vAlign w:val="bottom"/>
          </w:tcPr>
          <w:p>
            <w:pPr>
              <w:spacing w:after="0"/>
              <w:rPr>
                <w:sz w:val="20"/>
                <w:szCs w:val="20"/>
                <w:color w:val="auto"/>
              </w:rPr>
            </w:pPr>
          </w:p>
        </w:tc>
      </w:tr>
      <w:tr>
        <w:trPr>
          <w:trHeight w:val="250"/>
        </w:trPr>
        <w:tc>
          <w:tcPr>
            <w:tcW w:w="9280" w:type="dxa"/>
            <w:vAlign w:val="bottom"/>
            <w:shd w:val="clear" w:color="auto" w:fill="F0F1F8"/>
          </w:tcPr>
          <w:p>
            <w:pPr>
              <w:ind w:left="60"/>
              <w:spacing w:after="0"/>
              <w:rPr>
                <w:sz w:val="20"/>
                <w:szCs w:val="20"/>
                <w:color w:val="auto"/>
              </w:rPr>
            </w:pPr>
            <w:r>
              <w:rPr>
                <w:rFonts w:ascii="Arial" w:cs="Arial" w:eastAsia="Arial" w:hAnsi="Arial"/>
                <w:sz w:val="16"/>
                <w:szCs w:val="16"/>
                <w:b w:val="1"/>
                <w:bCs w:val="1"/>
                <w:color w:val="auto"/>
              </w:rPr>
              <w:t>C.D. Baer Pettit</w:t>
            </w:r>
          </w:p>
        </w:tc>
        <w:tc>
          <w:tcPr>
            <w:tcW w:w="1960" w:type="dxa"/>
            <w:vAlign w:val="bottom"/>
            <w:shd w:val="clear" w:color="auto" w:fill="F0F1F8"/>
          </w:tcPr>
          <w:p>
            <w:pPr>
              <w:jc w:val="right"/>
              <w:spacing w:after="0"/>
              <w:rPr>
                <w:sz w:val="20"/>
                <w:szCs w:val="20"/>
                <w:color w:val="auto"/>
              </w:rPr>
            </w:pPr>
            <w:r>
              <w:rPr>
                <w:rFonts w:ascii="Arial" w:cs="Arial" w:eastAsia="Arial" w:hAnsi="Arial"/>
                <w:sz w:val="16"/>
                <w:szCs w:val="16"/>
                <w:color w:val="auto"/>
              </w:rPr>
              <w:t>31,638</w:t>
            </w:r>
          </w:p>
        </w:tc>
        <w:tc>
          <w:tcPr>
            <w:tcW w:w="20" w:type="dxa"/>
            <w:vAlign w:val="bottom"/>
          </w:tcPr>
          <w:p>
            <w:pPr>
              <w:spacing w:after="0"/>
              <w:rPr>
                <w:sz w:val="21"/>
                <w:szCs w:val="21"/>
                <w:color w:val="auto"/>
              </w:rPr>
            </w:pPr>
          </w:p>
        </w:tc>
      </w:tr>
      <w:tr>
        <w:trPr>
          <w:trHeight w:val="232"/>
        </w:trPr>
        <w:tc>
          <w:tcPr>
            <w:tcW w:w="9280" w:type="dxa"/>
            <w:vAlign w:val="bottom"/>
          </w:tcPr>
          <w:p>
            <w:pPr>
              <w:ind w:left="60"/>
              <w:spacing w:after="0"/>
              <w:rPr>
                <w:sz w:val="20"/>
                <w:szCs w:val="20"/>
                <w:color w:val="auto"/>
              </w:rPr>
            </w:pPr>
            <w:r>
              <w:rPr>
                <w:rFonts w:ascii="Arial" w:cs="Arial" w:eastAsia="Arial" w:hAnsi="Arial"/>
                <w:sz w:val="16"/>
                <w:szCs w:val="16"/>
                <w:b w:val="1"/>
                <w:bCs w:val="1"/>
                <w:color w:val="auto"/>
              </w:rPr>
              <w:t>Scott A. Crum</w:t>
            </w:r>
          </w:p>
        </w:tc>
        <w:tc>
          <w:tcPr>
            <w:tcW w:w="1960" w:type="dxa"/>
            <w:vAlign w:val="bottom"/>
          </w:tcPr>
          <w:p>
            <w:pPr>
              <w:jc w:val="right"/>
              <w:spacing w:after="0"/>
              <w:rPr>
                <w:sz w:val="20"/>
                <w:szCs w:val="20"/>
                <w:color w:val="auto"/>
              </w:rPr>
            </w:pPr>
            <w:r>
              <w:rPr>
                <w:rFonts w:ascii="Arial" w:cs="Arial" w:eastAsia="Arial" w:hAnsi="Arial"/>
                <w:sz w:val="16"/>
                <w:szCs w:val="16"/>
                <w:color w:val="auto"/>
              </w:rPr>
              <w:t>6,642</w:t>
            </w:r>
          </w:p>
        </w:tc>
        <w:tc>
          <w:tcPr>
            <w:tcW w:w="20" w:type="dxa"/>
            <w:vAlign w:val="bottom"/>
          </w:tcPr>
          <w:p>
            <w:pPr>
              <w:spacing w:after="0"/>
              <w:rPr>
                <w:sz w:val="20"/>
                <w:szCs w:val="20"/>
                <w:color w:val="auto"/>
              </w:rPr>
            </w:pPr>
          </w:p>
        </w:tc>
      </w:tr>
      <w:tr>
        <w:trPr>
          <w:trHeight w:val="244"/>
        </w:trPr>
        <w:tc>
          <w:tcPr>
            <w:tcW w:w="9280" w:type="dxa"/>
            <w:vAlign w:val="bottom"/>
            <w:tcBorders>
              <w:bottom w:val="single" w:sz="8" w:color="auto"/>
            </w:tcBorders>
            <w:shd w:val="clear" w:color="auto" w:fill="F0F1F8"/>
          </w:tcPr>
          <w:p>
            <w:pPr>
              <w:ind w:left="60"/>
              <w:spacing w:after="0"/>
              <w:rPr>
                <w:sz w:val="20"/>
                <w:szCs w:val="20"/>
                <w:color w:val="auto"/>
              </w:rPr>
            </w:pPr>
            <w:r>
              <w:rPr>
                <w:rFonts w:ascii="Arial" w:cs="Arial" w:eastAsia="Arial" w:hAnsi="Arial"/>
                <w:sz w:val="16"/>
                <w:szCs w:val="16"/>
                <w:b w:val="1"/>
                <w:bCs w:val="1"/>
                <w:color w:val="auto"/>
              </w:rPr>
              <w:t>Robert J. Gutowski</w:t>
            </w:r>
          </w:p>
        </w:tc>
        <w:tc>
          <w:tcPr>
            <w:tcW w:w="1960" w:type="dxa"/>
            <w:vAlign w:val="bottom"/>
            <w:tcBorders>
              <w:bottom w:val="single" w:sz="8" w:color="auto"/>
            </w:tcBorders>
            <w:shd w:val="clear" w:color="auto" w:fill="F0F1F8"/>
          </w:tcPr>
          <w:p>
            <w:pPr>
              <w:jc w:val="right"/>
              <w:spacing w:after="0"/>
              <w:rPr>
                <w:sz w:val="20"/>
                <w:szCs w:val="20"/>
                <w:color w:val="auto"/>
              </w:rPr>
            </w:pPr>
            <w:r>
              <w:rPr>
                <w:rFonts w:ascii="Arial" w:cs="Arial" w:eastAsia="Arial" w:hAnsi="Arial"/>
                <w:sz w:val="16"/>
                <w:szCs w:val="16"/>
                <w:color w:val="auto"/>
              </w:rPr>
              <w:t>2,214</w:t>
            </w:r>
          </w:p>
        </w:tc>
        <w:tc>
          <w:tcPr>
            <w:tcW w:w="20" w:type="dxa"/>
            <w:vAlign w:val="bottom"/>
          </w:tcPr>
          <w:p>
            <w:pPr>
              <w:spacing w:after="0"/>
              <w:rPr>
                <w:sz w:val="21"/>
                <w:szCs w:val="21"/>
                <w:color w:val="auto"/>
              </w:rPr>
            </w:pPr>
          </w:p>
        </w:tc>
      </w:tr>
      <w:tr>
        <w:trPr>
          <w:trHeight w:val="463"/>
        </w:trPr>
        <w:tc>
          <w:tcPr>
            <w:tcW w:w="9280" w:type="dxa"/>
            <w:vAlign w:val="bottom"/>
          </w:tcPr>
          <w:p>
            <w:pPr>
              <w:spacing w:after="0"/>
              <w:rPr>
                <w:sz w:val="20"/>
                <w:szCs w:val="20"/>
                <w:color w:val="auto"/>
              </w:rPr>
            </w:pPr>
            <w:r>
              <w:rPr>
                <w:rFonts w:ascii="Arial" w:cs="Arial" w:eastAsia="Arial" w:hAnsi="Arial"/>
                <w:sz w:val="16"/>
                <w:szCs w:val="16"/>
                <w:b w:val="1"/>
                <w:bCs w:val="1"/>
                <w:color w:val="auto"/>
              </w:rPr>
              <w:t>2021—3-Year PSU Award-Unadjusted, subject to forfeiture and cancellation provisions</w:t>
            </w: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0"/>
        </w:trPr>
        <w:tc>
          <w:tcPr>
            <w:tcW w:w="92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74"/>
        </w:trPr>
        <w:tc>
          <w:tcPr>
            <w:tcW w:w="9280" w:type="dxa"/>
            <w:vAlign w:val="bottom"/>
            <w:shd w:val="clear" w:color="auto" w:fill="F0F1F8"/>
          </w:tcPr>
          <w:p>
            <w:pPr>
              <w:spacing w:after="0"/>
              <w:rPr>
                <w:sz w:val="15"/>
                <w:szCs w:val="15"/>
                <w:color w:val="auto"/>
              </w:rPr>
            </w:pPr>
          </w:p>
        </w:tc>
        <w:tc>
          <w:tcPr>
            <w:tcW w:w="1960" w:type="dxa"/>
            <w:vAlign w:val="bottom"/>
            <w:shd w:val="clear" w:color="auto" w:fill="F0F1F8"/>
          </w:tcPr>
          <w:p>
            <w:pPr>
              <w:jc w:val="right"/>
              <w:spacing w:after="0"/>
              <w:rPr>
                <w:sz w:val="20"/>
                <w:szCs w:val="20"/>
                <w:color w:val="auto"/>
              </w:rPr>
            </w:pPr>
            <w:r>
              <w:rPr>
                <w:rFonts w:ascii="Arial" w:cs="Arial" w:eastAsia="Arial" w:hAnsi="Arial"/>
                <w:sz w:val="14"/>
                <w:szCs w:val="14"/>
                <w:b w:val="1"/>
                <w:bCs w:val="1"/>
                <w:color w:val="auto"/>
              </w:rPr>
              <w:t>Number of PSUs at 300%</w:t>
            </w:r>
          </w:p>
        </w:tc>
        <w:tc>
          <w:tcPr>
            <w:tcW w:w="20" w:type="dxa"/>
            <w:vAlign w:val="bottom"/>
          </w:tcPr>
          <w:p>
            <w:pPr>
              <w:spacing w:after="0"/>
              <w:rPr>
                <w:sz w:val="15"/>
                <w:szCs w:val="15"/>
                <w:color w:val="auto"/>
              </w:rPr>
            </w:pPr>
          </w:p>
        </w:tc>
      </w:tr>
      <w:tr>
        <w:trPr>
          <w:trHeight w:val="195"/>
        </w:trPr>
        <w:tc>
          <w:tcPr>
            <w:tcW w:w="9280" w:type="dxa"/>
            <w:vAlign w:val="bottom"/>
            <w:tcBorders>
              <w:bottom w:val="single" w:sz="8" w:color="16479F"/>
            </w:tcBorders>
            <w:shd w:val="clear" w:color="auto" w:fill="F0F1F8"/>
          </w:tcPr>
          <w:p>
            <w:pPr>
              <w:ind w:left="60"/>
              <w:spacing w:after="0"/>
              <w:rPr>
                <w:sz w:val="20"/>
                <w:szCs w:val="20"/>
                <w:color w:val="auto"/>
              </w:rPr>
            </w:pPr>
            <w:r>
              <w:rPr>
                <w:rFonts w:ascii="Arial" w:cs="Arial" w:eastAsia="Arial" w:hAnsi="Arial"/>
                <w:sz w:val="14"/>
                <w:szCs w:val="14"/>
                <w:b w:val="1"/>
                <w:bCs w:val="1"/>
                <w:color w:val="auto"/>
              </w:rPr>
              <w:t>Name</w:t>
            </w:r>
          </w:p>
        </w:tc>
        <w:tc>
          <w:tcPr>
            <w:tcW w:w="1960" w:type="dxa"/>
            <w:vAlign w:val="bottom"/>
            <w:tcBorders>
              <w:bottom w:val="single" w:sz="8" w:color="16479F"/>
            </w:tcBorders>
            <w:shd w:val="clear" w:color="auto" w:fill="F0F1F8"/>
          </w:tcPr>
          <w:p>
            <w:pPr>
              <w:jc w:val="right"/>
              <w:spacing w:after="0"/>
              <w:rPr>
                <w:sz w:val="20"/>
                <w:szCs w:val="20"/>
                <w:color w:val="auto"/>
              </w:rPr>
            </w:pPr>
            <w:r>
              <w:rPr>
                <w:rFonts w:ascii="Arial" w:cs="Arial" w:eastAsia="Arial" w:hAnsi="Arial"/>
                <w:sz w:val="14"/>
                <w:szCs w:val="14"/>
                <w:b w:val="1"/>
                <w:bCs w:val="1"/>
                <w:color w:val="auto"/>
              </w:rPr>
              <w:t>(Maximum) Vesting</w:t>
            </w:r>
          </w:p>
        </w:tc>
        <w:tc>
          <w:tcPr>
            <w:tcW w:w="20" w:type="dxa"/>
            <w:vAlign w:val="bottom"/>
          </w:tcPr>
          <w:p>
            <w:pPr>
              <w:spacing w:after="0"/>
              <w:rPr>
                <w:sz w:val="16"/>
                <w:szCs w:val="16"/>
                <w:color w:val="auto"/>
              </w:rPr>
            </w:pPr>
          </w:p>
        </w:tc>
      </w:tr>
      <w:tr>
        <w:trPr>
          <w:trHeight w:val="240"/>
        </w:trPr>
        <w:tc>
          <w:tcPr>
            <w:tcW w:w="9280" w:type="dxa"/>
            <w:vAlign w:val="bottom"/>
            <w:shd w:val="clear" w:color="auto" w:fill="F0F1F8"/>
          </w:tcPr>
          <w:p>
            <w:pPr>
              <w:ind w:left="60"/>
              <w:spacing w:after="0"/>
              <w:rPr>
                <w:sz w:val="20"/>
                <w:szCs w:val="20"/>
                <w:color w:val="auto"/>
              </w:rPr>
            </w:pPr>
            <w:r>
              <w:rPr>
                <w:rFonts w:ascii="Arial" w:cs="Arial" w:eastAsia="Arial" w:hAnsi="Arial"/>
                <w:sz w:val="16"/>
                <w:szCs w:val="16"/>
                <w:b w:val="1"/>
                <w:bCs w:val="1"/>
                <w:color w:val="auto"/>
              </w:rPr>
              <w:t>Henry A. Fernandez</w:t>
            </w:r>
          </w:p>
        </w:tc>
        <w:tc>
          <w:tcPr>
            <w:tcW w:w="1960" w:type="dxa"/>
            <w:vAlign w:val="bottom"/>
            <w:shd w:val="clear" w:color="auto" w:fill="F0F1F8"/>
          </w:tcPr>
          <w:p>
            <w:pPr>
              <w:jc w:val="right"/>
              <w:spacing w:after="0"/>
              <w:rPr>
                <w:sz w:val="20"/>
                <w:szCs w:val="20"/>
                <w:color w:val="auto"/>
              </w:rPr>
            </w:pPr>
            <w:r>
              <w:rPr>
                <w:rFonts w:ascii="Arial" w:cs="Arial" w:eastAsia="Arial" w:hAnsi="Arial"/>
                <w:sz w:val="16"/>
                <w:szCs w:val="16"/>
                <w:color w:val="auto"/>
              </w:rPr>
              <w:t>21,678</w:t>
            </w:r>
          </w:p>
        </w:tc>
        <w:tc>
          <w:tcPr>
            <w:tcW w:w="20" w:type="dxa"/>
            <w:vAlign w:val="bottom"/>
          </w:tcPr>
          <w:p>
            <w:pPr>
              <w:spacing w:after="0"/>
              <w:rPr>
                <w:sz w:val="20"/>
                <w:szCs w:val="20"/>
                <w:color w:val="auto"/>
              </w:rPr>
            </w:pPr>
          </w:p>
        </w:tc>
      </w:tr>
      <w:tr>
        <w:trPr>
          <w:trHeight w:val="232"/>
        </w:trPr>
        <w:tc>
          <w:tcPr>
            <w:tcW w:w="9280" w:type="dxa"/>
            <w:vAlign w:val="bottom"/>
          </w:tcPr>
          <w:p>
            <w:pPr>
              <w:ind w:left="60"/>
              <w:spacing w:after="0"/>
              <w:rPr>
                <w:sz w:val="20"/>
                <w:szCs w:val="20"/>
                <w:color w:val="auto"/>
              </w:rPr>
            </w:pPr>
            <w:r>
              <w:rPr>
                <w:rFonts w:ascii="Arial" w:cs="Arial" w:eastAsia="Arial" w:hAnsi="Arial"/>
                <w:sz w:val="16"/>
                <w:szCs w:val="16"/>
                <w:b w:val="1"/>
                <w:bCs w:val="1"/>
                <w:color w:val="auto"/>
              </w:rPr>
              <w:t>Andrew C. Wiechmann</w:t>
            </w:r>
          </w:p>
        </w:tc>
        <w:tc>
          <w:tcPr>
            <w:tcW w:w="1960" w:type="dxa"/>
            <w:vAlign w:val="bottom"/>
          </w:tcPr>
          <w:p>
            <w:pPr>
              <w:jc w:val="right"/>
              <w:spacing w:after="0"/>
              <w:rPr>
                <w:sz w:val="20"/>
                <w:szCs w:val="20"/>
                <w:color w:val="auto"/>
              </w:rPr>
            </w:pPr>
            <w:r>
              <w:rPr>
                <w:rFonts w:ascii="Arial" w:cs="Arial" w:eastAsia="Arial" w:hAnsi="Arial"/>
                <w:sz w:val="16"/>
                <w:szCs w:val="16"/>
                <w:color w:val="auto"/>
              </w:rPr>
              <w:t>2,274</w:t>
            </w:r>
          </w:p>
        </w:tc>
        <w:tc>
          <w:tcPr>
            <w:tcW w:w="20" w:type="dxa"/>
            <w:vAlign w:val="bottom"/>
          </w:tcPr>
          <w:p>
            <w:pPr>
              <w:spacing w:after="0"/>
              <w:rPr>
                <w:sz w:val="20"/>
                <w:szCs w:val="20"/>
                <w:color w:val="auto"/>
              </w:rPr>
            </w:pPr>
          </w:p>
        </w:tc>
      </w:tr>
      <w:tr>
        <w:trPr>
          <w:trHeight w:val="250"/>
        </w:trPr>
        <w:tc>
          <w:tcPr>
            <w:tcW w:w="9280" w:type="dxa"/>
            <w:vAlign w:val="bottom"/>
            <w:shd w:val="clear" w:color="auto" w:fill="F0F1F8"/>
          </w:tcPr>
          <w:p>
            <w:pPr>
              <w:ind w:left="60"/>
              <w:spacing w:after="0"/>
              <w:rPr>
                <w:sz w:val="20"/>
                <w:szCs w:val="20"/>
                <w:color w:val="auto"/>
              </w:rPr>
            </w:pPr>
            <w:r>
              <w:rPr>
                <w:rFonts w:ascii="Arial" w:cs="Arial" w:eastAsia="Arial" w:hAnsi="Arial"/>
                <w:sz w:val="16"/>
                <w:szCs w:val="16"/>
                <w:b w:val="1"/>
                <w:bCs w:val="1"/>
                <w:color w:val="auto"/>
              </w:rPr>
              <w:t>C.D. Baer Pettit</w:t>
            </w:r>
          </w:p>
        </w:tc>
        <w:tc>
          <w:tcPr>
            <w:tcW w:w="1960" w:type="dxa"/>
            <w:vAlign w:val="bottom"/>
            <w:shd w:val="clear" w:color="auto" w:fill="F0F1F8"/>
          </w:tcPr>
          <w:p>
            <w:pPr>
              <w:jc w:val="right"/>
              <w:spacing w:after="0"/>
              <w:rPr>
                <w:sz w:val="20"/>
                <w:szCs w:val="20"/>
                <w:color w:val="auto"/>
              </w:rPr>
            </w:pPr>
            <w:r>
              <w:rPr>
                <w:rFonts w:ascii="Arial" w:cs="Arial" w:eastAsia="Arial" w:hAnsi="Arial"/>
                <w:sz w:val="16"/>
                <w:szCs w:val="16"/>
                <w:color w:val="auto"/>
              </w:rPr>
              <w:t>11,562</w:t>
            </w:r>
          </w:p>
        </w:tc>
        <w:tc>
          <w:tcPr>
            <w:tcW w:w="20" w:type="dxa"/>
            <w:vAlign w:val="bottom"/>
          </w:tcPr>
          <w:p>
            <w:pPr>
              <w:spacing w:after="0"/>
              <w:rPr>
                <w:sz w:val="21"/>
                <w:szCs w:val="21"/>
                <w:color w:val="auto"/>
              </w:rPr>
            </w:pPr>
          </w:p>
        </w:tc>
      </w:tr>
      <w:tr>
        <w:trPr>
          <w:trHeight w:val="232"/>
        </w:trPr>
        <w:tc>
          <w:tcPr>
            <w:tcW w:w="9280" w:type="dxa"/>
            <w:vAlign w:val="bottom"/>
          </w:tcPr>
          <w:p>
            <w:pPr>
              <w:ind w:left="60"/>
              <w:spacing w:after="0"/>
              <w:rPr>
                <w:sz w:val="20"/>
                <w:szCs w:val="20"/>
                <w:color w:val="auto"/>
              </w:rPr>
            </w:pPr>
            <w:r>
              <w:rPr>
                <w:rFonts w:ascii="Arial" w:cs="Arial" w:eastAsia="Arial" w:hAnsi="Arial"/>
                <w:sz w:val="16"/>
                <w:szCs w:val="16"/>
                <w:b w:val="1"/>
                <w:bCs w:val="1"/>
                <w:color w:val="auto"/>
              </w:rPr>
              <w:t>Scott A. Crum</w:t>
            </w:r>
          </w:p>
        </w:tc>
        <w:tc>
          <w:tcPr>
            <w:tcW w:w="1960" w:type="dxa"/>
            <w:vAlign w:val="bottom"/>
          </w:tcPr>
          <w:p>
            <w:pPr>
              <w:jc w:val="right"/>
              <w:spacing w:after="0"/>
              <w:rPr>
                <w:sz w:val="20"/>
                <w:szCs w:val="20"/>
                <w:color w:val="auto"/>
              </w:rPr>
            </w:pPr>
            <w:r>
              <w:rPr>
                <w:rFonts w:ascii="Arial" w:cs="Arial" w:eastAsia="Arial" w:hAnsi="Arial"/>
                <w:sz w:val="16"/>
                <w:szCs w:val="16"/>
                <w:color w:val="auto"/>
              </w:rPr>
              <w:t>3,033</w:t>
            </w:r>
          </w:p>
        </w:tc>
        <w:tc>
          <w:tcPr>
            <w:tcW w:w="20" w:type="dxa"/>
            <w:vAlign w:val="bottom"/>
          </w:tcPr>
          <w:p>
            <w:pPr>
              <w:spacing w:after="0"/>
              <w:rPr>
                <w:sz w:val="20"/>
                <w:szCs w:val="20"/>
                <w:color w:val="auto"/>
              </w:rPr>
            </w:pPr>
          </w:p>
        </w:tc>
      </w:tr>
      <w:tr>
        <w:trPr>
          <w:trHeight w:val="244"/>
        </w:trPr>
        <w:tc>
          <w:tcPr>
            <w:tcW w:w="9280" w:type="dxa"/>
            <w:vAlign w:val="bottom"/>
            <w:tcBorders>
              <w:bottom w:val="single" w:sz="8" w:color="auto"/>
            </w:tcBorders>
            <w:shd w:val="clear" w:color="auto" w:fill="F0F1F8"/>
          </w:tcPr>
          <w:p>
            <w:pPr>
              <w:ind w:left="60"/>
              <w:spacing w:after="0"/>
              <w:rPr>
                <w:sz w:val="20"/>
                <w:szCs w:val="20"/>
                <w:color w:val="auto"/>
              </w:rPr>
            </w:pPr>
            <w:r>
              <w:rPr>
                <w:rFonts w:ascii="Arial" w:cs="Arial" w:eastAsia="Arial" w:hAnsi="Arial"/>
                <w:sz w:val="16"/>
                <w:szCs w:val="16"/>
                <w:b w:val="1"/>
                <w:bCs w:val="1"/>
                <w:color w:val="auto"/>
              </w:rPr>
              <w:t>Robert J. Gutowski</w:t>
            </w:r>
          </w:p>
        </w:tc>
        <w:tc>
          <w:tcPr>
            <w:tcW w:w="1960" w:type="dxa"/>
            <w:vAlign w:val="bottom"/>
            <w:tcBorders>
              <w:bottom w:val="single" w:sz="8" w:color="auto"/>
            </w:tcBorders>
            <w:shd w:val="clear" w:color="auto" w:fill="F0F1F8"/>
          </w:tcPr>
          <w:p>
            <w:pPr>
              <w:jc w:val="right"/>
              <w:spacing w:after="0"/>
              <w:rPr>
                <w:sz w:val="20"/>
                <w:szCs w:val="20"/>
                <w:color w:val="auto"/>
              </w:rPr>
            </w:pPr>
            <w:r>
              <w:rPr>
                <w:rFonts w:ascii="Arial" w:cs="Arial" w:eastAsia="Arial" w:hAnsi="Arial"/>
                <w:sz w:val="16"/>
                <w:szCs w:val="16"/>
                <w:color w:val="auto"/>
              </w:rPr>
              <w:t>2,274</w:t>
            </w:r>
          </w:p>
        </w:tc>
        <w:tc>
          <w:tcPr>
            <w:tcW w:w="20" w:type="dxa"/>
            <w:vAlign w:val="bottom"/>
          </w:tcPr>
          <w:p>
            <w:pPr>
              <w:spacing w:after="0"/>
              <w:rPr>
                <w:sz w:val="21"/>
                <w:szCs w:val="21"/>
                <w:color w:val="auto"/>
              </w:rPr>
            </w:pPr>
          </w:p>
        </w:tc>
      </w:tr>
      <w:tr>
        <w:trPr>
          <w:trHeight w:val="117"/>
        </w:trPr>
        <w:tc>
          <w:tcPr>
            <w:tcW w:w="9280" w:type="dxa"/>
            <w:vAlign w:val="bottom"/>
            <w:tcBorders>
              <w:bottom w:val="single" w:sz="8" w:color="808080"/>
            </w:tcBorders>
          </w:tcPr>
          <w:p>
            <w:pPr>
              <w:spacing w:after="0"/>
              <w:rPr>
                <w:sz w:val="10"/>
                <w:szCs w:val="10"/>
                <w:color w:val="auto"/>
              </w:rPr>
            </w:pPr>
          </w:p>
        </w:tc>
        <w:tc>
          <w:tcPr>
            <w:tcW w:w="19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-4065270</wp:posOffset>
            </wp:positionV>
            <wp:extent cx="7133590" cy="23812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3590" cy="23812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-2586355</wp:posOffset>
            </wp:positionV>
            <wp:extent cx="7133590" cy="23812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3590" cy="23812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-1106805</wp:posOffset>
            </wp:positionV>
            <wp:extent cx="7133590" cy="23812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3590" cy="238125"/>
                    </a:xfrm>
                    <a:prstGeom prst="rect">
                      <a:avLst/>
                    </a:prstGeom>
                    <a:noFill/>
                  </pic:spPr>
                </pic:pic>
              </a:graphicData>
            </a:graphic>
          </wp:anchor>
        </w:drawing>
        <w:drawing>
          <wp:anchor simplePos="0" relativeHeight="251657728" behindDoc="1" locked="0" layoutInCell="0" allowOverlap="1">
            <wp:simplePos x="0" y="0"/>
            <wp:positionH relativeFrom="column">
              <wp:posOffset>7144385</wp:posOffset>
            </wp:positionH>
            <wp:positionV relativeFrom="paragraph">
              <wp:posOffset>-13970</wp:posOffset>
            </wp:positionV>
            <wp:extent cx="1270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91" w:name="page92"/>
    <w:bookmarkEnd w:id="91"/>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00" w:type="dxa"/>
            <w:vAlign w:val="bottom"/>
            <w:tcBorders>
              <w:right w:val="single" w:sz="8" w:color="16479F"/>
            </w:tcBorders>
          </w:tcPr>
          <w:p>
            <w:pPr>
              <w:ind w:left="8740"/>
              <w:spacing w:after="0"/>
              <w:rPr>
                <w:sz w:val="20"/>
                <w:szCs w:val="20"/>
                <w:color w:val="auto"/>
              </w:rPr>
            </w:pPr>
            <w:r>
              <w:rPr>
                <w:rFonts w:ascii="Arial" w:cs="Arial" w:eastAsia="Arial" w:hAnsi="Arial"/>
                <w:sz w:val="14"/>
                <w:szCs w:val="14"/>
                <w:b w:val="1"/>
                <w:bCs w:val="1"/>
                <w:color w:val="16479F"/>
              </w:rPr>
              <w:t>2022 PROXY STATEMENT</w:t>
            </w:r>
          </w:p>
        </w:tc>
        <w:tc>
          <w:tcPr>
            <w:tcW w:w="640" w:type="dxa"/>
            <w:vAlign w:val="bottom"/>
          </w:tcPr>
          <w:p>
            <w:pPr>
              <w:jc w:val="right"/>
              <w:ind w:right="9"/>
              <w:spacing w:after="0"/>
              <w:rPr>
                <w:sz w:val="20"/>
                <w:szCs w:val="20"/>
                <w:color w:val="auto"/>
              </w:rPr>
            </w:pPr>
            <w:r>
              <w:rPr>
                <w:rFonts w:ascii="Arial" w:cs="Arial" w:eastAsia="Arial" w:hAnsi="Arial"/>
                <w:sz w:val="14"/>
                <w:szCs w:val="14"/>
                <w:b w:val="1"/>
                <w:bCs w:val="1"/>
                <w:color w:val="16479F"/>
              </w:rPr>
              <w:t>91</w:t>
            </w:r>
          </w:p>
        </w:tc>
      </w:tr>
      <w:tr>
        <w:trPr>
          <w:trHeight w:val="65"/>
        </w:trPr>
        <w:tc>
          <w:tcPr>
            <w:tcW w:w="10600" w:type="dxa"/>
            <w:vAlign w:val="bottom"/>
            <w:tcBorders>
              <w:bottom w:val="single" w:sz="8" w:color="16479F"/>
              <w:right w:val="single" w:sz="8" w:color="16479F"/>
            </w:tcBorders>
          </w:tcPr>
          <w:p>
            <w:pPr>
              <w:spacing w:after="0"/>
              <w:rPr>
                <w:sz w:val="5"/>
                <w:szCs w:val="5"/>
                <w:color w:val="auto"/>
              </w:rPr>
            </w:pPr>
          </w:p>
        </w:tc>
        <w:tc>
          <w:tcPr>
            <w:tcW w:w="640" w:type="dxa"/>
            <w:vAlign w:val="bottom"/>
            <w:tcBorders>
              <w:bottom w:val="single" w:sz="8" w:color="16479F"/>
            </w:tcBorders>
          </w:tcPr>
          <w:p>
            <w:pPr>
              <w:spacing w:after="0"/>
              <w:rPr>
                <w:sz w:val="5"/>
                <w:szCs w:val="5"/>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2021—5-Year PSU Award-Unadjusted, subject to forfeiture and cancellation provisions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5600" w:type="dxa"/>
            <w:vAlign w:val="bottom"/>
          </w:tcPr>
          <w:p>
            <w:pPr>
              <w:jc w:val="right"/>
              <w:spacing w:after="0"/>
              <w:rPr>
                <w:sz w:val="20"/>
                <w:szCs w:val="20"/>
                <w:color w:val="auto"/>
              </w:rPr>
            </w:pPr>
            <w:r>
              <w:rPr>
                <w:rFonts w:ascii="Arial" w:cs="Arial" w:eastAsia="Arial" w:hAnsi="Arial"/>
                <w:sz w:val="14"/>
                <w:szCs w:val="14"/>
                <w:b w:val="1"/>
                <w:bCs w:val="1"/>
                <w:color w:val="auto"/>
              </w:rPr>
              <w:t>Number of PSUs at 200%</w:t>
            </w:r>
          </w:p>
        </w:tc>
      </w:tr>
      <w:tr>
        <w:trPr>
          <w:trHeight w:val="195"/>
        </w:trPr>
        <w:tc>
          <w:tcPr>
            <w:tcW w:w="5640" w:type="dxa"/>
            <w:vAlign w:val="bottom"/>
            <w:tcBorders>
              <w:bottom w:val="single" w:sz="8" w:color="16479F"/>
            </w:tcBorders>
          </w:tcPr>
          <w:p>
            <w:pPr>
              <w:ind w:left="60"/>
              <w:spacing w:after="0"/>
              <w:rPr>
                <w:sz w:val="20"/>
                <w:szCs w:val="20"/>
                <w:color w:val="auto"/>
              </w:rPr>
            </w:pPr>
            <w:r>
              <w:rPr>
                <w:rFonts w:ascii="Arial" w:cs="Arial" w:eastAsia="Arial" w:hAnsi="Arial"/>
                <w:sz w:val="14"/>
                <w:szCs w:val="14"/>
                <w:b w:val="1"/>
                <w:bCs w:val="1"/>
                <w:color w:val="auto"/>
              </w:rPr>
              <w:t>Name</w:t>
            </w:r>
          </w:p>
        </w:tc>
        <w:tc>
          <w:tcPr>
            <w:tcW w:w="5600" w:type="dxa"/>
            <w:vAlign w:val="bottom"/>
            <w:tcBorders>
              <w:bottom w:val="single" w:sz="8" w:color="16479F"/>
            </w:tcBorders>
          </w:tcPr>
          <w:p>
            <w:pPr>
              <w:jc w:val="right"/>
              <w:spacing w:after="0"/>
              <w:rPr>
                <w:sz w:val="20"/>
                <w:szCs w:val="20"/>
                <w:color w:val="auto"/>
              </w:rPr>
            </w:pPr>
            <w:r>
              <w:rPr>
                <w:rFonts w:ascii="Arial" w:cs="Arial" w:eastAsia="Arial" w:hAnsi="Arial"/>
                <w:sz w:val="14"/>
                <w:szCs w:val="14"/>
                <w:b w:val="1"/>
                <w:bCs w:val="1"/>
                <w:color w:val="auto"/>
              </w:rPr>
              <w:t>(Maximum) Vesting</w:t>
            </w:r>
          </w:p>
        </w:tc>
      </w:tr>
      <w:tr>
        <w:trPr>
          <w:trHeight w:val="240"/>
        </w:trPr>
        <w:tc>
          <w:tcPr>
            <w:tcW w:w="5640" w:type="dxa"/>
            <w:vAlign w:val="bottom"/>
            <w:shd w:val="clear" w:color="auto" w:fill="F0F1F8"/>
          </w:tcPr>
          <w:p>
            <w:pPr>
              <w:ind w:left="60"/>
              <w:spacing w:after="0"/>
              <w:rPr>
                <w:sz w:val="20"/>
                <w:szCs w:val="20"/>
                <w:color w:val="auto"/>
              </w:rPr>
            </w:pPr>
            <w:r>
              <w:rPr>
                <w:rFonts w:ascii="Arial" w:cs="Arial" w:eastAsia="Arial" w:hAnsi="Arial"/>
                <w:sz w:val="16"/>
                <w:szCs w:val="16"/>
                <w:b w:val="1"/>
                <w:bCs w:val="1"/>
                <w:color w:val="auto"/>
              </w:rPr>
              <w:t>Henry A. Fernandez</w:t>
            </w:r>
          </w:p>
        </w:tc>
        <w:tc>
          <w:tcPr>
            <w:tcW w:w="5600" w:type="dxa"/>
            <w:vAlign w:val="bottom"/>
            <w:shd w:val="clear" w:color="auto" w:fill="F0F1F8"/>
          </w:tcPr>
          <w:p>
            <w:pPr>
              <w:jc w:val="right"/>
              <w:spacing w:after="0"/>
              <w:rPr>
                <w:sz w:val="20"/>
                <w:szCs w:val="20"/>
                <w:color w:val="auto"/>
              </w:rPr>
            </w:pPr>
            <w:r>
              <w:rPr>
                <w:rFonts w:ascii="Arial" w:cs="Arial" w:eastAsia="Arial" w:hAnsi="Arial"/>
                <w:sz w:val="16"/>
                <w:szCs w:val="16"/>
                <w:color w:val="auto"/>
              </w:rPr>
              <w:t>34,840</w:t>
            </w:r>
          </w:p>
        </w:tc>
      </w:tr>
      <w:tr>
        <w:trPr>
          <w:trHeight w:val="232"/>
        </w:trPr>
        <w:tc>
          <w:tcPr>
            <w:tcW w:w="5640" w:type="dxa"/>
            <w:vAlign w:val="bottom"/>
          </w:tcPr>
          <w:p>
            <w:pPr>
              <w:ind w:left="60"/>
              <w:spacing w:after="0"/>
              <w:rPr>
                <w:sz w:val="20"/>
                <w:szCs w:val="20"/>
                <w:color w:val="auto"/>
              </w:rPr>
            </w:pPr>
            <w:r>
              <w:rPr>
                <w:rFonts w:ascii="Arial" w:cs="Arial" w:eastAsia="Arial" w:hAnsi="Arial"/>
                <w:sz w:val="16"/>
                <w:szCs w:val="16"/>
                <w:b w:val="1"/>
                <w:bCs w:val="1"/>
                <w:color w:val="auto"/>
              </w:rPr>
              <w:t>Andrew C. Wiechmann</w:t>
            </w:r>
          </w:p>
        </w:tc>
        <w:tc>
          <w:tcPr>
            <w:tcW w:w="5600" w:type="dxa"/>
            <w:vAlign w:val="bottom"/>
          </w:tcPr>
          <w:p>
            <w:pPr>
              <w:jc w:val="right"/>
              <w:spacing w:after="0"/>
              <w:rPr>
                <w:sz w:val="20"/>
                <w:szCs w:val="20"/>
                <w:color w:val="auto"/>
              </w:rPr>
            </w:pPr>
            <w:r>
              <w:rPr>
                <w:rFonts w:ascii="Arial" w:cs="Arial" w:eastAsia="Arial" w:hAnsi="Arial"/>
                <w:sz w:val="16"/>
                <w:szCs w:val="16"/>
                <w:color w:val="auto"/>
              </w:rPr>
              <w:t>2,438</w:t>
            </w:r>
          </w:p>
        </w:tc>
      </w:tr>
      <w:tr>
        <w:trPr>
          <w:trHeight w:val="250"/>
        </w:trPr>
        <w:tc>
          <w:tcPr>
            <w:tcW w:w="5640" w:type="dxa"/>
            <w:vAlign w:val="bottom"/>
            <w:shd w:val="clear" w:color="auto" w:fill="F0F1F8"/>
          </w:tcPr>
          <w:p>
            <w:pPr>
              <w:ind w:left="60"/>
              <w:spacing w:after="0"/>
              <w:rPr>
                <w:sz w:val="20"/>
                <w:szCs w:val="20"/>
                <w:color w:val="auto"/>
              </w:rPr>
            </w:pPr>
            <w:r>
              <w:rPr>
                <w:rFonts w:ascii="Arial" w:cs="Arial" w:eastAsia="Arial" w:hAnsi="Arial"/>
                <w:sz w:val="16"/>
                <w:szCs w:val="16"/>
                <w:b w:val="1"/>
                <w:bCs w:val="1"/>
                <w:color w:val="auto"/>
              </w:rPr>
              <w:t>C.D. Baer Pettit</w:t>
            </w:r>
          </w:p>
        </w:tc>
        <w:tc>
          <w:tcPr>
            <w:tcW w:w="5600" w:type="dxa"/>
            <w:vAlign w:val="bottom"/>
            <w:shd w:val="clear" w:color="auto" w:fill="F0F1F8"/>
          </w:tcPr>
          <w:p>
            <w:pPr>
              <w:jc w:val="right"/>
              <w:spacing w:after="0"/>
              <w:rPr>
                <w:sz w:val="20"/>
                <w:szCs w:val="20"/>
                <w:color w:val="auto"/>
              </w:rPr>
            </w:pPr>
            <w:r>
              <w:rPr>
                <w:rFonts w:ascii="Arial" w:cs="Arial" w:eastAsia="Arial" w:hAnsi="Arial"/>
                <w:sz w:val="16"/>
                <w:szCs w:val="16"/>
                <w:color w:val="auto"/>
              </w:rPr>
              <w:t>18,580</w:t>
            </w:r>
          </w:p>
        </w:tc>
      </w:tr>
      <w:tr>
        <w:trPr>
          <w:trHeight w:val="232"/>
        </w:trPr>
        <w:tc>
          <w:tcPr>
            <w:tcW w:w="5640" w:type="dxa"/>
            <w:vAlign w:val="bottom"/>
          </w:tcPr>
          <w:p>
            <w:pPr>
              <w:ind w:left="60"/>
              <w:spacing w:after="0"/>
              <w:rPr>
                <w:sz w:val="20"/>
                <w:szCs w:val="20"/>
                <w:color w:val="auto"/>
              </w:rPr>
            </w:pPr>
            <w:r>
              <w:rPr>
                <w:rFonts w:ascii="Arial" w:cs="Arial" w:eastAsia="Arial" w:hAnsi="Arial"/>
                <w:sz w:val="16"/>
                <w:szCs w:val="16"/>
                <w:b w:val="1"/>
                <w:bCs w:val="1"/>
                <w:color w:val="auto"/>
              </w:rPr>
              <w:t>Scott A. Crum</w:t>
            </w:r>
          </w:p>
        </w:tc>
        <w:tc>
          <w:tcPr>
            <w:tcW w:w="5600" w:type="dxa"/>
            <w:vAlign w:val="bottom"/>
          </w:tcPr>
          <w:p>
            <w:pPr>
              <w:jc w:val="right"/>
              <w:spacing w:after="0"/>
              <w:rPr>
                <w:sz w:val="20"/>
                <w:szCs w:val="20"/>
                <w:color w:val="auto"/>
              </w:rPr>
            </w:pPr>
            <w:r>
              <w:rPr>
                <w:rFonts w:ascii="Arial" w:cs="Arial" w:eastAsia="Arial" w:hAnsi="Arial"/>
                <w:sz w:val="16"/>
                <w:szCs w:val="16"/>
                <w:color w:val="auto"/>
              </w:rPr>
              <w:t>3,250</w:t>
            </w:r>
          </w:p>
        </w:tc>
      </w:tr>
      <w:tr>
        <w:trPr>
          <w:trHeight w:val="244"/>
        </w:trPr>
        <w:tc>
          <w:tcPr>
            <w:tcW w:w="5640" w:type="dxa"/>
            <w:vAlign w:val="bottom"/>
            <w:tcBorders>
              <w:bottom w:val="single" w:sz="8" w:color="auto"/>
            </w:tcBorders>
            <w:shd w:val="clear" w:color="auto" w:fill="F0F1F8"/>
          </w:tcPr>
          <w:p>
            <w:pPr>
              <w:ind w:left="60"/>
              <w:spacing w:after="0"/>
              <w:rPr>
                <w:sz w:val="20"/>
                <w:szCs w:val="20"/>
                <w:color w:val="auto"/>
              </w:rPr>
            </w:pPr>
            <w:r>
              <w:rPr>
                <w:rFonts w:ascii="Arial" w:cs="Arial" w:eastAsia="Arial" w:hAnsi="Arial"/>
                <w:sz w:val="16"/>
                <w:szCs w:val="16"/>
                <w:b w:val="1"/>
                <w:bCs w:val="1"/>
                <w:color w:val="auto"/>
              </w:rPr>
              <w:t>Robert J. Gutowski</w:t>
            </w:r>
          </w:p>
        </w:tc>
        <w:tc>
          <w:tcPr>
            <w:tcW w:w="5600" w:type="dxa"/>
            <w:vAlign w:val="bottom"/>
            <w:tcBorders>
              <w:bottom w:val="single" w:sz="8" w:color="auto"/>
            </w:tcBorders>
            <w:shd w:val="clear" w:color="auto" w:fill="F0F1F8"/>
          </w:tcPr>
          <w:p>
            <w:pPr>
              <w:jc w:val="right"/>
              <w:spacing w:after="0"/>
              <w:rPr>
                <w:sz w:val="20"/>
                <w:szCs w:val="20"/>
                <w:color w:val="auto"/>
              </w:rPr>
            </w:pPr>
            <w:r>
              <w:rPr>
                <w:rFonts w:ascii="Arial" w:cs="Arial" w:eastAsia="Arial" w:hAnsi="Arial"/>
                <w:sz w:val="16"/>
                <w:szCs w:val="16"/>
                <w:color w:val="auto"/>
              </w:rPr>
              <w:t>2,438</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Option Exercises and Stock Vested</w:t>
      </w:r>
    </w:p>
    <w:p>
      <w:pPr>
        <w:spacing w:after="0" w:line="249"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The following table contains information with regard to stock options exercised by our NEOs and vesting and conversion of restricted stock held by the NEOs during fiscal 2021.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80" w:type="dxa"/>
            <w:vAlign w:val="bottom"/>
          </w:tcPr>
          <w:p>
            <w:pPr>
              <w:spacing w:after="0"/>
              <w:rPr>
                <w:sz w:val="16"/>
                <w:szCs w:val="16"/>
                <w:color w:val="auto"/>
              </w:rPr>
            </w:pPr>
          </w:p>
        </w:tc>
        <w:tc>
          <w:tcPr>
            <w:tcW w:w="2260" w:type="dxa"/>
            <w:vAlign w:val="bottom"/>
            <w:gridSpan w:val="3"/>
          </w:tcPr>
          <w:p>
            <w:pPr>
              <w:ind w:left="520"/>
              <w:spacing w:after="0"/>
              <w:rPr>
                <w:sz w:val="20"/>
                <w:szCs w:val="20"/>
                <w:color w:val="auto"/>
              </w:rPr>
            </w:pPr>
            <w:r>
              <w:rPr>
                <w:rFonts w:ascii="Arial" w:cs="Arial" w:eastAsia="Arial" w:hAnsi="Arial"/>
                <w:sz w:val="14"/>
                <w:szCs w:val="14"/>
                <w:b w:val="1"/>
                <w:bCs w:val="1"/>
                <w:color w:val="auto"/>
              </w:rPr>
              <w:t>Option Awards</w:t>
            </w:r>
          </w:p>
        </w:tc>
        <w:tc>
          <w:tcPr>
            <w:tcW w:w="2100" w:type="dxa"/>
            <w:vAlign w:val="bottom"/>
            <w:gridSpan w:val="2"/>
          </w:tcPr>
          <w:p>
            <w:pPr>
              <w:jc w:val="right"/>
              <w:ind w:right="505"/>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73"/>
        </w:trPr>
        <w:tc>
          <w:tcPr>
            <w:tcW w:w="6880" w:type="dxa"/>
            <w:vAlign w:val="bottom"/>
          </w:tcPr>
          <w:p>
            <w:pPr>
              <w:spacing w:after="0"/>
              <w:rPr>
                <w:sz w:val="15"/>
                <w:szCs w:val="15"/>
                <w:color w:val="auto"/>
              </w:rPr>
            </w:pPr>
          </w:p>
        </w:tc>
        <w:tc>
          <w:tcPr>
            <w:tcW w:w="960" w:type="dxa"/>
            <w:vAlign w:val="bottom"/>
            <w:tcBorders>
              <w:top w:val="single" w:sz="8" w:color="16479F"/>
            </w:tcBorders>
          </w:tcPr>
          <w:p>
            <w:pPr>
              <w:jc w:val="right"/>
              <w:ind w:right="25"/>
              <w:spacing w:after="0"/>
              <w:rPr>
                <w:sz w:val="20"/>
                <w:szCs w:val="20"/>
                <w:color w:val="auto"/>
              </w:rPr>
            </w:pPr>
            <w:r>
              <w:rPr>
                <w:rFonts w:ascii="Arial" w:cs="Arial" w:eastAsia="Arial" w:hAnsi="Arial"/>
                <w:sz w:val="14"/>
                <w:szCs w:val="14"/>
                <w:b w:val="1"/>
                <w:bCs w:val="1"/>
                <w:color w:val="auto"/>
              </w:rPr>
              <w:t>Number of</w:t>
            </w:r>
          </w:p>
        </w:tc>
        <w:tc>
          <w:tcPr>
            <w:tcW w:w="1100" w:type="dxa"/>
            <w:vAlign w:val="bottom"/>
            <w:tcBorders>
              <w:top w:val="single" w:sz="8" w:color="16479F"/>
            </w:tcBorders>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Borders>
              <w:top w:val="single" w:sz="8" w:color="16479F"/>
            </w:tcBorders>
          </w:tcPr>
          <w:p>
            <w:pPr>
              <w:jc w:val="right"/>
              <w:ind w:right="25"/>
              <w:spacing w:after="0"/>
              <w:rPr>
                <w:sz w:val="20"/>
                <w:szCs w:val="20"/>
                <w:color w:val="auto"/>
              </w:rPr>
            </w:pPr>
            <w:r>
              <w:rPr>
                <w:rFonts w:ascii="Arial" w:cs="Arial" w:eastAsia="Arial" w:hAnsi="Arial"/>
                <w:sz w:val="14"/>
                <w:szCs w:val="14"/>
                <w:b w:val="1"/>
                <w:bCs w:val="1"/>
                <w:color w:val="auto"/>
              </w:rPr>
              <w:t>Number of</w:t>
            </w:r>
          </w:p>
        </w:tc>
        <w:tc>
          <w:tcPr>
            <w:tcW w:w="1160" w:type="dxa"/>
            <w:vAlign w:val="bottom"/>
            <w:tcBorders>
              <w:top w:val="single" w:sz="8" w:color="16479F"/>
            </w:tcBorders>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6880" w:type="dxa"/>
            <w:vAlign w:val="bottom"/>
          </w:tcPr>
          <w:p>
            <w:pPr>
              <w:spacing w:after="0"/>
              <w:rPr>
                <w:sz w:val="13"/>
                <w:szCs w:val="13"/>
                <w:color w:val="auto"/>
              </w:rPr>
            </w:pPr>
          </w:p>
        </w:tc>
        <w:tc>
          <w:tcPr>
            <w:tcW w:w="960" w:type="dxa"/>
            <w:vAlign w:val="bottom"/>
          </w:tcPr>
          <w:p>
            <w:pPr>
              <w:jc w:val="right"/>
              <w:ind w:right="25"/>
              <w:spacing w:after="0"/>
              <w:rPr>
                <w:sz w:val="20"/>
                <w:szCs w:val="20"/>
                <w:color w:val="auto"/>
              </w:rPr>
            </w:pPr>
            <w:r>
              <w:rPr>
                <w:rFonts w:ascii="Arial" w:cs="Arial" w:eastAsia="Arial" w:hAnsi="Arial"/>
                <w:sz w:val="14"/>
                <w:szCs w:val="14"/>
                <w:b w:val="1"/>
                <w:bCs w:val="1"/>
                <w:color w:val="auto"/>
              </w:rPr>
              <w:t>Shares</w:t>
            </w: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Value Realized</w:t>
            </w:r>
          </w:p>
        </w:tc>
        <w:tc>
          <w:tcPr>
            <w:tcW w:w="940" w:type="dxa"/>
            <w:vAlign w:val="bottom"/>
          </w:tcPr>
          <w:p>
            <w:pPr>
              <w:jc w:val="right"/>
              <w:ind w:right="25"/>
              <w:spacing w:after="0"/>
              <w:rPr>
                <w:sz w:val="20"/>
                <w:szCs w:val="20"/>
                <w:color w:val="auto"/>
              </w:rPr>
            </w:pPr>
            <w:r>
              <w:rPr>
                <w:rFonts w:ascii="Arial" w:cs="Arial" w:eastAsia="Arial" w:hAnsi="Arial"/>
                <w:sz w:val="14"/>
                <w:szCs w:val="14"/>
                <w:b w:val="1"/>
                <w:bCs w:val="1"/>
                <w:color w:val="auto"/>
              </w:rPr>
              <w:t>Shares</w:t>
            </w: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Value Realized</w:t>
            </w:r>
          </w:p>
        </w:tc>
        <w:tc>
          <w:tcPr>
            <w:tcW w:w="0" w:type="dxa"/>
            <w:vAlign w:val="bottom"/>
          </w:tcPr>
          <w:p>
            <w:pPr>
              <w:spacing w:after="0"/>
              <w:rPr>
                <w:sz w:val="1"/>
                <w:szCs w:val="1"/>
                <w:color w:val="auto"/>
              </w:rPr>
            </w:pPr>
          </w:p>
        </w:tc>
      </w:tr>
      <w:tr>
        <w:trPr>
          <w:trHeight w:val="147"/>
        </w:trPr>
        <w:tc>
          <w:tcPr>
            <w:tcW w:w="6880" w:type="dxa"/>
            <w:vAlign w:val="bottom"/>
          </w:tcPr>
          <w:p>
            <w:pPr>
              <w:spacing w:after="0"/>
              <w:rPr>
                <w:sz w:val="12"/>
                <w:szCs w:val="12"/>
                <w:color w:val="auto"/>
              </w:rPr>
            </w:pPr>
          </w:p>
        </w:tc>
        <w:tc>
          <w:tcPr>
            <w:tcW w:w="960" w:type="dxa"/>
            <w:vAlign w:val="bottom"/>
          </w:tcPr>
          <w:p>
            <w:pPr>
              <w:jc w:val="right"/>
              <w:ind w:right="25"/>
              <w:spacing w:after="0" w:line="147" w:lineRule="exact"/>
              <w:rPr>
                <w:sz w:val="20"/>
                <w:szCs w:val="20"/>
                <w:color w:val="auto"/>
              </w:rPr>
            </w:pPr>
            <w:r>
              <w:rPr>
                <w:rFonts w:ascii="Arial" w:cs="Arial" w:eastAsia="Arial" w:hAnsi="Arial"/>
                <w:sz w:val="14"/>
                <w:szCs w:val="14"/>
                <w:b w:val="1"/>
                <w:bCs w:val="1"/>
                <w:color w:val="auto"/>
              </w:rPr>
              <w:t>Acquired on</w:t>
            </w:r>
          </w:p>
        </w:tc>
        <w:tc>
          <w:tcPr>
            <w:tcW w:w="1300" w:type="dxa"/>
            <w:vAlign w:val="bottom"/>
            <w:gridSpan w:val="2"/>
            <w:vMerge w:val="continue"/>
          </w:tcPr>
          <w:p>
            <w:pPr>
              <w:spacing w:after="0"/>
              <w:rPr>
                <w:sz w:val="12"/>
                <w:szCs w:val="12"/>
                <w:color w:val="auto"/>
              </w:rPr>
            </w:pPr>
          </w:p>
        </w:tc>
        <w:tc>
          <w:tcPr>
            <w:tcW w:w="940" w:type="dxa"/>
            <w:vAlign w:val="bottom"/>
          </w:tcPr>
          <w:p>
            <w:pPr>
              <w:jc w:val="right"/>
              <w:ind w:right="25"/>
              <w:spacing w:after="0" w:line="147" w:lineRule="exact"/>
              <w:rPr>
                <w:sz w:val="20"/>
                <w:szCs w:val="20"/>
                <w:color w:val="auto"/>
              </w:rPr>
            </w:pPr>
            <w:r>
              <w:rPr>
                <w:rFonts w:ascii="Arial" w:cs="Arial" w:eastAsia="Arial" w:hAnsi="Arial"/>
                <w:sz w:val="14"/>
                <w:szCs w:val="14"/>
                <w:b w:val="1"/>
                <w:bCs w:val="1"/>
                <w:color w:val="auto"/>
              </w:rPr>
              <w:t>Acquired on</w:t>
            </w: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80" w:type="dxa"/>
            <w:vAlign w:val="bottom"/>
          </w:tcPr>
          <w:p>
            <w:pPr>
              <w:spacing w:after="0"/>
              <w:rPr>
                <w:sz w:val="13"/>
                <w:szCs w:val="13"/>
                <w:color w:val="auto"/>
              </w:rPr>
            </w:pPr>
          </w:p>
        </w:tc>
        <w:tc>
          <w:tcPr>
            <w:tcW w:w="960" w:type="dxa"/>
            <w:vAlign w:val="bottom"/>
          </w:tcPr>
          <w:p>
            <w:pPr>
              <w:jc w:val="right"/>
              <w:ind w:right="25"/>
              <w:spacing w:after="0"/>
              <w:rPr>
                <w:sz w:val="20"/>
                <w:szCs w:val="20"/>
                <w:color w:val="auto"/>
              </w:rPr>
            </w:pPr>
            <w:r>
              <w:rPr>
                <w:rFonts w:ascii="Arial" w:cs="Arial" w:eastAsia="Arial" w:hAnsi="Arial"/>
                <w:sz w:val="14"/>
                <w:szCs w:val="14"/>
                <w:b w:val="1"/>
                <w:bCs w:val="1"/>
                <w:color w:val="auto"/>
              </w:rPr>
              <w:t>Vesting</w:t>
            </w:r>
          </w:p>
        </w:tc>
        <w:tc>
          <w:tcPr>
            <w:tcW w:w="13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on Vesting</w:t>
            </w:r>
          </w:p>
        </w:tc>
        <w:tc>
          <w:tcPr>
            <w:tcW w:w="940" w:type="dxa"/>
            <w:vAlign w:val="bottom"/>
          </w:tcPr>
          <w:p>
            <w:pPr>
              <w:jc w:val="right"/>
              <w:ind w:right="25"/>
              <w:spacing w:after="0"/>
              <w:rPr>
                <w:sz w:val="20"/>
                <w:szCs w:val="20"/>
                <w:color w:val="auto"/>
              </w:rPr>
            </w:pPr>
            <w:r>
              <w:rPr>
                <w:rFonts w:ascii="Arial" w:cs="Arial" w:eastAsia="Arial" w:hAnsi="Arial"/>
                <w:sz w:val="14"/>
                <w:szCs w:val="14"/>
                <w:b w:val="1"/>
                <w:bCs w:val="1"/>
                <w:color w:val="auto"/>
              </w:rPr>
              <w:t>Vesting</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on Vesting</w:t>
            </w:r>
          </w:p>
        </w:tc>
        <w:tc>
          <w:tcPr>
            <w:tcW w:w="0" w:type="dxa"/>
            <w:vAlign w:val="bottom"/>
          </w:tcPr>
          <w:p>
            <w:pPr>
              <w:spacing w:after="0"/>
              <w:rPr>
                <w:sz w:val="1"/>
                <w:szCs w:val="1"/>
                <w:color w:val="auto"/>
              </w:rPr>
            </w:pPr>
          </w:p>
        </w:tc>
      </w:tr>
      <w:tr>
        <w:trPr>
          <w:trHeight w:val="214"/>
        </w:trPr>
        <w:tc>
          <w:tcPr>
            <w:tcW w:w="6880" w:type="dxa"/>
            <w:vAlign w:val="bottom"/>
            <w:tcBorders>
              <w:bottom w:val="single" w:sz="8" w:color="16479F"/>
            </w:tcBorders>
          </w:tcPr>
          <w:p>
            <w:pPr>
              <w:ind w:left="60"/>
              <w:spacing w:after="0"/>
              <w:rPr>
                <w:sz w:val="20"/>
                <w:szCs w:val="20"/>
                <w:color w:val="auto"/>
              </w:rPr>
            </w:pPr>
            <w:r>
              <w:rPr>
                <w:rFonts w:ascii="Arial" w:cs="Arial" w:eastAsia="Arial" w:hAnsi="Arial"/>
                <w:sz w:val="14"/>
                <w:szCs w:val="14"/>
                <w:b w:val="1"/>
                <w:bCs w:val="1"/>
                <w:color w:val="auto"/>
              </w:rPr>
              <w:t>Name</w:t>
            </w:r>
          </w:p>
        </w:tc>
        <w:tc>
          <w:tcPr>
            <w:tcW w:w="960" w:type="dxa"/>
            <w:vAlign w:val="bottom"/>
            <w:tcBorders>
              <w:bottom w:val="single" w:sz="8" w:color="16479F"/>
            </w:tcBorders>
          </w:tcPr>
          <w:p>
            <w:pPr>
              <w:jc w:val="right"/>
              <w:ind w:right="25"/>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16479F"/>
            </w:tcBorders>
            <w:gridSpan w:val="2"/>
          </w:tcPr>
          <w:p>
            <w:pPr>
              <w:jc w:val="right"/>
              <w:ind w:right="200"/>
              <w:spacing w:after="0" w:line="214"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1"/>
                <w:szCs w:val="11"/>
                <w:b w:val="1"/>
                <w:bCs w:val="1"/>
                <w:color w:val="auto"/>
              </w:rPr>
              <w:t>(1)</w:t>
            </w:r>
          </w:p>
        </w:tc>
        <w:tc>
          <w:tcPr>
            <w:tcW w:w="940" w:type="dxa"/>
            <w:vAlign w:val="bottom"/>
            <w:tcBorders>
              <w:bottom w:val="single" w:sz="8" w:color="16479F"/>
            </w:tcBorders>
          </w:tcPr>
          <w:p>
            <w:pPr>
              <w:jc w:val="right"/>
              <w:ind w:right="25"/>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16479F"/>
            </w:tcBorders>
          </w:tcPr>
          <w:p>
            <w:pPr>
              <w:jc w:val="right"/>
              <w:spacing w:after="0" w:line="214"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1"/>
                <w:szCs w:val="11"/>
                <w:b w:val="1"/>
                <w:bCs w:val="1"/>
                <w:color w:val="auto"/>
              </w:rPr>
              <w:t>(1)</w:t>
            </w:r>
          </w:p>
        </w:tc>
        <w:tc>
          <w:tcPr>
            <w:tcW w:w="0" w:type="dxa"/>
            <w:vAlign w:val="bottom"/>
          </w:tcPr>
          <w:p>
            <w:pPr>
              <w:spacing w:after="0"/>
              <w:rPr>
                <w:sz w:val="1"/>
                <w:szCs w:val="1"/>
                <w:color w:val="auto"/>
              </w:rPr>
            </w:pPr>
          </w:p>
        </w:tc>
      </w:tr>
      <w:tr>
        <w:trPr>
          <w:trHeight w:val="234"/>
        </w:trPr>
        <w:tc>
          <w:tcPr>
            <w:tcW w:w="6880" w:type="dxa"/>
            <w:vAlign w:val="bottom"/>
            <w:shd w:val="clear" w:color="auto" w:fill="F0F1F8"/>
          </w:tcPr>
          <w:p>
            <w:pPr>
              <w:ind w:left="60"/>
              <w:spacing w:after="0"/>
              <w:rPr>
                <w:sz w:val="20"/>
                <w:szCs w:val="20"/>
                <w:color w:val="auto"/>
              </w:rPr>
            </w:pPr>
            <w:r>
              <w:rPr>
                <w:rFonts w:ascii="Arial" w:cs="Arial" w:eastAsia="Arial" w:hAnsi="Arial"/>
                <w:sz w:val="16"/>
                <w:szCs w:val="16"/>
                <w:b w:val="1"/>
                <w:bCs w:val="1"/>
                <w:color w:val="auto"/>
              </w:rPr>
              <w:t>Henry A. Fernandez</w:t>
            </w:r>
          </w:p>
        </w:tc>
        <w:tc>
          <w:tcPr>
            <w:tcW w:w="960" w:type="dxa"/>
            <w:vAlign w:val="bottom"/>
            <w:shd w:val="clear" w:color="auto" w:fill="F0F1F8"/>
          </w:tcPr>
          <w:p>
            <w:pPr>
              <w:jc w:val="right"/>
              <w:ind w:right="25"/>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F0F1F8"/>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shd w:val="clear" w:color="auto" w:fill="F0F1F8"/>
          </w:tcPr>
          <w:p>
            <w:pPr>
              <w:jc w:val="right"/>
              <w:ind w:right="25"/>
              <w:spacing w:after="0"/>
              <w:rPr>
                <w:sz w:val="20"/>
                <w:szCs w:val="20"/>
                <w:color w:val="auto"/>
              </w:rPr>
            </w:pPr>
            <w:r>
              <w:rPr>
                <w:rFonts w:ascii="Arial" w:cs="Arial" w:eastAsia="Arial" w:hAnsi="Arial"/>
                <w:sz w:val="16"/>
                <w:szCs w:val="16"/>
                <w:color w:val="auto"/>
              </w:rPr>
              <w:t>—</w:t>
            </w:r>
          </w:p>
        </w:tc>
        <w:tc>
          <w:tcPr>
            <w:tcW w:w="1160" w:type="dxa"/>
            <w:vAlign w:val="bottom"/>
            <w:shd w:val="clear" w:color="auto" w:fill="F0F1F8"/>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2"/>
        </w:trPr>
        <w:tc>
          <w:tcPr>
            <w:tcW w:w="6880" w:type="dxa"/>
            <w:vAlign w:val="bottom"/>
          </w:tcPr>
          <w:p>
            <w:pPr>
              <w:ind w:left="60"/>
              <w:spacing w:after="0"/>
              <w:rPr>
                <w:sz w:val="20"/>
                <w:szCs w:val="20"/>
                <w:color w:val="auto"/>
              </w:rPr>
            </w:pPr>
            <w:r>
              <w:rPr>
                <w:rFonts w:ascii="Arial" w:cs="Arial" w:eastAsia="Arial" w:hAnsi="Arial"/>
                <w:sz w:val="16"/>
                <w:szCs w:val="16"/>
                <w:b w:val="1"/>
                <w:bCs w:val="1"/>
                <w:color w:val="auto"/>
              </w:rPr>
              <w:t>Andrew C. Wiechmann</w:t>
            </w:r>
          </w:p>
        </w:tc>
        <w:tc>
          <w:tcPr>
            <w:tcW w:w="960" w:type="dxa"/>
            <w:vAlign w:val="bottom"/>
          </w:tcPr>
          <w:p>
            <w:pPr>
              <w:jc w:val="right"/>
              <w:ind w:right="25"/>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5"/>
              <w:spacing w:after="0"/>
              <w:rPr>
                <w:sz w:val="20"/>
                <w:szCs w:val="20"/>
                <w:color w:val="auto"/>
              </w:rPr>
            </w:pPr>
            <w:r>
              <w:rPr>
                <w:rFonts w:ascii="Arial" w:cs="Arial" w:eastAsia="Arial" w:hAnsi="Arial"/>
                <w:sz w:val="16"/>
                <w:szCs w:val="16"/>
                <w:color w:val="auto"/>
              </w:rPr>
              <w:t>5,173</w:t>
            </w:r>
          </w:p>
        </w:tc>
        <w:tc>
          <w:tcPr>
            <w:tcW w:w="1160" w:type="dxa"/>
            <w:vAlign w:val="bottom"/>
          </w:tcPr>
          <w:p>
            <w:pPr>
              <w:jc w:val="right"/>
              <w:spacing w:after="0"/>
              <w:rPr>
                <w:sz w:val="20"/>
                <w:szCs w:val="20"/>
                <w:color w:val="auto"/>
              </w:rPr>
            </w:pPr>
            <w:r>
              <w:rPr>
                <w:rFonts w:ascii="Arial" w:cs="Arial" w:eastAsia="Arial" w:hAnsi="Arial"/>
                <w:sz w:val="16"/>
                <w:szCs w:val="16"/>
                <w:color w:val="auto"/>
              </w:rPr>
              <w:t>2,223,407</w:t>
            </w:r>
          </w:p>
        </w:tc>
        <w:tc>
          <w:tcPr>
            <w:tcW w:w="0" w:type="dxa"/>
            <w:vAlign w:val="bottom"/>
          </w:tcPr>
          <w:p>
            <w:pPr>
              <w:spacing w:after="0"/>
              <w:rPr>
                <w:sz w:val="1"/>
                <w:szCs w:val="1"/>
                <w:color w:val="auto"/>
              </w:rPr>
            </w:pPr>
          </w:p>
        </w:tc>
      </w:tr>
      <w:tr>
        <w:trPr>
          <w:trHeight w:val="250"/>
        </w:trPr>
        <w:tc>
          <w:tcPr>
            <w:tcW w:w="6880" w:type="dxa"/>
            <w:vAlign w:val="bottom"/>
            <w:shd w:val="clear" w:color="auto" w:fill="F0F1F8"/>
          </w:tcPr>
          <w:p>
            <w:pPr>
              <w:ind w:left="60"/>
              <w:spacing w:after="0"/>
              <w:rPr>
                <w:sz w:val="20"/>
                <w:szCs w:val="20"/>
                <w:color w:val="auto"/>
              </w:rPr>
            </w:pPr>
            <w:r>
              <w:rPr>
                <w:rFonts w:ascii="Arial" w:cs="Arial" w:eastAsia="Arial" w:hAnsi="Arial"/>
                <w:sz w:val="16"/>
                <w:szCs w:val="16"/>
                <w:b w:val="1"/>
                <w:bCs w:val="1"/>
                <w:color w:val="auto"/>
              </w:rPr>
              <w:t>C.D. Baer Pettit</w:t>
            </w:r>
          </w:p>
        </w:tc>
        <w:tc>
          <w:tcPr>
            <w:tcW w:w="960" w:type="dxa"/>
            <w:vAlign w:val="bottom"/>
            <w:shd w:val="clear" w:color="auto" w:fill="F0F1F8"/>
          </w:tcPr>
          <w:p>
            <w:pPr>
              <w:jc w:val="right"/>
              <w:ind w:right="25"/>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F0F1F8"/>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shd w:val="clear" w:color="auto" w:fill="F0F1F8"/>
          </w:tcPr>
          <w:p>
            <w:pPr>
              <w:jc w:val="right"/>
              <w:ind w:right="25"/>
              <w:spacing w:after="0"/>
              <w:rPr>
                <w:sz w:val="20"/>
                <w:szCs w:val="20"/>
                <w:color w:val="auto"/>
              </w:rPr>
            </w:pPr>
            <w:r>
              <w:rPr>
                <w:rFonts w:ascii="Arial" w:cs="Arial" w:eastAsia="Arial" w:hAnsi="Arial"/>
                <w:sz w:val="16"/>
                <w:szCs w:val="16"/>
                <w:color w:val="auto"/>
              </w:rPr>
              <w:t>2,391</w:t>
            </w:r>
          </w:p>
        </w:tc>
        <w:tc>
          <w:tcPr>
            <w:tcW w:w="1160" w:type="dxa"/>
            <w:vAlign w:val="bottom"/>
            <w:shd w:val="clear" w:color="auto" w:fill="F0F1F8"/>
          </w:tcPr>
          <w:p>
            <w:pPr>
              <w:jc w:val="right"/>
              <w:spacing w:after="0"/>
              <w:rPr>
                <w:sz w:val="20"/>
                <w:szCs w:val="20"/>
                <w:color w:val="auto"/>
              </w:rPr>
            </w:pPr>
            <w:r>
              <w:rPr>
                <w:rFonts w:ascii="Arial" w:cs="Arial" w:eastAsia="Arial" w:hAnsi="Arial"/>
                <w:sz w:val="16"/>
                <w:szCs w:val="16"/>
                <w:color w:val="auto"/>
              </w:rPr>
              <w:t>999,366</w:t>
            </w:r>
          </w:p>
        </w:tc>
        <w:tc>
          <w:tcPr>
            <w:tcW w:w="0" w:type="dxa"/>
            <w:vAlign w:val="bottom"/>
          </w:tcPr>
          <w:p>
            <w:pPr>
              <w:spacing w:after="0"/>
              <w:rPr>
                <w:sz w:val="1"/>
                <w:szCs w:val="1"/>
                <w:color w:val="auto"/>
              </w:rPr>
            </w:pPr>
          </w:p>
        </w:tc>
      </w:tr>
      <w:tr>
        <w:trPr>
          <w:trHeight w:val="232"/>
        </w:trPr>
        <w:tc>
          <w:tcPr>
            <w:tcW w:w="6880" w:type="dxa"/>
            <w:vAlign w:val="bottom"/>
          </w:tcPr>
          <w:p>
            <w:pPr>
              <w:ind w:left="60"/>
              <w:spacing w:after="0"/>
              <w:rPr>
                <w:sz w:val="20"/>
                <w:szCs w:val="20"/>
                <w:color w:val="auto"/>
              </w:rPr>
            </w:pPr>
            <w:r>
              <w:rPr>
                <w:rFonts w:ascii="Arial" w:cs="Arial" w:eastAsia="Arial" w:hAnsi="Arial"/>
                <w:sz w:val="16"/>
                <w:szCs w:val="16"/>
                <w:b w:val="1"/>
                <w:bCs w:val="1"/>
                <w:color w:val="auto"/>
              </w:rPr>
              <w:t>Scott A. Crum</w:t>
            </w:r>
          </w:p>
        </w:tc>
        <w:tc>
          <w:tcPr>
            <w:tcW w:w="960" w:type="dxa"/>
            <w:vAlign w:val="bottom"/>
          </w:tcPr>
          <w:p>
            <w:pPr>
              <w:jc w:val="right"/>
              <w:ind w:right="25"/>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5"/>
              <w:spacing w:after="0"/>
              <w:rPr>
                <w:sz w:val="20"/>
                <w:szCs w:val="20"/>
                <w:color w:val="auto"/>
              </w:rPr>
            </w:pPr>
            <w:r>
              <w:rPr>
                <w:rFonts w:ascii="Arial" w:cs="Arial" w:eastAsia="Arial" w:hAnsi="Arial"/>
                <w:sz w:val="16"/>
                <w:szCs w:val="16"/>
                <w:color w:val="auto"/>
              </w:rPr>
              <w:t>2,193</w:t>
            </w:r>
          </w:p>
        </w:tc>
        <w:tc>
          <w:tcPr>
            <w:tcW w:w="1160" w:type="dxa"/>
            <w:vAlign w:val="bottom"/>
          </w:tcPr>
          <w:p>
            <w:pPr>
              <w:jc w:val="right"/>
              <w:spacing w:after="0"/>
              <w:rPr>
                <w:sz w:val="20"/>
                <w:szCs w:val="20"/>
                <w:color w:val="auto"/>
              </w:rPr>
            </w:pPr>
            <w:r>
              <w:rPr>
                <w:rFonts w:ascii="Arial" w:cs="Arial" w:eastAsia="Arial" w:hAnsi="Arial"/>
                <w:sz w:val="16"/>
                <w:szCs w:val="16"/>
                <w:color w:val="auto"/>
              </w:rPr>
              <w:t>942,573</w:t>
            </w:r>
          </w:p>
        </w:tc>
        <w:tc>
          <w:tcPr>
            <w:tcW w:w="0" w:type="dxa"/>
            <w:vAlign w:val="bottom"/>
          </w:tcPr>
          <w:p>
            <w:pPr>
              <w:spacing w:after="0"/>
              <w:rPr>
                <w:sz w:val="1"/>
                <w:szCs w:val="1"/>
                <w:color w:val="auto"/>
              </w:rPr>
            </w:pPr>
          </w:p>
        </w:tc>
      </w:tr>
      <w:tr>
        <w:trPr>
          <w:trHeight w:val="244"/>
        </w:trPr>
        <w:tc>
          <w:tcPr>
            <w:tcW w:w="6880" w:type="dxa"/>
            <w:vAlign w:val="bottom"/>
            <w:tcBorders>
              <w:bottom w:val="single" w:sz="8" w:color="auto"/>
            </w:tcBorders>
            <w:shd w:val="clear" w:color="auto" w:fill="F0F1F8"/>
          </w:tcPr>
          <w:p>
            <w:pPr>
              <w:ind w:left="60"/>
              <w:spacing w:after="0"/>
              <w:rPr>
                <w:sz w:val="20"/>
                <w:szCs w:val="20"/>
                <w:color w:val="auto"/>
              </w:rPr>
            </w:pPr>
            <w:r>
              <w:rPr>
                <w:rFonts w:ascii="Arial" w:cs="Arial" w:eastAsia="Arial" w:hAnsi="Arial"/>
                <w:sz w:val="16"/>
                <w:szCs w:val="16"/>
                <w:b w:val="1"/>
                <w:bCs w:val="1"/>
                <w:color w:val="auto"/>
              </w:rPr>
              <w:t>Robert J. Gutowski</w:t>
            </w:r>
          </w:p>
        </w:tc>
        <w:tc>
          <w:tcPr>
            <w:tcW w:w="960" w:type="dxa"/>
            <w:vAlign w:val="bottom"/>
            <w:tcBorders>
              <w:bottom w:val="single" w:sz="8" w:color="auto"/>
            </w:tcBorders>
            <w:shd w:val="clear" w:color="auto" w:fill="F0F1F8"/>
          </w:tcPr>
          <w:p>
            <w:pPr>
              <w:jc w:val="right"/>
              <w:ind w:right="25"/>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gridSpan w:val="2"/>
            <w:shd w:val="clear" w:color="auto" w:fill="F0F1F8"/>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F0F1F8"/>
          </w:tcPr>
          <w:p>
            <w:pPr>
              <w:jc w:val="right"/>
              <w:ind w:right="25"/>
              <w:spacing w:after="0"/>
              <w:rPr>
                <w:sz w:val="20"/>
                <w:szCs w:val="20"/>
                <w:color w:val="auto"/>
              </w:rPr>
            </w:pPr>
            <w:r>
              <w:rPr>
                <w:rFonts w:ascii="Arial" w:cs="Arial" w:eastAsia="Arial" w:hAnsi="Arial"/>
                <w:sz w:val="16"/>
                <w:szCs w:val="16"/>
                <w:color w:val="auto"/>
              </w:rPr>
              <w:t>4,751</w:t>
            </w:r>
          </w:p>
        </w:tc>
        <w:tc>
          <w:tcPr>
            <w:tcW w:w="1160" w:type="dxa"/>
            <w:vAlign w:val="bottom"/>
            <w:tcBorders>
              <w:bottom w:val="single" w:sz="8" w:color="auto"/>
            </w:tcBorders>
            <w:shd w:val="clear" w:color="auto" w:fill="F0F1F8"/>
          </w:tcPr>
          <w:p>
            <w:pPr>
              <w:jc w:val="right"/>
              <w:spacing w:after="0"/>
              <w:rPr>
                <w:sz w:val="20"/>
                <w:szCs w:val="20"/>
                <w:color w:val="auto"/>
              </w:rPr>
            </w:pPr>
            <w:r>
              <w:rPr>
                <w:rFonts w:ascii="Arial" w:cs="Arial" w:eastAsia="Arial" w:hAnsi="Arial"/>
                <w:sz w:val="16"/>
                <w:szCs w:val="16"/>
                <w:color w:val="auto"/>
              </w:rPr>
              <w:t>2,042,027</w:t>
            </w:r>
          </w:p>
        </w:tc>
        <w:tc>
          <w:tcPr>
            <w:tcW w:w="0" w:type="dxa"/>
            <w:vAlign w:val="bottom"/>
          </w:tcPr>
          <w:p>
            <w:pPr>
              <w:spacing w:after="0"/>
              <w:rPr>
                <w:sz w:val="1"/>
                <w:szCs w:val="1"/>
                <w:color w:val="auto"/>
              </w:rPr>
            </w:pPr>
          </w:p>
        </w:tc>
      </w:tr>
    </w:tbl>
    <w:p>
      <w:pPr>
        <w:ind w:left="280" w:hanging="273"/>
        <w:spacing w:after="0" w:line="199" w:lineRule="auto"/>
        <w:tabs>
          <w:tab w:leader="none" w:pos="280" w:val="left"/>
        </w:tabs>
        <w:numPr>
          <w:ilvl w:val="0"/>
          <w:numId w:val="138"/>
        </w:numPr>
        <w:rPr>
          <w:rFonts w:ascii="Arial" w:cs="Arial" w:eastAsia="Arial" w:hAnsi="Arial"/>
          <w:sz w:val="24"/>
          <w:szCs w:val="24"/>
          <w:color w:val="auto"/>
          <w:vertAlign w:val="superscript"/>
        </w:rPr>
      </w:pPr>
      <w:r>
        <w:rPr>
          <w:rFonts w:ascii="Arial" w:cs="Arial" w:eastAsia="Arial" w:hAnsi="Arial"/>
          <w:sz w:val="14"/>
          <w:szCs w:val="14"/>
          <w:color w:val="auto"/>
        </w:rPr>
        <w:t>The value realized for stock awards is based on the closing price of MSCI common stock on the stock vesting date.</w:t>
      </w:r>
    </w:p>
    <w:p>
      <w:pPr>
        <w:spacing w:after="0" w:line="191"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Potential Payments Upon Termination or Change in Control</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b w:val="1"/>
          <w:bCs w:val="1"/>
          <w:color w:val="16479F"/>
        </w:rPr>
        <w:t>Change in Control Severance Plan</w:t>
      </w:r>
    </w:p>
    <w:p>
      <w:pPr>
        <w:spacing w:after="0" w:line="248"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In the event of a change in control of the Company, Executive Committee members, including all of our NEOs, would be entitled to benefits under the MSCI Inc. Change in Control Severance Plan (the “CIC Plan”), which was adopted by the Board of Directors in May 2015. The CIC Plan covers participants identified on a schedule attached to the CIC Plan (subject to any additions to or removals from the participant list by the Compensation Committee), including the Company’s CEO, CFO and the Company’s other NEOs. In the event of a “Qualifying Termination” (for certain terminations related to changes in control, as defined in the CIC Plan), participants will receive the severance payments and benefits specified in the CIC Plan. Severance payments and benefits under the CIC Plan are subject to a “double-trigger” as both a change in control and a termination of the participant’s employment by the Company without “cause” or by the participant for “good reason” (as such terms are defined in the CIC Plan) are required in order for the participant to qualify for payments and benefits. The CIC Plan does not include any golden parachute excise tax gross-up provisions. Any severance payments and benefits under the CIC Plan are subject to execution of an agreement by the CIC Plan participant releasing claims against the Company. Participants are also obligated to comply with confidentiality, non-solicitation and non-disparagement covenants under their release agreement.</w:t>
      </w:r>
    </w:p>
    <w:p>
      <w:pPr>
        <w:spacing w:after="0" w:line="176" w:lineRule="exact"/>
        <w:rPr>
          <w:sz w:val="20"/>
          <w:szCs w:val="20"/>
          <w:color w:val="auto"/>
        </w:rPr>
      </w:pPr>
    </w:p>
    <w:p>
      <w:pPr>
        <w:spacing w:after="0"/>
        <w:rPr>
          <w:sz w:val="20"/>
          <w:szCs w:val="20"/>
          <w:color w:val="auto"/>
        </w:rPr>
      </w:pPr>
      <w:r>
        <w:rPr>
          <w:rFonts w:ascii="Arial" w:cs="Arial" w:eastAsia="Arial" w:hAnsi="Arial"/>
          <w:sz w:val="21"/>
          <w:szCs w:val="21"/>
          <w:b w:val="1"/>
          <w:bCs w:val="1"/>
          <w:color w:val="16479F"/>
        </w:rPr>
        <w:t>Annual Incentive Plan</w:t>
      </w:r>
    </w:p>
    <w:p>
      <w:pPr>
        <w:spacing w:after="0" w:line="248" w:lineRule="exact"/>
        <w:rPr>
          <w:sz w:val="20"/>
          <w:szCs w:val="20"/>
          <w:color w:val="auto"/>
        </w:rPr>
      </w:pPr>
    </w:p>
    <w:p>
      <w:pPr>
        <w:ind w:right="80"/>
        <w:spacing w:after="0" w:line="246" w:lineRule="auto"/>
        <w:rPr>
          <w:sz w:val="20"/>
          <w:szCs w:val="20"/>
          <w:color w:val="auto"/>
        </w:rPr>
      </w:pPr>
      <w:r>
        <w:rPr>
          <w:rFonts w:ascii="Arial" w:cs="Arial" w:eastAsia="Arial" w:hAnsi="Arial"/>
          <w:sz w:val="16"/>
          <w:szCs w:val="16"/>
          <w:color w:val="auto"/>
        </w:rPr>
        <w:t>In the event of a change in control (as defined in the AIP), unless otherwise determined by the Compensation Committee, the performance period applicable to any outstanding AIP cash bonus award will cease as of the date immediately prior to the change in control. The portion of any such award based on performance metrics (other than KPIs) will be payable based on the higher of (i) the Company’s actual achievement of the performance metrics (other than KPIs) for the prorated period ending immediately prior to the change in control and (ii) 100%. The portion of any such award based on KPIs will be payable at 100% of the target KPIs. All awards will be payable by the Company (or the successor or survivor entity) within 60 days of the date of the change in control, prorated for the portion of the applicable performance period that elapsed prior to the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128270</wp:posOffset>
            </wp:positionV>
            <wp:extent cx="7154545" cy="209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149860</wp:posOffset>
            </wp:positionV>
            <wp:extent cx="7133590" cy="21272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3590" cy="212725"/>
                    </a:xfrm>
                    <a:prstGeom prst="rect">
                      <a:avLst/>
                    </a:prstGeom>
                    <a:noFill/>
                  </pic:spPr>
                </pic:pic>
              </a:graphicData>
            </a:graphic>
          </wp:anchor>
        </w:drawing>
      </w:r>
    </w:p>
    <w:p>
      <w:pPr>
        <w:spacing w:after="0" w:line="283"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4"/>
          <w:szCs w:val="14"/>
          <w:b w:val="1"/>
          <w:bCs w:val="1"/>
          <w:color w:val="16479F"/>
        </w:rPr>
        <w:t>92</w:t>
      </w:r>
      <w:r>
        <w:rPr>
          <w:sz w:val="20"/>
          <w:szCs w:val="20"/>
          <w:color w:val="auto"/>
        </w:rPr>
        <w:tab/>
      </w:r>
      <w:r>
        <w:rPr>
          <w:rFonts w:ascii="Arial" w:cs="Arial" w:eastAsia="Arial" w:hAnsi="Arial"/>
          <w:sz w:val="14"/>
          <w:szCs w:val="14"/>
          <w:b w:val="1"/>
          <w:bCs w:val="1"/>
          <w:color w:val="16479F"/>
        </w:rPr>
        <w:t>MSCI  |  COMPENSATION MATTERS</w:t>
      </w:r>
    </w:p>
    <w:p>
      <w:pPr>
        <w:spacing w:after="0" w:line="323" w:lineRule="exact"/>
        <w:rPr>
          <w:sz w:val="20"/>
          <w:szCs w:val="20"/>
          <w:color w:val="auto"/>
        </w:rPr>
      </w:pPr>
    </w:p>
    <w:p>
      <w:pPr>
        <w:ind w:right="180"/>
        <w:spacing w:after="0" w:line="248" w:lineRule="auto"/>
        <w:rPr>
          <w:sz w:val="20"/>
          <w:szCs w:val="20"/>
          <w:color w:val="auto"/>
        </w:rPr>
      </w:pPr>
      <w:r>
        <w:rPr>
          <w:rFonts w:ascii="Arial" w:cs="Arial" w:eastAsia="Arial" w:hAnsi="Arial"/>
          <w:sz w:val="16"/>
          <w:szCs w:val="16"/>
          <w:color w:val="auto"/>
        </w:rPr>
        <w:t>If the Company’s successor will not be implementing a comparable annual incentive plan for the remaining portion of the year in which the change in control occurs, the Compensation Committee may, in its discretion, elect not to prorate the awards. If any AIP participant is eligible to receive a prorated annual bonus for the year in which the change in control occurs pursuant to any other change in control severance plan, including the CIC Plan, the individual’s prorated annual bonus payable under such other plan will be reduced by the amount of the bonus paid under the AIP.</w:t>
      </w:r>
    </w:p>
    <w:p>
      <w:pPr>
        <w:spacing w:after="0" w:line="169" w:lineRule="exact"/>
        <w:rPr>
          <w:sz w:val="20"/>
          <w:szCs w:val="20"/>
          <w:color w:val="auto"/>
        </w:rPr>
      </w:pPr>
    </w:p>
    <w:p>
      <w:pPr>
        <w:spacing w:after="0"/>
        <w:rPr>
          <w:sz w:val="20"/>
          <w:szCs w:val="20"/>
          <w:color w:val="auto"/>
        </w:rPr>
      </w:pPr>
      <w:r>
        <w:rPr>
          <w:rFonts w:ascii="Arial" w:cs="Arial" w:eastAsia="Arial" w:hAnsi="Arial"/>
          <w:sz w:val="21"/>
          <w:szCs w:val="21"/>
          <w:b w:val="1"/>
          <w:bCs w:val="1"/>
          <w:color w:val="16479F"/>
        </w:rPr>
        <w:t>Offer Letters</w:t>
      </w:r>
    </w:p>
    <w:p>
      <w:pPr>
        <w:spacing w:after="0" w:line="248" w:lineRule="exact"/>
        <w:rPr>
          <w:sz w:val="20"/>
          <w:szCs w:val="20"/>
          <w:color w:val="auto"/>
        </w:rPr>
      </w:pPr>
    </w:p>
    <w:p>
      <w:pPr>
        <w:jc w:val="both"/>
        <w:ind w:right="360"/>
        <w:spacing w:after="0" w:line="250" w:lineRule="auto"/>
        <w:rPr>
          <w:sz w:val="20"/>
          <w:szCs w:val="20"/>
          <w:color w:val="auto"/>
        </w:rPr>
      </w:pPr>
      <w:r>
        <w:rPr>
          <w:rFonts w:ascii="Arial" w:cs="Arial" w:eastAsia="Arial" w:hAnsi="Arial"/>
          <w:sz w:val="16"/>
          <w:szCs w:val="16"/>
          <w:color w:val="auto"/>
        </w:rPr>
        <w:t>For information regarding certain amounts payable to each of Messrs. Wiechmann and Pettit in connection with an involuntary termination of employment other than for cause pursuant to the terms of their offer letter or employment letter, respectively, please see “Employment Agreements” on page 82 of this Proxy Statement.</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b w:val="1"/>
          <w:bCs w:val="1"/>
          <w:color w:val="16479F"/>
        </w:rPr>
        <w:t>Equity Acceleration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descriptions of equity acceleration provisions below apply to the applicable outstanding equity awards as of December 31, 2021.</w:t>
      </w:r>
    </w:p>
    <w:p>
      <w:pPr>
        <w:spacing w:after="0" w:line="193" w:lineRule="exact"/>
        <w:rPr>
          <w:sz w:val="20"/>
          <w:szCs w:val="20"/>
          <w:color w:val="auto"/>
        </w:rPr>
      </w:pPr>
    </w:p>
    <w:p>
      <w:pPr>
        <w:ind w:right="420"/>
        <w:spacing w:after="0" w:line="265" w:lineRule="auto"/>
        <w:rPr>
          <w:sz w:val="20"/>
          <w:szCs w:val="20"/>
          <w:color w:val="auto"/>
        </w:rPr>
      </w:pPr>
      <w:r>
        <w:rPr>
          <w:rFonts w:ascii="Arial" w:cs="Arial" w:eastAsia="Arial" w:hAnsi="Arial"/>
          <w:sz w:val="18"/>
          <w:szCs w:val="18"/>
          <w:b w:val="1"/>
          <w:bCs w:val="1"/>
          <w:color w:val="auto"/>
        </w:rPr>
        <w:t>TERMINATIONS OTHER THAN DUE TO DEATH, DISABILITY, INVOLUNTARY TERMINATION WITHOUT CAUSE, GOVERNMENTAL SERVICE OR RETIREMENT</w:t>
      </w:r>
    </w:p>
    <w:p>
      <w:pPr>
        <w:spacing w:after="0" w:line="184" w:lineRule="exact"/>
        <w:rPr>
          <w:sz w:val="20"/>
          <w:szCs w:val="20"/>
          <w:color w:val="auto"/>
        </w:rPr>
      </w:pPr>
    </w:p>
    <w:p>
      <w:pPr>
        <w:ind w:right="380"/>
        <w:spacing w:after="0" w:line="250" w:lineRule="auto"/>
        <w:rPr>
          <w:sz w:val="20"/>
          <w:szCs w:val="20"/>
          <w:color w:val="auto"/>
        </w:rPr>
      </w:pPr>
      <w:r>
        <w:rPr>
          <w:rFonts w:ascii="Arial" w:cs="Arial" w:eastAsia="Arial" w:hAnsi="Arial"/>
          <w:sz w:val="16"/>
          <w:szCs w:val="16"/>
          <w:color w:val="auto"/>
        </w:rPr>
        <w:t>Upon termination of an NEO’s employment for any reason other than due to death, disability, involuntary termination without cause, certain governmental service or retirement (as such terms are defined in the applicable award agreement), his or her unvested RSUs and PSUs will generally be cancelled immediately. Equity awards granted to NEOs who are eligible for retirement treatment are cancelled following a termination for cause.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DEATH OR DISABILITY</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Upon termination of an NEO’s employment due to death or “disability” (as defined in the applicable award agreement):</w:t>
      </w:r>
    </w:p>
    <w:p>
      <w:pPr>
        <w:spacing w:after="0" w:line="202" w:lineRule="exact"/>
        <w:rPr>
          <w:sz w:val="20"/>
          <w:szCs w:val="20"/>
          <w:color w:val="auto"/>
        </w:rPr>
      </w:pPr>
    </w:p>
    <w:p>
      <w:pPr>
        <w:ind w:left="240" w:hanging="233"/>
        <w:spacing w:after="0"/>
        <w:tabs>
          <w:tab w:leader="none" w:pos="240" w:val="left"/>
        </w:tabs>
        <w:numPr>
          <w:ilvl w:val="0"/>
          <w:numId w:val="139"/>
        </w:numPr>
        <w:rPr>
          <w:rFonts w:ascii="Arial" w:cs="Arial" w:eastAsia="Arial" w:hAnsi="Arial"/>
          <w:sz w:val="16"/>
          <w:szCs w:val="16"/>
          <w:color w:val="16479F"/>
        </w:rPr>
      </w:pPr>
      <w:r>
        <w:rPr>
          <w:rFonts w:ascii="Arial" w:cs="Arial" w:eastAsia="Arial" w:hAnsi="Arial"/>
          <w:sz w:val="16"/>
          <w:szCs w:val="16"/>
          <w:i w:val="1"/>
          <w:iCs w:val="1"/>
          <w:color w:val="auto"/>
        </w:rPr>
        <w:t>RSUs</w:t>
      </w:r>
      <w:r>
        <w:rPr>
          <w:rFonts w:ascii="Arial" w:cs="Arial" w:eastAsia="Arial" w:hAnsi="Arial"/>
          <w:sz w:val="16"/>
          <w:szCs w:val="16"/>
          <w:color w:val="auto"/>
        </w:rPr>
        <w:t>. RSUs will vest and convert into shares within 30 days of the termination date.</w:t>
      </w:r>
    </w:p>
    <w:p>
      <w:pPr>
        <w:spacing w:after="0" w:line="83" w:lineRule="exact"/>
        <w:rPr>
          <w:rFonts w:ascii="Arial" w:cs="Arial" w:eastAsia="Arial" w:hAnsi="Arial"/>
          <w:sz w:val="16"/>
          <w:szCs w:val="16"/>
          <w:color w:val="16479F"/>
        </w:rPr>
      </w:pPr>
    </w:p>
    <w:p>
      <w:pPr>
        <w:ind w:left="240" w:right="180" w:hanging="233"/>
        <w:spacing w:after="0" w:line="277" w:lineRule="auto"/>
        <w:tabs>
          <w:tab w:leader="none" w:pos="240" w:val="left"/>
        </w:tabs>
        <w:numPr>
          <w:ilvl w:val="0"/>
          <w:numId w:val="139"/>
        </w:numPr>
        <w:rPr>
          <w:rFonts w:ascii="Arial" w:cs="Arial" w:eastAsia="Arial" w:hAnsi="Arial"/>
          <w:sz w:val="16"/>
          <w:szCs w:val="16"/>
          <w:color w:val="16479F"/>
        </w:rPr>
      </w:pPr>
      <w:r>
        <w:rPr>
          <w:rFonts w:ascii="Arial" w:cs="Arial" w:eastAsia="Arial" w:hAnsi="Arial"/>
          <w:sz w:val="16"/>
          <w:szCs w:val="16"/>
          <w:i w:val="1"/>
          <w:iCs w:val="1"/>
          <w:color w:val="auto"/>
        </w:rPr>
        <w:t>2019-2021 PSUs</w:t>
      </w:r>
      <w:r>
        <w:rPr>
          <w:rFonts w:ascii="Arial" w:cs="Arial" w:eastAsia="Arial" w:hAnsi="Arial"/>
          <w:sz w:val="16"/>
          <w:szCs w:val="16"/>
          <w:color w:val="auto"/>
        </w:rPr>
        <w:t>. PSUs will vest and convert into shares on the adjustment date, subject to adjustment based on actual performance through the end of</w:t>
      </w:r>
      <w:r>
        <w:rPr>
          <w:rFonts w:ascii="Arial" w:cs="Arial" w:eastAsia="Arial" w:hAnsi="Arial"/>
          <w:sz w:val="16"/>
          <w:szCs w:val="16"/>
          <w:i w:val="1"/>
          <w:iCs w:val="1"/>
          <w:color w:val="auto"/>
        </w:rPr>
        <w:t xml:space="preserve"> </w:t>
      </w:r>
      <w:r>
        <w:rPr>
          <w:rFonts w:ascii="Arial" w:cs="Arial" w:eastAsia="Arial" w:hAnsi="Arial"/>
          <w:sz w:val="16"/>
          <w:szCs w:val="16"/>
          <w:color w:val="auto"/>
        </w:rPr>
        <w:t>the performance period.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INVOLUNTARY TERMINATION</w:t>
      </w:r>
    </w:p>
    <w:p>
      <w:pPr>
        <w:spacing w:after="0" w:line="233"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If the Company terminates an NEO’s employment without “cause” (as defined in the applicable award agreement) and he or she signs and does not revoke an agreement and release of claims satisfactory to the Company within 60 days of the termination date:</w:t>
      </w:r>
    </w:p>
    <w:p>
      <w:pPr>
        <w:spacing w:after="0" w:line="181" w:lineRule="exact"/>
        <w:rPr>
          <w:sz w:val="20"/>
          <w:szCs w:val="20"/>
          <w:color w:val="auto"/>
        </w:rPr>
      </w:pPr>
    </w:p>
    <w:p>
      <w:pPr>
        <w:ind w:left="240" w:right="400" w:hanging="233"/>
        <w:spacing w:after="0" w:line="252" w:lineRule="auto"/>
        <w:tabs>
          <w:tab w:leader="none" w:pos="240" w:val="left"/>
        </w:tabs>
        <w:numPr>
          <w:ilvl w:val="0"/>
          <w:numId w:val="140"/>
        </w:numPr>
        <w:rPr>
          <w:rFonts w:ascii="Arial" w:cs="Arial" w:eastAsia="Arial" w:hAnsi="Arial"/>
          <w:sz w:val="16"/>
          <w:szCs w:val="16"/>
          <w:color w:val="16479F"/>
        </w:rPr>
      </w:pPr>
      <w:r>
        <w:rPr>
          <w:rFonts w:ascii="Arial" w:cs="Arial" w:eastAsia="Arial" w:hAnsi="Arial"/>
          <w:sz w:val="16"/>
          <w:szCs w:val="16"/>
          <w:i w:val="1"/>
          <w:iCs w:val="1"/>
          <w:color w:val="auto"/>
        </w:rPr>
        <w:t>2019 RSUs</w:t>
      </w:r>
      <w:r>
        <w:rPr>
          <w:rFonts w:ascii="Arial" w:cs="Arial" w:eastAsia="Arial" w:hAnsi="Arial"/>
          <w:sz w:val="16"/>
          <w:szCs w:val="16"/>
          <w:color w:val="auto"/>
        </w:rPr>
        <w:t>. If the NEO is not eligible for retirement treatment as of the termination date, RSUs will vest and convert into shares within 60 days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termination date. If the NEO is eligible for retirement treatment, RSUs will vest and convert into shares at any time, determined in the discretion of the Compensation Committee, during the period commencing on January 1 of the year following the year of termination and ending on the one-year anniversary of the termination date (or, 15 days following the expiration of any non-compete the NEO is subject to, if earlier), but in no event before January 1 of the year following the year of termination.</w:t>
      </w:r>
    </w:p>
    <w:p>
      <w:pPr>
        <w:spacing w:after="0" w:line="51" w:lineRule="exact"/>
        <w:rPr>
          <w:rFonts w:ascii="Arial" w:cs="Arial" w:eastAsia="Arial" w:hAnsi="Arial"/>
          <w:sz w:val="16"/>
          <w:szCs w:val="16"/>
          <w:color w:val="16479F"/>
        </w:rPr>
      </w:pPr>
    </w:p>
    <w:p>
      <w:pPr>
        <w:ind w:left="240" w:right="120" w:hanging="233"/>
        <w:spacing w:after="0" w:line="252" w:lineRule="auto"/>
        <w:tabs>
          <w:tab w:leader="none" w:pos="240" w:val="left"/>
        </w:tabs>
        <w:numPr>
          <w:ilvl w:val="0"/>
          <w:numId w:val="140"/>
        </w:numPr>
        <w:rPr>
          <w:rFonts w:ascii="Arial" w:cs="Arial" w:eastAsia="Arial" w:hAnsi="Arial"/>
          <w:sz w:val="16"/>
          <w:szCs w:val="16"/>
          <w:color w:val="16479F"/>
        </w:rPr>
      </w:pPr>
      <w:r>
        <w:rPr>
          <w:rFonts w:ascii="Arial" w:cs="Arial" w:eastAsia="Arial" w:hAnsi="Arial"/>
          <w:sz w:val="16"/>
          <w:szCs w:val="16"/>
          <w:i w:val="1"/>
          <w:iCs w:val="1"/>
          <w:color w:val="auto"/>
        </w:rPr>
        <w:t>2020-2021 RSUs</w:t>
      </w:r>
      <w:r>
        <w:rPr>
          <w:rFonts w:ascii="Arial" w:cs="Arial" w:eastAsia="Arial" w:hAnsi="Arial"/>
          <w:sz w:val="16"/>
          <w:szCs w:val="16"/>
          <w:color w:val="auto"/>
        </w:rPr>
        <w:t>. A prorated portion of the RSUs will vest and convert to shares on the next regularly scheduled vesting date equal to the product of (i)</w:t>
      </w:r>
      <w:r>
        <w:rPr>
          <w:rFonts w:ascii="Arial" w:cs="Arial" w:eastAsia="Arial" w:hAnsi="Arial"/>
          <w:sz w:val="16"/>
          <w:szCs w:val="16"/>
          <w:i w:val="1"/>
          <w:iCs w:val="1"/>
          <w:color w:val="auto"/>
        </w:rPr>
        <w:t xml:space="preserve"> </w:t>
      </w:r>
      <w:r>
        <w:rPr>
          <w:rFonts w:ascii="Arial" w:cs="Arial" w:eastAsia="Arial" w:hAnsi="Arial"/>
          <w:sz w:val="16"/>
          <w:szCs w:val="16"/>
          <w:color w:val="auto"/>
        </w:rPr>
        <w:t>one-third of the total number of RSUs granted pursuant to the award multiplied by (ii) a fraction, (A) the numerator of which is the total number of months the NEO was employed by the Company during the applicable 12-month vesting period (rounded up to the next whole month) and (B) the denominator of which is 12 months. However, for NEOs who have achieved “62/10 Retirement Eligibility” (as defined in the applicable award agreement), the RSUs will fully vest on the date of termination and will convert to shares on the original payment schedule.</w:t>
      </w:r>
    </w:p>
    <w:p>
      <w:pPr>
        <w:spacing w:after="0" w:line="51" w:lineRule="exact"/>
        <w:rPr>
          <w:rFonts w:ascii="Arial" w:cs="Arial" w:eastAsia="Arial" w:hAnsi="Arial"/>
          <w:sz w:val="16"/>
          <w:szCs w:val="16"/>
          <w:color w:val="16479F"/>
        </w:rPr>
      </w:pPr>
    </w:p>
    <w:p>
      <w:pPr>
        <w:ind w:left="240" w:right="40" w:hanging="233"/>
        <w:spacing w:after="0" w:line="277" w:lineRule="auto"/>
        <w:tabs>
          <w:tab w:leader="none" w:pos="240" w:val="left"/>
        </w:tabs>
        <w:numPr>
          <w:ilvl w:val="0"/>
          <w:numId w:val="140"/>
        </w:numPr>
        <w:rPr>
          <w:rFonts w:ascii="Arial" w:cs="Arial" w:eastAsia="Arial" w:hAnsi="Arial"/>
          <w:sz w:val="16"/>
          <w:szCs w:val="16"/>
          <w:color w:val="16479F"/>
        </w:rPr>
      </w:pPr>
      <w:r>
        <w:rPr>
          <w:rFonts w:ascii="Arial" w:cs="Arial" w:eastAsia="Arial" w:hAnsi="Arial"/>
          <w:sz w:val="16"/>
          <w:szCs w:val="16"/>
          <w:i w:val="1"/>
          <w:iCs w:val="1"/>
          <w:color w:val="auto"/>
        </w:rPr>
        <w:t>2019 PSUs</w:t>
      </w:r>
      <w:r>
        <w:rPr>
          <w:rFonts w:ascii="Arial" w:cs="Arial" w:eastAsia="Arial" w:hAnsi="Arial"/>
          <w:sz w:val="16"/>
          <w:szCs w:val="16"/>
          <w:color w:val="auto"/>
        </w:rPr>
        <w:t>. PSUs will service-vest and convert into shares on the adjustment date, subject to adjustment based on actual performance through the end of</w:t>
      </w:r>
      <w:r>
        <w:rPr>
          <w:rFonts w:ascii="Arial" w:cs="Arial" w:eastAsia="Arial" w:hAnsi="Arial"/>
          <w:sz w:val="16"/>
          <w:szCs w:val="16"/>
          <w:i w:val="1"/>
          <w:iCs w:val="1"/>
          <w:color w:val="auto"/>
        </w:rPr>
        <w:t xml:space="preserve"> </w:t>
      </w:r>
      <w:r>
        <w:rPr>
          <w:rFonts w:ascii="Arial" w:cs="Arial" w:eastAsia="Arial" w:hAnsi="Arial"/>
          <w:sz w:val="16"/>
          <w:szCs w:val="16"/>
          <w:color w:val="auto"/>
        </w:rPr>
        <w:t>the performance period.</w:t>
      </w:r>
    </w:p>
    <w:p>
      <w:pPr>
        <w:spacing w:after="0" w:line="30" w:lineRule="exact"/>
        <w:rPr>
          <w:rFonts w:ascii="Arial" w:cs="Arial" w:eastAsia="Arial" w:hAnsi="Arial"/>
          <w:sz w:val="16"/>
          <w:szCs w:val="16"/>
          <w:color w:val="16479F"/>
        </w:rPr>
      </w:pPr>
    </w:p>
    <w:p>
      <w:pPr>
        <w:ind w:left="240" w:hanging="233"/>
        <w:spacing w:after="0"/>
        <w:tabs>
          <w:tab w:leader="none" w:pos="240" w:val="left"/>
        </w:tabs>
        <w:numPr>
          <w:ilvl w:val="0"/>
          <w:numId w:val="140"/>
        </w:numPr>
        <w:rPr>
          <w:rFonts w:ascii="Arial" w:cs="Arial" w:eastAsia="Arial" w:hAnsi="Arial"/>
          <w:sz w:val="16"/>
          <w:szCs w:val="16"/>
          <w:color w:val="16479F"/>
        </w:rPr>
      </w:pPr>
      <w:r>
        <w:rPr>
          <w:rFonts w:ascii="Arial" w:cs="Arial" w:eastAsia="Arial" w:hAnsi="Arial"/>
          <w:sz w:val="16"/>
          <w:szCs w:val="16"/>
          <w:i w:val="1"/>
          <w:iCs w:val="1"/>
          <w:color w:val="auto"/>
        </w:rPr>
        <w:t>2020-2021 3-Year PSUs</w:t>
      </w:r>
      <w:r>
        <w:rPr>
          <w:rFonts w:ascii="Arial" w:cs="Arial" w:eastAsia="Arial" w:hAnsi="Arial"/>
          <w:sz w:val="16"/>
          <w:szCs w:val="16"/>
          <w:color w:val="auto"/>
        </w:rPr>
        <w:t>. A prorated portion of the target number of PSUs will vest and convert into shares on the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76835</wp:posOffset>
            </wp:positionV>
            <wp:extent cx="7154545" cy="209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00" w:type="dxa"/>
            <w:vAlign w:val="bottom"/>
            <w:tcBorders>
              <w:right w:val="single" w:sz="8" w:color="16479F"/>
            </w:tcBorders>
          </w:tcPr>
          <w:p>
            <w:pPr>
              <w:ind w:left="8740"/>
              <w:spacing w:after="0"/>
              <w:rPr>
                <w:sz w:val="20"/>
                <w:szCs w:val="20"/>
                <w:color w:val="auto"/>
              </w:rPr>
            </w:pPr>
            <w:r>
              <w:rPr>
                <w:rFonts w:ascii="Arial" w:cs="Arial" w:eastAsia="Arial" w:hAnsi="Arial"/>
                <w:sz w:val="14"/>
                <w:szCs w:val="14"/>
                <w:b w:val="1"/>
                <w:bCs w:val="1"/>
                <w:color w:val="16479F"/>
              </w:rPr>
              <w:t>2022 PROXY STATEMENT</w:t>
            </w:r>
          </w:p>
        </w:tc>
        <w:tc>
          <w:tcPr>
            <w:tcW w:w="640" w:type="dxa"/>
            <w:vAlign w:val="bottom"/>
          </w:tcPr>
          <w:p>
            <w:pPr>
              <w:jc w:val="right"/>
              <w:ind w:right="9"/>
              <w:spacing w:after="0"/>
              <w:rPr>
                <w:sz w:val="20"/>
                <w:szCs w:val="20"/>
                <w:color w:val="auto"/>
              </w:rPr>
            </w:pPr>
            <w:r>
              <w:rPr>
                <w:rFonts w:ascii="Arial" w:cs="Arial" w:eastAsia="Arial" w:hAnsi="Arial"/>
                <w:sz w:val="14"/>
                <w:szCs w:val="14"/>
                <w:b w:val="1"/>
                <w:bCs w:val="1"/>
                <w:color w:val="16479F"/>
              </w:rPr>
              <w:t>93</w:t>
            </w:r>
          </w:p>
        </w:tc>
      </w:tr>
      <w:tr>
        <w:trPr>
          <w:trHeight w:val="65"/>
        </w:trPr>
        <w:tc>
          <w:tcPr>
            <w:tcW w:w="10600" w:type="dxa"/>
            <w:vAlign w:val="bottom"/>
            <w:tcBorders>
              <w:bottom w:val="single" w:sz="8" w:color="16479F"/>
              <w:right w:val="single" w:sz="8" w:color="16479F"/>
            </w:tcBorders>
          </w:tcPr>
          <w:p>
            <w:pPr>
              <w:spacing w:after="0"/>
              <w:rPr>
                <w:sz w:val="5"/>
                <w:szCs w:val="5"/>
                <w:color w:val="auto"/>
              </w:rPr>
            </w:pPr>
          </w:p>
        </w:tc>
        <w:tc>
          <w:tcPr>
            <w:tcW w:w="640" w:type="dxa"/>
            <w:vAlign w:val="bottom"/>
            <w:tcBorders>
              <w:bottom w:val="single" w:sz="8" w:color="16479F"/>
            </w:tcBorders>
          </w:tcPr>
          <w:p>
            <w:pPr>
              <w:spacing w:after="0"/>
              <w:rPr>
                <w:sz w:val="5"/>
                <w:szCs w:val="5"/>
                <w:color w:val="auto"/>
              </w:rPr>
            </w:pPr>
          </w:p>
        </w:tc>
      </w:tr>
    </w:tbl>
    <w:p>
      <w:pPr>
        <w:spacing w:after="0" w:line="55" w:lineRule="exact"/>
        <w:rPr>
          <w:sz w:val="20"/>
          <w:szCs w:val="20"/>
          <w:color w:val="auto"/>
        </w:rPr>
      </w:pPr>
    </w:p>
    <w:p>
      <w:pPr>
        <w:ind w:left="240" w:right="260"/>
        <w:spacing w:after="0" w:line="247" w:lineRule="auto"/>
        <w:rPr>
          <w:sz w:val="20"/>
          <w:szCs w:val="20"/>
          <w:color w:val="auto"/>
        </w:rPr>
      </w:pPr>
      <w:r>
        <w:rPr>
          <w:rFonts w:ascii="Arial" w:cs="Arial" w:eastAsia="Arial" w:hAnsi="Arial"/>
          <w:sz w:val="16"/>
          <w:szCs w:val="16"/>
          <w:color w:val="auto"/>
        </w:rPr>
        <w:t>date equal to the product of (i) the target number of PSUs multiplied by (ii) a fraction, (A) the numerator of which is the total number of months the NEO was employed by the Company during the 3-year performance period (rounded up to the next whole month), and (B) the denominator of which is 36 months, subject to adjustment based on actual performance through the end of the performance period. However, for NEOs who have achieved “62/10 Retirement Eligibility,” all of the target PSUs (i.e., not prorated) will vest and convert into shares on the adjustment date, subject to adjustment based on actual performance through the end of the performance period.</w:t>
      </w:r>
    </w:p>
    <w:p>
      <w:pPr>
        <w:spacing w:after="0" w:line="55" w:lineRule="exact"/>
        <w:rPr>
          <w:sz w:val="20"/>
          <w:szCs w:val="20"/>
          <w:color w:val="auto"/>
        </w:rPr>
      </w:pPr>
    </w:p>
    <w:p>
      <w:pPr>
        <w:ind w:left="240" w:right="60" w:hanging="233"/>
        <w:spacing w:after="0" w:line="250" w:lineRule="auto"/>
        <w:tabs>
          <w:tab w:leader="none" w:pos="240" w:val="left"/>
        </w:tabs>
        <w:numPr>
          <w:ilvl w:val="0"/>
          <w:numId w:val="141"/>
        </w:numPr>
        <w:rPr>
          <w:rFonts w:ascii="Arial" w:cs="Arial" w:eastAsia="Arial" w:hAnsi="Arial"/>
          <w:sz w:val="16"/>
          <w:szCs w:val="16"/>
          <w:color w:val="16479F"/>
        </w:rPr>
      </w:pPr>
      <w:r>
        <w:rPr>
          <w:rFonts w:ascii="Arial" w:cs="Arial" w:eastAsia="Arial" w:hAnsi="Arial"/>
          <w:sz w:val="16"/>
          <w:szCs w:val="16"/>
          <w:i w:val="1"/>
          <w:iCs w:val="1"/>
          <w:color w:val="auto"/>
        </w:rPr>
        <w:t>2020-2021 5-Year PSUs</w:t>
      </w:r>
      <w:r>
        <w:rPr>
          <w:rFonts w:ascii="Arial" w:cs="Arial" w:eastAsia="Arial" w:hAnsi="Arial"/>
          <w:sz w:val="16"/>
          <w:szCs w:val="16"/>
          <w:color w:val="auto"/>
        </w:rPr>
        <w:t>. If the termination of employment occurs prior to the second anniversary of the grant date, the PSUs will be forfeited in their</w:t>
      </w:r>
      <w:r>
        <w:rPr>
          <w:rFonts w:ascii="Arial" w:cs="Arial" w:eastAsia="Arial" w:hAnsi="Arial"/>
          <w:sz w:val="16"/>
          <w:szCs w:val="16"/>
          <w:i w:val="1"/>
          <w:iCs w:val="1"/>
          <w:color w:val="auto"/>
        </w:rPr>
        <w:t xml:space="preserve"> </w:t>
      </w:r>
      <w:r>
        <w:rPr>
          <w:rFonts w:ascii="Arial" w:cs="Arial" w:eastAsia="Arial" w:hAnsi="Arial"/>
          <w:sz w:val="16"/>
          <w:szCs w:val="16"/>
          <w:color w:val="auto"/>
        </w:rPr>
        <w:t>entirety. Following the second anniversary of the grant date, a prorated portion of the target number of PSUs will vest and convert into shares on the adjustment date equal to the product of (i) the target number of PSUs multiplied by (ii) a fraction, (A) the numerator of which is the total number of months the NEO was employed by the Company during the 5-year performance period (rounded up to the next whole month), and (B) the denominator of which is 60 months, subject to adjustment based on actual performance through the end of the performance period. However, for NEOs who have achieved “62/10 Retirement Eligibility,” all of the target PSUs (i.e., not prorated) will vest and convert into shares on the adjustment date, subject to adjustment based on actual performance through the end of the performance period.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SERVICE</w:t>
      </w:r>
    </w:p>
    <w:p>
      <w:pPr>
        <w:spacing w:after="0" w:line="233"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Upon termination of an NEO’s employment as a result of commencing certain employment with a governmental employer (as defined in the applicable award agreement):</w:t>
      </w:r>
    </w:p>
    <w:p>
      <w:pPr>
        <w:spacing w:after="0" w:line="181" w:lineRule="exact"/>
        <w:rPr>
          <w:sz w:val="20"/>
          <w:szCs w:val="20"/>
          <w:color w:val="auto"/>
        </w:rPr>
      </w:pPr>
    </w:p>
    <w:p>
      <w:pPr>
        <w:ind w:left="240" w:hanging="233"/>
        <w:spacing w:after="0"/>
        <w:tabs>
          <w:tab w:leader="none" w:pos="240" w:val="left"/>
        </w:tabs>
        <w:numPr>
          <w:ilvl w:val="0"/>
          <w:numId w:val="142"/>
        </w:numPr>
        <w:rPr>
          <w:rFonts w:ascii="Arial" w:cs="Arial" w:eastAsia="Arial" w:hAnsi="Arial"/>
          <w:sz w:val="16"/>
          <w:szCs w:val="16"/>
          <w:color w:val="16479F"/>
        </w:rPr>
      </w:pPr>
      <w:r>
        <w:rPr>
          <w:rFonts w:ascii="Arial" w:cs="Arial" w:eastAsia="Arial" w:hAnsi="Arial"/>
          <w:sz w:val="16"/>
          <w:szCs w:val="16"/>
          <w:i w:val="1"/>
          <w:iCs w:val="1"/>
          <w:color w:val="auto"/>
        </w:rPr>
        <w:t>2019 RSUs</w:t>
      </w:r>
      <w:r>
        <w:rPr>
          <w:rFonts w:ascii="Arial" w:cs="Arial" w:eastAsia="Arial" w:hAnsi="Arial"/>
          <w:sz w:val="16"/>
          <w:szCs w:val="16"/>
          <w:color w:val="auto"/>
        </w:rPr>
        <w:t>. The RSUs will vest and convert into shares on the termination date or within 60 days thereafter.</w:t>
      </w:r>
    </w:p>
    <w:p>
      <w:pPr>
        <w:spacing w:after="0" w:line="83" w:lineRule="exact"/>
        <w:rPr>
          <w:rFonts w:ascii="Arial" w:cs="Arial" w:eastAsia="Arial" w:hAnsi="Arial"/>
          <w:sz w:val="16"/>
          <w:szCs w:val="16"/>
          <w:color w:val="16479F"/>
        </w:rPr>
      </w:pPr>
    </w:p>
    <w:p>
      <w:pPr>
        <w:ind w:left="240" w:right="20" w:hanging="233"/>
        <w:spacing w:after="0" w:line="252" w:lineRule="auto"/>
        <w:tabs>
          <w:tab w:leader="none" w:pos="240" w:val="left"/>
        </w:tabs>
        <w:numPr>
          <w:ilvl w:val="0"/>
          <w:numId w:val="142"/>
        </w:numPr>
        <w:rPr>
          <w:rFonts w:ascii="Arial" w:cs="Arial" w:eastAsia="Arial" w:hAnsi="Arial"/>
          <w:sz w:val="16"/>
          <w:szCs w:val="16"/>
          <w:color w:val="16479F"/>
        </w:rPr>
      </w:pPr>
      <w:r>
        <w:rPr>
          <w:rFonts w:ascii="Arial" w:cs="Arial" w:eastAsia="Arial" w:hAnsi="Arial"/>
          <w:sz w:val="16"/>
          <w:szCs w:val="16"/>
          <w:i w:val="1"/>
          <w:iCs w:val="1"/>
          <w:color w:val="auto"/>
        </w:rPr>
        <w:t>2019 PSUs</w:t>
      </w:r>
      <w:r>
        <w:rPr>
          <w:rFonts w:ascii="Arial" w:cs="Arial" w:eastAsia="Arial" w:hAnsi="Arial"/>
          <w:sz w:val="16"/>
          <w:szCs w:val="16"/>
          <w:color w:val="auto"/>
        </w:rPr>
        <w:t>. If such termination occurs prior to the adjustment date, the PSUs will be adjusted within a range based on the expected (or actual, if such</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termination occurs after the end of the performance period) achievement of the performance metrics for the performance period (which will be determined by extrapolating the performance metrics that have been achieved as of the end of the most recent fiscal quarter prior to the date on which the NEO’s employment terminates) and such adjusted PSUs will vest and convert into shares within 60 days following the termination date. If such termination occurs following the adjustment date, the PSUs will fully vest and convert into shares within 60 days of termination.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w:t>
      </w:r>
    </w:p>
    <w:p>
      <w:pPr>
        <w:spacing w:after="0" w:line="233" w:lineRule="exact"/>
        <w:rPr>
          <w:sz w:val="20"/>
          <w:szCs w:val="20"/>
          <w:color w:val="auto"/>
        </w:rPr>
      </w:pPr>
    </w:p>
    <w:p>
      <w:pPr>
        <w:ind w:right="800"/>
        <w:spacing w:after="0" w:line="256" w:lineRule="auto"/>
        <w:rPr>
          <w:sz w:val="20"/>
          <w:szCs w:val="20"/>
          <w:color w:val="auto"/>
        </w:rPr>
      </w:pPr>
      <w:r>
        <w:rPr>
          <w:rFonts w:ascii="Arial" w:cs="Arial" w:eastAsia="Arial" w:hAnsi="Arial"/>
          <w:sz w:val="16"/>
          <w:szCs w:val="16"/>
          <w:color w:val="auto"/>
        </w:rPr>
        <w:t>Upon termination of an NEO’s employment in circumstances that makes him or her eligible for retirement treatment (based on the applicable award agreement):</w:t>
      </w:r>
    </w:p>
    <w:p>
      <w:pPr>
        <w:spacing w:after="0" w:line="181" w:lineRule="exact"/>
        <w:rPr>
          <w:sz w:val="20"/>
          <w:szCs w:val="20"/>
          <w:color w:val="auto"/>
        </w:rPr>
      </w:pPr>
    </w:p>
    <w:p>
      <w:pPr>
        <w:ind w:left="240" w:right="60" w:hanging="233"/>
        <w:spacing w:after="0" w:line="261" w:lineRule="auto"/>
        <w:tabs>
          <w:tab w:leader="none" w:pos="240" w:val="left"/>
        </w:tabs>
        <w:numPr>
          <w:ilvl w:val="0"/>
          <w:numId w:val="143"/>
        </w:numPr>
        <w:rPr>
          <w:rFonts w:ascii="Arial" w:cs="Arial" w:eastAsia="Arial" w:hAnsi="Arial"/>
          <w:sz w:val="16"/>
          <w:szCs w:val="16"/>
          <w:color w:val="16479F"/>
        </w:rPr>
      </w:pPr>
      <w:r>
        <w:rPr>
          <w:rFonts w:ascii="Arial" w:cs="Arial" w:eastAsia="Arial" w:hAnsi="Arial"/>
          <w:sz w:val="16"/>
          <w:szCs w:val="16"/>
          <w:i w:val="1"/>
          <w:iCs w:val="1"/>
          <w:color w:val="auto"/>
        </w:rPr>
        <w:t>2019 RSUs</w:t>
      </w:r>
      <w:r>
        <w:rPr>
          <w:rFonts w:ascii="Arial" w:cs="Arial" w:eastAsia="Arial" w:hAnsi="Arial"/>
          <w:sz w:val="16"/>
          <w:szCs w:val="16"/>
          <w:color w:val="auto"/>
        </w:rPr>
        <w:t>. RSUs will vest and convert into shares at any time, determined in the discretion of the Compensation Committee, during the period</w:t>
      </w:r>
      <w:r>
        <w:rPr>
          <w:rFonts w:ascii="Arial" w:cs="Arial" w:eastAsia="Arial" w:hAnsi="Arial"/>
          <w:sz w:val="16"/>
          <w:szCs w:val="16"/>
          <w:i w:val="1"/>
          <w:iCs w:val="1"/>
          <w:color w:val="auto"/>
        </w:rPr>
        <w:t xml:space="preserve"> </w:t>
      </w:r>
      <w:r>
        <w:rPr>
          <w:rFonts w:ascii="Arial" w:cs="Arial" w:eastAsia="Arial" w:hAnsi="Arial"/>
          <w:sz w:val="16"/>
          <w:szCs w:val="16"/>
          <w:color w:val="auto"/>
        </w:rPr>
        <w:t>commencing on January 1 of the year following the year of termination and ending on the one-year anniversary of the termination date (or, 15 days following the expiration of any non-compete the NEO is subject to, if earlier), but in no event before January 1 of the year following the year of termination.</w:t>
      </w:r>
    </w:p>
    <w:p>
      <w:pPr>
        <w:spacing w:after="0" w:line="42" w:lineRule="exact"/>
        <w:rPr>
          <w:rFonts w:ascii="Arial" w:cs="Arial" w:eastAsia="Arial" w:hAnsi="Arial"/>
          <w:sz w:val="16"/>
          <w:szCs w:val="16"/>
          <w:color w:val="16479F"/>
        </w:rPr>
      </w:pPr>
    </w:p>
    <w:p>
      <w:pPr>
        <w:ind w:left="240" w:right="60" w:hanging="233"/>
        <w:spacing w:after="0" w:line="251" w:lineRule="auto"/>
        <w:tabs>
          <w:tab w:leader="none" w:pos="240" w:val="left"/>
        </w:tabs>
        <w:numPr>
          <w:ilvl w:val="0"/>
          <w:numId w:val="143"/>
        </w:numPr>
        <w:rPr>
          <w:rFonts w:ascii="Arial" w:cs="Arial" w:eastAsia="Arial" w:hAnsi="Arial"/>
          <w:sz w:val="16"/>
          <w:szCs w:val="16"/>
          <w:color w:val="16479F"/>
        </w:rPr>
      </w:pPr>
      <w:r>
        <w:rPr>
          <w:rFonts w:ascii="Arial" w:cs="Arial" w:eastAsia="Arial" w:hAnsi="Arial"/>
          <w:sz w:val="16"/>
          <w:szCs w:val="16"/>
          <w:i w:val="1"/>
          <w:iCs w:val="1"/>
          <w:color w:val="auto"/>
        </w:rPr>
        <w:t>2020-2021 RSUs</w:t>
      </w:r>
      <w:r>
        <w:rPr>
          <w:rFonts w:ascii="Arial" w:cs="Arial" w:eastAsia="Arial" w:hAnsi="Arial"/>
          <w:sz w:val="16"/>
          <w:szCs w:val="16"/>
          <w:color w:val="auto"/>
        </w:rPr>
        <w:t>. For NEOs who have achieved “Legacy Retirement Eligibility” or “55/10 Retirement Eligibility” (as such terms are defined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award agreement) but who have not achieved “62/10 Retirement Eligibility,” a prorated portion of the RSUs will vest and convert to shares on the next regularly scheduled vesting date equal to the product of (i) one-third of the total number of RSUs granted pursuant to the award multiplied by (ii) a fraction, (A) the numerator of which is the total number of months the NEO was employed by the Company during the applicable 12-month vesting period (rounded up to the next whole month) and (B) the denominator of which is 12 months. For NEOs who have achieved “62/10 Retirement Eligibility,” the RSUs will fully vest on the date of termination and will convert to shares on the original payment schedule.</w:t>
      </w:r>
    </w:p>
    <w:p>
      <w:pPr>
        <w:spacing w:after="0" w:line="50" w:lineRule="exact"/>
        <w:rPr>
          <w:rFonts w:ascii="Arial" w:cs="Arial" w:eastAsia="Arial" w:hAnsi="Arial"/>
          <w:sz w:val="16"/>
          <w:szCs w:val="16"/>
          <w:color w:val="16479F"/>
        </w:rPr>
      </w:pPr>
    </w:p>
    <w:p>
      <w:pPr>
        <w:ind w:left="240" w:right="180" w:hanging="233"/>
        <w:spacing w:after="0" w:line="252" w:lineRule="auto"/>
        <w:tabs>
          <w:tab w:leader="none" w:pos="240" w:val="left"/>
        </w:tabs>
        <w:numPr>
          <w:ilvl w:val="0"/>
          <w:numId w:val="143"/>
        </w:numPr>
        <w:rPr>
          <w:rFonts w:ascii="Arial" w:cs="Arial" w:eastAsia="Arial" w:hAnsi="Arial"/>
          <w:sz w:val="16"/>
          <w:szCs w:val="16"/>
          <w:color w:val="16479F"/>
        </w:rPr>
      </w:pPr>
      <w:r>
        <w:rPr>
          <w:rFonts w:ascii="Arial" w:cs="Arial" w:eastAsia="Arial" w:hAnsi="Arial"/>
          <w:sz w:val="16"/>
          <w:szCs w:val="16"/>
          <w:i w:val="1"/>
          <w:iCs w:val="1"/>
          <w:color w:val="auto"/>
        </w:rPr>
        <w:t>2019 PSUs</w:t>
      </w:r>
      <w:r>
        <w:rPr>
          <w:rFonts w:ascii="Arial" w:cs="Arial" w:eastAsia="Arial" w:hAnsi="Arial"/>
          <w:sz w:val="16"/>
          <w:szCs w:val="16"/>
          <w:color w:val="auto"/>
        </w:rPr>
        <w:t>. If retirement eligibility occurs prior to or on the vesting date, the PSUs will vest and convert into shares on the adjustment date,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 based on actual performance through the end of the performance period; except that, if on the adjustment date, the NEO is subject to a non-compete restriction, the PSUs will convert, in the discretion of the Compensation Committee, during the period (x) commencing on the adjustment date and (y) ending on December 31, 2022 or December 31, 2023, as applicable. If such termination occurs after the vesting date (but prior to the adjustment date), the adjusted PSUs will convert into shares on December 31, 2022 or December 31, 2023, as applicable.</w:t>
      </w:r>
    </w:p>
    <w:p>
      <w:pPr>
        <w:spacing w:after="0" w:line="51" w:lineRule="exact"/>
        <w:rPr>
          <w:rFonts w:ascii="Arial" w:cs="Arial" w:eastAsia="Arial" w:hAnsi="Arial"/>
          <w:sz w:val="16"/>
          <w:szCs w:val="16"/>
          <w:color w:val="16479F"/>
        </w:rPr>
      </w:pPr>
    </w:p>
    <w:p>
      <w:pPr>
        <w:ind w:left="240" w:right="40" w:hanging="233"/>
        <w:spacing w:after="0" w:line="261" w:lineRule="auto"/>
        <w:tabs>
          <w:tab w:leader="none" w:pos="240" w:val="left"/>
        </w:tabs>
        <w:numPr>
          <w:ilvl w:val="0"/>
          <w:numId w:val="143"/>
        </w:numPr>
        <w:rPr>
          <w:rFonts w:ascii="Arial" w:cs="Arial" w:eastAsia="Arial" w:hAnsi="Arial"/>
          <w:sz w:val="16"/>
          <w:szCs w:val="16"/>
          <w:color w:val="16479F"/>
        </w:rPr>
      </w:pPr>
      <w:r>
        <w:rPr>
          <w:rFonts w:ascii="Arial" w:cs="Arial" w:eastAsia="Arial" w:hAnsi="Arial"/>
          <w:sz w:val="16"/>
          <w:szCs w:val="16"/>
          <w:i w:val="1"/>
          <w:iCs w:val="1"/>
          <w:color w:val="auto"/>
        </w:rPr>
        <w:t>2020-2021 PSUs</w:t>
      </w:r>
      <w:r>
        <w:rPr>
          <w:rFonts w:ascii="Arial" w:cs="Arial" w:eastAsia="Arial" w:hAnsi="Arial"/>
          <w:sz w:val="16"/>
          <w:szCs w:val="16"/>
          <w:color w:val="auto"/>
        </w:rPr>
        <w:t>. For NEOs who have achieved “Legacy Retirement Eligibility” or “55/10 Retirement Eligibility” but who have not achieved “62/10</w:t>
      </w:r>
      <w:r>
        <w:rPr>
          <w:rFonts w:ascii="Arial" w:cs="Arial" w:eastAsia="Arial" w:hAnsi="Arial"/>
          <w:sz w:val="16"/>
          <w:szCs w:val="16"/>
          <w:i w:val="1"/>
          <w:iCs w:val="1"/>
          <w:color w:val="auto"/>
        </w:rPr>
        <w:t xml:space="preserve"> </w:t>
      </w:r>
      <w:r>
        <w:rPr>
          <w:rFonts w:ascii="Arial" w:cs="Arial" w:eastAsia="Arial" w:hAnsi="Arial"/>
          <w:sz w:val="16"/>
          <w:szCs w:val="16"/>
          <w:color w:val="auto"/>
        </w:rPr>
        <w:t>Retirement Eligibility,” a prorated portion of the target number of PSUs will vest and convert to shares on the adjustment date equal to the product of (i) the target number of PSUs multiplied by (ii) a fraction, (A) the 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50800</wp:posOffset>
            </wp:positionV>
            <wp:extent cx="7154545" cy="209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149860</wp:posOffset>
            </wp:positionV>
            <wp:extent cx="7133590" cy="21272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3590" cy="212725"/>
                    </a:xfrm>
                    <a:prstGeom prst="rect">
                      <a:avLst/>
                    </a:prstGeom>
                    <a:noFill/>
                  </pic:spPr>
                </pic:pic>
              </a:graphicData>
            </a:graphic>
          </wp:anchor>
        </w:drawing>
      </w:r>
    </w:p>
    <w:p>
      <w:pPr>
        <w:spacing w:after="0" w:line="283"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4"/>
          <w:szCs w:val="14"/>
          <w:b w:val="1"/>
          <w:bCs w:val="1"/>
          <w:color w:val="16479F"/>
        </w:rPr>
        <w:t>94</w:t>
      </w:r>
      <w:r>
        <w:rPr>
          <w:sz w:val="20"/>
          <w:szCs w:val="20"/>
          <w:color w:val="auto"/>
        </w:rPr>
        <w:tab/>
      </w:r>
      <w:r>
        <w:rPr>
          <w:rFonts w:ascii="Arial" w:cs="Arial" w:eastAsia="Arial" w:hAnsi="Arial"/>
          <w:sz w:val="14"/>
          <w:szCs w:val="14"/>
          <w:b w:val="1"/>
          <w:bCs w:val="1"/>
          <w:color w:val="16479F"/>
        </w:rPr>
        <w:t>MSCI  |  COMPENSATION MATTERS</w:t>
      </w:r>
    </w:p>
    <w:p>
      <w:pPr>
        <w:spacing w:after="0" w:line="135" w:lineRule="exact"/>
        <w:rPr>
          <w:sz w:val="20"/>
          <w:szCs w:val="20"/>
          <w:color w:val="auto"/>
        </w:rPr>
      </w:pPr>
    </w:p>
    <w:p>
      <w:pPr>
        <w:ind w:left="200" w:right="20"/>
        <w:spacing w:after="0" w:line="248" w:lineRule="auto"/>
        <w:rPr>
          <w:sz w:val="20"/>
          <w:szCs w:val="20"/>
          <w:color w:val="auto"/>
        </w:rPr>
      </w:pPr>
      <w:r>
        <w:rPr>
          <w:rFonts w:ascii="Arial" w:cs="Arial" w:eastAsia="Arial" w:hAnsi="Arial"/>
          <w:sz w:val="16"/>
          <w:szCs w:val="16"/>
          <w:color w:val="auto"/>
        </w:rPr>
        <w:t>of which is the total number of months the NEO was employed by the Company during the 3- or 5-year performance period, as applicable (rounded up to the next whole month), and (B) the denominator of which is 36 or 60 months, as applicable, subject to adjustment based on actual performance through the end of the performance period. However, for NEOs who have achieved “62/10 Retirement Eligibility,” all of the target PSUs (i.e., not prorated) will vest and convert into shares on the adjustment date, subject to adjustment based on actual performance through the end of the performance period.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w:t>
      </w:r>
    </w:p>
    <w:p>
      <w:pPr>
        <w:spacing w:after="0" w:line="233" w:lineRule="exact"/>
        <w:rPr>
          <w:sz w:val="20"/>
          <w:szCs w:val="20"/>
          <w:color w:val="auto"/>
        </w:rPr>
      </w:pPr>
    </w:p>
    <w:p>
      <w:pPr>
        <w:ind w:right="440"/>
        <w:spacing w:after="0" w:line="256" w:lineRule="auto"/>
        <w:rPr>
          <w:sz w:val="20"/>
          <w:szCs w:val="20"/>
          <w:color w:val="auto"/>
        </w:rPr>
      </w:pPr>
      <w:r>
        <w:rPr>
          <w:rFonts w:ascii="Arial" w:cs="Arial" w:eastAsia="Arial" w:hAnsi="Arial"/>
          <w:sz w:val="16"/>
          <w:szCs w:val="16"/>
          <w:color w:val="auto"/>
        </w:rPr>
        <w:t>In the event an NEO’s employment is terminated by MSCI without “cause” or by him or her for “good reason,” in each case, within 24 months following a “change in control” (as such terms are defined in the applicable award agreement):</w:t>
      </w:r>
    </w:p>
    <w:p>
      <w:pPr>
        <w:spacing w:after="0" w:line="181" w:lineRule="exact"/>
        <w:rPr>
          <w:sz w:val="20"/>
          <w:szCs w:val="20"/>
          <w:color w:val="auto"/>
        </w:rPr>
      </w:pPr>
    </w:p>
    <w:p>
      <w:pPr>
        <w:ind w:left="240" w:hanging="233"/>
        <w:spacing w:after="0"/>
        <w:tabs>
          <w:tab w:leader="none" w:pos="240" w:val="left"/>
        </w:tabs>
        <w:numPr>
          <w:ilvl w:val="0"/>
          <w:numId w:val="144"/>
        </w:numPr>
        <w:rPr>
          <w:rFonts w:ascii="Arial" w:cs="Arial" w:eastAsia="Arial" w:hAnsi="Arial"/>
          <w:sz w:val="16"/>
          <w:szCs w:val="16"/>
          <w:color w:val="16479F"/>
        </w:rPr>
      </w:pPr>
      <w:r>
        <w:rPr>
          <w:rFonts w:ascii="Arial" w:cs="Arial" w:eastAsia="Arial" w:hAnsi="Arial"/>
          <w:sz w:val="16"/>
          <w:szCs w:val="16"/>
          <w:i w:val="1"/>
          <w:iCs w:val="1"/>
          <w:color w:val="auto"/>
        </w:rPr>
        <w:t>RSUs</w:t>
      </w:r>
      <w:r>
        <w:rPr>
          <w:rFonts w:ascii="Arial" w:cs="Arial" w:eastAsia="Arial" w:hAnsi="Arial"/>
          <w:sz w:val="16"/>
          <w:szCs w:val="16"/>
          <w:color w:val="auto"/>
        </w:rPr>
        <w:t>. RSUs will vest and convert into shares within 60 days of the date of termination of employment.</w:t>
      </w:r>
    </w:p>
    <w:p>
      <w:pPr>
        <w:spacing w:after="0" w:line="83" w:lineRule="exact"/>
        <w:rPr>
          <w:rFonts w:ascii="Arial" w:cs="Arial" w:eastAsia="Arial" w:hAnsi="Arial"/>
          <w:sz w:val="16"/>
          <w:szCs w:val="16"/>
          <w:color w:val="16479F"/>
        </w:rPr>
      </w:pPr>
    </w:p>
    <w:p>
      <w:pPr>
        <w:ind w:left="240" w:right="240" w:hanging="233"/>
        <w:spacing w:after="0" w:line="261" w:lineRule="auto"/>
        <w:tabs>
          <w:tab w:leader="none" w:pos="240" w:val="left"/>
        </w:tabs>
        <w:numPr>
          <w:ilvl w:val="0"/>
          <w:numId w:val="144"/>
        </w:numPr>
        <w:rPr>
          <w:rFonts w:ascii="Arial" w:cs="Arial" w:eastAsia="Arial" w:hAnsi="Arial"/>
          <w:sz w:val="16"/>
          <w:szCs w:val="16"/>
          <w:color w:val="16479F"/>
        </w:rPr>
      </w:pPr>
      <w:r>
        <w:rPr>
          <w:rFonts w:ascii="Arial" w:cs="Arial" w:eastAsia="Arial" w:hAnsi="Arial"/>
          <w:sz w:val="16"/>
          <w:szCs w:val="16"/>
          <w:i w:val="1"/>
          <w:iCs w:val="1"/>
          <w:color w:val="auto"/>
        </w:rPr>
        <w:t>2019-2021 PSUs</w:t>
      </w:r>
      <w:r>
        <w:rPr>
          <w:rFonts w:ascii="Arial" w:cs="Arial" w:eastAsia="Arial" w:hAnsi="Arial"/>
          <w:sz w:val="16"/>
          <w:szCs w:val="16"/>
          <w:color w:val="auto"/>
        </w:rPr>
        <w:t>. PSUs will vest and convert to shares within 60 days of the date of termination of employment, and the performance metrics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deemed to have been achieved at the greater of (i) the actual achievement of the performance metrics for the period commencing on the first day of the performance period and ending on the date immediately prior to the change in control and (ii) 100%.</w:t>
      </w:r>
    </w:p>
    <w:p>
      <w:pPr>
        <w:spacing w:after="0" w:line="192"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The following table represents the amounts to which our NEOs or their estates or representatives, as applicable, would have been entitled to receive had their employment been terminated on December 31, 2021 or had a change in control occurred on December 31, 2021.</w:t>
      </w:r>
    </w:p>
    <w:p>
      <w:pPr>
        <w:spacing w:after="0" w:line="159"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Termination or Change in Control</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16479F"/>
            </w:tcBorders>
          </w:tcPr>
          <w:p>
            <w:pPr>
              <w:spacing w:after="0"/>
              <w:rPr>
                <w:sz w:val="16"/>
                <w:szCs w:val="16"/>
                <w:color w:val="auto"/>
              </w:rPr>
            </w:pPr>
          </w:p>
        </w:tc>
        <w:tc>
          <w:tcPr>
            <w:tcW w:w="880" w:type="dxa"/>
            <w:vAlign w:val="bottom"/>
            <w:tcBorders>
              <w:bottom w:val="single" w:sz="8" w:color="16479F"/>
            </w:tcBorders>
          </w:tcPr>
          <w:p>
            <w:pPr>
              <w:spacing w:after="0"/>
              <w:rPr>
                <w:sz w:val="16"/>
                <w:szCs w:val="16"/>
                <w:color w:val="auto"/>
              </w:rPr>
            </w:pPr>
          </w:p>
        </w:tc>
        <w:tc>
          <w:tcPr>
            <w:tcW w:w="1480" w:type="dxa"/>
            <w:vAlign w:val="bottom"/>
            <w:tcBorders>
              <w:bottom w:val="single" w:sz="8" w:color="16479F"/>
            </w:tcBorders>
            <w:gridSpan w:val="2"/>
          </w:tcPr>
          <w:p>
            <w:pPr>
              <w:jc w:val="right"/>
              <w:spacing w:after="0"/>
              <w:rPr>
                <w:sz w:val="20"/>
                <w:szCs w:val="20"/>
                <w:color w:val="auto"/>
              </w:rPr>
            </w:pPr>
            <w:r>
              <w:rPr>
                <w:rFonts w:ascii="Arial" w:cs="Arial" w:eastAsia="Arial" w:hAnsi="Arial"/>
                <w:sz w:val="14"/>
                <w:szCs w:val="14"/>
                <w:b w:val="1"/>
                <w:bCs w:val="1"/>
                <w:color w:val="auto"/>
              </w:rPr>
              <w:t>Change in Control</w:t>
            </w:r>
          </w:p>
        </w:tc>
        <w:tc>
          <w:tcPr>
            <w:tcW w:w="180" w:type="dxa"/>
            <w:vAlign w:val="bottom"/>
            <w:tcBorders>
              <w:bottom w:val="single" w:sz="8" w:color="16479F"/>
            </w:tcBorders>
          </w:tcPr>
          <w:p>
            <w:pPr>
              <w:spacing w:after="0"/>
              <w:rPr>
                <w:sz w:val="16"/>
                <w:szCs w:val="16"/>
                <w:color w:val="auto"/>
              </w:rPr>
            </w:pPr>
          </w:p>
        </w:tc>
        <w:tc>
          <w:tcPr>
            <w:tcW w:w="1060" w:type="dxa"/>
            <w:vAlign w:val="bottom"/>
            <w:tcBorders>
              <w:bottom w:val="single" w:sz="8" w:color="16479F"/>
            </w:tcBorders>
          </w:tcPr>
          <w:p>
            <w:pPr>
              <w:spacing w:after="0"/>
              <w:rPr>
                <w:sz w:val="16"/>
                <w:szCs w:val="16"/>
                <w:color w:val="auto"/>
              </w:rPr>
            </w:pPr>
          </w:p>
        </w:tc>
      </w:tr>
      <w:tr>
        <w:trPr>
          <w:trHeight w:val="173"/>
        </w:trPr>
        <w:tc>
          <w:tcPr>
            <w:tcW w:w="2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Termination</w:t>
            </w:r>
          </w:p>
        </w:tc>
      </w:tr>
      <w:tr>
        <w:trPr>
          <w:trHeight w:val="161"/>
        </w:trPr>
        <w:tc>
          <w:tcPr>
            <w:tcW w:w="2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w w:val="99"/>
              </w:rPr>
              <w:t>Without Cause</w:t>
            </w:r>
          </w:p>
        </w:tc>
      </w:tr>
      <w:tr>
        <w:trPr>
          <w:trHeight w:val="161"/>
        </w:trPr>
        <w:tc>
          <w:tcPr>
            <w:tcW w:w="2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or for Good</w:t>
            </w:r>
          </w:p>
        </w:tc>
      </w:tr>
      <w:tr>
        <w:trPr>
          <w:trHeight w:val="161"/>
        </w:trPr>
        <w:tc>
          <w:tcPr>
            <w:tcW w:w="2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Reason</w:t>
            </w:r>
          </w:p>
        </w:tc>
      </w:tr>
      <w:tr>
        <w:trPr>
          <w:trHeight w:val="161"/>
        </w:trPr>
        <w:tc>
          <w:tcPr>
            <w:tcW w:w="2320" w:type="dxa"/>
            <w:vAlign w:val="bottom"/>
          </w:tcPr>
          <w:p>
            <w:pPr>
              <w:spacing w:after="0"/>
              <w:rPr>
                <w:sz w:val="13"/>
                <w:szCs w:val="13"/>
                <w:color w:val="auto"/>
              </w:rPr>
            </w:pPr>
          </w:p>
        </w:tc>
        <w:tc>
          <w:tcPr>
            <w:tcW w:w="2080" w:type="dxa"/>
            <w:vAlign w:val="bottom"/>
            <w:gridSpan w:val="2"/>
          </w:tcPr>
          <w:p>
            <w:pPr>
              <w:jc w:val="right"/>
              <w:ind w:right="109"/>
              <w:spacing w:after="0"/>
              <w:rPr>
                <w:sz w:val="20"/>
                <w:szCs w:val="20"/>
                <w:color w:val="auto"/>
              </w:rPr>
            </w:pPr>
            <w:r>
              <w:rPr>
                <w:rFonts w:ascii="Arial" w:cs="Arial" w:eastAsia="Arial" w:hAnsi="Arial"/>
                <w:sz w:val="14"/>
                <w:szCs w:val="14"/>
                <w:b w:val="1"/>
                <w:bCs w:val="1"/>
                <w:color w:val="auto"/>
              </w:rPr>
              <w:t>Involuntary</w:t>
            </w:r>
          </w:p>
        </w:tc>
        <w:tc>
          <w:tcPr>
            <w:tcW w:w="4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b w:val="1"/>
                <w:bCs w:val="1"/>
                <w:color w:val="auto"/>
              </w:rPr>
              <w:t>Termination</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80" w:type="dxa"/>
            <w:vAlign w:val="bottom"/>
            <w:gridSpan w:val="2"/>
          </w:tcPr>
          <w:p>
            <w:pPr>
              <w:jc w:val="right"/>
              <w:ind w:right="309"/>
              <w:spacing w:after="0"/>
              <w:rPr>
                <w:sz w:val="20"/>
                <w:szCs w:val="20"/>
                <w:color w:val="auto"/>
              </w:rPr>
            </w:pPr>
            <w:r>
              <w:rPr>
                <w:rFonts w:ascii="Arial" w:cs="Arial" w:eastAsia="Arial" w:hAnsi="Arial"/>
                <w:sz w:val="14"/>
                <w:szCs w:val="14"/>
                <w:b w:val="1"/>
                <w:bCs w:val="1"/>
                <w:color w:val="auto"/>
              </w:rPr>
              <w:t>Benefits and</w:t>
            </w:r>
          </w:p>
        </w:tc>
        <w:tc>
          <w:tcPr>
            <w:tcW w:w="1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(Following a</w:t>
            </w:r>
          </w:p>
        </w:tc>
      </w:tr>
      <w:tr>
        <w:trPr>
          <w:trHeight w:val="161"/>
        </w:trPr>
        <w:tc>
          <w:tcPr>
            <w:tcW w:w="2320" w:type="dxa"/>
            <w:vAlign w:val="bottom"/>
          </w:tcPr>
          <w:p>
            <w:pPr>
              <w:spacing w:after="0"/>
              <w:rPr>
                <w:sz w:val="13"/>
                <w:szCs w:val="13"/>
                <w:color w:val="auto"/>
              </w:rPr>
            </w:pPr>
          </w:p>
        </w:tc>
        <w:tc>
          <w:tcPr>
            <w:tcW w:w="2080" w:type="dxa"/>
            <w:vAlign w:val="bottom"/>
            <w:gridSpan w:val="2"/>
          </w:tcPr>
          <w:p>
            <w:pPr>
              <w:jc w:val="right"/>
              <w:ind w:right="109"/>
              <w:spacing w:after="0"/>
              <w:rPr>
                <w:sz w:val="20"/>
                <w:szCs w:val="20"/>
                <w:color w:val="auto"/>
              </w:rPr>
            </w:pPr>
            <w:r>
              <w:rPr>
                <w:rFonts w:ascii="Arial" w:cs="Arial" w:eastAsia="Arial" w:hAnsi="Arial"/>
                <w:sz w:val="14"/>
                <w:szCs w:val="14"/>
                <w:b w:val="1"/>
                <w:bCs w:val="1"/>
                <w:color w:val="auto"/>
              </w:rPr>
              <w:t>Termination</w:t>
            </w:r>
          </w:p>
        </w:tc>
        <w:tc>
          <w:tcPr>
            <w:tcW w:w="400" w:type="dxa"/>
            <w:vAlign w:val="bottom"/>
          </w:tcPr>
          <w:p>
            <w:pPr>
              <w:spacing w:after="0"/>
              <w:rPr>
                <w:sz w:val="13"/>
                <w:szCs w:val="13"/>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Termination</w:t>
            </w:r>
          </w:p>
        </w:tc>
        <w:tc>
          <w:tcPr>
            <w:tcW w:w="440" w:type="dxa"/>
            <w:vAlign w:val="bottom"/>
          </w:tcPr>
          <w:p>
            <w:pPr>
              <w:spacing w:after="0"/>
              <w:rPr>
                <w:sz w:val="13"/>
                <w:szCs w:val="1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b w:val="1"/>
                <w:bCs w:val="1"/>
                <w:color w:val="auto"/>
              </w:rPr>
              <w:t>Due to</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80" w:type="dxa"/>
            <w:vAlign w:val="bottom"/>
            <w:gridSpan w:val="2"/>
          </w:tcPr>
          <w:p>
            <w:pPr>
              <w:jc w:val="right"/>
              <w:ind w:right="309"/>
              <w:spacing w:after="0"/>
              <w:rPr>
                <w:sz w:val="20"/>
                <w:szCs w:val="20"/>
                <w:color w:val="auto"/>
              </w:rPr>
            </w:pPr>
            <w:r>
              <w:rPr>
                <w:rFonts w:ascii="Arial" w:cs="Arial" w:eastAsia="Arial" w:hAnsi="Arial"/>
                <w:sz w:val="14"/>
                <w:szCs w:val="14"/>
                <w:b w:val="1"/>
                <w:bCs w:val="1"/>
                <w:color w:val="auto"/>
              </w:rPr>
              <w:t>Perquisites -</w:t>
            </w:r>
          </w:p>
        </w:tc>
        <w:tc>
          <w:tcPr>
            <w:tcW w:w="1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Change in</w:t>
            </w:r>
          </w:p>
        </w:tc>
      </w:tr>
      <w:tr>
        <w:trPr>
          <w:trHeight w:val="161"/>
        </w:trPr>
        <w:tc>
          <w:tcPr>
            <w:tcW w:w="2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00" w:type="dxa"/>
            <w:vAlign w:val="bottom"/>
          </w:tcPr>
          <w:p>
            <w:pPr>
              <w:jc w:val="right"/>
              <w:ind w:right="109"/>
              <w:spacing w:after="0"/>
              <w:rPr>
                <w:sz w:val="20"/>
                <w:szCs w:val="20"/>
                <w:color w:val="auto"/>
              </w:rPr>
            </w:pPr>
            <w:r>
              <w:rPr>
                <w:rFonts w:ascii="Arial" w:cs="Arial" w:eastAsia="Arial" w:hAnsi="Arial"/>
                <w:sz w:val="14"/>
                <w:szCs w:val="14"/>
                <w:b w:val="1"/>
                <w:bCs w:val="1"/>
                <w:color w:val="auto"/>
              </w:rPr>
              <w:t>Without</w:t>
            </w:r>
          </w:p>
        </w:tc>
        <w:tc>
          <w:tcPr>
            <w:tcW w:w="400" w:type="dxa"/>
            <w:vAlign w:val="bottom"/>
          </w:tcPr>
          <w:p>
            <w:pPr>
              <w:spacing w:after="0"/>
              <w:rPr>
                <w:sz w:val="13"/>
                <w:szCs w:val="13"/>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Due to Death,</w:t>
            </w:r>
          </w:p>
        </w:tc>
        <w:tc>
          <w:tcPr>
            <w:tcW w:w="440" w:type="dxa"/>
            <w:vAlign w:val="bottom"/>
          </w:tcPr>
          <w:p>
            <w:pPr>
              <w:spacing w:after="0"/>
              <w:rPr>
                <w:sz w:val="13"/>
                <w:szCs w:val="1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b w:val="1"/>
                <w:bCs w:val="1"/>
                <w:color w:val="auto"/>
              </w:rPr>
              <w:t>Government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ind w:right="309"/>
              <w:spacing w:after="0"/>
              <w:rPr>
                <w:sz w:val="20"/>
                <w:szCs w:val="20"/>
                <w:color w:val="auto"/>
              </w:rPr>
            </w:pPr>
            <w:r>
              <w:rPr>
                <w:rFonts w:ascii="Arial" w:cs="Arial" w:eastAsia="Arial" w:hAnsi="Arial"/>
                <w:sz w:val="14"/>
                <w:szCs w:val="14"/>
                <w:b w:val="1"/>
                <w:bCs w:val="1"/>
                <w:color w:val="auto"/>
                <w:w w:val="99"/>
              </w:rPr>
              <w:t>Cobra / UK</w:t>
            </w:r>
          </w:p>
        </w:tc>
        <w:tc>
          <w:tcPr>
            <w:tcW w:w="1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Control)-</w:t>
            </w:r>
          </w:p>
        </w:tc>
      </w:tr>
      <w:tr>
        <w:trPr>
          <w:trHeight w:val="161"/>
        </w:trPr>
        <w:tc>
          <w:tcPr>
            <w:tcW w:w="2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00" w:type="dxa"/>
            <w:vAlign w:val="bottom"/>
          </w:tcPr>
          <w:p>
            <w:pPr>
              <w:jc w:val="right"/>
              <w:ind w:right="109"/>
              <w:spacing w:after="0"/>
              <w:rPr>
                <w:sz w:val="20"/>
                <w:szCs w:val="20"/>
                <w:color w:val="auto"/>
              </w:rPr>
            </w:pPr>
            <w:r>
              <w:rPr>
                <w:rFonts w:ascii="Arial" w:cs="Arial" w:eastAsia="Arial" w:hAnsi="Arial"/>
                <w:sz w:val="14"/>
                <w:szCs w:val="14"/>
                <w:b w:val="1"/>
                <w:bCs w:val="1"/>
                <w:color w:val="auto"/>
              </w:rPr>
              <w:t>Cause-</w:t>
            </w:r>
          </w:p>
        </w:tc>
        <w:tc>
          <w:tcPr>
            <w:tcW w:w="400" w:type="dxa"/>
            <w:vAlign w:val="bottom"/>
          </w:tcPr>
          <w:p>
            <w:pPr>
              <w:spacing w:after="0"/>
              <w:rPr>
                <w:sz w:val="13"/>
                <w:szCs w:val="13"/>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Disability-</w:t>
            </w:r>
          </w:p>
        </w:tc>
        <w:tc>
          <w:tcPr>
            <w:tcW w:w="1440" w:type="dxa"/>
            <w:vAlign w:val="bottom"/>
            <w:gridSpan w:val="2"/>
          </w:tcPr>
          <w:p>
            <w:pPr>
              <w:jc w:val="right"/>
              <w:ind w:right="29"/>
              <w:spacing w:after="0"/>
              <w:rPr>
                <w:sz w:val="20"/>
                <w:szCs w:val="20"/>
                <w:color w:val="auto"/>
              </w:rPr>
            </w:pPr>
            <w:r>
              <w:rPr>
                <w:rFonts w:ascii="Arial" w:cs="Arial" w:eastAsia="Arial" w:hAnsi="Arial"/>
                <w:sz w:val="14"/>
                <w:szCs w:val="14"/>
                <w:b w:val="1"/>
                <w:bCs w:val="1"/>
                <w:color w:val="auto"/>
              </w:rPr>
              <w:t>Service - Equity</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ind w:right="309"/>
              <w:spacing w:after="0"/>
              <w:rPr>
                <w:sz w:val="20"/>
                <w:szCs w:val="20"/>
                <w:color w:val="auto"/>
              </w:rPr>
            </w:pPr>
            <w:r>
              <w:rPr>
                <w:rFonts w:ascii="Arial" w:cs="Arial" w:eastAsia="Arial" w:hAnsi="Arial"/>
                <w:sz w:val="14"/>
                <w:szCs w:val="14"/>
                <w:b w:val="1"/>
                <w:bCs w:val="1"/>
                <w:color w:val="auto"/>
              </w:rPr>
              <w:t>Medical</w:t>
            </w:r>
          </w:p>
        </w:tc>
        <w:tc>
          <w:tcPr>
            <w:tcW w:w="1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Equity</w:t>
            </w:r>
          </w:p>
        </w:tc>
      </w:tr>
      <w:tr>
        <w:trPr>
          <w:trHeight w:val="159"/>
        </w:trPr>
        <w:tc>
          <w:tcPr>
            <w:tcW w:w="2320" w:type="dxa"/>
            <w:vAlign w:val="bottom"/>
          </w:tcPr>
          <w:p>
            <w:pPr>
              <w:spacing w:after="0"/>
              <w:rPr>
                <w:sz w:val="13"/>
                <w:szCs w:val="13"/>
                <w:color w:val="auto"/>
              </w:rPr>
            </w:pPr>
          </w:p>
        </w:tc>
        <w:tc>
          <w:tcPr>
            <w:tcW w:w="2080" w:type="dxa"/>
            <w:vAlign w:val="bottom"/>
            <w:gridSpan w:val="2"/>
          </w:tcPr>
          <w:p>
            <w:pPr>
              <w:jc w:val="right"/>
              <w:ind w:right="109"/>
              <w:spacing w:after="0" w:line="159" w:lineRule="exact"/>
              <w:rPr>
                <w:sz w:val="20"/>
                <w:szCs w:val="20"/>
                <w:color w:val="auto"/>
              </w:rPr>
            </w:pPr>
            <w:r>
              <w:rPr>
                <w:rFonts w:ascii="Arial" w:cs="Arial" w:eastAsia="Arial" w:hAnsi="Arial"/>
                <w:sz w:val="14"/>
                <w:szCs w:val="14"/>
                <w:b w:val="1"/>
                <w:bCs w:val="1"/>
                <w:color w:val="auto"/>
              </w:rPr>
              <w:t>Equity at Target</w:t>
            </w:r>
          </w:p>
        </w:tc>
        <w:tc>
          <w:tcPr>
            <w:tcW w:w="1520" w:type="dxa"/>
            <w:vAlign w:val="bottom"/>
            <w:gridSpan w:val="2"/>
          </w:tcPr>
          <w:p>
            <w:pPr>
              <w:jc w:val="right"/>
              <w:ind w:right="109"/>
              <w:spacing w:after="0" w:line="159" w:lineRule="exact"/>
              <w:rPr>
                <w:sz w:val="20"/>
                <w:szCs w:val="20"/>
                <w:color w:val="auto"/>
              </w:rPr>
            </w:pPr>
            <w:r>
              <w:rPr>
                <w:rFonts w:ascii="Arial" w:cs="Arial" w:eastAsia="Arial" w:hAnsi="Arial"/>
                <w:sz w:val="14"/>
                <w:szCs w:val="14"/>
                <w:b w:val="1"/>
                <w:bCs w:val="1"/>
                <w:color w:val="auto"/>
              </w:rPr>
              <w:t>Equity at Target</w:t>
            </w:r>
          </w:p>
        </w:tc>
        <w:tc>
          <w:tcPr>
            <w:tcW w:w="440" w:type="dxa"/>
            <w:vAlign w:val="bottom"/>
          </w:tcPr>
          <w:p>
            <w:pPr>
              <w:spacing w:after="0"/>
              <w:rPr>
                <w:sz w:val="13"/>
                <w:szCs w:val="13"/>
                <w:color w:val="auto"/>
              </w:rPr>
            </w:pPr>
          </w:p>
        </w:tc>
        <w:tc>
          <w:tcPr>
            <w:tcW w:w="100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at Target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129"/>
              <w:spacing w:after="0" w:line="159" w:lineRule="exact"/>
              <w:rPr>
                <w:sz w:val="20"/>
                <w:szCs w:val="20"/>
                <w:color w:val="auto"/>
              </w:rPr>
            </w:pPr>
            <w:r>
              <w:rPr>
                <w:rFonts w:ascii="Arial" w:cs="Arial" w:eastAsia="Arial" w:hAnsi="Arial"/>
                <w:sz w:val="14"/>
                <w:szCs w:val="14"/>
                <w:b w:val="1"/>
                <w:bCs w:val="1"/>
                <w:color w:val="auto"/>
              </w:rPr>
              <w:t>Cash</w:t>
            </w:r>
          </w:p>
        </w:tc>
        <w:tc>
          <w:tcPr>
            <w:tcW w:w="1480" w:type="dxa"/>
            <w:vAlign w:val="bottom"/>
            <w:gridSpan w:val="2"/>
          </w:tcPr>
          <w:p>
            <w:pPr>
              <w:jc w:val="right"/>
              <w:ind w:right="309"/>
              <w:spacing w:after="0" w:line="159" w:lineRule="exact"/>
              <w:rPr>
                <w:sz w:val="20"/>
                <w:szCs w:val="20"/>
                <w:color w:val="auto"/>
              </w:rPr>
            </w:pPr>
            <w:r>
              <w:rPr>
                <w:rFonts w:ascii="Arial" w:cs="Arial" w:eastAsia="Arial" w:hAnsi="Arial"/>
                <w:sz w:val="14"/>
                <w:szCs w:val="14"/>
                <w:b w:val="1"/>
                <w:bCs w:val="1"/>
                <w:color w:val="auto"/>
              </w:rPr>
              <w:t>Continuation</w:t>
            </w:r>
          </w:p>
        </w:tc>
        <w:tc>
          <w:tcPr>
            <w:tcW w:w="180" w:type="dxa"/>
            <w:vAlign w:val="bottom"/>
          </w:tcPr>
          <w:p>
            <w:pPr>
              <w:spacing w:after="0"/>
              <w:rPr>
                <w:sz w:val="13"/>
                <w:szCs w:val="13"/>
                <w:color w:val="auto"/>
              </w:rPr>
            </w:pPr>
          </w:p>
        </w:tc>
        <w:tc>
          <w:tcPr>
            <w:tcW w:w="106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at Target</w:t>
            </w:r>
          </w:p>
        </w:tc>
      </w:tr>
      <w:tr>
        <w:trPr>
          <w:trHeight w:val="229"/>
        </w:trPr>
        <w:tc>
          <w:tcPr>
            <w:tcW w:w="2320" w:type="dxa"/>
            <w:vAlign w:val="bottom"/>
            <w:tcBorders>
              <w:bottom w:val="single" w:sz="8" w:color="16479F"/>
            </w:tcBorders>
          </w:tcPr>
          <w:p>
            <w:pPr>
              <w:ind w:left="60"/>
              <w:spacing w:after="0" w:line="229" w:lineRule="exact"/>
              <w:rPr>
                <w:sz w:val="20"/>
                <w:szCs w:val="20"/>
                <w:color w:val="auto"/>
              </w:rPr>
            </w:pPr>
            <w:r>
              <w:rPr>
                <w:rFonts w:ascii="Arial" w:cs="Arial" w:eastAsia="Arial" w:hAnsi="Arial"/>
                <w:sz w:val="14"/>
                <w:szCs w:val="14"/>
                <w:b w:val="1"/>
                <w:bCs w:val="1"/>
                <w:color w:val="auto"/>
              </w:rPr>
              <w:t>Name</w:t>
            </w:r>
            <w:r>
              <w:rPr>
                <w:rFonts w:ascii="Arial" w:cs="Arial" w:eastAsia="Arial" w:hAnsi="Arial"/>
                <w:sz w:val="23"/>
                <w:szCs w:val="23"/>
                <w:b w:val="1"/>
                <w:bCs w:val="1"/>
                <w:color w:val="auto"/>
                <w:vertAlign w:val="superscript"/>
              </w:rPr>
              <w:t>(1)</w:t>
            </w:r>
          </w:p>
        </w:tc>
        <w:tc>
          <w:tcPr>
            <w:tcW w:w="2080" w:type="dxa"/>
            <w:vAlign w:val="bottom"/>
            <w:tcBorders>
              <w:bottom w:val="single" w:sz="8" w:color="16479F"/>
            </w:tcBorders>
            <w:gridSpan w:val="2"/>
          </w:tcPr>
          <w:p>
            <w:pPr>
              <w:jc w:val="right"/>
              <w:ind w:right="109"/>
              <w:spacing w:after="0" w:line="229" w:lineRule="exact"/>
              <w:rPr>
                <w:sz w:val="20"/>
                <w:szCs w:val="20"/>
                <w:color w:val="auto"/>
              </w:rPr>
            </w:pPr>
            <w:r>
              <w:rPr>
                <w:rFonts w:ascii="Arial" w:cs="Arial" w:eastAsia="Arial" w:hAnsi="Arial"/>
                <w:sz w:val="14"/>
                <w:szCs w:val="14"/>
                <w:b w:val="1"/>
                <w:bCs w:val="1"/>
                <w:color w:val="auto"/>
              </w:rPr>
              <w:t>Performance</w:t>
            </w:r>
            <w:r>
              <w:rPr>
                <w:rFonts w:ascii="Arial" w:cs="Arial" w:eastAsia="Arial" w:hAnsi="Arial"/>
                <w:sz w:val="23"/>
                <w:szCs w:val="23"/>
                <w:b w:val="1"/>
                <w:bCs w:val="1"/>
                <w:color w:val="auto"/>
                <w:vertAlign w:val="superscript"/>
              </w:rPr>
              <w:t>(1)(2)</w:t>
            </w:r>
          </w:p>
        </w:tc>
        <w:tc>
          <w:tcPr>
            <w:tcW w:w="1520" w:type="dxa"/>
            <w:vAlign w:val="bottom"/>
            <w:tcBorders>
              <w:bottom w:val="single" w:sz="8" w:color="16479F"/>
            </w:tcBorders>
            <w:gridSpan w:val="2"/>
          </w:tcPr>
          <w:p>
            <w:pPr>
              <w:jc w:val="right"/>
              <w:ind w:right="109"/>
              <w:spacing w:after="0" w:line="229" w:lineRule="exact"/>
              <w:rPr>
                <w:sz w:val="20"/>
                <w:szCs w:val="20"/>
                <w:color w:val="auto"/>
              </w:rPr>
            </w:pPr>
            <w:r>
              <w:rPr>
                <w:rFonts w:ascii="Arial" w:cs="Arial" w:eastAsia="Arial" w:hAnsi="Arial"/>
                <w:sz w:val="14"/>
                <w:szCs w:val="14"/>
                <w:b w:val="1"/>
                <w:bCs w:val="1"/>
                <w:color w:val="auto"/>
              </w:rPr>
              <w:t>Performance</w:t>
            </w:r>
            <w:r>
              <w:rPr>
                <w:rFonts w:ascii="Arial" w:cs="Arial" w:eastAsia="Arial" w:hAnsi="Arial"/>
                <w:sz w:val="23"/>
                <w:szCs w:val="23"/>
                <w:b w:val="1"/>
                <w:bCs w:val="1"/>
                <w:color w:val="auto"/>
                <w:vertAlign w:val="superscript"/>
              </w:rPr>
              <w:t>(1)(3)</w:t>
            </w:r>
          </w:p>
        </w:tc>
        <w:tc>
          <w:tcPr>
            <w:tcW w:w="1440" w:type="dxa"/>
            <w:vAlign w:val="bottom"/>
            <w:tcBorders>
              <w:bottom w:val="single" w:sz="8" w:color="16479F"/>
            </w:tcBorders>
            <w:gridSpan w:val="2"/>
          </w:tcPr>
          <w:p>
            <w:pPr>
              <w:jc w:val="right"/>
              <w:ind w:right="29"/>
              <w:spacing w:after="0" w:line="229" w:lineRule="exact"/>
              <w:rPr>
                <w:sz w:val="20"/>
                <w:szCs w:val="20"/>
                <w:color w:val="auto"/>
              </w:rPr>
            </w:pPr>
            <w:r>
              <w:rPr>
                <w:rFonts w:ascii="Arial" w:cs="Arial" w:eastAsia="Arial" w:hAnsi="Arial"/>
                <w:sz w:val="14"/>
                <w:szCs w:val="14"/>
                <w:b w:val="1"/>
                <w:bCs w:val="1"/>
                <w:color w:val="auto"/>
              </w:rPr>
              <w:t>Performance</w:t>
            </w:r>
            <w:r>
              <w:rPr>
                <w:rFonts w:ascii="Arial" w:cs="Arial" w:eastAsia="Arial" w:hAnsi="Arial"/>
                <w:sz w:val="23"/>
                <w:szCs w:val="23"/>
                <w:b w:val="1"/>
                <w:bCs w:val="1"/>
                <w:color w:val="auto"/>
                <w:vertAlign w:val="superscript"/>
              </w:rPr>
              <w:t>(1)(4)</w:t>
            </w:r>
          </w:p>
        </w:tc>
        <w:tc>
          <w:tcPr>
            <w:tcW w:w="1160" w:type="dxa"/>
            <w:vAlign w:val="bottom"/>
            <w:tcBorders>
              <w:bottom w:val="single" w:sz="8" w:color="16479F"/>
            </w:tcBorders>
            <w:gridSpan w:val="3"/>
          </w:tcPr>
          <w:p>
            <w:pPr>
              <w:jc w:val="right"/>
              <w:ind w:right="129"/>
              <w:spacing w:after="0" w:line="229" w:lineRule="exact"/>
              <w:rPr>
                <w:sz w:val="20"/>
                <w:szCs w:val="20"/>
                <w:color w:val="auto"/>
              </w:rPr>
            </w:pPr>
            <w:r>
              <w:rPr>
                <w:rFonts w:ascii="Arial" w:cs="Arial" w:eastAsia="Arial" w:hAnsi="Arial"/>
                <w:sz w:val="14"/>
                <w:szCs w:val="14"/>
                <w:b w:val="1"/>
                <w:bCs w:val="1"/>
                <w:color w:val="auto"/>
              </w:rPr>
              <w:t>Severance</w:t>
            </w:r>
            <w:r>
              <w:rPr>
                <w:rFonts w:ascii="Arial" w:cs="Arial" w:eastAsia="Arial" w:hAnsi="Arial"/>
                <w:sz w:val="23"/>
                <w:szCs w:val="23"/>
                <w:b w:val="1"/>
                <w:bCs w:val="1"/>
                <w:color w:val="auto"/>
                <w:vertAlign w:val="superscript"/>
              </w:rPr>
              <w:t>(5)</w:t>
            </w:r>
          </w:p>
        </w:tc>
        <w:tc>
          <w:tcPr>
            <w:tcW w:w="1480" w:type="dxa"/>
            <w:vAlign w:val="bottom"/>
            <w:tcBorders>
              <w:bottom w:val="single" w:sz="8" w:color="16479F"/>
            </w:tcBorders>
            <w:gridSpan w:val="2"/>
          </w:tcPr>
          <w:p>
            <w:pPr>
              <w:jc w:val="right"/>
              <w:ind w:right="309"/>
              <w:spacing w:after="0" w:line="229" w:lineRule="exact"/>
              <w:rPr>
                <w:sz w:val="20"/>
                <w:szCs w:val="20"/>
                <w:color w:val="auto"/>
              </w:rPr>
            </w:pPr>
            <w:r>
              <w:rPr>
                <w:rFonts w:ascii="Arial" w:cs="Arial" w:eastAsia="Arial" w:hAnsi="Arial"/>
                <w:sz w:val="14"/>
                <w:szCs w:val="14"/>
                <w:b w:val="1"/>
                <w:bCs w:val="1"/>
                <w:color w:val="auto"/>
              </w:rPr>
              <w:t>Premiums</w:t>
            </w:r>
            <w:r>
              <w:rPr>
                <w:rFonts w:ascii="Arial" w:cs="Arial" w:eastAsia="Arial" w:hAnsi="Arial"/>
                <w:sz w:val="23"/>
                <w:szCs w:val="23"/>
                <w:b w:val="1"/>
                <w:bCs w:val="1"/>
                <w:color w:val="auto"/>
                <w:vertAlign w:val="superscript"/>
              </w:rPr>
              <w:t>(6)</w:t>
            </w:r>
          </w:p>
        </w:tc>
        <w:tc>
          <w:tcPr>
            <w:tcW w:w="1240" w:type="dxa"/>
            <w:vAlign w:val="bottom"/>
            <w:tcBorders>
              <w:bottom w:val="single" w:sz="8" w:color="16479F"/>
            </w:tcBorders>
            <w:gridSpan w:val="2"/>
          </w:tcPr>
          <w:p>
            <w:pPr>
              <w:jc w:val="right"/>
              <w:spacing w:after="0" w:line="229" w:lineRule="exact"/>
              <w:rPr>
                <w:sz w:val="20"/>
                <w:szCs w:val="20"/>
                <w:color w:val="auto"/>
              </w:rPr>
            </w:pPr>
            <w:r>
              <w:rPr>
                <w:rFonts w:ascii="Arial" w:cs="Arial" w:eastAsia="Arial" w:hAnsi="Arial"/>
                <w:sz w:val="14"/>
                <w:szCs w:val="14"/>
                <w:b w:val="1"/>
                <w:bCs w:val="1"/>
                <w:color w:val="auto"/>
                <w:w w:val="94"/>
              </w:rPr>
              <w:t>Performance</w:t>
            </w:r>
            <w:r>
              <w:rPr>
                <w:rFonts w:ascii="Arial" w:cs="Arial" w:eastAsia="Arial" w:hAnsi="Arial"/>
                <w:sz w:val="23"/>
                <w:szCs w:val="23"/>
                <w:b w:val="1"/>
                <w:bCs w:val="1"/>
                <w:color w:val="auto"/>
                <w:w w:val="94"/>
                <w:vertAlign w:val="superscript"/>
              </w:rPr>
              <w:t>(1)(7)</w:t>
            </w:r>
          </w:p>
        </w:tc>
      </w:tr>
      <w:tr>
        <w:trPr>
          <w:trHeight w:val="208"/>
        </w:trPr>
        <w:tc>
          <w:tcPr>
            <w:tcW w:w="2320" w:type="dxa"/>
            <w:vAlign w:val="bottom"/>
            <w:shd w:val="clear" w:color="auto" w:fill="F0F1F8"/>
          </w:tcPr>
          <w:p>
            <w:pPr>
              <w:ind w:left="60"/>
              <w:spacing w:after="0"/>
              <w:rPr>
                <w:sz w:val="20"/>
                <w:szCs w:val="20"/>
                <w:color w:val="auto"/>
              </w:rPr>
            </w:pPr>
            <w:r>
              <w:rPr>
                <w:rFonts w:ascii="Arial" w:cs="Arial" w:eastAsia="Arial" w:hAnsi="Arial"/>
                <w:sz w:val="14"/>
                <w:szCs w:val="14"/>
                <w:b w:val="1"/>
                <w:bCs w:val="1"/>
                <w:color w:val="auto"/>
              </w:rPr>
              <w:t>Henry A. Fernandez</w:t>
            </w:r>
          </w:p>
        </w:tc>
        <w:tc>
          <w:tcPr>
            <w:tcW w:w="1180" w:type="dxa"/>
            <w:vAlign w:val="bottom"/>
            <w:shd w:val="clear" w:color="auto" w:fill="F0F1F8"/>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F0F1F8"/>
          </w:tcPr>
          <w:p>
            <w:pPr>
              <w:jc w:val="right"/>
              <w:ind w:right="109"/>
              <w:spacing w:after="0"/>
              <w:rPr>
                <w:sz w:val="20"/>
                <w:szCs w:val="20"/>
                <w:color w:val="auto"/>
              </w:rPr>
            </w:pPr>
            <w:r>
              <w:rPr>
                <w:rFonts w:ascii="Arial" w:cs="Arial" w:eastAsia="Arial" w:hAnsi="Arial"/>
                <w:sz w:val="14"/>
                <w:szCs w:val="14"/>
                <w:color w:val="auto"/>
                <w:w w:val="99"/>
              </w:rPr>
              <w:t>87,745,786</w:t>
            </w:r>
          </w:p>
        </w:tc>
        <w:tc>
          <w:tcPr>
            <w:tcW w:w="400" w:type="dxa"/>
            <w:vAlign w:val="bottom"/>
            <w:shd w:val="clear" w:color="auto" w:fill="F0F1F8"/>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F0F1F8"/>
          </w:tcPr>
          <w:p>
            <w:pPr>
              <w:jc w:val="right"/>
              <w:ind w:right="109"/>
              <w:spacing w:after="0"/>
              <w:rPr>
                <w:sz w:val="20"/>
                <w:szCs w:val="20"/>
                <w:color w:val="auto"/>
              </w:rPr>
            </w:pPr>
            <w:r>
              <w:rPr>
                <w:rFonts w:ascii="Arial" w:cs="Arial" w:eastAsia="Arial" w:hAnsi="Arial"/>
                <w:sz w:val="14"/>
                <w:szCs w:val="14"/>
                <w:color w:val="auto"/>
              </w:rPr>
              <w:t>87,745,786</w:t>
            </w:r>
          </w:p>
        </w:tc>
        <w:tc>
          <w:tcPr>
            <w:tcW w:w="440" w:type="dxa"/>
            <w:vAlign w:val="bottom"/>
            <w:shd w:val="clear" w:color="auto" w:fill="F0F1F8"/>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F0F1F8"/>
          </w:tcPr>
          <w:p>
            <w:pPr>
              <w:jc w:val="right"/>
              <w:ind w:right="29"/>
              <w:spacing w:after="0"/>
              <w:rPr>
                <w:sz w:val="20"/>
                <w:szCs w:val="20"/>
                <w:color w:val="auto"/>
              </w:rPr>
            </w:pPr>
            <w:r>
              <w:rPr>
                <w:rFonts w:ascii="Arial" w:cs="Arial" w:eastAsia="Arial" w:hAnsi="Arial"/>
                <w:sz w:val="14"/>
                <w:szCs w:val="14"/>
                <w:color w:val="auto"/>
              </w:rPr>
              <w:t>87,745,786</w:t>
            </w:r>
          </w:p>
        </w:tc>
        <w:tc>
          <w:tcPr>
            <w:tcW w:w="280" w:type="dxa"/>
            <w:vAlign w:val="bottom"/>
            <w:gridSpan w:val="2"/>
            <w:shd w:val="clear" w:color="auto" w:fill="F0F1F8"/>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shd w:val="clear" w:color="auto" w:fill="F0F1F8"/>
          </w:tcPr>
          <w:p>
            <w:pPr>
              <w:jc w:val="right"/>
              <w:ind w:right="129"/>
              <w:spacing w:after="0"/>
              <w:rPr>
                <w:sz w:val="20"/>
                <w:szCs w:val="20"/>
                <w:color w:val="auto"/>
              </w:rPr>
            </w:pPr>
            <w:r>
              <w:rPr>
                <w:rFonts w:ascii="Arial" w:cs="Arial" w:eastAsia="Arial" w:hAnsi="Arial"/>
                <w:sz w:val="14"/>
                <w:szCs w:val="14"/>
                <w:color w:val="auto"/>
              </w:rPr>
              <w:t>5,301,752</w:t>
            </w:r>
          </w:p>
        </w:tc>
        <w:tc>
          <w:tcPr>
            <w:tcW w:w="360" w:type="dxa"/>
            <w:vAlign w:val="bottom"/>
            <w:shd w:val="clear" w:color="auto" w:fill="F0F1F8"/>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F0F1F8"/>
          </w:tcPr>
          <w:p>
            <w:pPr>
              <w:jc w:val="right"/>
              <w:ind w:right="309"/>
              <w:spacing w:after="0"/>
              <w:rPr>
                <w:sz w:val="20"/>
                <w:szCs w:val="20"/>
                <w:color w:val="auto"/>
              </w:rPr>
            </w:pPr>
            <w:r>
              <w:rPr>
                <w:rFonts w:ascii="Arial" w:cs="Arial" w:eastAsia="Arial" w:hAnsi="Arial"/>
                <w:sz w:val="14"/>
                <w:szCs w:val="14"/>
                <w:color w:val="auto"/>
              </w:rPr>
              <w:t>72,354</w:t>
            </w:r>
          </w:p>
        </w:tc>
        <w:tc>
          <w:tcPr>
            <w:tcW w:w="180" w:type="dxa"/>
            <w:vAlign w:val="bottom"/>
            <w:shd w:val="clear" w:color="auto" w:fill="F0F1F8"/>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F0F1F8"/>
          </w:tcPr>
          <w:p>
            <w:pPr>
              <w:jc w:val="right"/>
              <w:spacing w:after="0"/>
              <w:rPr>
                <w:sz w:val="20"/>
                <w:szCs w:val="20"/>
                <w:color w:val="auto"/>
              </w:rPr>
            </w:pPr>
            <w:r>
              <w:rPr>
                <w:rFonts w:ascii="Arial" w:cs="Arial" w:eastAsia="Arial" w:hAnsi="Arial"/>
                <w:sz w:val="14"/>
                <w:szCs w:val="14"/>
                <w:color w:val="auto"/>
              </w:rPr>
              <w:t>87,745,786</w:t>
            </w:r>
          </w:p>
        </w:tc>
      </w:tr>
      <w:tr>
        <w:trPr>
          <w:trHeight w:val="208"/>
        </w:trPr>
        <w:tc>
          <w:tcPr>
            <w:tcW w:w="2320" w:type="dxa"/>
            <w:vAlign w:val="bottom"/>
          </w:tcPr>
          <w:p>
            <w:pPr>
              <w:ind w:left="60"/>
              <w:spacing w:after="0"/>
              <w:rPr>
                <w:sz w:val="20"/>
                <w:szCs w:val="20"/>
                <w:color w:val="auto"/>
              </w:rPr>
            </w:pPr>
            <w:r>
              <w:rPr>
                <w:rFonts w:ascii="Arial" w:cs="Arial" w:eastAsia="Arial" w:hAnsi="Arial"/>
                <w:sz w:val="14"/>
                <w:szCs w:val="14"/>
                <w:b w:val="1"/>
                <w:bCs w:val="1"/>
                <w:color w:val="auto"/>
              </w:rPr>
              <w:t>Andrew C. Wiechmann</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9"/>
              <w:spacing w:after="0"/>
              <w:rPr>
                <w:sz w:val="20"/>
                <w:szCs w:val="20"/>
                <w:color w:val="auto"/>
              </w:rPr>
            </w:pPr>
            <w:r>
              <w:rPr>
                <w:rFonts w:ascii="Arial" w:cs="Arial" w:eastAsia="Arial" w:hAnsi="Arial"/>
                <w:sz w:val="14"/>
                <w:szCs w:val="14"/>
                <w:color w:val="auto"/>
              </w:rPr>
              <w:t>3,258,898</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09"/>
              <w:spacing w:after="0"/>
              <w:rPr>
                <w:sz w:val="20"/>
                <w:szCs w:val="20"/>
                <w:color w:val="auto"/>
              </w:rPr>
            </w:pPr>
            <w:r>
              <w:rPr>
                <w:rFonts w:ascii="Arial" w:cs="Arial" w:eastAsia="Arial" w:hAnsi="Arial"/>
                <w:sz w:val="14"/>
                <w:szCs w:val="14"/>
                <w:color w:val="auto"/>
              </w:rPr>
              <w:t>6,047,863</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6,047,863</w:t>
            </w: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2,238,100</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309"/>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6,047,863</w:t>
            </w:r>
          </w:p>
        </w:tc>
      </w:tr>
      <w:tr>
        <w:trPr>
          <w:trHeight w:val="220"/>
        </w:trPr>
        <w:tc>
          <w:tcPr>
            <w:tcW w:w="2320" w:type="dxa"/>
            <w:vAlign w:val="bottom"/>
            <w:shd w:val="clear" w:color="auto" w:fill="F0F1F8"/>
          </w:tcPr>
          <w:p>
            <w:pPr>
              <w:ind w:left="60"/>
              <w:spacing w:after="0"/>
              <w:rPr>
                <w:sz w:val="20"/>
                <w:szCs w:val="20"/>
                <w:color w:val="auto"/>
              </w:rPr>
            </w:pPr>
            <w:r>
              <w:rPr>
                <w:rFonts w:ascii="Arial" w:cs="Arial" w:eastAsia="Arial" w:hAnsi="Arial"/>
                <w:sz w:val="14"/>
                <w:szCs w:val="14"/>
                <w:b w:val="1"/>
                <w:bCs w:val="1"/>
                <w:color w:val="auto"/>
              </w:rPr>
              <w:t>C.D. Baer Pettit</w:t>
            </w:r>
          </w:p>
        </w:tc>
        <w:tc>
          <w:tcPr>
            <w:tcW w:w="1180" w:type="dxa"/>
            <w:vAlign w:val="bottom"/>
            <w:shd w:val="clear" w:color="auto" w:fill="F0F1F8"/>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F0F1F8"/>
          </w:tcPr>
          <w:p>
            <w:pPr>
              <w:jc w:val="right"/>
              <w:ind w:right="109"/>
              <w:spacing w:after="0"/>
              <w:rPr>
                <w:sz w:val="20"/>
                <w:szCs w:val="20"/>
                <w:color w:val="auto"/>
              </w:rPr>
            </w:pPr>
            <w:r>
              <w:rPr>
                <w:rFonts w:ascii="Arial" w:cs="Arial" w:eastAsia="Arial" w:hAnsi="Arial"/>
                <w:sz w:val="14"/>
                <w:szCs w:val="14"/>
                <w:color w:val="auto"/>
                <w:w w:val="99"/>
              </w:rPr>
              <w:t>16,594,096</w:t>
            </w:r>
          </w:p>
        </w:tc>
        <w:tc>
          <w:tcPr>
            <w:tcW w:w="400" w:type="dxa"/>
            <w:vAlign w:val="bottom"/>
            <w:shd w:val="clear" w:color="auto" w:fill="F0F1F8"/>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F0F1F8"/>
          </w:tcPr>
          <w:p>
            <w:pPr>
              <w:jc w:val="right"/>
              <w:ind w:right="109"/>
              <w:spacing w:after="0"/>
              <w:rPr>
                <w:sz w:val="20"/>
                <w:szCs w:val="20"/>
                <w:color w:val="auto"/>
              </w:rPr>
            </w:pPr>
            <w:r>
              <w:rPr>
                <w:rFonts w:ascii="Arial" w:cs="Arial" w:eastAsia="Arial" w:hAnsi="Arial"/>
                <w:sz w:val="14"/>
                <w:szCs w:val="14"/>
                <w:color w:val="auto"/>
              </w:rPr>
              <w:t>38,957,894</w:t>
            </w:r>
          </w:p>
        </w:tc>
        <w:tc>
          <w:tcPr>
            <w:tcW w:w="440" w:type="dxa"/>
            <w:vAlign w:val="bottom"/>
            <w:shd w:val="clear" w:color="auto" w:fill="F0F1F8"/>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F0F1F8"/>
          </w:tcPr>
          <w:p>
            <w:pPr>
              <w:jc w:val="right"/>
              <w:ind w:right="29"/>
              <w:spacing w:after="0"/>
              <w:rPr>
                <w:sz w:val="20"/>
                <w:szCs w:val="20"/>
                <w:color w:val="auto"/>
              </w:rPr>
            </w:pPr>
            <w:r>
              <w:rPr>
                <w:rFonts w:ascii="Arial" w:cs="Arial" w:eastAsia="Arial" w:hAnsi="Arial"/>
                <w:sz w:val="14"/>
                <w:szCs w:val="14"/>
                <w:color w:val="auto"/>
              </w:rPr>
              <w:t>38,957,894</w:t>
            </w:r>
          </w:p>
        </w:tc>
        <w:tc>
          <w:tcPr>
            <w:tcW w:w="280" w:type="dxa"/>
            <w:vAlign w:val="bottom"/>
            <w:gridSpan w:val="2"/>
            <w:shd w:val="clear" w:color="auto" w:fill="F0F1F8"/>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shd w:val="clear" w:color="auto" w:fill="F0F1F8"/>
          </w:tcPr>
          <w:p>
            <w:pPr>
              <w:jc w:val="right"/>
              <w:ind w:right="129"/>
              <w:spacing w:after="0"/>
              <w:rPr>
                <w:sz w:val="20"/>
                <w:szCs w:val="20"/>
                <w:color w:val="auto"/>
              </w:rPr>
            </w:pPr>
            <w:r>
              <w:rPr>
                <w:rFonts w:ascii="Arial" w:cs="Arial" w:eastAsia="Arial" w:hAnsi="Arial"/>
                <w:sz w:val="14"/>
                <w:szCs w:val="14"/>
                <w:color w:val="auto"/>
              </w:rPr>
              <w:t>4,320,918</w:t>
            </w:r>
          </w:p>
        </w:tc>
        <w:tc>
          <w:tcPr>
            <w:tcW w:w="360" w:type="dxa"/>
            <w:vAlign w:val="bottom"/>
            <w:shd w:val="clear" w:color="auto" w:fill="F0F1F8"/>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F0F1F8"/>
          </w:tcPr>
          <w:p>
            <w:pPr>
              <w:jc w:val="right"/>
              <w:ind w:right="309"/>
              <w:spacing w:after="0"/>
              <w:rPr>
                <w:sz w:val="20"/>
                <w:szCs w:val="20"/>
                <w:color w:val="auto"/>
              </w:rPr>
            </w:pPr>
            <w:r>
              <w:rPr>
                <w:rFonts w:ascii="Arial" w:cs="Arial" w:eastAsia="Arial" w:hAnsi="Arial"/>
                <w:sz w:val="14"/>
                <w:szCs w:val="14"/>
                <w:color w:val="auto"/>
              </w:rPr>
              <w:t>17,367</w:t>
            </w:r>
          </w:p>
        </w:tc>
        <w:tc>
          <w:tcPr>
            <w:tcW w:w="180" w:type="dxa"/>
            <w:vAlign w:val="bottom"/>
            <w:shd w:val="clear" w:color="auto" w:fill="F0F1F8"/>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F0F1F8"/>
          </w:tcPr>
          <w:p>
            <w:pPr>
              <w:jc w:val="right"/>
              <w:spacing w:after="0"/>
              <w:rPr>
                <w:sz w:val="20"/>
                <w:szCs w:val="20"/>
                <w:color w:val="auto"/>
              </w:rPr>
            </w:pPr>
            <w:r>
              <w:rPr>
                <w:rFonts w:ascii="Arial" w:cs="Arial" w:eastAsia="Arial" w:hAnsi="Arial"/>
                <w:sz w:val="14"/>
                <w:szCs w:val="14"/>
                <w:color w:val="auto"/>
              </w:rPr>
              <w:t>38,957,894</w:t>
            </w:r>
          </w:p>
        </w:tc>
      </w:tr>
      <w:tr>
        <w:trPr>
          <w:trHeight w:val="208"/>
        </w:trPr>
        <w:tc>
          <w:tcPr>
            <w:tcW w:w="2320" w:type="dxa"/>
            <w:vAlign w:val="bottom"/>
          </w:tcPr>
          <w:p>
            <w:pPr>
              <w:ind w:left="60"/>
              <w:spacing w:after="0"/>
              <w:rPr>
                <w:sz w:val="20"/>
                <w:szCs w:val="20"/>
                <w:color w:val="auto"/>
              </w:rPr>
            </w:pPr>
            <w:r>
              <w:rPr>
                <w:rFonts w:ascii="Arial" w:cs="Arial" w:eastAsia="Arial" w:hAnsi="Arial"/>
                <w:sz w:val="14"/>
                <w:szCs w:val="14"/>
                <w:b w:val="1"/>
                <w:bCs w:val="1"/>
                <w:color w:val="auto"/>
              </w:rPr>
              <w:t>Scott A. Crum</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9"/>
              <w:spacing w:after="0"/>
              <w:rPr>
                <w:sz w:val="20"/>
                <w:szCs w:val="20"/>
                <w:color w:val="auto"/>
              </w:rPr>
            </w:pPr>
            <w:r>
              <w:rPr>
                <w:rFonts w:ascii="Arial" w:cs="Arial" w:eastAsia="Arial" w:hAnsi="Arial"/>
                <w:sz w:val="14"/>
                <w:szCs w:val="14"/>
                <w:color w:val="auto"/>
              </w:rPr>
              <w:t>5,130,666</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09"/>
              <w:spacing w:after="0"/>
              <w:rPr>
                <w:sz w:val="20"/>
                <w:szCs w:val="20"/>
                <w:color w:val="auto"/>
              </w:rPr>
            </w:pPr>
            <w:r>
              <w:rPr>
                <w:rFonts w:ascii="Arial" w:cs="Arial" w:eastAsia="Arial" w:hAnsi="Arial"/>
                <w:sz w:val="14"/>
                <w:szCs w:val="14"/>
                <w:color w:val="auto"/>
              </w:rPr>
              <w:t>10,781,506</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10,781,506</w:t>
            </w: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2,750,880</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309"/>
              <w:spacing w:after="0"/>
              <w:rPr>
                <w:sz w:val="20"/>
                <w:szCs w:val="20"/>
                <w:color w:val="auto"/>
              </w:rPr>
            </w:pPr>
            <w:r>
              <w:rPr>
                <w:rFonts w:ascii="Arial" w:cs="Arial" w:eastAsia="Arial" w:hAnsi="Arial"/>
                <w:sz w:val="14"/>
                <w:szCs w:val="14"/>
                <w:color w:val="auto"/>
              </w:rPr>
              <w:t>84,391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10,781,506</w:t>
            </w:r>
          </w:p>
        </w:tc>
      </w:tr>
      <w:tr>
        <w:trPr>
          <w:trHeight w:val="214"/>
        </w:trPr>
        <w:tc>
          <w:tcPr>
            <w:tcW w:w="2320" w:type="dxa"/>
            <w:vAlign w:val="bottom"/>
            <w:tcBorders>
              <w:bottom w:val="single" w:sz="8" w:color="auto"/>
            </w:tcBorders>
            <w:shd w:val="clear" w:color="auto" w:fill="F0F1F8"/>
          </w:tcPr>
          <w:p>
            <w:pPr>
              <w:ind w:left="60"/>
              <w:spacing w:after="0"/>
              <w:rPr>
                <w:sz w:val="20"/>
                <w:szCs w:val="20"/>
                <w:color w:val="auto"/>
              </w:rPr>
            </w:pPr>
            <w:r>
              <w:rPr>
                <w:rFonts w:ascii="Arial" w:cs="Arial" w:eastAsia="Arial" w:hAnsi="Arial"/>
                <w:sz w:val="14"/>
                <w:szCs w:val="14"/>
                <w:b w:val="1"/>
                <w:bCs w:val="1"/>
                <w:color w:val="auto"/>
              </w:rPr>
              <w:t>Robert J. Gutowski</w:t>
            </w:r>
          </w:p>
        </w:tc>
        <w:tc>
          <w:tcPr>
            <w:tcW w:w="1180" w:type="dxa"/>
            <w:vAlign w:val="bottom"/>
            <w:tcBorders>
              <w:bottom w:val="single" w:sz="8" w:color="auto"/>
            </w:tcBorders>
            <w:shd w:val="clear" w:color="auto" w:fill="F0F1F8"/>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F0F1F8"/>
          </w:tcPr>
          <w:p>
            <w:pPr>
              <w:jc w:val="right"/>
              <w:ind w:right="109"/>
              <w:spacing w:after="0"/>
              <w:rPr>
                <w:sz w:val="20"/>
                <w:szCs w:val="20"/>
                <w:color w:val="auto"/>
              </w:rPr>
            </w:pPr>
            <w:r>
              <w:rPr>
                <w:rFonts w:ascii="Arial" w:cs="Arial" w:eastAsia="Arial" w:hAnsi="Arial"/>
                <w:sz w:val="14"/>
                <w:szCs w:val="14"/>
                <w:color w:val="auto"/>
              </w:rPr>
              <w:t>1,629,755</w:t>
            </w:r>
          </w:p>
        </w:tc>
        <w:tc>
          <w:tcPr>
            <w:tcW w:w="400" w:type="dxa"/>
            <w:vAlign w:val="bottom"/>
            <w:tcBorders>
              <w:bottom w:val="single" w:sz="8" w:color="auto"/>
            </w:tcBorders>
            <w:shd w:val="clear" w:color="auto" w:fill="F0F1F8"/>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F0F1F8"/>
          </w:tcPr>
          <w:p>
            <w:pPr>
              <w:jc w:val="right"/>
              <w:ind w:right="109"/>
              <w:spacing w:after="0"/>
              <w:rPr>
                <w:sz w:val="20"/>
                <w:szCs w:val="20"/>
                <w:color w:val="auto"/>
              </w:rPr>
            </w:pPr>
            <w:r>
              <w:rPr>
                <w:rFonts w:ascii="Arial" w:cs="Arial" w:eastAsia="Arial" w:hAnsi="Arial"/>
                <w:sz w:val="14"/>
                <w:szCs w:val="14"/>
                <w:color w:val="auto"/>
              </w:rPr>
              <w:t>4,098,283</w:t>
            </w:r>
          </w:p>
        </w:tc>
        <w:tc>
          <w:tcPr>
            <w:tcW w:w="440" w:type="dxa"/>
            <w:vAlign w:val="bottom"/>
            <w:tcBorders>
              <w:bottom w:val="single" w:sz="8" w:color="auto"/>
            </w:tcBorders>
            <w:shd w:val="clear" w:color="auto" w:fill="F0F1F8"/>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F0F1F8"/>
          </w:tcPr>
          <w:p>
            <w:pPr>
              <w:jc w:val="right"/>
              <w:ind w:right="29"/>
              <w:spacing w:after="0"/>
              <w:rPr>
                <w:sz w:val="20"/>
                <w:szCs w:val="20"/>
                <w:color w:val="auto"/>
              </w:rPr>
            </w:pPr>
            <w:r>
              <w:rPr>
                <w:rFonts w:ascii="Arial" w:cs="Arial" w:eastAsia="Arial" w:hAnsi="Arial"/>
                <w:sz w:val="14"/>
                <w:szCs w:val="14"/>
                <w:color w:val="auto"/>
              </w:rPr>
              <w:t>4,098,283</w:t>
            </w:r>
          </w:p>
        </w:tc>
        <w:tc>
          <w:tcPr>
            <w:tcW w:w="280" w:type="dxa"/>
            <w:vAlign w:val="bottom"/>
            <w:tcBorders>
              <w:bottom w:val="single" w:sz="8" w:color="auto"/>
            </w:tcBorders>
            <w:gridSpan w:val="2"/>
            <w:shd w:val="clear" w:color="auto" w:fill="F0F1F8"/>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F0F1F8"/>
          </w:tcPr>
          <w:p>
            <w:pPr>
              <w:jc w:val="right"/>
              <w:ind w:right="129"/>
              <w:spacing w:after="0"/>
              <w:rPr>
                <w:sz w:val="20"/>
                <w:szCs w:val="20"/>
                <w:color w:val="auto"/>
              </w:rPr>
            </w:pPr>
            <w:r>
              <w:rPr>
                <w:rFonts w:ascii="Arial" w:cs="Arial" w:eastAsia="Arial" w:hAnsi="Arial"/>
                <w:sz w:val="14"/>
                <w:szCs w:val="14"/>
                <w:color w:val="auto"/>
              </w:rPr>
              <w:t>2,078,900</w:t>
            </w:r>
          </w:p>
        </w:tc>
        <w:tc>
          <w:tcPr>
            <w:tcW w:w="360" w:type="dxa"/>
            <w:vAlign w:val="bottom"/>
            <w:tcBorders>
              <w:bottom w:val="single" w:sz="8" w:color="auto"/>
            </w:tcBorders>
            <w:shd w:val="clear" w:color="auto" w:fill="F0F1F8"/>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F0F1F8"/>
          </w:tcPr>
          <w:p>
            <w:pPr>
              <w:jc w:val="right"/>
              <w:ind w:right="309"/>
              <w:spacing w:after="0"/>
              <w:rPr>
                <w:sz w:val="20"/>
                <w:szCs w:val="20"/>
                <w:color w:val="auto"/>
              </w:rPr>
            </w:pPr>
            <w:r>
              <w:rPr>
                <w:rFonts w:ascii="Arial" w:cs="Arial" w:eastAsia="Arial" w:hAnsi="Arial"/>
                <w:sz w:val="14"/>
                <w:szCs w:val="14"/>
                <w:color w:val="auto"/>
              </w:rPr>
              <w:t>72,354</w:t>
            </w:r>
          </w:p>
        </w:tc>
        <w:tc>
          <w:tcPr>
            <w:tcW w:w="180" w:type="dxa"/>
            <w:vAlign w:val="bottom"/>
            <w:tcBorders>
              <w:bottom w:val="single" w:sz="8" w:color="auto"/>
            </w:tcBorders>
            <w:shd w:val="clear" w:color="auto" w:fill="F0F1F8"/>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F0F1F8"/>
          </w:tcPr>
          <w:p>
            <w:pPr>
              <w:jc w:val="right"/>
              <w:spacing w:after="0"/>
              <w:rPr>
                <w:sz w:val="20"/>
                <w:szCs w:val="20"/>
                <w:color w:val="auto"/>
              </w:rPr>
            </w:pPr>
            <w:r>
              <w:rPr>
                <w:rFonts w:ascii="Arial" w:cs="Arial" w:eastAsia="Arial" w:hAnsi="Arial"/>
                <w:sz w:val="14"/>
                <w:szCs w:val="14"/>
                <w:color w:val="auto"/>
              </w:rPr>
              <w:t>4,098,283</w:t>
            </w:r>
          </w:p>
        </w:tc>
      </w:tr>
    </w:tbl>
    <w:p>
      <w:pPr>
        <w:spacing w:after="0" w:line="58" w:lineRule="exact"/>
        <w:rPr>
          <w:sz w:val="20"/>
          <w:szCs w:val="20"/>
          <w:color w:val="auto"/>
        </w:rPr>
      </w:pPr>
    </w:p>
    <w:p>
      <w:pPr>
        <w:ind w:left="280" w:right="260" w:hanging="273"/>
        <w:spacing w:after="0" w:line="206" w:lineRule="auto"/>
        <w:tabs>
          <w:tab w:leader="none" w:pos="280" w:val="left"/>
        </w:tabs>
        <w:numPr>
          <w:ilvl w:val="0"/>
          <w:numId w:val="145"/>
        </w:numPr>
        <w:rPr>
          <w:rFonts w:ascii="Arial" w:cs="Arial" w:eastAsia="Arial" w:hAnsi="Arial"/>
          <w:sz w:val="24"/>
          <w:szCs w:val="24"/>
          <w:color w:val="auto"/>
          <w:vertAlign w:val="superscript"/>
        </w:rPr>
      </w:pPr>
      <w:r>
        <w:rPr>
          <w:rFonts w:ascii="Arial" w:cs="Arial" w:eastAsia="Arial" w:hAnsi="Arial"/>
          <w:sz w:val="14"/>
          <w:szCs w:val="14"/>
          <w:color w:val="auto"/>
        </w:rPr>
        <w:t>All values are based on a closing stock price of $612.69 per share as of December 31, 2021. The amounts included in this table also represent values associated with the acceleration of the 2019 PSUs for the NEOs, which vested on February 7, 2022. As such, as of the date of this proxy statement, the value attributable to the 2019 PSUs reflected in the table above for Messrs. Fernandez ($49,129,773), Wiechmann ($1,850,936), Pettit ($22,674,432), Crum ($6,650,137) and Gutowski ($1,850,936) are no longer currently applicable in the event of any future termination of employment or change in control.</w:t>
      </w:r>
    </w:p>
    <w:p>
      <w:pPr>
        <w:spacing w:after="0" w:line="44" w:lineRule="exact"/>
        <w:rPr>
          <w:rFonts w:ascii="Arial" w:cs="Arial" w:eastAsia="Arial" w:hAnsi="Arial"/>
          <w:sz w:val="24"/>
          <w:szCs w:val="24"/>
          <w:color w:val="auto"/>
          <w:vertAlign w:val="superscript"/>
        </w:rPr>
      </w:pPr>
    </w:p>
    <w:p>
      <w:pPr>
        <w:ind w:left="280" w:right="20" w:hanging="273"/>
        <w:spacing w:after="0" w:line="206" w:lineRule="auto"/>
        <w:tabs>
          <w:tab w:leader="none" w:pos="280" w:val="left"/>
        </w:tabs>
        <w:numPr>
          <w:ilvl w:val="0"/>
          <w:numId w:val="145"/>
        </w:numPr>
        <w:rPr>
          <w:rFonts w:ascii="Arial" w:cs="Arial" w:eastAsia="Arial" w:hAnsi="Arial"/>
          <w:sz w:val="24"/>
          <w:szCs w:val="24"/>
          <w:color w:val="auto"/>
          <w:vertAlign w:val="superscript"/>
        </w:rPr>
      </w:pPr>
      <w:r>
        <w:rPr>
          <w:rFonts w:ascii="Arial" w:cs="Arial" w:eastAsia="Arial" w:hAnsi="Arial"/>
          <w:sz w:val="14"/>
          <w:szCs w:val="14"/>
          <w:color w:val="auto"/>
        </w:rPr>
        <w:t>These amounts represent the values associated with the acceleration of unvested RSUs and payout of PSUs at the target performance level upon a termination of the NEO’s employment due to an involuntary termination without cause (not following a change in control), in each case, pursuant to the terms of the applicable award agreement. The value associated with the acceleration of unvested RSUs and PSUs (assuming payout at the maximum performance level) is $205,017,715 for Mr. Fernandez, $5,633,072 for Mr. Wiechmann, $44,318,931 for Mr. Pettit, $12,393,493 for Mr. Crum and $3,874,039 for Mr. Gutowski.</w:t>
      </w:r>
    </w:p>
    <w:p>
      <w:pPr>
        <w:spacing w:after="0" w:line="44" w:lineRule="exact"/>
        <w:rPr>
          <w:rFonts w:ascii="Arial" w:cs="Arial" w:eastAsia="Arial" w:hAnsi="Arial"/>
          <w:sz w:val="24"/>
          <w:szCs w:val="24"/>
          <w:color w:val="auto"/>
          <w:vertAlign w:val="superscript"/>
        </w:rPr>
      </w:pPr>
    </w:p>
    <w:p>
      <w:pPr>
        <w:ind w:left="280" w:right="40" w:hanging="273"/>
        <w:spacing w:after="0" w:line="206" w:lineRule="auto"/>
        <w:tabs>
          <w:tab w:leader="none" w:pos="280" w:val="left"/>
        </w:tabs>
        <w:numPr>
          <w:ilvl w:val="0"/>
          <w:numId w:val="145"/>
        </w:numPr>
        <w:rPr>
          <w:rFonts w:ascii="Arial" w:cs="Arial" w:eastAsia="Arial" w:hAnsi="Arial"/>
          <w:sz w:val="24"/>
          <w:szCs w:val="24"/>
          <w:color w:val="auto"/>
          <w:vertAlign w:val="superscript"/>
        </w:rPr>
      </w:pPr>
      <w:r>
        <w:rPr>
          <w:rFonts w:ascii="Arial" w:cs="Arial" w:eastAsia="Arial" w:hAnsi="Arial"/>
          <w:sz w:val="14"/>
          <w:szCs w:val="14"/>
          <w:color w:val="auto"/>
        </w:rPr>
        <w:t>These amounts represent the values associated with the acceleration of unvested RSUs and payout of PSUs at the target performance level upon a termination of the NEO’s employment due to death or disability, in each case, pursuant to the terms of the applicable award agreement. The value associated with the acceleration of unvested RSUs and PSUs (assuming payout at the maximum performance level) is $205,017,715 for Mr. Fernandez, $11,237,960 for Mr. Wiechmann, $92,937,108 for Mr. Pettit, $23,668,215 for Mr. Crum and $8,915,252 for Mr. Gutowski.</w:t>
      </w:r>
    </w:p>
    <w:p>
      <w:pPr>
        <w:spacing w:after="0" w:line="44" w:lineRule="exact"/>
        <w:rPr>
          <w:rFonts w:ascii="Arial" w:cs="Arial" w:eastAsia="Arial" w:hAnsi="Arial"/>
          <w:sz w:val="24"/>
          <w:szCs w:val="24"/>
          <w:color w:val="auto"/>
          <w:vertAlign w:val="superscript"/>
        </w:rPr>
      </w:pPr>
    </w:p>
    <w:p>
      <w:pPr>
        <w:ind w:left="280" w:right="40" w:hanging="273"/>
        <w:spacing w:after="0" w:line="206" w:lineRule="auto"/>
        <w:tabs>
          <w:tab w:leader="none" w:pos="280" w:val="left"/>
        </w:tabs>
        <w:numPr>
          <w:ilvl w:val="0"/>
          <w:numId w:val="145"/>
        </w:numPr>
        <w:rPr>
          <w:rFonts w:ascii="Arial" w:cs="Arial" w:eastAsia="Arial" w:hAnsi="Arial"/>
          <w:sz w:val="24"/>
          <w:szCs w:val="24"/>
          <w:color w:val="auto"/>
          <w:vertAlign w:val="superscript"/>
        </w:rPr>
      </w:pPr>
      <w:r>
        <w:rPr>
          <w:rFonts w:ascii="Arial" w:cs="Arial" w:eastAsia="Arial" w:hAnsi="Arial"/>
          <w:sz w:val="14"/>
          <w:szCs w:val="14"/>
          <w:color w:val="auto"/>
        </w:rPr>
        <w:t>These amounts represent the values associated with the acceleration of unvested RSUs and payout of PSUs at the target performance level upon a termination of the NEO’s employment due to a termination for government service pursuant to the terms of the applicable award agreement. The value associated with the acceleration of unvested RSUs and PSUs (assuming payout at the maximum performance level) is $205,017,715 for Mr. Fernandez, $11,237,960 for Mr. Wiechmann, $92,937,108 for Mr. Pettit, $23,668,215 for Mr. Crum and $8,915,252 for Mr. Gutowski.</w:t>
      </w:r>
    </w:p>
    <w:p>
      <w:pPr>
        <w:spacing w:after="0" w:line="44" w:lineRule="exact"/>
        <w:rPr>
          <w:rFonts w:ascii="Arial" w:cs="Arial" w:eastAsia="Arial" w:hAnsi="Arial"/>
          <w:sz w:val="24"/>
          <w:szCs w:val="24"/>
          <w:color w:val="auto"/>
          <w:vertAlign w:val="superscript"/>
        </w:rPr>
      </w:pPr>
    </w:p>
    <w:p>
      <w:pPr>
        <w:ind w:left="280" w:right="140" w:hanging="240"/>
        <w:spacing w:after="0" w:line="197" w:lineRule="auto"/>
        <w:tabs>
          <w:tab w:leader="none" w:pos="280" w:val="left"/>
        </w:tabs>
        <w:numPr>
          <w:ilvl w:val="1"/>
          <w:numId w:val="145"/>
        </w:numPr>
        <w:rPr>
          <w:rFonts w:ascii="Arial" w:cs="Arial" w:eastAsia="Arial" w:hAnsi="Arial"/>
          <w:sz w:val="24"/>
          <w:szCs w:val="24"/>
          <w:color w:val="auto"/>
          <w:vertAlign w:val="superscript"/>
        </w:rPr>
      </w:pPr>
      <w:r>
        <w:rPr>
          <w:rFonts w:ascii="Arial" w:cs="Arial" w:eastAsia="Arial" w:hAnsi="Arial"/>
          <w:sz w:val="14"/>
          <w:szCs w:val="14"/>
          <w:color w:val="auto"/>
        </w:rPr>
        <w:t>A lump sum cash payment under our CIC Plan equal to the sum of (1) two times the participant’s base salary and (2) two times the participant’s average annual cash bonus (three-year average annual cash bonus). For more information on our CIC Plan and qualifying terminations of employment thereunder, see “Compensation Discussion and Analysis—Potential Payments Upon Termination or Change in Control—Change in Control Severance Plan”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57150</wp:posOffset>
            </wp:positionV>
            <wp:extent cx="7154545" cy="209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00" w:type="dxa"/>
            <w:vAlign w:val="bottom"/>
            <w:tcBorders>
              <w:right w:val="single" w:sz="8" w:color="16479F"/>
            </w:tcBorders>
          </w:tcPr>
          <w:p>
            <w:pPr>
              <w:ind w:left="8740"/>
              <w:spacing w:after="0"/>
              <w:rPr>
                <w:sz w:val="20"/>
                <w:szCs w:val="20"/>
                <w:color w:val="auto"/>
              </w:rPr>
            </w:pPr>
            <w:r>
              <w:rPr>
                <w:rFonts w:ascii="Arial" w:cs="Arial" w:eastAsia="Arial" w:hAnsi="Arial"/>
                <w:sz w:val="14"/>
                <w:szCs w:val="14"/>
                <w:b w:val="1"/>
                <w:bCs w:val="1"/>
                <w:color w:val="16479F"/>
              </w:rPr>
              <w:t>2022 PROXY STATEMENT</w:t>
            </w:r>
          </w:p>
        </w:tc>
        <w:tc>
          <w:tcPr>
            <w:tcW w:w="640" w:type="dxa"/>
            <w:vAlign w:val="bottom"/>
          </w:tcPr>
          <w:p>
            <w:pPr>
              <w:jc w:val="right"/>
              <w:ind w:right="9"/>
              <w:spacing w:after="0"/>
              <w:rPr>
                <w:sz w:val="20"/>
                <w:szCs w:val="20"/>
                <w:color w:val="auto"/>
              </w:rPr>
            </w:pPr>
            <w:r>
              <w:rPr>
                <w:rFonts w:ascii="Arial" w:cs="Arial" w:eastAsia="Arial" w:hAnsi="Arial"/>
                <w:sz w:val="14"/>
                <w:szCs w:val="14"/>
                <w:b w:val="1"/>
                <w:bCs w:val="1"/>
                <w:color w:val="16479F"/>
              </w:rPr>
              <w:t>95</w:t>
            </w:r>
          </w:p>
        </w:tc>
      </w:tr>
      <w:tr>
        <w:trPr>
          <w:trHeight w:val="65"/>
        </w:trPr>
        <w:tc>
          <w:tcPr>
            <w:tcW w:w="10600" w:type="dxa"/>
            <w:vAlign w:val="bottom"/>
            <w:tcBorders>
              <w:bottom w:val="single" w:sz="8" w:color="16479F"/>
              <w:right w:val="single" w:sz="8" w:color="16479F"/>
            </w:tcBorders>
          </w:tcPr>
          <w:p>
            <w:pPr>
              <w:spacing w:after="0"/>
              <w:rPr>
                <w:sz w:val="5"/>
                <w:szCs w:val="5"/>
                <w:color w:val="auto"/>
              </w:rPr>
            </w:pPr>
          </w:p>
        </w:tc>
        <w:tc>
          <w:tcPr>
            <w:tcW w:w="640" w:type="dxa"/>
            <w:vAlign w:val="bottom"/>
            <w:tcBorders>
              <w:bottom w:val="single" w:sz="8" w:color="16479F"/>
            </w:tcBorders>
          </w:tcPr>
          <w:p>
            <w:pPr>
              <w:spacing w:after="0"/>
              <w:rPr>
                <w:sz w:val="5"/>
                <w:szCs w:val="5"/>
                <w:color w:val="auto"/>
              </w:rPr>
            </w:pPr>
          </w:p>
        </w:tc>
      </w:tr>
    </w:tbl>
    <w:p>
      <w:pPr>
        <w:spacing w:after="0" w:line="58" w:lineRule="exact"/>
        <w:rPr>
          <w:sz w:val="20"/>
          <w:szCs w:val="20"/>
          <w:color w:val="auto"/>
        </w:rPr>
      </w:pPr>
    </w:p>
    <w:p>
      <w:pPr>
        <w:ind w:left="280" w:right="140" w:hanging="273"/>
        <w:spacing w:after="0" w:line="216" w:lineRule="auto"/>
        <w:tabs>
          <w:tab w:leader="none" w:pos="280" w:val="left"/>
        </w:tabs>
        <w:numPr>
          <w:ilvl w:val="0"/>
          <w:numId w:val="146"/>
        </w:numPr>
        <w:rPr>
          <w:rFonts w:ascii="Arial" w:cs="Arial" w:eastAsia="Arial" w:hAnsi="Arial"/>
          <w:sz w:val="24"/>
          <w:szCs w:val="24"/>
          <w:color w:val="auto"/>
          <w:vertAlign w:val="superscript"/>
        </w:rPr>
      </w:pPr>
      <w:r>
        <w:rPr>
          <w:rFonts w:ascii="Arial" w:cs="Arial" w:eastAsia="Arial" w:hAnsi="Arial"/>
          <w:sz w:val="14"/>
          <w:szCs w:val="14"/>
          <w:color w:val="auto"/>
        </w:rPr>
        <w:t>A lump sum cash payment under our CIC Plan equal to 135% of the approximate amount of COBRA continuation premiums for the participant and his or her eligible dependents for 24 months for the coverage option and level of medical, dental and/or vision coverage in effect for the participant immediately prior to the date of termination (or, in the case of an international participant, equivalent local private medical benefits); provided, however, that such continued participation shall only be provided to an international participant to the extent permitted under the terms of any applicable group health plan and applicable law. For more information on our CIC Plan and qualifying terminations of employment thereunder, see “Compensation Discussion and Analysis—Potential Payments Upon Termination or Change in Control—Change in Control Severance Plan” above.</w:t>
      </w:r>
    </w:p>
    <w:p>
      <w:pPr>
        <w:spacing w:after="0" w:line="44" w:lineRule="exact"/>
        <w:rPr>
          <w:rFonts w:ascii="Arial" w:cs="Arial" w:eastAsia="Arial" w:hAnsi="Arial"/>
          <w:sz w:val="24"/>
          <w:szCs w:val="24"/>
          <w:color w:val="auto"/>
          <w:vertAlign w:val="superscript"/>
        </w:rPr>
      </w:pPr>
    </w:p>
    <w:p>
      <w:pPr>
        <w:ind w:left="280" w:right="40" w:hanging="273"/>
        <w:spacing w:after="0" w:line="206" w:lineRule="auto"/>
        <w:tabs>
          <w:tab w:leader="none" w:pos="280" w:val="left"/>
        </w:tabs>
        <w:numPr>
          <w:ilvl w:val="0"/>
          <w:numId w:val="146"/>
        </w:numPr>
        <w:rPr>
          <w:rFonts w:ascii="Arial" w:cs="Arial" w:eastAsia="Arial" w:hAnsi="Arial"/>
          <w:sz w:val="24"/>
          <w:szCs w:val="24"/>
          <w:color w:val="auto"/>
          <w:vertAlign w:val="superscript"/>
        </w:rPr>
      </w:pPr>
      <w:r>
        <w:rPr>
          <w:rFonts w:ascii="Arial" w:cs="Arial" w:eastAsia="Arial" w:hAnsi="Arial"/>
          <w:sz w:val="14"/>
          <w:szCs w:val="14"/>
          <w:color w:val="auto"/>
        </w:rPr>
        <w:t>These amounts represent the values associated with the acceleration of unvested RSUs and payout of PSUs at the target performance level upon a termination of the NEO’s employment by the Company without cause or by the NEO for good reason, in each case, within 24 months following a change in control, pursuant to the terms of the applicable award agreement. The value associated with the acceleration of unvested RSUs and PSUs (assuming payout at the maximum performance level) is $205,017,715 for Mr. Fernandez, $11,237,960 for Mr. Wiechmann, $92,937,108 for Mr. Pettit, $23,668,215 for Mr. Crum and $8,915,252 for Mr. Gutowski.</w:t>
      </w:r>
    </w:p>
    <w:p>
      <w:pPr>
        <w:spacing w:after="0" w:line="165"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2021 Pay Ratio</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In accordance with the requirements of Section 953(b) of the Dodd-Frank Act and Item 402(u) of Regulation S-K (which we collectively refer to as the “Pay</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Ratio Rule”), we are providing the following estimated information for 2021:</w:t>
      </w:r>
    </w:p>
    <w:p>
      <w:pPr>
        <w:spacing w:after="0" w:line="218" w:lineRule="exact"/>
        <w:rPr>
          <w:sz w:val="20"/>
          <w:szCs w:val="20"/>
          <w:color w:val="auto"/>
        </w:rPr>
      </w:pPr>
    </w:p>
    <w:p>
      <w:pPr>
        <w:ind w:left="240" w:hanging="233"/>
        <w:spacing w:after="0"/>
        <w:tabs>
          <w:tab w:leader="none" w:pos="240" w:val="left"/>
        </w:tabs>
        <w:numPr>
          <w:ilvl w:val="0"/>
          <w:numId w:val="147"/>
        </w:numPr>
        <w:rPr>
          <w:rFonts w:ascii="Arial" w:cs="Arial" w:eastAsia="Arial" w:hAnsi="Arial"/>
          <w:sz w:val="16"/>
          <w:szCs w:val="16"/>
          <w:color w:val="16479F"/>
        </w:rPr>
      </w:pPr>
      <w:r>
        <w:rPr>
          <w:rFonts w:ascii="Arial" w:cs="Arial" w:eastAsia="Arial" w:hAnsi="Arial"/>
          <w:sz w:val="16"/>
          <w:szCs w:val="16"/>
          <w:color w:val="auto"/>
        </w:rPr>
        <w:t>the median of the annual total compensation of all our employees (except our Chief Executive Officer) was $58,415;</w:t>
      </w:r>
    </w:p>
    <w:p>
      <w:pPr>
        <w:spacing w:after="0" w:line="83" w:lineRule="exact"/>
        <w:rPr>
          <w:rFonts w:ascii="Arial" w:cs="Arial" w:eastAsia="Arial" w:hAnsi="Arial"/>
          <w:sz w:val="16"/>
          <w:szCs w:val="16"/>
          <w:color w:val="16479F"/>
        </w:rPr>
      </w:pPr>
    </w:p>
    <w:p>
      <w:pPr>
        <w:ind w:left="240" w:hanging="233"/>
        <w:spacing w:after="0"/>
        <w:tabs>
          <w:tab w:leader="none" w:pos="240" w:val="left"/>
        </w:tabs>
        <w:numPr>
          <w:ilvl w:val="0"/>
          <w:numId w:val="147"/>
        </w:numPr>
        <w:rPr>
          <w:rFonts w:ascii="Arial" w:cs="Arial" w:eastAsia="Arial" w:hAnsi="Arial"/>
          <w:sz w:val="16"/>
          <w:szCs w:val="16"/>
          <w:color w:val="16479F"/>
        </w:rPr>
      </w:pPr>
      <w:r>
        <w:rPr>
          <w:rFonts w:ascii="Arial" w:cs="Arial" w:eastAsia="Arial" w:hAnsi="Arial"/>
          <w:sz w:val="16"/>
          <w:szCs w:val="16"/>
          <w:color w:val="auto"/>
        </w:rPr>
        <w:t>the annual total compensation of our Chief Executive Officer was $10,338,312; and</w:t>
      </w:r>
    </w:p>
    <w:p>
      <w:pPr>
        <w:spacing w:after="0" w:line="83" w:lineRule="exact"/>
        <w:rPr>
          <w:rFonts w:ascii="Arial" w:cs="Arial" w:eastAsia="Arial" w:hAnsi="Arial"/>
          <w:sz w:val="16"/>
          <w:szCs w:val="16"/>
          <w:color w:val="16479F"/>
        </w:rPr>
      </w:pPr>
    </w:p>
    <w:p>
      <w:pPr>
        <w:ind w:left="240" w:right="60" w:hanging="233"/>
        <w:spacing w:after="0" w:line="256" w:lineRule="auto"/>
        <w:tabs>
          <w:tab w:leader="none" w:pos="240" w:val="left"/>
        </w:tabs>
        <w:numPr>
          <w:ilvl w:val="0"/>
          <w:numId w:val="147"/>
        </w:numPr>
        <w:rPr>
          <w:rFonts w:ascii="Arial" w:cs="Arial" w:eastAsia="Arial" w:hAnsi="Arial"/>
          <w:sz w:val="16"/>
          <w:szCs w:val="16"/>
          <w:color w:val="16479F"/>
        </w:rPr>
      </w:pPr>
      <w:r>
        <w:rPr>
          <w:rFonts w:ascii="Arial" w:cs="Arial" w:eastAsia="Arial" w:hAnsi="Arial"/>
          <w:sz w:val="16"/>
          <w:szCs w:val="16"/>
          <w:color w:val="auto"/>
        </w:rPr>
        <w:t>the ratio of these two amounts was 177 to 1. We believe that this ratio is a reasonable estimate calculated in a manner consistent with the requirements of the Pay Ratio Rule.</w:t>
      </w:r>
    </w:p>
    <w:p>
      <w:pPr>
        <w:spacing w:after="0" w:line="197"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SEC rules for identifying the median employee and calculating the pay ratio allow companies to apply various methodologies and apply various assumptions and, as a result, the pay ratio reported by us may not be comparable to the pay ratio reported by other companies.</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b w:val="1"/>
          <w:bCs w:val="1"/>
          <w:color w:val="16479F"/>
        </w:rPr>
        <w:t>Methodology for Identifying our “Median Employee”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POPULATION</w:t>
      </w:r>
    </w:p>
    <w:p>
      <w:pPr>
        <w:spacing w:after="0" w:line="233" w:lineRule="exact"/>
        <w:rPr>
          <w:sz w:val="20"/>
          <w:szCs w:val="20"/>
          <w:color w:val="auto"/>
        </w:rPr>
      </w:pPr>
    </w:p>
    <w:p>
      <w:pPr>
        <w:ind w:right="300"/>
        <w:spacing w:after="0" w:line="247" w:lineRule="auto"/>
        <w:rPr>
          <w:sz w:val="20"/>
          <w:szCs w:val="20"/>
          <w:color w:val="auto"/>
        </w:rPr>
      </w:pPr>
      <w:r>
        <w:rPr>
          <w:rFonts w:ascii="Arial" w:cs="Arial" w:eastAsia="Arial" w:hAnsi="Arial"/>
          <w:sz w:val="16"/>
          <w:szCs w:val="16"/>
          <w:color w:val="auto"/>
        </w:rPr>
        <w:t>To identify the median of the annual total compensation of all our employees (other than our Chief Executive Officer), we first identified our total employee population from which we determined our “median employee.” We determined that, as of December 31, 2021, our employee population consisted of 4,303 individuals (of which 47.4% of MSCI employees were located in the Asia Pacific region, 23.3% in Europe, Middle East and Africa, 20.6% in the U.S. and Canada, and 8.7% in Mexico and Brazil). Our employee population consisted of our global workforce of full-time, part-time, seasonal and temporary employees, as described in more detail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DETERMINING OUR MEDIAN EMPLOYEE</w:t>
      </w:r>
    </w:p>
    <w:p>
      <w:pPr>
        <w:spacing w:after="0" w:line="233"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To identify our “median employee” from our total employee population, we compared the amount of base salary plus actual cash bonus paid for 2021. In making this determination, we annualized the compensation of our full-time employees who were hired in 2021 but did not work for us for the entire fiscal year and permanent part-time employees. We identified our “median employee” using this compensation measure, which was consistently applied to all our employees included in the calculation.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MEDIAN EMPLOYEE</w:t>
      </w:r>
    </w:p>
    <w:p>
      <w:pPr>
        <w:spacing w:after="0" w:line="233"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Using the methodologies described above, we determined that our “median employee” was a full-time, salaried employee located in Mumbai, India, with base salary for the 12-month period ending December 31, 2021 in the amount of $41,580.</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b w:val="1"/>
          <w:bCs w:val="1"/>
          <w:color w:val="16479F"/>
        </w:rPr>
        <w:t>Determination of Annual Total Compensation of our “Median Employee” and our CEO</w:t>
      </w:r>
    </w:p>
    <w:p>
      <w:pPr>
        <w:spacing w:after="0" w:line="248"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Once we identified our “median employee,” we then calculated such employee’s annual total compensation for 2021 using the same methodology we used for purposes of determining the annual total compensation of our NEOs for 2021 (as set forth in the Summary Compensation Table for 2021 on page 87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124460</wp:posOffset>
            </wp:positionV>
            <wp:extent cx="7154545" cy="209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149860</wp:posOffset>
            </wp:positionV>
            <wp:extent cx="7133590" cy="21272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3590" cy="212725"/>
                    </a:xfrm>
                    <a:prstGeom prst="rect">
                      <a:avLst/>
                    </a:prstGeom>
                    <a:noFill/>
                  </pic:spPr>
                </pic:pic>
              </a:graphicData>
            </a:graphic>
          </wp:anchor>
        </w:drawing>
      </w:r>
    </w:p>
    <w:p>
      <w:pPr>
        <w:spacing w:after="0" w:line="283"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4"/>
          <w:szCs w:val="14"/>
          <w:b w:val="1"/>
          <w:bCs w:val="1"/>
          <w:color w:val="16479F"/>
        </w:rPr>
        <w:t>96</w:t>
      </w:r>
      <w:r>
        <w:rPr>
          <w:sz w:val="20"/>
          <w:szCs w:val="20"/>
          <w:color w:val="auto"/>
        </w:rPr>
        <w:tab/>
      </w:r>
      <w:r>
        <w:rPr>
          <w:rFonts w:ascii="Arial" w:cs="Arial" w:eastAsia="Arial" w:hAnsi="Arial"/>
          <w:sz w:val="14"/>
          <w:szCs w:val="14"/>
          <w:b w:val="1"/>
          <w:bCs w:val="1"/>
          <w:color w:val="16479F"/>
        </w:rPr>
        <w:t>MSCI</w:t>
      </w:r>
    </w:p>
    <w:p>
      <w:pPr>
        <w:spacing w:after="0" w:line="197" w:lineRule="exact"/>
        <w:rPr>
          <w:sz w:val="20"/>
          <w:szCs w:val="20"/>
          <w:color w:val="auto"/>
        </w:rPr>
      </w:pPr>
    </w:p>
    <w:p>
      <w:pPr>
        <w:spacing w:after="0"/>
        <w:rPr>
          <w:sz w:val="20"/>
          <w:szCs w:val="20"/>
          <w:color w:val="auto"/>
        </w:rPr>
      </w:pPr>
      <w:r>
        <w:rPr>
          <w:rFonts w:ascii="Arial" w:cs="Arial" w:eastAsia="Arial" w:hAnsi="Arial"/>
          <w:sz w:val="54"/>
          <w:szCs w:val="54"/>
          <w:b w:val="1"/>
          <w:bCs w:val="1"/>
          <w:color w:val="002739"/>
        </w:rPr>
        <w:t>Audit Matters</w:t>
      </w:r>
    </w:p>
    <w:p>
      <w:pPr>
        <w:spacing w:after="0" w:line="230" w:lineRule="exact"/>
        <w:rPr>
          <w:sz w:val="20"/>
          <w:szCs w:val="20"/>
          <w:color w:val="auto"/>
        </w:rPr>
      </w:pPr>
    </w:p>
    <w:p>
      <w:pPr>
        <w:spacing w:after="0"/>
        <w:rPr>
          <w:sz w:val="20"/>
          <w:szCs w:val="20"/>
          <w:color w:val="auto"/>
        </w:rPr>
      </w:pPr>
      <w:r>
        <w:rPr>
          <w:rFonts w:ascii="Arial" w:cs="Arial" w:eastAsia="Arial" w:hAnsi="Arial"/>
          <w:sz w:val="32"/>
          <w:szCs w:val="32"/>
          <w:b w:val="1"/>
          <w:bCs w:val="1"/>
          <w:color w:val="16479F"/>
        </w:rPr>
        <w:t>Independent Auditor’s Fees</w:t>
      </w:r>
    </w:p>
    <w:p>
      <w:pPr>
        <w:spacing w:after="0" w:line="259"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The following table summarizes the aggregate fees (including related expenses) billed and/or accrued in 2021 and 2020 for professional services provided by PwC. On March 15, 2021, the Audit and Risk Committee approved the engagement of PwC as the Company’s independent auditor for 2021. These fees were approved pursuant to the pre-approval policies and procedures described below.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20" w:type="dxa"/>
            <w:vAlign w:val="bottom"/>
            <w:tcBorders>
              <w:bottom w:val="single" w:sz="8" w:color="16479F"/>
            </w:tcBorders>
          </w:tcPr>
          <w:p>
            <w:pPr>
              <w:ind w:left="60"/>
              <w:spacing w:after="0"/>
              <w:rPr>
                <w:sz w:val="20"/>
                <w:szCs w:val="20"/>
                <w:color w:val="auto"/>
              </w:rPr>
            </w:pPr>
            <w:r>
              <w:rPr>
                <w:rFonts w:ascii="Arial" w:cs="Arial" w:eastAsia="Arial" w:hAnsi="Arial"/>
                <w:sz w:val="14"/>
                <w:szCs w:val="14"/>
                <w:b w:val="1"/>
                <w:bCs w:val="1"/>
                <w:color w:val="auto"/>
              </w:rPr>
              <w:t>$ IN THOUSANDS</w:t>
            </w:r>
          </w:p>
        </w:tc>
        <w:tc>
          <w:tcPr>
            <w:tcW w:w="4860" w:type="dxa"/>
            <w:vAlign w:val="bottom"/>
            <w:tcBorders>
              <w:bottom w:val="single" w:sz="8" w:color="16479F"/>
            </w:tcBorders>
          </w:tcPr>
          <w:p>
            <w:pPr>
              <w:jc w:val="right"/>
              <w:ind w:right="21"/>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16479F"/>
            </w:tcBorders>
          </w:tcPr>
          <w:p>
            <w:pPr>
              <w:jc w:val="right"/>
              <w:spacing w:after="0"/>
              <w:rPr>
                <w:sz w:val="20"/>
                <w:szCs w:val="20"/>
                <w:color w:val="auto"/>
              </w:rPr>
            </w:pPr>
            <w:r>
              <w:rPr>
                <w:rFonts w:ascii="Arial" w:cs="Arial" w:eastAsia="Arial" w:hAnsi="Arial"/>
                <w:sz w:val="14"/>
                <w:szCs w:val="14"/>
                <w:b w:val="1"/>
                <w:bCs w:val="1"/>
                <w:color w:val="auto"/>
              </w:rPr>
              <w:t>2020</w:t>
            </w:r>
          </w:p>
        </w:tc>
      </w:tr>
      <w:tr>
        <w:trPr>
          <w:trHeight w:val="280"/>
        </w:trPr>
        <w:tc>
          <w:tcPr>
            <w:tcW w:w="5820" w:type="dxa"/>
            <w:vAlign w:val="bottom"/>
            <w:shd w:val="clear" w:color="auto" w:fill="F0F1F8"/>
          </w:tcPr>
          <w:p>
            <w:pPr>
              <w:ind w:left="60"/>
              <w:spacing w:after="0" w:line="281" w:lineRule="exact"/>
              <w:rPr>
                <w:sz w:val="20"/>
                <w:szCs w:val="20"/>
                <w:color w:val="auto"/>
              </w:rPr>
            </w:pPr>
            <w:r>
              <w:rPr>
                <w:rFonts w:ascii="Arial" w:cs="Arial" w:eastAsia="Arial" w:hAnsi="Arial"/>
                <w:sz w:val="16"/>
                <w:szCs w:val="16"/>
                <w:color w:val="auto"/>
              </w:rPr>
              <w:t>Audit fees</w:t>
            </w:r>
            <w:r>
              <w:rPr>
                <w:rFonts w:ascii="Arial" w:cs="Arial" w:eastAsia="Arial" w:hAnsi="Arial"/>
                <w:sz w:val="26"/>
                <w:szCs w:val="26"/>
                <w:color w:val="auto"/>
                <w:vertAlign w:val="superscript"/>
              </w:rPr>
              <w:t>(1)</w:t>
            </w:r>
          </w:p>
        </w:tc>
        <w:tc>
          <w:tcPr>
            <w:tcW w:w="4860" w:type="dxa"/>
            <w:vAlign w:val="bottom"/>
            <w:shd w:val="clear" w:color="auto" w:fill="F0F1F8"/>
          </w:tcPr>
          <w:p>
            <w:pPr>
              <w:jc w:val="right"/>
              <w:ind w:right="21"/>
              <w:spacing w:after="0"/>
              <w:rPr>
                <w:sz w:val="20"/>
                <w:szCs w:val="20"/>
                <w:color w:val="auto"/>
              </w:rPr>
            </w:pPr>
            <w:r>
              <w:rPr>
                <w:rFonts w:ascii="Arial" w:cs="Arial" w:eastAsia="Arial" w:hAnsi="Arial"/>
                <w:sz w:val="16"/>
                <w:szCs w:val="16"/>
                <w:color w:val="auto"/>
              </w:rPr>
              <w:t>3,396</w:t>
            </w:r>
          </w:p>
        </w:tc>
        <w:tc>
          <w:tcPr>
            <w:tcW w:w="560" w:type="dxa"/>
            <w:vAlign w:val="bottom"/>
            <w:shd w:val="clear" w:color="auto" w:fill="F0F1F8"/>
          </w:tcPr>
          <w:p>
            <w:pPr>
              <w:jc w:val="right"/>
              <w:spacing w:after="0"/>
              <w:rPr>
                <w:sz w:val="20"/>
                <w:szCs w:val="20"/>
                <w:color w:val="auto"/>
              </w:rPr>
            </w:pPr>
            <w:r>
              <w:rPr>
                <w:rFonts w:ascii="Arial" w:cs="Arial" w:eastAsia="Arial" w:hAnsi="Arial"/>
                <w:sz w:val="16"/>
                <w:szCs w:val="16"/>
                <w:color w:val="auto"/>
              </w:rPr>
              <w:t>3,120</w:t>
            </w:r>
          </w:p>
        </w:tc>
      </w:tr>
      <w:tr>
        <w:trPr>
          <w:trHeight w:val="281"/>
        </w:trPr>
        <w:tc>
          <w:tcPr>
            <w:tcW w:w="5820" w:type="dxa"/>
            <w:vAlign w:val="bottom"/>
          </w:tcPr>
          <w:p>
            <w:pPr>
              <w:ind w:left="60"/>
              <w:spacing w:after="0" w:line="281" w:lineRule="exact"/>
              <w:rPr>
                <w:sz w:val="20"/>
                <w:szCs w:val="20"/>
                <w:color w:val="auto"/>
              </w:rPr>
            </w:pPr>
            <w:r>
              <w:rPr>
                <w:rFonts w:ascii="Arial" w:cs="Arial" w:eastAsia="Arial" w:hAnsi="Arial"/>
                <w:sz w:val="16"/>
                <w:szCs w:val="16"/>
                <w:color w:val="auto"/>
              </w:rPr>
              <w:t>Audit-related fees</w:t>
            </w:r>
            <w:r>
              <w:rPr>
                <w:rFonts w:ascii="Arial" w:cs="Arial" w:eastAsia="Arial" w:hAnsi="Arial"/>
                <w:sz w:val="26"/>
                <w:szCs w:val="26"/>
                <w:color w:val="auto"/>
                <w:vertAlign w:val="superscript"/>
              </w:rPr>
              <w:t>(2)</w:t>
            </w:r>
          </w:p>
        </w:tc>
        <w:tc>
          <w:tcPr>
            <w:tcW w:w="4860" w:type="dxa"/>
            <w:vAlign w:val="bottom"/>
          </w:tcPr>
          <w:p>
            <w:pPr>
              <w:jc w:val="right"/>
              <w:ind w:right="21"/>
              <w:spacing w:after="0"/>
              <w:rPr>
                <w:sz w:val="20"/>
                <w:szCs w:val="20"/>
                <w:color w:val="auto"/>
              </w:rPr>
            </w:pPr>
            <w:r>
              <w:rPr>
                <w:rFonts w:ascii="Arial" w:cs="Arial" w:eastAsia="Arial" w:hAnsi="Arial"/>
                <w:sz w:val="16"/>
                <w:szCs w:val="16"/>
                <w:color w:val="auto"/>
              </w:rPr>
              <w:t>698</w:t>
            </w:r>
          </w:p>
        </w:tc>
        <w:tc>
          <w:tcPr>
            <w:tcW w:w="56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81"/>
        </w:trPr>
        <w:tc>
          <w:tcPr>
            <w:tcW w:w="5820" w:type="dxa"/>
            <w:vAlign w:val="bottom"/>
            <w:shd w:val="clear" w:color="auto" w:fill="F0F1F8"/>
          </w:tcPr>
          <w:p>
            <w:pPr>
              <w:ind w:left="60"/>
              <w:spacing w:after="0" w:line="281" w:lineRule="exact"/>
              <w:rPr>
                <w:sz w:val="20"/>
                <w:szCs w:val="20"/>
                <w:color w:val="auto"/>
              </w:rPr>
            </w:pPr>
            <w:r>
              <w:rPr>
                <w:rFonts w:ascii="Arial" w:cs="Arial" w:eastAsia="Arial" w:hAnsi="Arial"/>
                <w:sz w:val="16"/>
                <w:szCs w:val="16"/>
                <w:color w:val="auto"/>
              </w:rPr>
              <w:t>Tax fees</w:t>
            </w:r>
            <w:r>
              <w:rPr>
                <w:rFonts w:ascii="Arial" w:cs="Arial" w:eastAsia="Arial" w:hAnsi="Arial"/>
                <w:sz w:val="26"/>
                <w:szCs w:val="26"/>
                <w:color w:val="auto"/>
                <w:vertAlign w:val="superscript"/>
              </w:rPr>
              <w:t>(3)</w:t>
            </w:r>
          </w:p>
        </w:tc>
        <w:tc>
          <w:tcPr>
            <w:tcW w:w="4860" w:type="dxa"/>
            <w:vAlign w:val="bottom"/>
            <w:shd w:val="clear" w:color="auto" w:fill="F0F1F8"/>
          </w:tcPr>
          <w:p>
            <w:pPr>
              <w:jc w:val="right"/>
              <w:ind w:right="21"/>
              <w:spacing w:after="0"/>
              <w:rPr>
                <w:sz w:val="20"/>
                <w:szCs w:val="20"/>
                <w:color w:val="auto"/>
              </w:rPr>
            </w:pPr>
            <w:r>
              <w:rPr>
                <w:rFonts w:ascii="Arial" w:cs="Arial" w:eastAsia="Arial" w:hAnsi="Arial"/>
                <w:sz w:val="16"/>
                <w:szCs w:val="16"/>
                <w:color w:val="auto"/>
              </w:rPr>
              <w:t>1,329</w:t>
            </w:r>
          </w:p>
        </w:tc>
        <w:tc>
          <w:tcPr>
            <w:tcW w:w="560" w:type="dxa"/>
            <w:vAlign w:val="bottom"/>
            <w:shd w:val="clear" w:color="auto" w:fill="F0F1F8"/>
          </w:tcPr>
          <w:p>
            <w:pPr>
              <w:jc w:val="right"/>
              <w:spacing w:after="0"/>
              <w:rPr>
                <w:sz w:val="20"/>
                <w:szCs w:val="20"/>
                <w:color w:val="auto"/>
              </w:rPr>
            </w:pPr>
            <w:r>
              <w:rPr>
                <w:rFonts w:ascii="Arial" w:cs="Arial" w:eastAsia="Arial" w:hAnsi="Arial"/>
                <w:sz w:val="16"/>
                <w:szCs w:val="16"/>
                <w:color w:val="auto"/>
              </w:rPr>
              <w:t>1,607</w:t>
            </w:r>
          </w:p>
        </w:tc>
      </w:tr>
      <w:tr>
        <w:trPr>
          <w:trHeight w:val="281"/>
        </w:trPr>
        <w:tc>
          <w:tcPr>
            <w:tcW w:w="5820" w:type="dxa"/>
            <w:vAlign w:val="bottom"/>
          </w:tcPr>
          <w:p>
            <w:pPr>
              <w:ind w:left="60"/>
              <w:spacing w:after="0" w:line="281" w:lineRule="exact"/>
              <w:rPr>
                <w:sz w:val="20"/>
                <w:szCs w:val="20"/>
                <w:color w:val="auto"/>
              </w:rPr>
            </w:pPr>
            <w:r>
              <w:rPr>
                <w:rFonts w:ascii="Arial" w:cs="Arial" w:eastAsia="Arial" w:hAnsi="Arial"/>
                <w:sz w:val="16"/>
                <w:szCs w:val="16"/>
                <w:color w:val="auto"/>
              </w:rPr>
              <w:t>All other fees</w:t>
            </w:r>
            <w:r>
              <w:rPr>
                <w:rFonts w:ascii="Arial" w:cs="Arial" w:eastAsia="Arial" w:hAnsi="Arial"/>
                <w:sz w:val="26"/>
                <w:szCs w:val="26"/>
                <w:color w:val="auto"/>
                <w:vertAlign w:val="superscript"/>
              </w:rPr>
              <w:t>(4)</w:t>
            </w:r>
          </w:p>
        </w:tc>
        <w:tc>
          <w:tcPr>
            <w:tcW w:w="4860" w:type="dxa"/>
            <w:vAlign w:val="bottom"/>
          </w:tcPr>
          <w:p>
            <w:pPr>
              <w:jc w:val="right"/>
              <w:ind w:right="21"/>
              <w:spacing w:after="0"/>
              <w:rPr>
                <w:sz w:val="20"/>
                <w:szCs w:val="20"/>
                <w:color w:val="auto"/>
              </w:rPr>
            </w:pPr>
            <w:r>
              <w:rPr>
                <w:rFonts w:ascii="Arial" w:cs="Arial" w:eastAsia="Arial" w:hAnsi="Arial"/>
                <w:sz w:val="16"/>
                <w:szCs w:val="16"/>
                <w:color w:val="auto"/>
              </w:rPr>
              <w:t>16</w:t>
            </w:r>
          </w:p>
        </w:tc>
        <w:tc>
          <w:tcPr>
            <w:tcW w:w="56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34"/>
        </w:trPr>
        <w:tc>
          <w:tcPr>
            <w:tcW w:w="5820" w:type="dxa"/>
            <w:vAlign w:val="bottom"/>
            <w:tcBorders>
              <w:bottom w:val="single" w:sz="8" w:color="auto"/>
            </w:tcBorders>
            <w:shd w:val="clear" w:color="auto" w:fill="F0F1F8"/>
          </w:tcPr>
          <w:p>
            <w:pPr>
              <w:ind w:left="60"/>
              <w:spacing w:after="0"/>
              <w:rPr>
                <w:sz w:val="20"/>
                <w:szCs w:val="20"/>
                <w:color w:val="auto"/>
              </w:rPr>
            </w:pPr>
            <w:r>
              <w:rPr>
                <w:rFonts w:ascii="Arial" w:cs="Arial" w:eastAsia="Arial" w:hAnsi="Arial"/>
                <w:sz w:val="16"/>
                <w:szCs w:val="16"/>
                <w:b w:val="1"/>
                <w:bCs w:val="1"/>
                <w:color w:val="auto"/>
              </w:rPr>
              <w:t>Total</w:t>
            </w:r>
          </w:p>
        </w:tc>
        <w:tc>
          <w:tcPr>
            <w:tcW w:w="4860" w:type="dxa"/>
            <w:vAlign w:val="bottom"/>
            <w:tcBorders>
              <w:bottom w:val="single" w:sz="8" w:color="auto"/>
            </w:tcBorders>
            <w:shd w:val="clear" w:color="auto" w:fill="F0F1F8"/>
          </w:tcPr>
          <w:p>
            <w:pPr>
              <w:jc w:val="right"/>
              <w:ind w:right="21"/>
              <w:spacing w:after="0"/>
              <w:rPr>
                <w:sz w:val="20"/>
                <w:szCs w:val="20"/>
                <w:color w:val="auto"/>
              </w:rPr>
            </w:pPr>
            <w:r>
              <w:rPr>
                <w:rFonts w:ascii="Arial" w:cs="Arial" w:eastAsia="Arial" w:hAnsi="Arial"/>
                <w:sz w:val="16"/>
                <w:szCs w:val="16"/>
                <w:b w:val="1"/>
                <w:bCs w:val="1"/>
                <w:color w:val="auto"/>
              </w:rPr>
              <w:t>5,439</w:t>
            </w:r>
          </w:p>
        </w:tc>
        <w:tc>
          <w:tcPr>
            <w:tcW w:w="560" w:type="dxa"/>
            <w:vAlign w:val="bottom"/>
            <w:tcBorders>
              <w:bottom w:val="single" w:sz="8" w:color="auto"/>
            </w:tcBorders>
            <w:shd w:val="clear" w:color="auto" w:fill="F0F1F8"/>
          </w:tcPr>
          <w:p>
            <w:pPr>
              <w:jc w:val="right"/>
              <w:spacing w:after="0"/>
              <w:rPr>
                <w:sz w:val="20"/>
                <w:szCs w:val="20"/>
                <w:color w:val="auto"/>
              </w:rPr>
            </w:pPr>
            <w:r>
              <w:rPr>
                <w:rFonts w:ascii="Arial" w:cs="Arial" w:eastAsia="Arial" w:hAnsi="Arial"/>
                <w:sz w:val="16"/>
                <w:szCs w:val="16"/>
                <w:b w:val="1"/>
                <w:bCs w:val="1"/>
                <w:color w:val="auto"/>
              </w:rPr>
              <w:t>4,748</w:t>
            </w:r>
          </w:p>
        </w:tc>
      </w:tr>
    </w:tbl>
    <w:p>
      <w:pPr>
        <w:spacing w:after="0" w:line="85" w:lineRule="exact"/>
        <w:rPr>
          <w:sz w:val="20"/>
          <w:szCs w:val="20"/>
          <w:color w:val="auto"/>
        </w:rPr>
      </w:pPr>
    </w:p>
    <w:p>
      <w:pPr>
        <w:ind w:left="300" w:right="240" w:hanging="293"/>
        <w:spacing w:after="0" w:line="206" w:lineRule="auto"/>
        <w:tabs>
          <w:tab w:leader="none" w:pos="300" w:val="left"/>
        </w:tabs>
        <w:numPr>
          <w:ilvl w:val="0"/>
          <w:numId w:val="148"/>
        </w:numPr>
        <w:rPr>
          <w:rFonts w:ascii="Arial" w:cs="Arial" w:eastAsia="Arial" w:hAnsi="Arial"/>
          <w:sz w:val="24"/>
          <w:szCs w:val="24"/>
          <w:color w:val="auto"/>
          <w:vertAlign w:val="superscript"/>
        </w:rPr>
      </w:pPr>
      <w:r>
        <w:rPr>
          <w:rFonts w:ascii="Arial" w:cs="Arial" w:eastAsia="Arial" w:hAnsi="Arial"/>
          <w:sz w:val="14"/>
          <w:szCs w:val="14"/>
          <w:color w:val="auto"/>
        </w:rPr>
        <w:t>Audit fees consisted of fees billed and/or accrued for (i) audits of our consolidated financial statements included in our Annual Reports on Form 10-K and related services, (ii) reviews of the interim condensed consolidated financial statements included in our quarterly financial statements, (iii) audits of various entities for statutory and other reporting requirements, (iv) comfort letters, consents and other services related to SEC and other regulatory filings and (v) audits of our internal control over financial reporting (as required by Section 404 of the Sarbanes-Oxley Act of 2002).</w:t>
      </w:r>
    </w:p>
    <w:p>
      <w:pPr>
        <w:spacing w:after="0" w:line="1" w:lineRule="exact"/>
        <w:rPr>
          <w:rFonts w:ascii="Arial" w:cs="Arial" w:eastAsia="Arial" w:hAnsi="Arial"/>
          <w:sz w:val="24"/>
          <w:szCs w:val="24"/>
          <w:color w:val="auto"/>
          <w:vertAlign w:val="superscript"/>
        </w:rPr>
      </w:pPr>
    </w:p>
    <w:p>
      <w:pPr>
        <w:ind w:left="300" w:hanging="293"/>
        <w:spacing w:after="0" w:line="209" w:lineRule="auto"/>
        <w:tabs>
          <w:tab w:leader="none" w:pos="300" w:val="left"/>
        </w:tabs>
        <w:numPr>
          <w:ilvl w:val="0"/>
          <w:numId w:val="148"/>
        </w:numPr>
        <w:rPr>
          <w:rFonts w:ascii="Arial" w:cs="Arial" w:eastAsia="Arial" w:hAnsi="Arial"/>
          <w:sz w:val="24"/>
          <w:szCs w:val="24"/>
          <w:color w:val="auto"/>
          <w:vertAlign w:val="superscript"/>
        </w:rPr>
      </w:pPr>
      <w:r>
        <w:rPr>
          <w:rFonts w:ascii="Arial" w:cs="Arial" w:eastAsia="Arial" w:hAnsi="Arial"/>
          <w:sz w:val="14"/>
          <w:szCs w:val="14"/>
          <w:color w:val="auto"/>
        </w:rPr>
        <w:t>In 2021 and 2020, Audit-related fees consisted of fees billed and/or accrued for the annual benefit plan audit as well as other assurance and related services.</w:t>
      </w:r>
    </w:p>
    <w:p>
      <w:pPr>
        <w:spacing w:after="0" w:line="70" w:lineRule="exact"/>
        <w:rPr>
          <w:rFonts w:ascii="Arial" w:cs="Arial" w:eastAsia="Arial" w:hAnsi="Arial"/>
          <w:sz w:val="24"/>
          <w:szCs w:val="24"/>
          <w:color w:val="auto"/>
          <w:vertAlign w:val="superscript"/>
        </w:rPr>
      </w:pPr>
    </w:p>
    <w:p>
      <w:pPr>
        <w:ind w:left="300" w:right="340" w:hanging="293"/>
        <w:spacing w:after="0" w:line="182" w:lineRule="auto"/>
        <w:tabs>
          <w:tab w:leader="none" w:pos="300" w:val="left"/>
        </w:tabs>
        <w:numPr>
          <w:ilvl w:val="0"/>
          <w:numId w:val="148"/>
        </w:numPr>
        <w:rPr>
          <w:rFonts w:ascii="Arial" w:cs="Arial" w:eastAsia="Arial" w:hAnsi="Arial"/>
          <w:sz w:val="24"/>
          <w:szCs w:val="24"/>
          <w:color w:val="auto"/>
          <w:vertAlign w:val="superscript"/>
        </w:rPr>
      </w:pPr>
      <w:r>
        <w:rPr>
          <w:rFonts w:ascii="Arial" w:cs="Arial" w:eastAsia="Arial" w:hAnsi="Arial"/>
          <w:sz w:val="14"/>
          <w:szCs w:val="14"/>
          <w:color w:val="auto"/>
        </w:rPr>
        <w:t>Tax fees related to tax compliance assistance in 2021 and 2020 were $1,043,596 and $1,409,000, respectively. Tax consulting fees related to international and domestic tax matters, including international tax planning, in 2021 and 2020 were approximately $285,431 and $198,000, respectively.</w:t>
      </w:r>
    </w:p>
    <w:p>
      <w:pPr>
        <w:ind w:left="300" w:hanging="293"/>
        <w:spacing w:after="0" w:line="209" w:lineRule="auto"/>
        <w:tabs>
          <w:tab w:leader="none" w:pos="300" w:val="left"/>
        </w:tabs>
        <w:numPr>
          <w:ilvl w:val="0"/>
          <w:numId w:val="148"/>
        </w:numPr>
        <w:rPr>
          <w:rFonts w:ascii="Arial" w:cs="Arial" w:eastAsia="Arial" w:hAnsi="Arial"/>
          <w:sz w:val="24"/>
          <w:szCs w:val="24"/>
          <w:color w:val="auto"/>
          <w:vertAlign w:val="superscript"/>
        </w:rPr>
      </w:pPr>
      <w:r>
        <w:rPr>
          <w:rFonts w:ascii="Arial" w:cs="Arial" w:eastAsia="Arial" w:hAnsi="Arial"/>
          <w:sz w:val="14"/>
          <w:szCs w:val="14"/>
          <w:color w:val="auto"/>
        </w:rPr>
        <w:t>In 2021 and 2020, all other fees primarily consisted of fees related to accounting research software subscriptions.</w:t>
      </w:r>
    </w:p>
    <w:p>
      <w:pPr>
        <w:spacing w:after="0" w:line="127" w:lineRule="exact"/>
        <w:rPr>
          <w:sz w:val="20"/>
          <w:szCs w:val="20"/>
          <w:color w:val="auto"/>
        </w:rPr>
      </w:pPr>
    </w:p>
    <w:p>
      <w:pPr>
        <w:ind w:right="1320"/>
        <w:spacing w:after="0" w:line="271" w:lineRule="auto"/>
        <w:rPr>
          <w:sz w:val="20"/>
          <w:szCs w:val="20"/>
          <w:color w:val="auto"/>
        </w:rPr>
      </w:pPr>
      <w:r>
        <w:rPr>
          <w:rFonts w:ascii="Arial" w:cs="Arial" w:eastAsia="Arial" w:hAnsi="Arial"/>
          <w:sz w:val="32"/>
          <w:szCs w:val="32"/>
          <w:b w:val="1"/>
          <w:bCs w:val="1"/>
          <w:color w:val="16479F"/>
        </w:rPr>
        <w:t>Pre-Approval Policy of the Audit and Risk Committee of Services Performed by Independent Auditors</w:t>
      </w:r>
    </w:p>
    <w:p>
      <w:pPr>
        <w:spacing w:after="0" w:line="154" w:lineRule="exact"/>
        <w:rPr>
          <w:sz w:val="20"/>
          <w:szCs w:val="20"/>
          <w:color w:val="auto"/>
        </w:rPr>
      </w:pPr>
    </w:p>
    <w:p>
      <w:pPr>
        <w:ind w:right="100"/>
        <w:spacing w:after="0" w:line="245" w:lineRule="auto"/>
        <w:rPr>
          <w:sz w:val="20"/>
          <w:szCs w:val="20"/>
          <w:color w:val="auto"/>
        </w:rPr>
      </w:pPr>
      <w:r>
        <w:rPr>
          <w:rFonts w:ascii="Arial" w:cs="Arial" w:eastAsia="Arial" w:hAnsi="Arial"/>
          <w:sz w:val="16"/>
          <w:szCs w:val="16"/>
          <w:color w:val="auto"/>
        </w:rPr>
        <w:t>The Audit and Risk Committee has implemented pre-approval policies and procedures related to the provision of audit and non-audit services by the independent auditor to ensure the services do not impair their independence. Under these procedures, the Audit and Risk Committee pre-approves both the type of services to be provided by the independent auditors and the estimated fees related to those services. During the pre -approval process, the Audit and Risk Committee considers the impact of the types of services and the related fees on the independence of the auditor. Even if a service has received general pre-approval, if it involves a fee in excess of $750,000 or relates to tax planning and advice, it requires a separate pre-approval of the full Audit and Risk Committee. The Audit and Risk Committee has delegated authority to the Chair of the Audit and Risk Committee to pre-approve certain engagements not requiring approval by the full Audit and Risk Committee. The Chair must report, for informational purposes, any pre-approval decisions to the Audit and Risk Committee at its next scheduled meeting. The services and fees must be deemed compatible with the maintenance of the auditor’s independence, including compliance with SEC rules and regulations. Management reports the actual fees versus pre-approved amounts periodically throughout the year by category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7154545" cy="209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00" w:type="dxa"/>
            <w:vAlign w:val="bottom"/>
            <w:tcBorders>
              <w:right w:val="single" w:sz="8" w:color="16479F"/>
            </w:tcBorders>
          </w:tcPr>
          <w:p>
            <w:pPr>
              <w:ind w:left="8700"/>
              <w:spacing w:after="0"/>
              <w:rPr>
                <w:sz w:val="20"/>
                <w:szCs w:val="20"/>
                <w:color w:val="auto"/>
              </w:rPr>
            </w:pPr>
            <w:r>
              <w:rPr>
                <w:rFonts w:ascii="Arial" w:cs="Arial" w:eastAsia="Arial" w:hAnsi="Arial"/>
                <w:sz w:val="14"/>
                <w:szCs w:val="14"/>
                <w:b w:val="1"/>
                <w:bCs w:val="1"/>
                <w:color w:val="16479F"/>
              </w:rPr>
              <w:t>2022 PROXY STATEMENT</w:t>
            </w:r>
          </w:p>
        </w:tc>
        <w:tc>
          <w:tcPr>
            <w:tcW w:w="640" w:type="dxa"/>
            <w:vAlign w:val="bottom"/>
          </w:tcPr>
          <w:p>
            <w:pPr>
              <w:jc w:val="right"/>
              <w:ind w:right="9"/>
              <w:spacing w:after="0"/>
              <w:rPr>
                <w:sz w:val="20"/>
                <w:szCs w:val="20"/>
                <w:color w:val="auto"/>
              </w:rPr>
            </w:pPr>
            <w:r>
              <w:rPr>
                <w:rFonts w:ascii="Arial" w:cs="Arial" w:eastAsia="Arial" w:hAnsi="Arial"/>
                <w:sz w:val="14"/>
                <w:szCs w:val="14"/>
                <w:b w:val="1"/>
                <w:bCs w:val="1"/>
                <w:color w:val="16479F"/>
              </w:rPr>
              <w:t>97</w:t>
            </w:r>
          </w:p>
        </w:tc>
      </w:tr>
      <w:tr>
        <w:trPr>
          <w:trHeight w:val="65"/>
        </w:trPr>
        <w:tc>
          <w:tcPr>
            <w:tcW w:w="10600" w:type="dxa"/>
            <w:vAlign w:val="bottom"/>
            <w:tcBorders>
              <w:bottom w:val="single" w:sz="8" w:color="16479F"/>
              <w:right w:val="single" w:sz="8" w:color="16479F"/>
            </w:tcBorders>
          </w:tcPr>
          <w:p>
            <w:pPr>
              <w:spacing w:after="0"/>
              <w:rPr>
                <w:sz w:val="5"/>
                <w:szCs w:val="5"/>
                <w:color w:val="auto"/>
              </w:rPr>
            </w:pPr>
          </w:p>
        </w:tc>
        <w:tc>
          <w:tcPr>
            <w:tcW w:w="640" w:type="dxa"/>
            <w:vAlign w:val="bottom"/>
            <w:tcBorders>
              <w:bottom w:val="single" w:sz="8" w:color="16479F"/>
            </w:tcBorders>
          </w:tcPr>
          <w:p>
            <w:pPr>
              <w:spacing w:after="0"/>
              <w:rPr>
                <w:sz w:val="5"/>
                <w:szCs w:val="5"/>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32"/>
          <w:szCs w:val="32"/>
          <w:b w:val="1"/>
          <w:bCs w:val="1"/>
          <w:color w:val="16479F"/>
        </w:rPr>
        <w:t>Audit and Risk Committee Report</w:t>
      </w:r>
    </w:p>
    <w:p>
      <w:pPr>
        <w:spacing w:after="0" w:line="259"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 xml:space="preserve">The Audit and Risk Committee operates under a written charter adopted by the Board, which is accessible through the “Corporate Governance” link under the “Investor Resources” tab found on our website’s Investor Relations homepage </w:t>
      </w:r>
      <w:r>
        <w:rPr>
          <w:rFonts w:ascii="Arial" w:cs="Arial" w:eastAsia="Arial" w:hAnsi="Arial"/>
          <w:sz w:val="16"/>
          <w:szCs w:val="16"/>
          <w:color w:val="00B5AA"/>
        </w:rPr>
        <w:t>(https://ir.msci.com)</w:t>
      </w:r>
      <w:r>
        <w:rPr>
          <w:rFonts w:ascii="Arial" w:cs="Arial" w:eastAsia="Arial" w:hAnsi="Arial"/>
          <w:sz w:val="16"/>
          <w:szCs w:val="16"/>
          <w:color w:val="auto"/>
        </w:rPr>
        <w:t>. The Audit and Risk Committee is responsible for the oversight of the integrity of the Company’s consolidated financial statements, the Company’s system of internal control over financial reporting, the Company’s risk management, the qualifications and independence of the Company’s independent auditor, the performance of the Company’s internal and independent auditors and the Company’s compliance with legal and regulatory requirements. The Audit and Risk Committee has the sole authority and responsibility to appoint, compensate, evaluate and, when appropriate, replace the Company’s independent auditor. The Board has determined that all of the Audit and Risk Committee’s members are independent under the applicable independence standards of the NYSE and the Exchange Act.</w:t>
      </w:r>
    </w:p>
    <w:p>
      <w:pPr>
        <w:spacing w:after="0" w:line="206" w:lineRule="exact"/>
        <w:rPr>
          <w:sz w:val="20"/>
          <w:szCs w:val="20"/>
          <w:color w:val="auto"/>
        </w:rPr>
      </w:pPr>
    </w:p>
    <w:p>
      <w:pPr>
        <w:ind w:right="80"/>
        <w:spacing w:after="0" w:line="245" w:lineRule="auto"/>
        <w:rPr>
          <w:sz w:val="20"/>
          <w:szCs w:val="20"/>
          <w:color w:val="auto"/>
        </w:rPr>
      </w:pPr>
      <w:r>
        <w:rPr>
          <w:rFonts w:ascii="Arial" w:cs="Arial" w:eastAsia="Arial" w:hAnsi="Arial"/>
          <w:sz w:val="16"/>
          <w:szCs w:val="16"/>
          <w:color w:val="auto"/>
        </w:rPr>
        <w:t>The Audit and Risk Committee serves in an oversight capacity and is not part of the Company’s managerial or operational decision-making process. Management is responsible for the financial reporting process, including the system of internal controls, for the preparation of consolidated financial statements in accordance with accounting principles generally accepted in the United States and for the report on the Company’s internal control over financial reporting. The Company’s independent auditor for the year ended December 31, 2021, PwC, was responsible for auditing the consolidated financial statements included in the Company’s 2021 Annual Report on Form 10-K, expressing an opinion as to their conformity with accounting principles generally accepted in the United States of America and expressing an opinion on the effectiveness of the Company’s internal control over financial reporting, as well as reviewing the Company’s interim condensed consolidated financial statements included in its Quarterly Reports on Form 10-Q. The Audit and Risk Committee’s responsibility is to oversee the financial reporting process and to review and discuss management’s report on the Company’s internal control over financial reporting. The Audit and Risk Committee relies, without independent verification, on the information provided to us and on the representations made by management, the internal auditor and the independent auditor.</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Audit and Risk Committee held ten meetings during the year ended December 31, 2021, and among other things:</w:t>
      </w:r>
    </w:p>
    <w:p>
      <w:pPr>
        <w:spacing w:after="0" w:line="218" w:lineRule="exact"/>
        <w:rPr>
          <w:sz w:val="20"/>
          <w:szCs w:val="20"/>
          <w:color w:val="auto"/>
        </w:rPr>
      </w:pPr>
    </w:p>
    <w:p>
      <w:pPr>
        <w:ind w:left="240" w:hanging="233"/>
        <w:spacing w:after="0"/>
        <w:tabs>
          <w:tab w:leader="none" w:pos="240" w:val="left"/>
        </w:tabs>
        <w:numPr>
          <w:ilvl w:val="0"/>
          <w:numId w:val="149"/>
        </w:numPr>
        <w:rPr>
          <w:rFonts w:ascii="Arial" w:cs="Arial" w:eastAsia="Arial" w:hAnsi="Arial"/>
          <w:sz w:val="16"/>
          <w:szCs w:val="16"/>
          <w:color w:val="16479F"/>
        </w:rPr>
      </w:pPr>
      <w:r>
        <w:rPr>
          <w:rFonts w:ascii="Arial" w:cs="Arial" w:eastAsia="Arial" w:hAnsi="Arial"/>
          <w:sz w:val="16"/>
          <w:szCs w:val="16"/>
          <w:color w:val="auto"/>
        </w:rPr>
        <w:t>reviewed and discussed the Company’s quarterly and annual earnings releases;</w:t>
      </w:r>
    </w:p>
    <w:p>
      <w:pPr>
        <w:spacing w:after="0" w:line="83" w:lineRule="exact"/>
        <w:rPr>
          <w:rFonts w:ascii="Arial" w:cs="Arial" w:eastAsia="Arial" w:hAnsi="Arial"/>
          <w:sz w:val="16"/>
          <w:szCs w:val="16"/>
          <w:color w:val="16479F"/>
        </w:rPr>
      </w:pPr>
    </w:p>
    <w:p>
      <w:pPr>
        <w:ind w:left="240" w:right="180" w:hanging="233"/>
        <w:spacing w:after="0" w:line="256" w:lineRule="auto"/>
        <w:tabs>
          <w:tab w:leader="none" w:pos="240" w:val="left"/>
        </w:tabs>
        <w:numPr>
          <w:ilvl w:val="0"/>
          <w:numId w:val="149"/>
        </w:numPr>
        <w:rPr>
          <w:rFonts w:ascii="Arial" w:cs="Arial" w:eastAsia="Arial" w:hAnsi="Arial"/>
          <w:sz w:val="16"/>
          <w:szCs w:val="16"/>
          <w:color w:val="16479F"/>
        </w:rPr>
      </w:pPr>
      <w:r>
        <w:rPr>
          <w:rFonts w:ascii="Arial" w:cs="Arial" w:eastAsia="Arial" w:hAnsi="Arial"/>
          <w:sz w:val="16"/>
          <w:szCs w:val="16"/>
          <w:color w:val="auto"/>
        </w:rPr>
        <w:t>reviewed and discussed the (i) quarterly unaudited consolidated financial statements and related notes and (ii) audited consolidated financial statements and related notes to the consolidated financial statements for the year ended December 31, 2021 with management and PwC;</w:t>
      </w:r>
    </w:p>
    <w:p>
      <w:pPr>
        <w:spacing w:after="0" w:line="62" w:lineRule="exact"/>
        <w:rPr>
          <w:rFonts w:ascii="Arial" w:cs="Arial" w:eastAsia="Arial" w:hAnsi="Arial"/>
          <w:sz w:val="16"/>
          <w:szCs w:val="16"/>
          <w:color w:val="16479F"/>
        </w:rPr>
      </w:pPr>
    </w:p>
    <w:p>
      <w:pPr>
        <w:ind w:left="240" w:hanging="233"/>
        <w:spacing w:after="0"/>
        <w:tabs>
          <w:tab w:leader="none" w:pos="240" w:val="left"/>
        </w:tabs>
        <w:numPr>
          <w:ilvl w:val="0"/>
          <w:numId w:val="149"/>
        </w:numPr>
        <w:rPr>
          <w:rFonts w:ascii="Arial" w:cs="Arial" w:eastAsia="Arial" w:hAnsi="Arial"/>
          <w:sz w:val="16"/>
          <w:szCs w:val="16"/>
          <w:color w:val="16479F"/>
        </w:rPr>
      </w:pPr>
      <w:r>
        <w:rPr>
          <w:rFonts w:ascii="Arial" w:cs="Arial" w:eastAsia="Arial" w:hAnsi="Arial"/>
          <w:sz w:val="16"/>
          <w:szCs w:val="16"/>
          <w:color w:val="auto"/>
        </w:rPr>
        <w:t>reviewed and discussed the annual plan and scope of work of the independent auditor;</w:t>
      </w:r>
    </w:p>
    <w:p>
      <w:pPr>
        <w:spacing w:after="0" w:line="83" w:lineRule="exact"/>
        <w:rPr>
          <w:rFonts w:ascii="Arial" w:cs="Arial" w:eastAsia="Arial" w:hAnsi="Arial"/>
          <w:sz w:val="16"/>
          <w:szCs w:val="16"/>
          <w:color w:val="16479F"/>
        </w:rPr>
      </w:pPr>
    </w:p>
    <w:p>
      <w:pPr>
        <w:ind w:left="240" w:right="400" w:hanging="233"/>
        <w:spacing w:after="0" w:line="256" w:lineRule="auto"/>
        <w:tabs>
          <w:tab w:leader="none" w:pos="240" w:val="left"/>
        </w:tabs>
        <w:numPr>
          <w:ilvl w:val="0"/>
          <w:numId w:val="149"/>
        </w:numPr>
        <w:rPr>
          <w:rFonts w:ascii="Arial" w:cs="Arial" w:eastAsia="Arial" w:hAnsi="Arial"/>
          <w:sz w:val="16"/>
          <w:szCs w:val="16"/>
          <w:color w:val="16479F"/>
        </w:rPr>
      </w:pPr>
      <w:r>
        <w:rPr>
          <w:rFonts w:ascii="Arial" w:cs="Arial" w:eastAsia="Arial" w:hAnsi="Arial"/>
          <w:sz w:val="16"/>
          <w:szCs w:val="16"/>
          <w:color w:val="auto"/>
        </w:rPr>
        <w:t>reviewed and discussed the annual plan and scope of work of the internal auditor and summaries of significant reports to management by the internal auditor;</w:t>
      </w:r>
    </w:p>
    <w:p>
      <w:pPr>
        <w:spacing w:after="0" w:line="62" w:lineRule="exact"/>
        <w:rPr>
          <w:rFonts w:ascii="Arial" w:cs="Arial" w:eastAsia="Arial" w:hAnsi="Arial"/>
          <w:sz w:val="16"/>
          <w:szCs w:val="16"/>
          <w:color w:val="16479F"/>
        </w:rPr>
      </w:pPr>
    </w:p>
    <w:p>
      <w:pPr>
        <w:ind w:left="240" w:right="320" w:hanging="233"/>
        <w:spacing w:after="0" w:line="256" w:lineRule="auto"/>
        <w:tabs>
          <w:tab w:leader="none" w:pos="240" w:val="left"/>
        </w:tabs>
        <w:numPr>
          <w:ilvl w:val="0"/>
          <w:numId w:val="149"/>
        </w:numPr>
        <w:rPr>
          <w:rFonts w:ascii="Arial" w:cs="Arial" w:eastAsia="Arial" w:hAnsi="Arial"/>
          <w:sz w:val="16"/>
          <w:szCs w:val="16"/>
          <w:color w:val="16479F"/>
        </w:rPr>
      </w:pPr>
      <w:r>
        <w:rPr>
          <w:rFonts w:ascii="Arial" w:cs="Arial" w:eastAsia="Arial" w:hAnsi="Arial"/>
          <w:sz w:val="16"/>
          <w:szCs w:val="16"/>
          <w:color w:val="auto"/>
        </w:rPr>
        <w:t>met with PwC, the internal auditor and Company management in executive sessions to discuss the results of their examinations and evaluations of the Company’s internal controls, and the overall quality of the Company’s financial reporting and compliance programs;</w:t>
      </w:r>
    </w:p>
    <w:p>
      <w:pPr>
        <w:spacing w:after="0" w:line="62" w:lineRule="exact"/>
        <w:rPr>
          <w:rFonts w:ascii="Arial" w:cs="Arial" w:eastAsia="Arial" w:hAnsi="Arial"/>
          <w:sz w:val="16"/>
          <w:szCs w:val="16"/>
          <w:color w:val="16479F"/>
        </w:rPr>
      </w:pPr>
    </w:p>
    <w:p>
      <w:pPr>
        <w:ind w:left="240" w:right="620" w:hanging="233"/>
        <w:spacing w:after="0" w:line="256" w:lineRule="auto"/>
        <w:tabs>
          <w:tab w:leader="none" w:pos="240" w:val="left"/>
        </w:tabs>
        <w:numPr>
          <w:ilvl w:val="0"/>
          <w:numId w:val="149"/>
        </w:numPr>
        <w:rPr>
          <w:rFonts w:ascii="Arial" w:cs="Arial" w:eastAsia="Arial" w:hAnsi="Arial"/>
          <w:sz w:val="16"/>
          <w:szCs w:val="16"/>
          <w:color w:val="16479F"/>
        </w:rPr>
      </w:pPr>
      <w:r>
        <w:rPr>
          <w:rFonts w:ascii="Arial" w:cs="Arial" w:eastAsia="Arial" w:hAnsi="Arial"/>
          <w:sz w:val="16"/>
          <w:szCs w:val="16"/>
          <w:color w:val="auto"/>
        </w:rPr>
        <w:t>reviewed and discussed the critical accounting policies set forth in the Company’s Annual Report on Form 10-K and reviewed critical audit matters reported by PwC;</w:t>
      </w:r>
    </w:p>
    <w:p>
      <w:pPr>
        <w:spacing w:after="0" w:line="62" w:lineRule="exact"/>
        <w:rPr>
          <w:rFonts w:ascii="Arial" w:cs="Arial" w:eastAsia="Arial" w:hAnsi="Arial"/>
          <w:sz w:val="16"/>
          <w:szCs w:val="16"/>
          <w:color w:val="16479F"/>
        </w:rPr>
      </w:pPr>
    </w:p>
    <w:p>
      <w:pPr>
        <w:ind w:left="240" w:right="180" w:hanging="233"/>
        <w:spacing w:after="0" w:line="256" w:lineRule="auto"/>
        <w:tabs>
          <w:tab w:leader="none" w:pos="240" w:val="left"/>
        </w:tabs>
        <w:numPr>
          <w:ilvl w:val="0"/>
          <w:numId w:val="149"/>
        </w:numPr>
        <w:rPr>
          <w:rFonts w:ascii="Arial" w:cs="Arial" w:eastAsia="Arial" w:hAnsi="Arial"/>
          <w:sz w:val="16"/>
          <w:szCs w:val="16"/>
          <w:color w:val="16479F"/>
        </w:rPr>
      </w:pPr>
      <w:r>
        <w:rPr>
          <w:rFonts w:ascii="Arial" w:cs="Arial" w:eastAsia="Arial" w:hAnsi="Arial"/>
          <w:sz w:val="16"/>
          <w:szCs w:val="16"/>
          <w:color w:val="auto"/>
        </w:rPr>
        <w:t>reviewed business and financial market conditions, including periodic assessments of risks posed to MSCI’s operations and financial condition (including those related to technology and cybersecurity); and</w:t>
      </w:r>
    </w:p>
    <w:p>
      <w:pPr>
        <w:spacing w:after="0" w:line="62" w:lineRule="exact"/>
        <w:rPr>
          <w:rFonts w:ascii="Arial" w:cs="Arial" w:eastAsia="Arial" w:hAnsi="Arial"/>
          <w:sz w:val="16"/>
          <w:szCs w:val="16"/>
          <w:color w:val="16479F"/>
        </w:rPr>
      </w:pPr>
    </w:p>
    <w:p>
      <w:pPr>
        <w:ind w:left="240" w:hanging="233"/>
        <w:spacing w:after="0"/>
        <w:tabs>
          <w:tab w:leader="none" w:pos="240" w:val="left"/>
        </w:tabs>
        <w:numPr>
          <w:ilvl w:val="0"/>
          <w:numId w:val="149"/>
        </w:numPr>
        <w:rPr>
          <w:rFonts w:ascii="Arial" w:cs="Arial" w:eastAsia="Arial" w:hAnsi="Arial"/>
          <w:sz w:val="16"/>
          <w:szCs w:val="16"/>
          <w:color w:val="16479F"/>
        </w:rPr>
      </w:pPr>
      <w:r>
        <w:rPr>
          <w:rFonts w:ascii="Arial" w:cs="Arial" w:eastAsia="Arial" w:hAnsi="Arial"/>
          <w:sz w:val="16"/>
          <w:szCs w:val="16"/>
          <w:color w:val="auto"/>
        </w:rPr>
        <w:t>evaluated the performance of PwC and approved their engagement as the Company’s independent auditor.</w:t>
      </w:r>
    </w:p>
    <w:p>
      <w:pPr>
        <w:spacing w:after="0" w:line="218" w:lineRule="exact"/>
        <w:rPr>
          <w:sz w:val="20"/>
          <w:szCs w:val="20"/>
          <w:color w:val="auto"/>
        </w:rPr>
      </w:pPr>
    </w:p>
    <w:p>
      <w:pPr>
        <w:ind w:right="140"/>
        <w:spacing w:after="0" w:line="247" w:lineRule="auto"/>
        <w:rPr>
          <w:sz w:val="20"/>
          <w:szCs w:val="20"/>
          <w:color w:val="auto"/>
        </w:rPr>
      </w:pPr>
      <w:r>
        <w:rPr>
          <w:rFonts w:ascii="Arial" w:cs="Arial" w:eastAsia="Arial" w:hAnsi="Arial"/>
          <w:sz w:val="16"/>
          <w:szCs w:val="16"/>
          <w:color w:val="auto"/>
        </w:rPr>
        <w:t>PwC also provided to the Audit and Risk Committee the written disclosures and the letters required by the applicable PCAOB requirements regarding PwC’s communications with the Audit and Risk Committee concerning independence, and represented that it is independent from the Company. We discussed with PwC their independence from the Company, and considered whether the services they provided to the Company beyond those rendered in connection with their integrated audit of the Company’s consolidated financial statements and internal control over financial reporting, and the reviews of the Company’s interim condensed consolidated financial statements included in its Quarterly Reports on Form 10-Q, were compatible with maintaining their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127000</wp:posOffset>
            </wp:positionV>
            <wp:extent cx="7154545" cy="209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149860</wp:posOffset>
            </wp:positionV>
            <wp:extent cx="7133590" cy="21272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3590" cy="212725"/>
                    </a:xfrm>
                    <a:prstGeom prst="rect">
                      <a:avLst/>
                    </a:prstGeom>
                    <a:noFill/>
                  </pic:spPr>
                </pic:pic>
              </a:graphicData>
            </a:graphic>
          </wp:anchor>
        </w:drawing>
      </w:r>
    </w:p>
    <w:p>
      <w:pPr>
        <w:spacing w:after="0" w:line="283"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4"/>
          <w:szCs w:val="14"/>
          <w:b w:val="1"/>
          <w:bCs w:val="1"/>
          <w:color w:val="16479F"/>
        </w:rPr>
        <w:t>98</w:t>
      </w:r>
      <w:r>
        <w:rPr>
          <w:sz w:val="20"/>
          <w:szCs w:val="20"/>
          <w:color w:val="auto"/>
        </w:rPr>
        <w:tab/>
      </w:r>
      <w:r>
        <w:rPr>
          <w:rFonts w:ascii="Arial" w:cs="Arial" w:eastAsia="Arial" w:hAnsi="Arial"/>
          <w:sz w:val="14"/>
          <w:szCs w:val="14"/>
          <w:b w:val="1"/>
          <w:bCs w:val="1"/>
          <w:color w:val="16479F"/>
        </w:rPr>
        <w:t>MSCI  |  AUDIT MATTERS</w:t>
      </w:r>
    </w:p>
    <w:p>
      <w:pPr>
        <w:spacing w:after="0" w:line="323"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During the year ended December 31, 2021, the Audit and Risk Committee also received regular updates on the amount of fees and scope of audit, audit-related and tax services provided. Pursuant to the pre-approval policies and procedures related to the provision of audit and non-audit services by the independent auditors as described above within “—Pre-Approval Policy of the Audit and Risk Committee of Services Performed by Independent Auditors,” the Audit and Risk Committee approved, among other things, fees related to the integrated audits, statutory audits, consultations and certain non-audit services. The Audit and Risk Committee also approved certain tax fees consisting of compliance and advisory services related to (i) tax consulting fees related to international and domestic tax matters, including international corporate restructurings, and (ii) tax compliance assistance.</w:t>
      </w:r>
    </w:p>
    <w:p>
      <w:pPr>
        <w:spacing w:after="0" w:line="207"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Based on our review and these meetings, discussions and reports described above, and subject to the limitations on our role and responsibilities referred to above and in the Audit and Risk Committee’s charter, we recommended to the Board that the Company’s audited consolidated financial statements be included in the Company’s 2021 Annual Report on Form 10-K.</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Respectfully submitted,</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Wayne Edmunds (Chair)</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Robert G. Ashe</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Sandy C. Rattray</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Linda H. Riefler</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Rajat Taneja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7154545" cy="209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9" w:name="page100"/>
    <w:bookmarkEnd w:id="99"/>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00" w:type="dxa"/>
            <w:vAlign w:val="bottom"/>
            <w:tcBorders>
              <w:right w:val="single" w:sz="8" w:color="16479F"/>
            </w:tcBorders>
          </w:tcPr>
          <w:p>
            <w:pPr>
              <w:ind w:left="8700"/>
              <w:spacing w:after="0"/>
              <w:rPr>
                <w:sz w:val="20"/>
                <w:szCs w:val="20"/>
                <w:color w:val="auto"/>
              </w:rPr>
            </w:pPr>
            <w:r>
              <w:rPr>
                <w:rFonts w:ascii="Arial" w:cs="Arial" w:eastAsia="Arial" w:hAnsi="Arial"/>
                <w:sz w:val="14"/>
                <w:szCs w:val="14"/>
                <w:b w:val="1"/>
                <w:bCs w:val="1"/>
                <w:color w:val="16479F"/>
              </w:rPr>
              <w:t>2022 PROXY STATEMENT</w:t>
            </w:r>
          </w:p>
        </w:tc>
        <w:tc>
          <w:tcPr>
            <w:tcW w:w="640" w:type="dxa"/>
            <w:vAlign w:val="bottom"/>
          </w:tcPr>
          <w:p>
            <w:pPr>
              <w:jc w:val="right"/>
              <w:ind w:right="9"/>
              <w:spacing w:after="0"/>
              <w:rPr>
                <w:sz w:val="20"/>
                <w:szCs w:val="20"/>
                <w:color w:val="auto"/>
              </w:rPr>
            </w:pPr>
            <w:r>
              <w:rPr>
                <w:rFonts w:ascii="Arial" w:cs="Arial" w:eastAsia="Arial" w:hAnsi="Arial"/>
                <w:sz w:val="14"/>
                <w:szCs w:val="14"/>
                <w:b w:val="1"/>
                <w:bCs w:val="1"/>
                <w:color w:val="16479F"/>
              </w:rPr>
              <w:t>99</w:t>
            </w:r>
          </w:p>
        </w:tc>
      </w:tr>
      <w:tr>
        <w:trPr>
          <w:trHeight w:val="65"/>
        </w:trPr>
        <w:tc>
          <w:tcPr>
            <w:tcW w:w="10600" w:type="dxa"/>
            <w:vAlign w:val="bottom"/>
            <w:tcBorders>
              <w:bottom w:val="single" w:sz="8" w:color="16479F"/>
              <w:right w:val="single" w:sz="8" w:color="16479F"/>
            </w:tcBorders>
          </w:tcPr>
          <w:p>
            <w:pPr>
              <w:spacing w:after="0"/>
              <w:rPr>
                <w:sz w:val="5"/>
                <w:szCs w:val="5"/>
                <w:color w:val="auto"/>
              </w:rPr>
            </w:pPr>
          </w:p>
        </w:tc>
        <w:tc>
          <w:tcPr>
            <w:tcW w:w="640" w:type="dxa"/>
            <w:vAlign w:val="bottom"/>
            <w:tcBorders>
              <w:bottom w:val="single" w:sz="8" w:color="16479F"/>
            </w:tcBorders>
          </w:tcPr>
          <w:p>
            <w:pPr>
              <w:spacing w:after="0"/>
              <w:rPr>
                <w:sz w:val="5"/>
                <w:szCs w:val="5"/>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27"/>
          <w:szCs w:val="27"/>
          <w:b w:val="1"/>
          <w:bCs w:val="1"/>
          <w:color w:val="16479F"/>
        </w:rPr>
        <w:t>Proposal No. 3</w:t>
      </w:r>
    </w:p>
    <w:p>
      <w:pPr>
        <w:spacing w:after="0" w:line="176" w:lineRule="exact"/>
        <w:rPr>
          <w:sz w:val="20"/>
          <w:szCs w:val="20"/>
          <w:color w:val="auto"/>
        </w:rPr>
      </w:pPr>
    </w:p>
    <w:p>
      <w:pPr>
        <w:ind w:right="1120"/>
        <w:spacing w:after="0" w:line="268" w:lineRule="auto"/>
        <w:rPr>
          <w:sz w:val="20"/>
          <w:szCs w:val="20"/>
          <w:color w:val="auto"/>
        </w:rPr>
      </w:pPr>
      <w:r>
        <w:rPr>
          <w:rFonts w:ascii="Arial" w:cs="Arial" w:eastAsia="Arial" w:hAnsi="Arial"/>
          <w:sz w:val="54"/>
          <w:szCs w:val="54"/>
          <w:b w:val="1"/>
          <w:bCs w:val="1"/>
          <w:color w:val="002739"/>
        </w:rPr>
        <w:t>Ratification of the Appointment of MSCI Independent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65405</wp:posOffset>
            </wp:positionV>
            <wp:extent cx="6856095" cy="22104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6095" cy="2210435"/>
                    </a:xfrm>
                    <a:prstGeom prst="rect">
                      <a:avLst/>
                    </a:prstGeom>
                    <a:noFill/>
                  </pic:spPr>
                </pic:pic>
              </a:graphicData>
            </a:graphic>
          </wp:anchor>
        </w:drawing>
      </w:r>
    </w:p>
    <w:p>
      <w:pPr>
        <w:spacing w:after="0" w:line="272" w:lineRule="exact"/>
        <w:rPr>
          <w:sz w:val="20"/>
          <w:szCs w:val="20"/>
          <w:color w:val="auto"/>
        </w:rPr>
      </w:pPr>
    </w:p>
    <w:p>
      <w:pPr>
        <w:ind w:left="740" w:right="280"/>
        <w:spacing w:after="0" w:line="250" w:lineRule="auto"/>
        <w:rPr>
          <w:sz w:val="20"/>
          <w:szCs w:val="20"/>
          <w:color w:val="auto"/>
        </w:rPr>
      </w:pPr>
      <w:r>
        <w:rPr>
          <w:rFonts w:ascii="Arial" w:cs="Arial" w:eastAsia="Arial" w:hAnsi="Arial"/>
          <w:sz w:val="16"/>
          <w:szCs w:val="16"/>
          <w:color w:val="auto"/>
        </w:rPr>
        <w:t>The Audit and Risk Committee appointed PricewaterhouseCoopers LLP (“PwC”) as independent auditors for 2022 and presents this selection to the shareholders for ratification. PwC will audit our consolidated financial statements for the year ended December 31, 2022 and perform other permissible pre-approved services.</w:t>
      </w:r>
    </w:p>
    <w:p>
      <w:pPr>
        <w:spacing w:after="0" w:line="148" w:lineRule="exact"/>
        <w:rPr>
          <w:sz w:val="20"/>
          <w:szCs w:val="20"/>
          <w:color w:val="auto"/>
        </w:rPr>
      </w:pPr>
    </w:p>
    <w:p>
      <w:pPr>
        <w:ind w:left="740" w:right="160"/>
        <w:spacing w:after="0" w:line="248" w:lineRule="auto"/>
        <w:rPr>
          <w:sz w:val="20"/>
          <w:szCs w:val="20"/>
          <w:color w:val="auto"/>
        </w:rPr>
      </w:pPr>
      <w:r>
        <w:rPr>
          <w:rFonts w:ascii="Arial" w:cs="Arial" w:eastAsia="Arial" w:hAnsi="Arial"/>
          <w:sz w:val="16"/>
          <w:szCs w:val="16"/>
          <w:color w:val="auto"/>
        </w:rPr>
        <w:t>A PwC representative will attend the 2022 Annual Meeting to respond to your questions and will have the opportunity to make a statement if he or she desires to do so. If shareholders do not ratify the appointment, the Audit and Risk Committee will reconsider it. Even if shareholders ratify the selection of PwC, the Audit and Risk Committee, in its discretion, may select a new independent auditor at any time during the year if it believes that the change would be in the best interest of the Company.</w:t>
      </w:r>
    </w:p>
    <w:p>
      <w:pPr>
        <w:spacing w:after="0" w:line="150" w:lineRule="exact"/>
        <w:rPr>
          <w:sz w:val="20"/>
          <w:szCs w:val="20"/>
          <w:color w:val="auto"/>
        </w:rPr>
      </w:pPr>
    </w:p>
    <w:p>
      <w:pPr>
        <w:ind w:left="740" w:right="260"/>
        <w:spacing w:after="0" w:line="250" w:lineRule="auto"/>
        <w:rPr>
          <w:sz w:val="20"/>
          <w:szCs w:val="20"/>
          <w:color w:val="auto"/>
        </w:rPr>
      </w:pPr>
      <w:r>
        <w:rPr>
          <w:rFonts w:ascii="Arial" w:cs="Arial" w:eastAsia="Arial" w:hAnsi="Arial"/>
          <w:sz w:val="16"/>
          <w:szCs w:val="16"/>
          <w:color w:val="auto"/>
        </w:rPr>
        <w:t>The Audit and Risk Committee periodically reviews the engagement of the independent auditor to assess, among other things, the skills, experience, service levels and costs associated with conducting the annual audit of the Company’s financial statements. PwC has served as our independent auditor since March 2014.</w:t>
      </w:r>
    </w:p>
    <w:p>
      <w:pPr>
        <w:spacing w:after="0" w:line="114" w:lineRule="exact"/>
        <w:rPr>
          <w:sz w:val="20"/>
          <w:szCs w:val="20"/>
          <w:color w:val="auto"/>
        </w:rPr>
      </w:pPr>
    </w:p>
    <w:p>
      <w:pPr>
        <w:ind w:left="740"/>
        <w:spacing w:after="0"/>
        <w:rPr>
          <w:sz w:val="20"/>
          <w:szCs w:val="20"/>
          <w:color w:val="auto"/>
        </w:rPr>
      </w:pPr>
      <w:r>
        <w:rPr>
          <w:rFonts w:ascii="Arial" w:cs="Arial" w:eastAsia="Arial" w:hAnsi="Arial"/>
          <w:sz w:val="21"/>
          <w:szCs w:val="21"/>
          <w:b w:val="1"/>
          <w:bCs w:val="1"/>
          <w:color w:val="16479F"/>
        </w:rPr>
        <w:t>VOTE REQUIRED AND RECOMMENDATION</w:t>
      </w:r>
    </w:p>
    <w:p>
      <w:pPr>
        <w:spacing w:after="0" w:line="195" w:lineRule="exact"/>
        <w:rPr>
          <w:sz w:val="20"/>
          <w:szCs w:val="20"/>
          <w:color w:val="auto"/>
        </w:rPr>
      </w:pPr>
    </w:p>
    <w:p>
      <w:pPr>
        <w:ind w:left="740"/>
        <w:spacing w:after="0"/>
        <w:rPr>
          <w:sz w:val="20"/>
          <w:szCs w:val="20"/>
          <w:color w:val="auto"/>
        </w:rPr>
      </w:pPr>
      <w:r>
        <w:rPr>
          <w:rFonts w:ascii="Arial" w:cs="Arial" w:eastAsia="Arial" w:hAnsi="Arial"/>
          <w:sz w:val="16"/>
          <w:szCs w:val="16"/>
          <w:color w:val="auto"/>
        </w:rPr>
        <w:t>The affirmative vote of a majority of the votes cast at our 2022 Annual Meeting, at which a quorum is present, is required to approve Proposal No.</w:t>
      </w:r>
    </w:p>
    <w:p>
      <w:pPr>
        <w:spacing w:after="0" w:line="3" w:lineRule="exact"/>
        <w:rPr>
          <w:sz w:val="20"/>
          <w:szCs w:val="20"/>
          <w:color w:val="auto"/>
        </w:rPr>
      </w:pPr>
    </w:p>
    <w:p>
      <w:pPr>
        <w:ind w:left="740"/>
        <w:spacing w:after="0"/>
        <w:rPr>
          <w:sz w:val="20"/>
          <w:szCs w:val="20"/>
          <w:color w:val="auto"/>
        </w:rPr>
      </w:pPr>
      <w:r>
        <w:rPr>
          <w:rFonts w:ascii="Arial" w:cs="Arial" w:eastAsia="Arial" w:hAnsi="Arial"/>
          <w:sz w:val="16"/>
          <w:szCs w:val="16"/>
          <w:color w:val="auto"/>
        </w:rPr>
        <w:t>3. Abstentions shall not be treated as votes 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102870</wp:posOffset>
            </wp:positionV>
            <wp:extent cx="6728460" cy="79946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728460" cy="799465"/>
                    </a:xfrm>
                    <a:prstGeom prst="rect">
                      <a:avLst/>
                    </a:prstGeom>
                    <a:noFill/>
                  </pic:spPr>
                </pic:pic>
              </a:graphicData>
            </a:graphic>
          </wp:anchor>
        </w:drawing>
      </w:r>
    </w:p>
    <w:p>
      <w:pPr>
        <w:spacing w:after="0" w:line="297" w:lineRule="exact"/>
        <w:rPr>
          <w:sz w:val="20"/>
          <w:szCs w:val="20"/>
          <w:color w:val="auto"/>
        </w:rPr>
      </w:pPr>
    </w:p>
    <w:p>
      <w:pPr>
        <w:ind w:left="1300" w:right="260" w:hanging="401"/>
        <w:spacing w:after="0"/>
        <w:rPr>
          <w:sz w:val="20"/>
          <w:szCs w:val="20"/>
          <w:color w:val="auto"/>
        </w:rPr>
      </w:pPr>
      <w:r>
        <w:rPr>
          <w:sz w:val="1"/>
          <w:szCs w:val="1"/>
          <w:color w:val="auto"/>
        </w:rPr>
        <w:drawing>
          <wp:inline distT="0" distB="0" distL="0" distR="0">
            <wp:extent cx="212725" cy="118745"/>
            <wp:effectExtent l="0" t="0" r="0" b="0"/>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12725" cy="118745"/>
                    </a:xfrm>
                    <a:prstGeom prst="rect">
                      <a:avLst/>
                    </a:prstGeom>
                    <a:noFill/>
                    <a:ln>
                      <a:noFill/>
                    </a:ln>
                  </pic:spPr>
                </pic:pic>
              </a:graphicData>
            </a:graphic>
          </wp:inline>
        </w:drawing>
      </w:r>
      <w:r>
        <w:rPr>
          <w:rFonts w:ascii="Arial" w:cs="Arial" w:eastAsia="Arial" w:hAnsi="Arial"/>
          <w:sz w:val="21"/>
          <w:szCs w:val="21"/>
          <w:b w:val="1"/>
          <w:bCs w:val="1"/>
          <w:color w:val="FFFFFF"/>
        </w:rPr>
        <w:t xml:space="preserve"> Our Board of Directors Recommends that you vote </w:t>
      </w:r>
      <w:r>
        <w:rPr>
          <w:rFonts w:ascii="Arial" w:cs="Arial" w:eastAsia="Arial" w:hAnsi="Arial"/>
          <w:sz w:val="21"/>
          <w:szCs w:val="21"/>
          <w:b w:val="1"/>
          <w:bCs w:val="1"/>
          <w:color w:val="00B5AA"/>
        </w:rPr>
        <w:t>“FOR”</w:t>
      </w:r>
      <w:r>
        <w:rPr>
          <w:rFonts w:ascii="Arial" w:cs="Arial" w:eastAsia="Arial" w:hAnsi="Arial"/>
          <w:sz w:val="21"/>
          <w:szCs w:val="21"/>
          <w:b w:val="1"/>
          <w:bCs w:val="1"/>
          <w:color w:val="FFFFFF"/>
        </w:rPr>
        <w:t xml:space="preserve"> the ratification of the appointment of PricewaterhouseCoopers LLP as our independent auditor.</w:t>
      </w:r>
    </w:p>
    <w:p>
      <w:pPr>
        <w:spacing w:after="0" w:line="118" w:lineRule="exact"/>
        <w:rPr>
          <w:sz w:val="20"/>
          <w:szCs w:val="20"/>
          <w:color w:val="auto"/>
        </w:rPr>
      </w:pPr>
    </w:p>
    <w:p>
      <w:pPr>
        <w:ind w:left="1300"/>
        <w:spacing w:after="0"/>
        <w:rPr>
          <w:sz w:val="20"/>
          <w:szCs w:val="20"/>
          <w:color w:val="auto"/>
        </w:rPr>
      </w:pPr>
      <w:r>
        <w:rPr>
          <w:rFonts w:ascii="Arial" w:cs="Arial" w:eastAsia="Arial" w:hAnsi="Arial"/>
          <w:sz w:val="21"/>
          <w:szCs w:val="21"/>
          <w:b w:val="1"/>
          <w:bCs w:val="1"/>
          <w:color w:val="FFFFFF"/>
        </w:rPr>
        <w:t xml:space="preserve">Proxies solicited by our Board will be voted </w:t>
      </w:r>
      <w:r>
        <w:rPr>
          <w:rFonts w:ascii="Arial" w:cs="Arial" w:eastAsia="Arial" w:hAnsi="Arial"/>
          <w:sz w:val="21"/>
          <w:szCs w:val="21"/>
          <w:b w:val="1"/>
          <w:bCs w:val="1"/>
          <w:color w:val="00B5AA"/>
        </w:rPr>
        <w:t>“FOR”</w:t>
      </w:r>
      <w:r>
        <w:rPr>
          <w:rFonts w:ascii="Arial" w:cs="Arial" w:eastAsia="Arial" w:hAnsi="Arial"/>
          <w:sz w:val="21"/>
          <w:szCs w:val="21"/>
          <w:b w:val="1"/>
          <w:bCs w:val="1"/>
          <w:color w:val="FFFFFF"/>
        </w:rPr>
        <w:t xml:space="preserve"> this ratification unless otherwise instructed.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205105</wp:posOffset>
            </wp:positionV>
            <wp:extent cx="7154545" cy="209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149860</wp:posOffset>
            </wp:positionV>
            <wp:extent cx="7133590" cy="21272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3590" cy="212725"/>
                    </a:xfrm>
                    <a:prstGeom prst="rect">
                      <a:avLst/>
                    </a:prstGeom>
                    <a:noFill/>
                  </pic:spPr>
                </pic:pic>
              </a:graphicData>
            </a:graphic>
          </wp:anchor>
        </w:drawing>
      </w:r>
    </w:p>
    <w:p>
      <w:pPr>
        <w:spacing w:after="0" w:line="283"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4"/>
          <w:szCs w:val="14"/>
          <w:b w:val="1"/>
          <w:bCs w:val="1"/>
          <w:color w:val="16479F"/>
        </w:rPr>
        <w:t>100</w:t>
      </w:r>
      <w:r>
        <w:rPr>
          <w:sz w:val="20"/>
          <w:szCs w:val="20"/>
          <w:color w:val="auto"/>
        </w:rPr>
        <w:tab/>
      </w:r>
      <w:r>
        <w:rPr>
          <w:rFonts w:ascii="Arial" w:cs="Arial" w:eastAsia="Arial" w:hAnsi="Arial"/>
          <w:sz w:val="14"/>
          <w:szCs w:val="14"/>
          <w:b w:val="1"/>
          <w:bCs w:val="1"/>
          <w:color w:val="16479F"/>
        </w:rPr>
        <w:t>MSCI</w:t>
      </w:r>
    </w:p>
    <w:p>
      <w:pPr>
        <w:spacing w:after="0" w:line="197" w:lineRule="exact"/>
        <w:rPr>
          <w:sz w:val="20"/>
          <w:szCs w:val="20"/>
          <w:color w:val="auto"/>
        </w:rPr>
      </w:pPr>
    </w:p>
    <w:p>
      <w:pPr>
        <w:spacing w:after="0"/>
        <w:rPr>
          <w:sz w:val="20"/>
          <w:szCs w:val="20"/>
          <w:color w:val="auto"/>
        </w:rPr>
      </w:pPr>
      <w:r>
        <w:rPr>
          <w:rFonts w:ascii="Arial" w:cs="Arial" w:eastAsia="Arial" w:hAnsi="Arial"/>
          <w:sz w:val="54"/>
          <w:szCs w:val="54"/>
          <w:b w:val="1"/>
          <w:bCs w:val="1"/>
          <w:color w:val="002739"/>
        </w:rPr>
        <w:t>Beneficial Ownership of Common Stock</w:t>
      </w:r>
    </w:p>
    <w:p>
      <w:pPr>
        <w:spacing w:after="0" w:line="230" w:lineRule="exact"/>
        <w:rPr>
          <w:sz w:val="20"/>
          <w:szCs w:val="20"/>
          <w:color w:val="auto"/>
        </w:rPr>
      </w:pPr>
    </w:p>
    <w:p>
      <w:pPr>
        <w:spacing w:after="0"/>
        <w:rPr>
          <w:sz w:val="20"/>
          <w:szCs w:val="20"/>
          <w:color w:val="auto"/>
        </w:rPr>
      </w:pPr>
      <w:r>
        <w:rPr>
          <w:rFonts w:ascii="Arial" w:cs="Arial" w:eastAsia="Arial" w:hAnsi="Arial"/>
          <w:sz w:val="32"/>
          <w:szCs w:val="32"/>
          <w:b w:val="1"/>
          <w:bCs w:val="1"/>
          <w:color w:val="16479F"/>
        </w:rPr>
        <w:t>Stock Ownership of Executive Officers and Directors</w:t>
      </w:r>
    </w:p>
    <w:p>
      <w:pPr>
        <w:spacing w:after="0" w:line="259"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We require members of our Executive Committee (which includes all of our executive officers) and our directors to comply with our stock ownership guidelines to further align their interests with the interests of our shareholders. As of the date of this Proxy Statement, all of the members of our Executive Committee and our directors are in compliance with the applicable stock ownership guidelines. See “Compensation Matters—Compensation Discussion and Analysis— Stock Ownership Guidelines” on page 83 of this Proxy Statement and “Director Compensation and Stock Ownership Guidelines—Non-Employee Director Stock Ownership Guidelines” on page 53 of this Proxy Statement for additional information regarding our ownership guidelines for the members of our Executive Committee and our directors, respectively.</w:t>
      </w:r>
    </w:p>
    <w:p>
      <w:pPr>
        <w:spacing w:after="0" w:line="207"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The following table sets forth the beneficial ownership of our common stock by each of our NEOs and directors, and by all of our directors and executive officers as of March 1, 2022, as a group. The address for each of our executive officers and directors is 7 World Trade Center, 250 Greenwich Street, 49th Floor, New York, New York 10007. Percentage of share ownership amounts are based on 81,267,909 shares of our common stock outstanding as of March 1, 2022.</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jc w:val="right"/>
              <w:ind w:right="101"/>
              <w:spacing w:after="0"/>
              <w:rPr>
                <w:sz w:val="20"/>
                <w:szCs w:val="20"/>
                <w:color w:val="auto"/>
              </w:rPr>
            </w:pPr>
            <w:r>
              <w:rPr>
                <w:rFonts w:ascii="Arial" w:cs="Arial" w:eastAsia="Arial" w:hAnsi="Arial"/>
                <w:sz w:val="14"/>
                <w:szCs w:val="14"/>
                <w:b w:val="1"/>
                <w:bCs w:val="1"/>
                <w:color w:val="auto"/>
              </w:rPr>
              <w:t>Beneficial</w:t>
            </w:r>
          </w:p>
        </w:tc>
        <w:tc>
          <w:tcPr>
            <w:tcW w:w="920" w:type="dxa"/>
            <w:vAlign w:val="bottom"/>
          </w:tcPr>
          <w:p>
            <w:pPr>
              <w:spacing w:after="0"/>
              <w:rPr>
                <w:sz w:val="14"/>
                <w:szCs w:val="14"/>
                <w:color w:val="auto"/>
              </w:rPr>
            </w:pPr>
          </w:p>
        </w:tc>
      </w:tr>
      <w:tr>
        <w:trPr>
          <w:trHeight w:val="159"/>
        </w:trPr>
        <w:tc>
          <w:tcPr>
            <w:tcW w:w="66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60" w:type="dxa"/>
            <w:vAlign w:val="bottom"/>
          </w:tcPr>
          <w:p>
            <w:pPr>
              <w:jc w:val="right"/>
              <w:ind w:right="101"/>
              <w:spacing w:after="0" w:line="159" w:lineRule="exact"/>
              <w:rPr>
                <w:sz w:val="20"/>
                <w:szCs w:val="20"/>
                <w:color w:val="auto"/>
              </w:rPr>
            </w:pPr>
            <w:r>
              <w:rPr>
                <w:rFonts w:ascii="Arial" w:cs="Arial" w:eastAsia="Arial" w:hAnsi="Arial"/>
                <w:sz w:val="14"/>
                <w:szCs w:val="14"/>
                <w:b w:val="1"/>
                <w:bCs w:val="1"/>
                <w:color w:val="auto"/>
              </w:rPr>
              <w:t>Right to</w:t>
            </w:r>
          </w:p>
        </w:tc>
        <w:tc>
          <w:tcPr>
            <w:tcW w:w="1100" w:type="dxa"/>
            <w:vAlign w:val="bottom"/>
          </w:tcPr>
          <w:p>
            <w:pPr>
              <w:jc w:val="right"/>
              <w:ind w:right="101"/>
              <w:spacing w:after="0" w:line="159" w:lineRule="exact"/>
              <w:rPr>
                <w:sz w:val="20"/>
                <w:szCs w:val="20"/>
                <w:color w:val="auto"/>
              </w:rPr>
            </w:pPr>
            <w:r>
              <w:rPr>
                <w:rFonts w:ascii="Arial" w:cs="Arial" w:eastAsia="Arial" w:hAnsi="Arial"/>
                <w:sz w:val="14"/>
                <w:szCs w:val="14"/>
                <w:b w:val="1"/>
                <w:bCs w:val="1"/>
                <w:color w:val="auto"/>
              </w:rPr>
              <w:t>Ownership</w:t>
            </w:r>
          </w:p>
        </w:tc>
        <w:tc>
          <w:tcPr>
            <w:tcW w:w="92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Percent of</w:t>
            </w:r>
          </w:p>
        </w:tc>
      </w:tr>
      <w:tr>
        <w:trPr>
          <w:trHeight w:val="229"/>
        </w:trPr>
        <w:tc>
          <w:tcPr>
            <w:tcW w:w="6660" w:type="dxa"/>
            <w:vAlign w:val="bottom"/>
            <w:tcBorders>
              <w:bottom w:val="single" w:sz="8" w:color="16479F"/>
            </w:tcBorders>
          </w:tcPr>
          <w:p>
            <w:pPr>
              <w:ind w:left="60"/>
              <w:spacing w:after="0"/>
              <w:rPr>
                <w:sz w:val="20"/>
                <w:szCs w:val="20"/>
                <w:color w:val="auto"/>
              </w:rPr>
            </w:pPr>
            <w:r>
              <w:rPr>
                <w:rFonts w:ascii="Arial" w:cs="Arial" w:eastAsia="Arial" w:hAnsi="Arial"/>
                <w:sz w:val="14"/>
                <w:szCs w:val="14"/>
                <w:b w:val="1"/>
                <w:bCs w:val="1"/>
                <w:color w:val="auto"/>
              </w:rPr>
              <w:t>Named Executive Officers</w:t>
            </w:r>
          </w:p>
        </w:tc>
        <w:tc>
          <w:tcPr>
            <w:tcW w:w="1500" w:type="dxa"/>
            <w:vAlign w:val="bottom"/>
            <w:tcBorders>
              <w:bottom w:val="single" w:sz="8" w:color="16479F"/>
            </w:tcBorders>
          </w:tcPr>
          <w:p>
            <w:pPr>
              <w:jc w:val="right"/>
              <w:ind w:right="140"/>
              <w:spacing w:after="0" w:line="229" w:lineRule="exact"/>
              <w:rPr>
                <w:sz w:val="20"/>
                <w:szCs w:val="20"/>
                <w:color w:val="auto"/>
              </w:rPr>
            </w:pPr>
            <w:r>
              <w:rPr>
                <w:rFonts w:ascii="Arial" w:cs="Arial" w:eastAsia="Arial" w:hAnsi="Arial"/>
                <w:sz w:val="14"/>
                <w:szCs w:val="14"/>
                <w:b w:val="1"/>
                <w:bCs w:val="1"/>
                <w:color w:val="auto"/>
              </w:rPr>
              <w:t>Shares</w:t>
            </w:r>
            <w:r>
              <w:rPr>
                <w:rFonts w:ascii="Arial" w:cs="Arial" w:eastAsia="Arial" w:hAnsi="Arial"/>
                <w:sz w:val="23"/>
                <w:szCs w:val="23"/>
                <w:b w:val="1"/>
                <w:bCs w:val="1"/>
                <w:color w:val="auto"/>
                <w:vertAlign w:val="superscript"/>
              </w:rPr>
              <w:t>(1)</w:t>
            </w:r>
          </w:p>
        </w:tc>
        <w:tc>
          <w:tcPr>
            <w:tcW w:w="1060" w:type="dxa"/>
            <w:vAlign w:val="bottom"/>
            <w:tcBorders>
              <w:bottom w:val="single" w:sz="8" w:color="16479F"/>
            </w:tcBorders>
          </w:tcPr>
          <w:p>
            <w:pPr>
              <w:jc w:val="right"/>
              <w:ind w:right="101"/>
              <w:spacing w:after="0" w:line="229" w:lineRule="exact"/>
              <w:rPr>
                <w:sz w:val="20"/>
                <w:szCs w:val="20"/>
                <w:color w:val="auto"/>
              </w:rPr>
            </w:pPr>
            <w:r>
              <w:rPr>
                <w:rFonts w:ascii="Arial" w:cs="Arial" w:eastAsia="Arial" w:hAnsi="Arial"/>
                <w:sz w:val="14"/>
                <w:szCs w:val="14"/>
                <w:b w:val="1"/>
                <w:bCs w:val="1"/>
                <w:color w:val="auto"/>
              </w:rPr>
              <w:t>Acquire</w:t>
            </w:r>
            <w:r>
              <w:rPr>
                <w:rFonts w:ascii="Arial" w:cs="Arial" w:eastAsia="Arial" w:hAnsi="Arial"/>
                <w:sz w:val="23"/>
                <w:szCs w:val="23"/>
                <w:b w:val="1"/>
                <w:bCs w:val="1"/>
                <w:color w:val="auto"/>
                <w:vertAlign w:val="superscript"/>
              </w:rPr>
              <w:t>(2)</w:t>
            </w:r>
          </w:p>
        </w:tc>
        <w:tc>
          <w:tcPr>
            <w:tcW w:w="1100" w:type="dxa"/>
            <w:vAlign w:val="bottom"/>
            <w:tcBorders>
              <w:bottom w:val="single" w:sz="8" w:color="16479F"/>
            </w:tcBorders>
          </w:tcPr>
          <w:p>
            <w:pPr>
              <w:jc w:val="right"/>
              <w:ind w:right="101"/>
              <w:spacing w:after="0" w:line="229" w:lineRule="exact"/>
              <w:rPr>
                <w:sz w:val="20"/>
                <w:szCs w:val="20"/>
                <w:color w:val="auto"/>
              </w:rPr>
            </w:pPr>
            <w:r>
              <w:rPr>
                <w:rFonts w:ascii="Arial" w:cs="Arial" w:eastAsia="Arial" w:hAnsi="Arial"/>
                <w:sz w:val="14"/>
                <w:szCs w:val="14"/>
                <w:b w:val="1"/>
                <w:bCs w:val="1"/>
                <w:color w:val="auto"/>
              </w:rPr>
              <w:t>Total</w:t>
            </w:r>
            <w:r>
              <w:rPr>
                <w:rFonts w:ascii="Arial" w:cs="Arial" w:eastAsia="Arial" w:hAnsi="Arial"/>
                <w:sz w:val="23"/>
                <w:szCs w:val="23"/>
                <w:b w:val="1"/>
                <w:bCs w:val="1"/>
                <w:color w:val="auto"/>
                <w:vertAlign w:val="superscript"/>
              </w:rPr>
              <w:t>(3)</w:t>
            </w:r>
          </w:p>
        </w:tc>
        <w:tc>
          <w:tcPr>
            <w:tcW w:w="920" w:type="dxa"/>
            <w:vAlign w:val="bottom"/>
            <w:tcBorders>
              <w:bottom w:val="single" w:sz="8" w:color="16479F"/>
            </w:tcBorders>
          </w:tcPr>
          <w:p>
            <w:pPr>
              <w:jc w:val="right"/>
              <w:spacing w:after="0" w:line="229" w:lineRule="exact"/>
              <w:rPr>
                <w:sz w:val="20"/>
                <w:szCs w:val="20"/>
                <w:color w:val="auto"/>
              </w:rPr>
            </w:pPr>
            <w:r>
              <w:rPr>
                <w:rFonts w:ascii="Arial" w:cs="Arial" w:eastAsia="Arial" w:hAnsi="Arial"/>
                <w:sz w:val="14"/>
                <w:szCs w:val="14"/>
                <w:b w:val="1"/>
                <w:bCs w:val="1"/>
                <w:color w:val="auto"/>
              </w:rPr>
              <w:t>Class</w:t>
            </w:r>
            <w:r>
              <w:rPr>
                <w:rFonts w:ascii="Arial" w:cs="Arial" w:eastAsia="Arial" w:hAnsi="Arial"/>
                <w:sz w:val="23"/>
                <w:szCs w:val="23"/>
                <w:b w:val="1"/>
                <w:bCs w:val="1"/>
                <w:color w:val="auto"/>
                <w:vertAlign w:val="superscript"/>
              </w:rPr>
              <w:t>(4)</w:t>
            </w:r>
          </w:p>
        </w:tc>
      </w:tr>
      <w:tr>
        <w:trPr>
          <w:trHeight w:val="288"/>
        </w:trPr>
        <w:tc>
          <w:tcPr>
            <w:tcW w:w="6660" w:type="dxa"/>
            <w:vAlign w:val="bottom"/>
            <w:shd w:val="clear" w:color="auto" w:fill="F0F1F8"/>
          </w:tcPr>
          <w:p>
            <w:pPr>
              <w:ind w:left="60"/>
              <w:spacing w:after="0" w:line="288" w:lineRule="exact"/>
              <w:rPr>
                <w:sz w:val="20"/>
                <w:szCs w:val="20"/>
                <w:color w:val="auto"/>
              </w:rPr>
            </w:pPr>
            <w:r>
              <w:rPr>
                <w:rFonts w:ascii="Arial" w:cs="Arial" w:eastAsia="Arial" w:hAnsi="Arial"/>
                <w:sz w:val="16"/>
                <w:szCs w:val="16"/>
                <w:color w:val="auto"/>
              </w:rPr>
              <w:t>Henry A. Fernandez</w:t>
            </w:r>
            <w:r>
              <w:rPr>
                <w:rFonts w:ascii="Arial" w:cs="Arial" w:eastAsia="Arial" w:hAnsi="Arial"/>
                <w:sz w:val="26"/>
                <w:szCs w:val="26"/>
                <w:color w:val="auto"/>
                <w:vertAlign w:val="superscript"/>
              </w:rPr>
              <w:t>(5)</w:t>
            </w:r>
          </w:p>
        </w:tc>
        <w:tc>
          <w:tcPr>
            <w:tcW w:w="1500" w:type="dxa"/>
            <w:vAlign w:val="bottom"/>
            <w:shd w:val="clear" w:color="auto" w:fill="F0F1F8"/>
          </w:tcPr>
          <w:p>
            <w:pPr>
              <w:jc w:val="right"/>
              <w:ind w:right="140"/>
              <w:spacing w:after="0"/>
              <w:rPr>
                <w:sz w:val="20"/>
                <w:szCs w:val="20"/>
                <w:color w:val="auto"/>
              </w:rPr>
            </w:pPr>
            <w:r>
              <w:rPr>
                <w:rFonts w:ascii="Arial" w:cs="Arial" w:eastAsia="Arial" w:hAnsi="Arial"/>
                <w:sz w:val="16"/>
                <w:szCs w:val="16"/>
                <w:color w:val="auto"/>
              </w:rPr>
              <w:t>2,052,401</w:t>
            </w:r>
          </w:p>
        </w:tc>
        <w:tc>
          <w:tcPr>
            <w:tcW w:w="1060" w:type="dxa"/>
            <w:vAlign w:val="bottom"/>
            <w:shd w:val="clear" w:color="auto" w:fill="F0F1F8"/>
          </w:tcPr>
          <w:p>
            <w:pPr>
              <w:jc w:val="right"/>
              <w:ind w:right="101"/>
              <w:spacing w:after="0"/>
              <w:rPr>
                <w:sz w:val="20"/>
                <w:szCs w:val="20"/>
                <w:color w:val="auto"/>
              </w:rPr>
            </w:pPr>
            <w:r>
              <w:rPr>
                <w:rFonts w:ascii="Arial" w:cs="Arial" w:eastAsia="Arial" w:hAnsi="Arial"/>
                <w:sz w:val="16"/>
                <w:szCs w:val="16"/>
                <w:color w:val="auto"/>
              </w:rPr>
              <w:t>—</w:t>
            </w:r>
          </w:p>
        </w:tc>
        <w:tc>
          <w:tcPr>
            <w:tcW w:w="1100" w:type="dxa"/>
            <w:vAlign w:val="bottom"/>
            <w:shd w:val="clear" w:color="auto" w:fill="F0F1F8"/>
          </w:tcPr>
          <w:p>
            <w:pPr>
              <w:jc w:val="right"/>
              <w:ind w:right="101"/>
              <w:spacing w:after="0"/>
              <w:rPr>
                <w:sz w:val="20"/>
                <w:szCs w:val="20"/>
                <w:color w:val="auto"/>
              </w:rPr>
            </w:pPr>
            <w:r>
              <w:rPr>
                <w:rFonts w:ascii="Arial" w:cs="Arial" w:eastAsia="Arial" w:hAnsi="Arial"/>
                <w:sz w:val="16"/>
                <w:szCs w:val="16"/>
                <w:color w:val="auto"/>
              </w:rPr>
              <w:t>2,052,401</w:t>
            </w:r>
          </w:p>
        </w:tc>
        <w:tc>
          <w:tcPr>
            <w:tcW w:w="920" w:type="dxa"/>
            <w:vAlign w:val="bottom"/>
            <w:shd w:val="clear" w:color="auto" w:fill="F0F1F8"/>
          </w:tcPr>
          <w:p>
            <w:pPr>
              <w:jc w:val="right"/>
              <w:spacing w:after="0"/>
              <w:rPr>
                <w:sz w:val="20"/>
                <w:szCs w:val="20"/>
                <w:color w:val="auto"/>
              </w:rPr>
            </w:pPr>
            <w:r>
              <w:rPr>
                <w:rFonts w:ascii="Arial" w:cs="Arial" w:eastAsia="Arial" w:hAnsi="Arial"/>
                <w:sz w:val="16"/>
                <w:szCs w:val="16"/>
                <w:color w:val="auto"/>
              </w:rPr>
              <w:t>2.53%</w:t>
            </w:r>
          </w:p>
        </w:tc>
      </w:tr>
      <w:tr>
        <w:trPr>
          <w:trHeight w:val="285"/>
        </w:trPr>
        <w:tc>
          <w:tcPr>
            <w:tcW w:w="6660" w:type="dxa"/>
            <w:vAlign w:val="bottom"/>
          </w:tcPr>
          <w:p>
            <w:pPr>
              <w:ind w:left="60"/>
              <w:spacing w:after="0"/>
              <w:rPr>
                <w:sz w:val="20"/>
                <w:szCs w:val="20"/>
                <w:color w:val="auto"/>
              </w:rPr>
            </w:pPr>
            <w:r>
              <w:rPr>
                <w:rFonts w:ascii="Arial" w:cs="Arial" w:eastAsia="Arial" w:hAnsi="Arial"/>
                <w:sz w:val="16"/>
                <w:szCs w:val="16"/>
                <w:color w:val="auto"/>
              </w:rPr>
              <w:t>Andrew C. Wiechmann</w:t>
            </w:r>
          </w:p>
        </w:tc>
        <w:tc>
          <w:tcPr>
            <w:tcW w:w="1500" w:type="dxa"/>
            <w:vAlign w:val="bottom"/>
          </w:tcPr>
          <w:p>
            <w:pPr>
              <w:jc w:val="right"/>
              <w:ind w:right="140"/>
              <w:spacing w:after="0"/>
              <w:rPr>
                <w:sz w:val="20"/>
                <w:szCs w:val="20"/>
                <w:color w:val="auto"/>
              </w:rPr>
            </w:pPr>
            <w:r>
              <w:rPr>
                <w:rFonts w:ascii="Arial" w:cs="Arial" w:eastAsia="Arial" w:hAnsi="Arial"/>
                <w:sz w:val="16"/>
                <w:szCs w:val="16"/>
                <w:color w:val="auto"/>
              </w:rPr>
              <w:t>14,505</w:t>
            </w:r>
          </w:p>
        </w:tc>
        <w:tc>
          <w:tcPr>
            <w:tcW w:w="1060" w:type="dxa"/>
            <w:vAlign w:val="bottom"/>
          </w:tcPr>
          <w:p>
            <w:pPr>
              <w:jc w:val="right"/>
              <w:ind w:right="101"/>
              <w:spacing w:after="0"/>
              <w:rPr>
                <w:sz w:val="20"/>
                <w:szCs w:val="20"/>
                <w:color w:val="auto"/>
              </w:rPr>
            </w:pPr>
            <w:r>
              <w:rPr>
                <w:rFonts w:ascii="Arial" w:cs="Arial" w:eastAsia="Arial" w:hAnsi="Arial"/>
                <w:sz w:val="16"/>
                <w:szCs w:val="16"/>
                <w:color w:val="auto"/>
              </w:rPr>
              <w:t>2,671</w:t>
            </w:r>
          </w:p>
        </w:tc>
        <w:tc>
          <w:tcPr>
            <w:tcW w:w="1100" w:type="dxa"/>
            <w:vAlign w:val="bottom"/>
          </w:tcPr>
          <w:p>
            <w:pPr>
              <w:jc w:val="right"/>
              <w:ind w:right="101"/>
              <w:spacing w:after="0"/>
              <w:rPr>
                <w:sz w:val="20"/>
                <w:szCs w:val="20"/>
                <w:color w:val="auto"/>
              </w:rPr>
            </w:pPr>
            <w:r>
              <w:rPr>
                <w:rFonts w:ascii="Arial" w:cs="Arial" w:eastAsia="Arial" w:hAnsi="Arial"/>
                <w:sz w:val="16"/>
                <w:szCs w:val="16"/>
                <w:color w:val="auto"/>
              </w:rPr>
              <w:t>17,176</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04"/>
        </w:trPr>
        <w:tc>
          <w:tcPr>
            <w:tcW w:w="6660" w:type="dxa"/>
            <w:vAlign w:val="bottom"/>
            <w:shd w:val="clear" w:color="auto" w:fill="F0F1F8"/>
          </w:tcPr>
          <w:p>
            <w:pPr>
              <w:ind w:left="60"/>
              <w:spacing w:after="0"/>
              <w:rPr>
                <w:sz w:val="20"/>
                <w:szCs w:val="20"/>
                <w:color w:val="auto"/>
              </w:rPr>
            </w:pPr>
            <w:r>
              <w:rPr>
                <w:rFonts w:ascii="Arial" w:cs="Arial" w:eastAsia="Arial" w:hAnsi="Arial"/>
                <w:sz w:val="16"/>
                <w:szCs w:val="16"/>
                <w:color w:val="auto"/>
              </w:rPr>
              <w:t>C.D. Baer Pettit</w:t>
            </w:r>
          </w:p>
        </w:tc>
        <w:tc>
          <w:tcPr>
            <w:tcW w:w="1500" w:type="dxa"/>
            <w:vAlign w:val="bottom"/>
            <w:shd w:val="clear" w:color="auto" w:fill="F0F1F8"/>
          </w:tcPr>
          <w:p>
            <w:pPr>
              <w:jc w:val="right"/>
              <w:ind w:right="140"/>
              <w:spacing w:after="0"/>
              <w:rPr>
                <w:sz w:val="20"/>
                <w:szCs w:val="20"/>
                <w:color w:val="auto"/>
              </w:rPr>
            </w:pPr>
            <w:r>
              <w:rPr>
                <w:rFonts w:ascii="Arial" w:cs="Arial" w:eastAsia="Arial" w:hAnsi="Arial"/>
                <w:sz w:val="16"/>
                <w:szCs w:val="16"/>
                <w:color w:val="auto"/>
              </w:rPr>
              <w:t>259,087</w:t>
            </w:r>
          </w:p>
        </w:tc>
        <w:tc>
          <w:tcPr>
            <w:tcW w:w="1060" w:type="dxa"/>
            <w:vAlign w:val="bottom"/>
            <w:shd w:val="clear" w:color="auto" w:fill="F0F1F8"/>
          </w:tcPr>
          <w:p>
            <w:pPr>
              <w:jc w:val="right"/>
              <w:ind w:right="101"/>
              <w:spacing w:after="0"/>
              <w:rPr>
                <w:sz w:val="20"/>
                <w:szCs w:val="20"/>
                <w:color w:val="auto"/>
              </w:rPr>
            </w:pPr>
            <w:r>
              <w:rPr>
                <w:rFonts w:ascii="Arial" w:cs="Arial" w:eastAsia="Arial" w:hAnsi="Arial"/>
                <w:sz w:val="16"/>
                <w:szCs w:val="16"/>
                <w:color w:val="auto"/>
              </w:rPr>
              <w:t>—</w:t>
            </w:r>
          </w:p>
        </w:tc>
        <w:tc>
          <w:tcPr>
            <w:tcW w:w="1100" w:type="dxa"/>
            <w:vAlign w:val="bottom"/>
            <w:shd w:val="clear" w:color="auto" w:fill="F0F1F8"/>
          </w:tcPr>
          <w:p>
            <w:pPr>
              <w:jc w:val="right"/>
              <w:ind w:right="101"/>
              <w:spacing w:after="0"/>
              <w:rPr>
                <w:sz w:val="20"/>
                <w:szCs w:val="20"/>
                <w:color w:val="auto"/>
              </w:rPr>
            </w:pPr>
            <w:r>
              <w:rPr>
                <w:rFonts w:ascii="Arial" w:cs="Arial" w:eastAsia="Arial" w:hAnsi="Arial"/>
                <w:sz w:val="16"/>
                <w:szCs w:val="16"/>
                <w:color w:val="auto"/>
              </w:rPr>
              <w:t>259,087</w:t>
            </w:r>
          </w:p>
        </w:tc>
        <w:tc>
          <w:tcPr>
            <w:tcW w:w="920" w:type="dxa"/>
            <w:vAlign w:val="bottom"/>
            <w:shd w:val="clear" w:color="auto" w:fill="F0F1F8"/>
          </w:tcPr>
          <w:p>
            <w:pPr>
              <w:jc w:val="right"/>
              <w:spacing w:after="0"/>
              <w:rPr>
                <w:sz w:val="20"/>
                <w:szCs w:val="20"/>
                <w:color w:val="auto"/>
              </w:rPr>
            </w:pPr>
            <w:r>
              <w:rPr>
                <w:rFonts w:ascii="Arial" w:cs="Arial" w:eastAsia="Arial" w:hAnsi="Arial"/>
                <w:sz w:val="16"/>
                <w:szCs w:val="16"/>
                <w:color w:val="auto"/>
              </w:rPr>
              <w:t>—%</w:t>
            </w:r>
          </w:p>
        </w:tc>
      </w:tr>
      <w:tr>
        <w:trPr>
          <w:trHeight w:val="285"/>
        </w:trPr>
        <w:tc>
          <w:tcPr>
            <w:tcW w:w="6660" w:type="dxa"/>
            <w:vAlign w:val="bottom"/>
          </w:tcPr>
          <w:p>
            <w:pPr>
              <w:ind w:left="60"/>
              <w:spacing w:after="0"/>
              <w:rPr>
                <w:sz w:val="20"/>
                <w:szCs w:val="20"/>
                <w:color w:val="auto"/>
              </w:rPr>
            </w:pPr>
            <w:r>
              <w:rPr>
                <w:rFonts w:ascii="Arial" w:cs="Arial" w:eastAsia="Arial" w:hAnsi="Arial"/>
                <w:sz w:val="16"/>
                <w:szCs w:val="16"/>
                <w:color w:val="auto"/>
              </w:rPr>
              <w:t>Scott A. Crum</w:t>
            </w:r>
          </w:p>
        </w:tc>
        <w:tc>
          <w:tcPr>
            <w:tcW w:w="1500" w:type="dxa"/>
            <w:vAlign w:val="bottom"/>
          </w:tcPr>
          <w:p>
            <w:pPr>
              <w:jc w:val="right"/>
              <w:ind w:right="140"/>
              <w:spacing w:after="0"/>
              <w:rPr>
                <w:sz w:val="20"/>
                <w:szCs w:val="20"/>
                <w:color w:val="auto"/>
              </w:rPr>
            </w:pPr>
            <w:r>
              <w:rPr>
                <w:rFonts w:ascii="Arial" w:cs="Arial" w:eastAsia="Arial" w:hAnsi="Arial"/>
                <w:sz w:val="16"/>
                <w:szCs w:val="16"/>
                <w:color w:val="auto"/>
              </w:rPr>
              <w:t>30,087</w:t>
            </w:r>
          </w:p>
        </w:tc>
        <w:tc>
          <w:tcPr>
            <w:tcW w:w="106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01"/>
              <w:spacing w:after="0"/>
              <w:rPr>
                <w:sz w:val="20"/>
                <w:szCs w:val="20"/>
                <w:color w:val="auto"/>
              </w:rPr>
            </w:pPr>
            <w:r>
              <w:rPr>
                <w:rFonts w:ascii="Arial" w:cs="Arial" w:eastAsia="Arial" w:hAnsi="Arial"/>
                <w:sz w:val="16"/>
                <w:szCs w:val="16"/>
                <w:color w:val="auto"/>
              </w:rPr>
              <w:t>30,087</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04"/>
        </w:trPr>
        <w:tc>
          <w:tcPr>
            <w:tcW w:w="6660" w:type="dxa"/>
            <w:vAlign w:val="bottom"/>
            <w:shd w:val="clear" w:color="auto" w:fill="F0F1F8"/>
          </w:tcPr>
          <w:p>
            <w:pPr>
              <w:ind w:left="60"/>
              <w:spacing w:after="0"/>
              <w:rPr>
                <w:sz w:val="20"/>
                <w:szCs w:val="20"/>
                <w:color w:val="auto"/>
              </w:rPr>
            </w:pPr>
            <w:r>
              <w:rPr>
                <w:rFonts w:ascii="Arial" w:cs="Arial" w:eastAsia="Arial" w:hAnsi="Arial"/>
                <w:sz w:val="16"/>
                <w:szCs w:val="16"/>
                <w:color w:val="auto"/>
              </w:rPr>
              <w:t>Robert J. Gutowski</w:t>
            </w:r>
          </w:p>
        </w:tc>
        <w:tc>
          <w:tcPr>
            <w:tcW w:w="1500" w:type="dxa"/>
            <w:vAlign w:val="bottom"/>
            <w:shd w:val="clear" w:color="auto" w:fill="F0F1F8"/>
          </w:tcPr>
          <w:p>
            <w:pPr>
              <w:jc w:val="right"/>
              <w:ind w:right="140"/>
              <w:spacing w:after="0"/>
              <w:rPr>
                <w:sz w:val="20"/>
                <w:szCs w:val="20"/>
                <w:color w:val="auto"/>
              </w:rPr>
            </w:pPr>
            <w:r>
              <w:rPr>
                <w:rFonts w:ascii="Arial" w:cs="Arial" w:eastAsia="Arial" w:hAnsi="Arial"/>
                <w:sz w:val="16"/>
                <w:szCs w:val="16"/>
                <w:color w:val="auto"/>
              </w:rPr>
              <w:t>15,122</w:t>
            </w:r>
          </w:p>
        </w:tc>
        <w:tc>
          <w:tcPr>
            <w:tcW w:w="1060" w:type="dxa"/>
            <w:vAlign w:val="bottom"/>
            <w:shd w:val="clear" w:color="auto" w:fill="F0F1F8"/>
          </w:tcPr>
          <w:p>
            <w:pPr>
              <w:jc w:val="right"/>
              <w:ind w:right="101"/>
              <w:spacing w:after="0"/>
              <w:rPr>
                <w:sz w:val="20"/>
                <w:szCs w:val="20"/>
                <w:color w:val="auto"/>
              </w:rPr>
            </w:pPr>
            <w:r>
              <w:rPr>
                <w:rFonts w:ascii="Arial" w:cs="Arial" w:eastAsia="Arial" w:hAnsi="Arial"/>
                <w:sz w:val="16"/>
                <w:szCs w:val="16"/>
                <w:color w:val="auto"/>
              </w:rPr>
              <w:t>—</w:t>
            </w:r>
          </w:p>
        </w:tc>
        <w:tc>
          <w:tcPr>
            <w:tcW w:w="1100" w:type="dxa"/>
            <w:vAlign w:val="bottom"/>
            <w:shd w:val="clear" w:color="auto" w:fill="F0F1F8"/>
          </w:tcPr>
          <w:p>
            <w:pPr>
              <w:jc w:val="right"/>
              <w:ind w:right="101"/>
              <w:spacing w:after="0"/>
              <w:rPr>
                <w:sz w:val="20"/>
                <w:szCs w:val="20"/>
                <w:color w:val="auto"/>
              </w:rPr>
            </w:pPr>
            <w:r>
              <w:rPr>
                <w:rFonts w:ascii="Arial" w:cs="Arial" w:eastAsia="Arial" w:hAnsi="Arial"/>
                <w:sz w:val="16"/>
                <w:szCs w:val="16"/>
                <w:color w:val="auto"/>
              </w:rPr>
              <w:t>15,122</w:t>
            </w:r>
          </w:p>
        </w:tc>
        <w:tc>
          <w:tcPr>
            <w:tcW w:w="920" w:type="dxa"/>
            <w:vAlign w:val="bottom"/>
            <w:shd w:val="clear" w:color="auto" w:fill="F0F1F8"/>
          </w:tcPr>
          <w:p>
            <w:pPr>
              <w:jc w:val="right"/>
              <w:spacing w:after="0"/>
              <w:rPr>
                <w:sz w:val="20"/>
                <w:szCs w:val="20"/>
                <w:color w:val="auto"/>
              </w:rPr>
            </w:pPr>
            <w:r>
              <w:rPr>
                <w:rFonts w:ascii="Arial" w:cs="Arial" w:eastAsia="Arial" w:hAnsi="Arial"/>
                <w:sz w:val="16"/>
                <w:szCs w:val="16"/>
                <w:color w:val="auto"/>
              </w:rPr>
              <w:t>—%</w:t>
            </w:r>
          </w:p>
        </w:tc>
      </w:tr>
      <w:tr>
        <w:trPr>
          <w:trHeight w:val="285"/>
        </w:trPr>
        <w:tc>
          <w:tcPr>
            <w:tcW w:w="6660" w:type="dxa"/>
            <w:vAlign w:val="bottom"/>
          </w:tcPr>
          <w:p>
            <w:pPr>
              <w:ind w:left="60"/>
              <w:spacing w:after="0"/>
              <w:rPr>
                <w:sz w:val="20"/>
                <w:szCs w:val="20"/>
                <w:color w:val="auto"/>
              </w:rPr>
            </w:pPr>
            <w:r>
              <w:rPr>
                <w:rFonts w:ascii="Arial" w:cs="Arial" w:eastAsia="Arial" w:hAnsi="Arial"/>
                <w:sz w:val="16"/>
                <w:szCs w:val="16"/>
                <w:b w:val="1"/>
                <w:bCs w:val="1"/>
                <w:color w:val="auto"/>
              </w:rPr>
              <w:t>Directors</w:t>
            </w:r>
          </w:p>
        </w:tc>
        <w:tc>
          <w:tcPr>
            <w:tcW w:w="1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04"/>
        </w:trPr>
        <w:tc>
          <w:tcPr>
            <w:tcW w:w="6660" w:type="dxa"/>
            <w:vAlign w:val="bottom"/>
            <w:shd w:val="clear" w:color="auto" w:fill="F0F1F8"/>
          </w:tcPr>
          <w:p>
            <w:pPr>
              <w:ind w:left="60"/>
              <w:spacing w:after="0"/>
              <w:rPr>
                <w:sz w:val="20"/>
                <w:szCs w:val="20"/>
                <w:color w:val="auto"/>
              </w:rPr>
            </w:pPr>
            <w:r>
              <w:rPr>
                <w:rFonts w:ascii="Arial" w:cs="Arial" w:eastAsia="Arial" w:hAnsi="Arial"/>
                <w:sz w:val="16"/>
                <w:szCs w:val="16"/>
                <w:color w:val="auto"/>
              </w:rPr>
              <w:t>Robert G. Ashe</w:t>
            </w:r>
          </w:p>
        </w:tc>
        <w:tc>
          <w:tcPr>
            <w:tcW w:w="1500" w:type="dxa"/>
            <w:vAlign w:val="bottom"/>
            <w:shd w:val="clear" w:color="auto" w:fill="F0F1F8"/>
          </w:tcPr>
          <w:p>
            <w:pPr>
              <w:jc w:val="right"/>
              <w:ind w:right="140"/>
              <w:spacing w:after="0"/>
              <w:rPr>
                <w:sz w:val="20"/>
                <w:szCs w:val="20"/>
                <w:color w:val="auto"/>
              </w:rPr>
            </w:pPr>
            <w:r>
              <w:rPr>
                <w:rFonts w:ascii="Arial" w:cs="Arial" w:eastAsia="Arial" w:hAnsi="Arial"/>
                <w:sz w:val="16"/>
                <w:szCs w:val="16"/>
                <w:color w:val="auto"/>
              </w:rPr>
              <w:t>15,825</w:t>
            </w:r>
          </w:p>
        </w:tc>
        <w:tc>
          <w:tcPr>
            <w:tcW w:w="1060" w:type="dxa"/>
            <w:vAlign w:val="bottom"/>
            <w:shd w:val="clear" w:color="auto" w:fill="F0F1F8"/>
          </w:tcPr>
          <w:p>
            <w:pPr>
              <w:jc w:val="right"/>
              <w:ind w:right="101"/>
              <w:spacing w:after="0"/>
              <w:rPr>
                <w:sz w:val="20"/>
                <w:szCs w:val="20"/>
                <w:color w:val="auto"/>
              </w:rPr>
            </w:pPr>
            <w:r>
              <w:rPr>
                <w:rFonts w:ascii="Arial" w:cs="Arial" w:eastAsia="Arial" w:hAnsi="Arial"/>
                <w:sz w:val="16"/>
                <w:szCs w:val="16"/>
                <w:color w:val="auto"/>
              </w:rPr>
              <w:t>442</w:t>
            </w:r>
          </w:p>
        </w:tc>
        <w:tc>
          <w:tcPr>
            <w:tcW w:w="1100" w:type="dxa"/>
            <w:vAlign w:val="bottom"/>
            <w:shd w:val="clear" w:color="auto" w:fill="F0F1F8"/>
          </w:tcPr>
          <w:p>
            <w:pPr>
              <w:jc w:val="right"/>
              <w:ind w:right="101"/>
              <w:spacing w:after="0"/>
              <w:rPr>
                <w:sz w:val="20"/>
                <w:szCs w:val="20"/>
                <w:color w:val="auto"/>
              </w:rPr>
            </w:pPr>
            <w:r>
              <w:rPr>
                <w:rFonts w:ascii="Arial" w:cs="Arial" w:eastAsia="Arial" w:hAnsi="Arial"/>
                <w:sz w:val="16"/>
                <w:szCs w:val="16"/>
                <w:color w:val="auto"/>
              </w:rPr>
              <w:t>16,267</w:t>
            </w:r>
          </w:p>
        </w:tc>
        <w:tc>
          <w:tcPr>
            <w:tcW w:w="920" w:type="dxa"/>
            <w:vAlign w:val="bottom"/>
            <w:shd w:val="clear" w:color="auto" w:fill="F0F1F8"/>
          </w:tcPr>
          <w:p>
            <w:pPr>
              <w:jc w:val="right"/>
              <w:spacing w:after="0"/>
              <w:rPr>
                <w:sz w:val="20"/>
                <w:szCs w:val="20"/>
                <w:color w:val="auto"/>
              </w:rPr>
            </w:pPr>
            <w:r>
              <w:rPr>
                <w:rFonts w:ascii="Arial" w:cs="Arial" w:eastAsia="Arial" w:hAnsi="Arial"/>
                <w:sz w:val="16"/>
                <w:szCs w:val="16"/>
                <w:color w:val="auto"/>
              </w:rPr>
              <w:t>—%</w:t>
            </w:r>
          </w:p>
        </w:tc>
      </w:tr>
      <w:tr>
        <w:trPr>
          <w:trHeight w:val="285"/>
        </w:trPr>
        <w:tc>
          <w:tcPr>
            <w:tcW w:w="6660" w:type="dxa"/>
            <w:vAlign w:val="bottom"/>
          </w:tcPr>
          <w:p>
            <w:pPr>
              <w:ind w:left="60"/>
              <w:spacing w:after="0"/>
              <w:rPr>
                <w:sz w:val="20"/>
                <w:szCs w:val="20"/>
                <w:color w:val="auto"/>
              </w:rPr>
            </w:pPr>
            <w:r>
              <w:rPr>
                <w:rFonts w:ascii="Arial" w:cs="Arial" w:eastAsia="Arial" w:hAnsi="Arial"/>
                <w:sz w:val="16"/>
                <w:szCs w:val="16"/>
                <w:color w:val="auto"/>
              </w:rPr>
              <w:t>Wayne Edmunds</w:t>
            </w:r>
          </w:p>
        </w:tc>
        <w:tc>
          <w:tcPr>
            <w:tcW w:w="1500" w:type="dxa"/>
            <w:vAlign w:val="bottom"/>
          </w:tcPr>
          <w:p>
            <w:pPr>
              <w:jc w:val="right"/>
              <w:ind w:right="140"/>
              <w:spacing w:after="0"/>
              <w:rPr>
                <w:sz w:val="20"/>
                <w:szCs w:val="20"/>
                <w:color w:val="auto"/>
              </w:rPr>
            </w:pPr>
            <w:r>
              <w:rPr>
                <w:rFonts w:ascii="Arial" w:cs="Arial" w:eastAsia="Arial" w:hAnsi="Arial"/>
                <w:sz w:val="16"/>
                <w:szCs w:val="16"/>
                <w:color w:val="auto"/>
              </w:rPr>
              <w:t>8,095</w:t>
            </w:r>
          </w:p>
        </w:tc>
        <w:tc>
          <w:tcPr>
            <w:tcW w:w="1060" w:type="dxa"/>
            <w:vAlign w:val="bottom"/>
          </w:tcPr>
          <w:p>
            <w:pPr>
              <w:jc w:val="right"/>
              <w:ind w:right="101"/>
              <w:spacing w:after="0"/>
              <w:rPr>
                <w:sz w:val="20"/>
                <w:szCs w:val="20"/>
                <w:color w:val="auto"/>
              </w:rPr>
            </w:pPr>
            <w:r>
              <w:rPr>
                <w:rFonts w:ascii="Arial" w:cs="Arial" w:eastAsia="Arial" w:hAnsi="Arial"/>
                <w:sz w:val="16"/>
                <w:szCs w:val="16"/>
                <w:color w:val="auto"/>
              </w:rPr>
              <w:t>339</w:t>
            </w:r>
          </w:p>
        </w:tc>
        <w:tc>
          <w:tcPr>
            <w:tcW w:w="1100" w:type="dxa"/>
            <w:vAlign w:val="bottom"/>
          </w:tcPr>
          <w:p>
            <w:pPr>
              <w:jc w:val="right"/>
              <w:ind w:right="101"/>
              <w:spacing w:after="0"/>
              <w:rPr>
                <w:sz w:val="20"/>
                <w:szCs w:val="20"/>
                <w:color w:val="auto"/>
              </w:rPr>
            </w:pPr>
            <w:r>
              <w:rPr>
                <w:rFonts w:ascii="Arial" w:cs="Arial" w:eastAsia="Arial" w:hAnsi="Arial"/>
                <w:sz w:val="16"/>
                <w:szCs w:val="16"/>
                <w:color w:val="auto"/>
              </w:rPr>
              <w:t>8,434</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04"/>
        </w:trPr>
        <w:tc>
          <w:tcPr>
            <w:tcW w:w="6660" w:type="dxa"/>
            <w:vAlign w:val="bottom"/>
            <w:shd w:val="clear" w:color="auto" w:fill="F0F1F8"/>
          </w:tcPr>
          <w:p>
            <w:pPr>
              <w:ind w:left="60"/>
              <w:spacing w:after="0"/>
              <w:rPr>
                <w:sz w:val="20"/>
                <w:szCs w:val="20"/>
                <w:color w:val="auto"/>
              </w:rPr>
            </w:pPr>
            <w:r>
              <w:rPr>
                <w:rFonts w:ascii="Arial" w:cs="Arial" w:eastAsia="Arial" w:hAnsi="Arial"/>
                <w:sz w:val="16"/>
                <w:szCs w:val="16"/>
                <w:color w:val="auto"/>
              </w:rPr>
              <w:t>Catherine R. Kinney</w:t>
            </w:r>
            <w:r>
              <w:rPr>
                <w:rFonts w:ascii="Arial" w:cs="Arial" w:eastAsia="Arial" w:hAnsi="Arial"/>
                <w:sz w:val="26"/>
                <w:szCs w:val="26"/>
                <w:color w:val="auto"/>
                <w:vertAlign w:val="superscript"/>
              </w:rPr>
              <w:t>(6)</w:t>
            </w:r>
          </w:p>
        </w:tc>
        <w:tc>
          <w:tcPr>
            <w:tcW w:w="1500" w:type="dxa"/>
            <w:vAlign w:val="bottom"/>
            <w:shd w:val="clear" w:color="auto" w:fill="F0F1F8"/>
          </w:tcPr>
          <w:p>
            <w:pPr>
              <w:jc w:val="right"/>
              <w:ind w:right="140"/>
              <w:spacing w:after="0"/>
              <w:rPr>
                <w:sz w:val="20"/>
                <w:szCs w:val="20"/>
                <w:color w:val="auto"/>
              </w:rPr>
            </w:pPr>
            <w:r>
              <w:rPr>
                <w:rFonts w:ascii="Arial" w:cs="Arial" w:eastAsia="Arial" w:hAnsi="Arial"/>
                <w:sz w:val="16"/>
                <w:szCs w:val="16"/>
                <w:color w:val="auto"/>
              </w:rPr>
              <w:t>26,491</w:t>
            </w:r>
          </w:p>
        </w:tc>
        <w:tc>
          <w:tcPr>
            <w:tcW w:w="1060" w:type="dxa"/>
            <w:vAlign w:val="bottom"/>
            <w:shd w:val="clear" w:color="auto" w:fill="F0F1F8"/>
          </w:tcPr>
          <w:p>
            <w:pPr>
              <w:jc w:val="right"/>
              <w:ind w:right="101"/>
              <w:spacing w:after="0"/>
              <w:rPr>
                <w:sz w:val="20"/>
                <w:szCs w:val="20"/>
                <w:color w:val="auto"/>
              </w:rPr>
            </w:pPr>
            <w:r>
              <w:rPr>
                <w:rFonts w:ascii="Arial" w:cs="Arial" w:eastAsia="Arial" w:hAnsi="Arial"/>
                <w:sz w:val="16"/>
                <w:szCs w:val="16"/>
                <w:color w:val="auto"/>
              </w:rPr>
              <w:t>339</w:t>
            </w:r>
          </w:p>
        </w:tc>
        <w:tc>
          <w:tcPr>
            <w:tcW w:w="1100" w:type="dxa"/>
            <w:vAlign w:val="bottom"/>
            <w:shd w:val="clear" w:color="auto" w:fill="F0F1F8"/>
          </w:tcPr>
          <w:p>
            <w:pPr>
              <w:jc w:val="right"/>
              <w:ind w:right="101"/>
              <w:spacing w:after="0"/>
              <w:rPr>
                <w:sz w:val="20"/>
                <w:szCs w:val="20"/>
                <w:color w:val="auto"/>
              </w:rPr>
            </w:pPr>
            <w:r>
              <w:rPr>
                <w:rFonts w:ascii="Arial" w:cs="Arial" w:eastAsia="Arial" w:hAnsi="Arial"/>
                <w:sz w:val="16"/>
                <w:szCs w:val="16"/>
                <w:color w:val="auto"/>
              </w:rPr>
              <w:t>26,830</w:t>
            </w:r>
          </w:p>
        </w:tc>
        <w:tc>
          <w:tcPr>
            <w:tcW w:w="920" w:type="dxa"/>
            <w:vAlign w:val="bottom"/>
            <w:shd w:val="clear" w:color="auto" w:fill="F0F1F8"/>
          </w:tcPr>
          <w:p>
            <w:pPr>
              <w:jc w:val="right"/>
              <w:spacing w:after="0"/>
              <w:rPr>
                <w:sz w:val="20"/>
                <w:szCs w:val="20"/>
                <w:color w:val="auto"/>
              </w:rPr>
            </w:pPr>
            <w:r>
              <w:rPr>
                <w:rFonts w:ascii="Arial" w:cs="Arial" w:eastAsia="Arial" w:hAnsi="Arial"/>
                <w:sz w:val="16"/>
                <w:szCs w:val="16"/>
                <w:color w:val="auto"/>
              </w:rPr>
              <w:t>—%</w:t>
            </w:r>
          </w:p>
        </w:tc>
      </w:tr>
      <w:tr>
        <w:trPr>
          <w:trHeight w:val="285"/>
        </w:trPr>
        <w:tc>
          <w:tcPr>
            <w:tcW w:w="6660" w:type="dxa"/>
            <w:vAlign w:val="bottom"/>
          </w:tcPr>
          <w:p>
            <w:pPr>
              <w:ind w:left="60"/>
              <w:spacing w:after="0"/>
              <w:rPr>
                <w:sz w:val="20"/>
                <w:szCs w:val="20"/>
                <w:color w:val="auto"/>
              </w:rPr>
            </w:pPr>
            <w:r>
              <w:rPr>
                <w:rFonts w:ascii="Arial" w:cs="Arial" w:eastAsia="Arial" w:hAnsi="Arial"/>
                <w:sz w:val="16"/>
                <w:szCs w:val="16"/>
                <w:color w:val="auto"/>
              </w:rPr>
              <w:t>Jacques P. Perold</w:t>
            </w:r>
          </w:p>
        </w:tc>
        <w:tc>
          <w:tcPr>
            <w:tcW w:w="1500" w:type="dxa"/>
            <w:vAlign w:val="bottom"/>
          </w:tcPr>
          <w:p>
            <w:pPr>
              <w:jc w:val="right"/>
              <w:ind w:right="140"/>
              <w:spacing w:after="0"/>
              <w:rPr>
                <w:sz w:val="20"/>
                <w:szCs w:val="20"/>
                <w:color w:val="auto"/>
              </w:rPr>
            </w:pPr>
            <w:r>
              <w:rPr>
                <w:rFonts w:ascii="Arial" w:cs="Arial" w:eastAsia="Arial" w:hAnsi="Arial"/>
                <w:sz w:val="16"/>
                <w:szCs w:val="16"/>
                <w:color w:val="auto"/>
              </w:rPr>
              <w:t>3,888</w:t>
            </w:r>
          </w:p>
        </w:tc>
        <w:tc>
          <w:tcPr>
            <w:tcW w:w="1060" w:type="dxa"/>
            <w:vAlign w:val="bottom"/>
          </w:tcPr>
          <w:p>
            <w:pPr>
              <w:jc w:val="right"/>
              <w:ind w:right="101"/>
              <w:spacing w:after="0"/>
              <w:rPr>
                <w:sz w:val="20"/>
                <w:szCs w:val="20"/>
                <w:color w:val="auto"/>
              </w:rPr>
            </w:pPr>
            <w:r>
              <w:rPr>
                <w:rFonts w:ascii="Arial" w:cs="Arial" w:eastAsia="Arial" w:hAnsi="Arial"/>
                <w:sz w:val="16"/>
                <w:szCs w:val="16"/>
                <w:color w:val="auto"/>
              </w:rPr>
              <w:t>339</w:t>
            </w:r>
          </w:p>
        </w:tc>
        <w:tc>
          <w:tcPr>
            <w:tcW w:w="1100" w:type="dxa"/>
            <w:vAlign w:val="bottom"/>
          </w:tcPr>
          <w:p>
            <w:pPr>
              <w:jc w:val="right"/>
              <w:ind w:right="101"/>
              <w:spacing w:after="0"/>
              <w:rPr>
                <w:sz w:val="20"/>
                <w:szCs w:val="20"/>
                <w:color w:val="auto"/>
              </w:rPr>
            </w:pPr>
            <w:r>
              <w:rPr>
                <w:rFonts w:ascii="Arial" w:cs="Arial" w:eastAsia="Arial" w:hAnsi="Arial"/>
                <w:sz w:val="16"/>
                <w:szCs w:val="16"/>
                <w:color w:val="auto"/>
              </w:rPr>
              <w:t>4,227</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04"/>
        </w:trPr>
        <w:tc>
          <w:tcPr>
            <w:tcW w:w="6660" w:type="dxa"/>
            <w:vAlign w:val="bottom"/>
            <w:shd w:val="clear" w:color="auto" w:fill="F0F1F8"/>
          </w:tcPr>
          <w:p>
            <w:pPr>
              <w:ind w:left="60"/>
              <w:spacing w:after="0"/>
              <w:rPr>
                <w:sz w:val="20"/>
                <w:szCs w:val="20"/>
                <w:color w:val="auto"/>
              </w:rPr>
            </w:pPr>
            <w:r>
              <w:rPr>
                <w:rFonts w:ascii="Arial" w:cs="Arial" w:eastAsia="Arial" w:hAnsi="Arial"/>
                <w:sz w:val="16"/>
                <w:szCs w:val="16"/>
                <w:color w:val="auto"/>
              </w:rPr>
              <w:t>Sandy C. Rattray</w:t>
            </w:r>
          </w:p>
        </w:tc>
        <w:tc>
          <w:tcPr>
            <w:tcW w:w="1500" w:type="dxa"/>
            <w:vAlign w:val="bottom"/>
            <w:shd w:val="clear" w:color="auto" w:fill="F0F1F8"/>
          </w:tcPr>
          <w:p>
            <w:pPr>
              <w:jc w:val="right"/>
              <w:ind w:right="140"/>
              <w:spacing w:after="0"/>
              <w:rPr>
                <w:sz w:val="20"/>
                <w:szCs w:val="20"/>
                <w:color w:val="auto"/>
              </w:rPr>
            </w:pPr>
            <w:r>
              <w:rPr>
                <w:rFonts w:ascii="Arial" w:cs="Arial" w:eastAsia="Arial" w:hAnsi="Arial"/>
                <w:sz w:val="16"/>
                <w:szCs w:val="16"/>
                <w:color w:val="auto"/>
              </w:rPr>
              <w:t>569</w:t>
            </w:r>
          </w:p>
        </w:tc>
        <w:tc>
          <w:tcPr>
            <w:tcW w:w="1060" w:type="dxa"/>
            <w:vAlign w:val="bottom"/>
            <w:shd w:val="clear" w:color="auto" w:fill="F0F1F8"/>
          </w:tcPr>
          <w:p>
            <w:pPr>
              <w:jc w:val="right"/>
              <w:ind w:right="101"/>
              <w:spacing w:after="0"/>
              <w:rPr>
                <w:sz w:val="20"/>
                <w:szCs w:val="20"/>
                <w:color w:val="auto"/>
              </w:rPr>
            </w:pPr>
            <w:r>
              <w:rPr>
                <w:rFonts w:ascii="Arial" w:cs="Arial" w:eastAsia="Arial" w:hAnsi="Arial"/>
                <w:sz w:val="16"/>
                <w:szCs w:val="16"/>
                <w:color w:val="auto"/>
              </w:rPr>
              <w:t>339</w:t>
            </w:r>
          </w:p>
        </w:tc>
        <w:tc>
          <w:tcPr>
            <w:tcW w:w="1100" w:type="dxa"/>
            <w:vAlign w:val="bottom"/>
            <w:shd w:val="clear" w:color="auto" w:fill="F0F1F8"/>
          </w:tcPr>
          <w:p>
            <w:pPr>
              <w:jc w:val="right"/>
              <w:ind w:right="101"/>
              <w:spacing w:after="0"/>
              <w:rPr>
                <w:sz w:val="20"/>
                <w:szCs w:val="20"/>
                <w:color w:val="auto"/>
              </w:rPr>
            </w:pPr>
            <w:r>
              <w:rPr>
                <w:rFonts w:ascii="Arial" w:cs="Arial" w:eastAsia="Arial" w:hAnsi="Arial"/>
                <w:sz w:val="16"/>
                <w:szCs w:val="16"/>
                <w:color w:val="auto"/>
              </w:rPr>
              <w:t>908</w:t>
            </w:r>
          </w:p>
        </w:tc>
        <w:tc>
          <w:tcPr>
            <w:tcW w:w="920" w:type="dxa"/>
            <w:vAlign w:val="bottom"/>
            <w:shd w:val="clear" w:color="auto" w:fill="F0F1F8"/>
          </w:tcPr>
          <w:p>
            <w:pPr>
              <w:jc w:val="right"/>
              <w:spacing w:after="0"/>
              <w:rPr>
                <w:sz w:val="20"/>
                <w:szCs w:val="20"/>
                <w:color w:val="auto"/>
              </w:rPr>
            </w:pPr>
            <w:r>
              <w:rPr>
                <w:rFonts w:ascii="Arial" w:cs="Arial" w:eastAsia="Arial" w:hAnsi="Arial"/>
                <w:sz w:val="16"/>
                <w:szCs w:val="16"/>
                <w:color w:val="auto"/>
              </w:rPr>
              <w:t>—%</w:t>
            </w:r>
          </w:p>
        </w:tc>
      </w:tr>
      <w:tr>
        <w:trPr>
          <w:trHeight w:val="285"/>
        </w:trPr>
        <w:tc>
          <w:tcPr>
            <w:tcW w:w="6660" w:type="dxa"/>
            <w:vAlign w:val="bottom"/>
          </w:tcPr>
          <w:p>
            <w:pPr>
              <w:ind w:left="60"/>
              <w:spacing w:after="0"/>
              <w:rPr>
                <w:sz w:val="20"/>
                <w:szCs w:val="20"/>
                <w:color w:val="auto"/>
              </w:rPr>
            </w:pPr>
            <w:r>
              <w:rPr>
                <w:rFonts w:ascii="Arial" w:cs="Arial" w:eastAsia="Arial" w:hAnsi="Arial"/>
                <w:sz w:val="16"/>
                <w:szCs w:val="16"/>
                <w:color w:val="auto"/>
              </w:rPr>
              <w:t>Linda H. Riefler</w:t>
            </w:r>
          </w:p>
        </w:tc>
        <w:tc>
          <w:tcPr>
            <w:tcW w:w="1500" w:type="dxa"/>
            <w:vAlign w:val="bottom"/>
          </w:tcPr>
          <w:p>
            <w:pPr>
              <w:jc w:val="right"/>
              <w:ind w:right="140"/>
              <w:spacing w:after="0"/>
              <w:rPr>
                <w:sz w:val="20"/>
                <w:szCs w:val="20"/>
                <w:color w:val="auto"/>
              </w:rPr>
            </w:pPr>
            <w:r>
              <w:rPr>
                <w:rFonts w:ascii="Arial" w:cs="Arial" w:eastAsia="Arial" w:hAnsi="Arial"/>
                <w:sz w:val="16"/>
                <w:szCs w:val="16"/>
                <w:color w:val="auto"/>
              </w:rPr>
              <w:t>18,545</w:t>
            </w:r>
          </w:p>
        </w:tc>
        <w:tc>
          <w:tcPr>
            <w:tcW w:w="1060" w:type="dxa"/>
            <w:vAlign w:val="bottom"/>
          </w:tcPr>
          <w:p>
            <w:pPr>
              <w:jc w:val="right"/>
              <w:ind w:right="101"/>
              <w:spacing w:after="0"/>
              <w:rPr>
                <w:sz w:val="20"/>
                <w:szCs w:val="20"/>
                <w:color w:val="auto"/>
              </w:rPr>
            </w:pPr>
            <w:r>
              <w:rPr>
                <w:rFonts w:ascii="Arial" w:cs="Arial" w:eastAsia="Arial" w:hAnsi="Arial"/>
                <w:sz w:val="16"/>
                <w:szCs w:val="16"/>
                <w:color w:val="auto"/>
              </w:rPr>
              <w:t>339</w:t>
            </w:r>
          </w:p>
        </w:tc>
        <w:tc>
          <w:tcPr>
            <w:tcW w:w="1100" w:type="dxa"/>
            <w:vAlign w:val="bottom"/>
          </w:tcPr>
          <w:p>
            <w:pPr>
              <w:jc w:val="right"/>
              <w:ind w:right="101"/>
              <w:spacing w:after="0"/>
              <w:rPr>
                <w:sz w:val="20"/>
                <w:szCs w:val="20"/>
                <w:color w:val="auto"/>
              </w:rPr>
            </w:pPr>
            <w:r>
              <w:rPr>
                <w:rFonts w:ascii="Arial" w:cs="Arial" w:eastAsia="Arial" w:hAnsi="Arial"/>
                <w:sz w:val="16"/>
                <w:szCs w:val="16"/>
                <w:color w:val="auto"/>
              </w:rPr>
              <w:t>18,884</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04"/>
        </w:trPr>
        <w:tc>
          <w:tcPr>
            <w:tcW w:w="6660" w:type="dxa"/>
            <w:vAlign w:val="bottom"/>
            <w:shd w:val="clear" w:color="auto" w:fill="F0F1F8"/>
          </w:tcPr>
          <w:p>
            <w:pPr>
              <w:ind w:left="60"/>
              <w:spacing w:after="0"/>
              <w:rPr>
                <w:sz w:val="20"/>
                <w:szCs w:val="20"/>
                <w:color w:val="auto"/>
              </w:rPr>
            </w:pPr>
            <w:r>
              <w:rPr>
                <w:rFonts w:ascii="Arial" w:cs="Arial" w:eastAsia="Arial" w:hAnsi="Arial"/>
                <w:sz w:val="16"/>
                <w:szCs w:val="16"/>
                <w:color w:val="auto"/>
              </w:rPr>
              <w:t>Marcus L. Smith</w:t>
            </w:r>
          </w:p>
        </w:tc>
        <w:tc>
          <w:tcPr>
            <w:tcW w:w="1500" w:type="dxa"/>
            <w:vAlign w:val="bottom"/>
            <w:shd w:val="clear" w:color="auto" w:fill="F0F1F8"/>
          </w:tcPr>
          <w:p>
            <w:pPr>
              <w:jc w:val="right"/>
              <w:ind w:right="140"/>
              <w:spacing w:after="0"/>
              <w:rPr>
                <w:sz w:val="20"/>
                <w:szCs w:val="20"/>
                <w:color w:val="auto"/>
              </w:rPr>
            </w:pPr>
            <w:r>
              <w:rPr>
                <w:rFonts w:ascii="Arial" w:cs="Arial" w:eastAsia="Arial" w:hAnsi="Arial"/>
                <w:sz w:val="16"/>
                <w:szCs w:val="16"/>
                <w:color w:val="auto"/>
              </w:rPr>
              <w:t>2,867</w:t>
            </w:r>
          </w:p>
        </w:tc>
        <w:tc>
          <w:tcPr>
            <w:tcW w:w="1060" w:type="dxa"/>
            <w:vAlign w:val="bottom"/>
            <w:shd w:val="clear" w:color="auto" w:fill="F0F1F8"/>
          </w:tcPr>
          <w:p>
            <w:pPr>
              <w:jc w:val="right"/>
              <w:ind w:right="101"/>
              <w:spacing w:after="0"/>
              <w:rPr>
                <w:sz w:val="20"/>
                <w:szCs w:val="20"/>
                <w:color w:val="auto"/>
              </w:rPr>
            </w:pPr>
            <w:r>
              <w:rPr>
                <w:rFonts w:ascii="Arial" w:cs="Arial" w:eastAsia="Arial" w:hAnsi="Arial"/>
                <w:sz w:val="16"/>
                <w:szCs w:val="16"/>
                <w:color w:val="auto"/>
              </w:rPr>
              <w:t>339</w:t>
            </w:r>
          </w:p>
        </w:tc>
        <w:tc>
          <w:tcPr>
            <w:tcW w:w="1100" w:type="dxa"/>
            <w:vAlign w:val="bottom"/>
            <w:shd w:val="clear" w:color="auto" w:fill="F0F1F8"/>
          </w:tcPr>
          <w:p>
            <w:pPr>
              <w:jc w:val="right"/>
              <w:ind w:right="101"/>
              <w:spacing w:after="0"/>
              <w:rPr>
                <w:sz w:val="20"/>
                <w:szCs w:val="20"/>
                <w:color w:val="auto"/>
              </w:rPr>
            </w:pPr>
            <w:r>
              <w:rPr>
                <w:rFonts w:ascii="Arial" w:cs="Arial" w:eastAsia="Arial" w:hAnsi="Arial"/>
                <w:sz w:val="16"/>
                <w:szCs w:val="16"/>
                <w:color w:val="auto"/>
              </w:rPr>
              <w:t>3,206</w:t>
            </w:r>
          </w:p>
        </w:tc>
        <w:tc>
          <w:tcPr>
            <w:tcW w:w="920" w:type="dxa"/>
            <w:vAlign w:val="bottom"/>
            <w:shd w:val="clear" w:color="auto" w:fill="F0F1F8"/>
          </w:tcPr>
          <w:p>
            <w:pPr>
              <w:jc w:val="right"/>
              <w:spacing w:after="0"/>
              <w:rPr>
                <w:sz w:val="20"/>
                <w:szCs w:val="20"/>
                <w:color w:val="auto"/>
              </w:rPr>
            </w:pPr>
            <w:r>
              <w:rPr>
                <w:rFonts w:ascii="Arial" w:cs="Arial" w:eastAsia="Arial" w:hAnsi="Arial"/>
                <w:sz w:val="16"/>
                <w:szCs w:val="16"/>
                <w:color w:val="auto"/>
              </w:rPr>
              <w:t>—%</w:t>
            </w:r>
          </w:p>
        </w:tc>
      </w:tr>
      <w:tr>
        <w:trPr>
          <w:trHeight w:val="295"/>
        </w:trPr>
        <w:tc>
          <w:tcPr>
            <w:tcW w:w="6660" w:type="dxa"/>
            <w:vAlign w:val="bottom"/>
          </w:tcPr>
          <w:p>
            <w:pPr>
              <w:ind w:left="60"/>
              <w:spacing w:after="0" w:line="295" w:lineRule="exact"/>
              <w:rPr>
                <w:sz w:val="20"/>
                <w:szCs w:val="20"/>
                <w:color w:val="auto"/>
              </w:rPr>
            </w:pPr>
            <w:r>
              <w:rPr>
                <w:rFonts w:ascii="Arial" w:cs="Arial" w:eastAsia="Arial" w:hAnsi="Arial"/>
                <w:sz w:val="16"/>
                <w:szCs w:val="16"/>
                <w:color w:val="auto"/>
              </w:rPr>
              <w:t>Rajat Taneja</w:t>
            </w:r>
            <w:r>
              <w:rPr>
                <w:rFonts w:ascii="Arial" w:cs="Arial" w:eastAsia="Arial" w:hAnsi="Arial"/>
                <w:sz w:val="26"/>
                <w:szCs w:val="26"/>
                <w:color w:val="auto"/>
                <w:vertAlign w:val="superscript"/>
              </w:rPr>
              <w:t>(7)</w:t>
            </w:r>
          </w:p>
        </w:tc>
        <w:tc>
          <w:tcPr>
            <w:tcW w:w="1500" w:type="dxa"/>
            <w:vAlign w:val="bottom"/>
          </w:tcPr>
          <w:p>
            <w:pPr>
              <w:jc w:val="right"/>
              <w:ind w:right="140"/>
              <w:spacing w:after="0"/>
              <w:rPr>
                <w:sz w:val="20"/>
                <w:szCs w:val="20"/>
                <w:color w:val="auto"/>
              </w:rPr>
            </w:pPr>
            <w:r>
              <w:rPr>
                <w:rFonts w:ascii="Arial" w:cs="Arial" w:eastAsia="Arial" w:hAnsi="Arial"/>
                <w:sz w:val="16"/>
                <w:szCs w:val="16"/>
                <w:color w:val="auto"/>
              </w:rPr>
              <w:t>178</w:t>
            </w:r>
          </w:p>
        </w:tc>
        <w:tc>
          <w:tcPr>
            <w:tcW w:w="1060" w:type="dxa"/>
            <w:vAlign w:val="bottom"/>
          </w:tcPr>
          <w:p>
            <w:pPr>
              <w:jc w:val="right"/>
              <w:ind w:right="101"/>
              <w:spacing w:after="0"/>
              <w:rPr>
                <w:sz w:val="20"/>
                <w:szCs w:val="20"/>
                <w:color w:val="auto"/>
              </w:rPr>
            </w:pPr>
            <w:r>
              <w:rPr>
                <w:rFonts w:ascii="Arial" w:cs="Arial" w:eastAsia="Arial" w:hAnsi="Arial"/>
                <w:sz w:val="16"/>
                <w:szCs w:val="16"/>
                <w:color w:val="auto"/>
              </w:rPr>
              <w:t>322</w:t>
            </w:r>
          </w:p>
        </w:tc>
        <w:tc>
          <w:tcPr>
            <w:tcW w:w="1100" w:type="dxa"/>
            <w:vAlign w:val="bottom"/>
          </w:tcPr>
          <w:p>
            <w:pPr>
              <w:jc w:val="right"/>
              <w:ind w:right="101"/>
              <w:spacing w:after="0"/>
              <w:rPr>
                <w:sz w:val="20"/>
                <w:szCs w:val="20"/>
                <w:color w:val="auto"/>
              </w:rPr>
            </w:pPr>
            <w:r>
              <w:rPr>
                <w:rFonts w:ascii="Arial" w:cs="Arial" w:eastAsia="Arial" w:hAnsi="Arial"/>
                <w:sz w:val="16"/>
                <w:szCs w:val="16"/>
                <w:color w:val="auto"/>
              </w:rPr>
              <w:t>500</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5"/>
        </w:trPr>
        <w:tc>
          <w:tcPr>
            <w:tcW w:w="6660" w:type="dxa"/>
            <w:vAlign w:val="bottom"/>
            <w:shd w:val="clear" w:color="auto" w:fill="F0F1F8"/>
          </w:tcPr>
          <w:p>
            <w:pPr>
              <w:ind w:left="60"/>
              <w:spacing w:after="0"/>
              <w:rPr>
                <w:sz w:val="20"/>
                <w:szCs w:val="20"/>
                <w:color w:val="auto"/>
              </w:rPr>
            </w:pPr>
            <w:r>
              <w:rPr>
                <w:rFonts w:ascii="Arial" w:cs="Arial" w:eastAsia="Arial" w:hAnsi="Arial"/>
                <w:sz w:val="16"/>
                <w:szCs w:val="16"/>
                <w:color w:val="auto"/>
              </w:rPr>
              <w:t>Paula Volent</w:t>
            </w:r>
          </w:p>
        </w:tc>
        <w:tc>
          <w:tcPr>
            <w:tcW w:w="1500" w:type="dxa"/>
            <w:vAlign w:val="bottom"/>
            <w:shd w:val="clear" w:color="auto" w:fill="F0F1F8"/>
          </w:tcPr>
          <w:p>
            <w:pPr>
              <w:jc w:val="right"/>
              <w:ind w:right="140"/>
              <w:spacing w:after="0"/>
              <w:rPr>
                <w:sz w:val="20"/>
                <w:szCs w:val="20"/>
                <w:color w:val="auto"/>
              </w:rPr>
            </w:pPr>
            <w:r>
              <w:rPr>
                <w:rFonts w:ascii="Arial" w:cs="Arial" w:eastAsia="Arial" w:hAnsi="Arial"/>
                <w:sz w:val="16"/>
                <w:szCs w:val="16"/>
                <w:color w:val="auto"/>
              </w:rPr>
              <w:t>980</w:t>
            </w:r>
          </w:p>
        </w:tc>
        <w:tc>
          <w:tcPr>
            <w:tcW w:w="1060" w:type="dxa"/>
            <w:vAlign w:val="bottom"/>
            <w:shd w:val="clear" w:color="auto" w:fill="F0F1F8"/>
          </w:tcPr>
          <w:p>
            <w:pPr>
              <w:jc w:val="right"/>
              <w:ind w:right="101"/>
              <w:spacing w:after="0"/>
              <w:rPr>
                <w:sz w:val="20"/>
                <w:szCs w:val="20"/>
                <w:color w:val="auto"/>
              </w:rPr>
            </w:pPr>
            <w:r>
              <w:rPr>
                <w:rFonts w:ascii="Arial" w:cs="Arial" w:eastAsia="Arial" w:hAnsi="Arial"/>
                <w:sz w:val="16"/>
                <w:szCs w:val="16"/>
                <w:color w:val="auto"/>
              </w:rPr>
              <w:t>339</w:t>
            </w:r>
          </w:p>
        </w:tc>
        <w:tc>
          <w:tcPr>
            <w:tcW w:w="1100" w:type="dxa"/>
            <w:vAlign w:val="bottom"/>
            <w:shd w:val="clear" w:color="auto" w:fill="F0F1F8"/>
          </w:tcPr>
          <w:p>
            <w:pPr>
              <w:jc w:val="right"/>
              <w:ind w:right="101"/>
              <w:spacing w:after="0"/>
              <w:rPr>
                <w:sz w:val="20"/>
                <w:szCs w:val="20"/>
                <w:color w:val="auto"/>
              </w:rPr>
            </w:pPr>
            <w:r>
              <w:rPr>
                <w:rFonts w:ascii="Arial" w:cs="Arial" w:eastAsia="Arial" w:hAnsi="Arial"/>
                <w:sz w:val="16"/>
                <w:szCs w:val="16"/>
                <w:color w:val="auto"/>
              </w:rPr>
              <w:t>1,319</w:t>
            </w:r>
          </w:p>
        </w:tc>
        <w:tc>
          <w:tcPr>
            <w:tcW w:w="920" w:type="dxa"/>
            <w:vAlign w:val="bottom"/>
            <w:shd w:val="clear" w:color="auto" w:fill="F0F1F8"/>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6660" w:type="dxa"/>
            <w:vAlign w:val="bottom"/>
          </w:tcPr>
          <w:p>
            <w:pPr>
              <w:ind w:left="60"/>
              <w:spacing w:after="0"/>
              <w:rPr>
                <w:sz w:val="20"/>
                <w:szCs w:val="20"/>
                <w:color w:val="auto"/>
              </w:rPr>
            </w:pPr>
            <w:r>
              <w:rPr>
                <w:rFonts w:ascii="Arial" w:cs="Arial" w:eastAsia="Arial" w:hAnsi="Arial"/>
                <w:sz w:val="16"/>
                <w:szCs w:val="16"/>
                <w:b w:val="1"/>
                <w:bCs w:val="1"/>
                <w:color w:val="auto"/>
              </w:rPr>
              <w:t>All Current Executive Officers and Directors as of March 1, 2022 as a Group (14</w:t>
            </w:r>
          </w:p>
        </w:tc>
        <w:tc>
          <w:tcPr>
            <w:tcW w:w="1500" w:type="dxa"/>
            <w:vAlign w:val="bottom"/>
          </w:tcPr>
          <w:p>
            <w:pPr>
              <w:jc w:val="right"/>
              <w:ind w:right="140"/>
              <w:spacing w:after="0"/>
              <w:rPr>
                <w:sz w:val="20"/>
                <w:szCs w:val="20"/>
                <w:color w:val="auto"/>
              </w:rPr>
            </w:pPr>
            <w:r>
              <w:rPr>
                <w:rFonts w:ascii="Arial" w:cs="Arial" w:eastAsia="Arial" w:hAnsi="Arial"/>
                <w:sz w:val="16"/>
                <w:szCs w:val="16"/>
                <w:color w:val="auto"/>
              </w:rPr>
              <w:t>2,448,640</w:t>
            </w:r>
          </w:p>
        </w:tc>
        <w:tc>
          <w:tcPr>
            <w:tcW w:w="1060" w:type="dxa"/>
            <w:vAlign w:val="bottom"/>
          </w:tcPr>
          <w:p>
            <w:pPr>
              <w:jc w:val="right"/>
              <w:ind w:right="101"/>
              <w:spacing w:after="0"/>
              <w:rPr>
                <w:sz w:val="20"/>
                <w:szCs w:val="20"/>
                <w:color w:val="auto"/>
              </w:rPr>
            </w:pPr>
            <w:r>
              <w:rPr>
                <w:rFonts w:ascii="Arial" w:cs="Arial" w:eastAsia="Arial" w:hAnsi="Arial"/>
                <w:sz w:val="16"/>
                <w:szCs w:val="16"/>
                <w:color w:val="auto"/>
              </w:rPr>
              <w:t>5,808</w:t>
            </w:r>
          </w:p>
        </w:tc>
        <w:tc>
          <w:tcPr>
            <w:tcW w:w="1100" w:type="dxa"/>
            <w:vAlign w:val="bottom"/>
          </w:tcPr>
          <w:p>
            <w:pPr>
              <w:jc w:val="right"/>
              <w:ind w:right="101"/>
              <w:spacing w:after="0"/>
              <w:rPr>
                <w:sz w:val="20"/>
                <w:szCs w:val="20"/>
                <w:color w:val="auto"/>
              </w:rPr>
            </w:pPr>
            <w:r>
              <w:rPr>
                <w:rFonts w:ascii="Arial" w:cs="Arial" w:eastAsia="Arial" w:hAnsi="Arial"/>
                <w:sz w:val="16"/>
                <w:szCs w:val="16"/>
                <w:color w:val="auto"/>
              </w:rPr>
              <w:t>2,454,448</w:t>
            </w:r>
          </w:p>
        </w:tc>
        <w:tc>
          <w:tcPr>
            <w:tcW w:w="920" w:type="dxa"/>
            <w:vAlign w:val="bottom"/>
          </w:tcPr>
          <w:p>
            <w:pPr>
              <w:jc w:val="right"/>
              <w:spacing w:after="0"/>
              <w:rPr>
                <w:sz w:val="20"/>
                <w:szCs w:val="20"/>
                <w:color w:val="auto"/>
              </w:rPr>
            </w:pPr>
            <w:r>
              <w:rPr>
                <w:rFonts w:ascii="Arial" w:cs="Arial" w:eastAsia="Arial" w:hAnsi="Arial"/>
                <w:sz w:val="16"/>
                <w:szCs w:val="16"/>
                <w:color w:val="auto"/>
              </w:rPr>
              <w:t>3.02%</w:t>
            </w:r>
          </w:p>
        </w:tc>
      </w:tr>
      <w:tr>
        <w:trPr>
          <w:trHeight w:val="226"/>
        </w:trPr>
        <w:tc>
          <w:tcPr>
            <w:tcW w:w="66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Persons)</w:t>
            </w:r>
          </w:p>
        </w:tc>
        <w:tc>
          <w:tcPr>
            <w:tcW w:w="1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bl>
    <w:p>
      <w:pPr>
        <w:spacing w:after="0" w:line="246" w:lineRule="exact"/>
        <w:rPr>
          <w:sz w:val="20"/>
          <w:szCs w:val="20"/>
          <w:color w:val="auto"/>
        </w:rPr>
      </w:pPr>
    </w:p>
    <w:p>
      <w:pPr>
        <w:ind w:left="280" w:right="140" w:hanging="273"/>
        <w:spacing w:after="0" w:line="197" w:lineRule="auto"/>
        <w:tabs>
          <w:tab w:leader="none" w:pos="280" w:val="left"/>
        </w:tabs>
        <w:numPr>
          <w:ilvl w:val="0"/>
          <w:numId w:val="150"/>
        </w:numPr>
        <w:rPr>
          <w:rFonts w:ascii="Arial" w:cs="Arial" w:eastAsia="Arial" w:hAnsi="Arial"/>
          <w:sz w:val="24"/>
          <w:szCs w:val="24"/>
          <w:color w:val="auto"/>
          <w:vertAlign w:val="superscript"/>
        </w:rPr>
      </w:pPr>
      <w:r>
        <w:rPr>
          <w:rFonts w:ascii="Arial" w:cs="Arial" w:eastAsia="Arial" w:hAnsi="Arial"/>
          <w:sz w:val="14"/>
          <w:szCs w:val="14"/>
          <w:color w:val="auto"/>
        </w:rPr>
        <w:t>Excludes shares of our common stock that may be acquired through the vesting of RSUs and PSUs. Includes 20,478 shares of our common stock for which Ms. Kinney has elected to defer receipt of such shares until the 60th day after her “separation from service” as a director and 178 shares of our common stock for which Mr. Taneja has elected to defer receipt of such shares until the earlier of (i) June 1, 2025 and (ii) the 60th day after his “separation from service” as a director.</w:t>
      </w:r>
    </w:p>
    <w:p>
      <w:pPr>
        <w:spacing w:after="0" w:line="44" w:lineRule="exact"/>
        <w:rPr>
          <w:rFonts w:ascii="Arial" w:cs="Arial" w:eastAsia="Arial" w:hAnsi="Arial"/>
          <w:sz w:val="24"/>
          <w:szCs w:val="24"/>
          <w:color w:val="auto"/>
          <w:vertAlign w:val="superscript"/>
        </w:rPr>
      </w:pPr>
    </w:p>
    <w:p>
      <w:pPr>
        <w:ind w:left="280" w:right="120" w:hanging="273"/>
        <w:spacing w:after="0" w:line="216" w:lineRule="auto"/>
        <w:tabs>
          <w:tab w:leader="none" w:pos="280" w:val="left"/>
        </w:tabs>
        <w:numPr>
          <w:ilvl w:val="0"/>
          <w:numId w:val="150"/>
        </w:numPr>
        <w:rPr>
          <w:rFonts w:ascii="Arial" w:cs="Arial" w:eastAsia="Arial" w:hAnsi="Arial"/>
          <w:sz w:val="24"/>
          <w:szCs w:val="24"/>
          <w:color w:val="auto"/>
          <w:vertAlign w:val="superscript"/>
        </w:rPr>
      </w:pPr>
      <w:r>
        <w:rPr>
          <w:rFonts w:ascii="Arial" w:cs="Arial" w:eastAsia="Arial" w:hAnsi="Arial"/>
          <w:sz w:val="14"/>
          <w:szCs w:val="14"/>
          <w:color w:val="auto"/>
        </w:rPr>
        <w:t>Includes shares of our common stock that can be acquired through vesting of RSUs within 60 days of the date of this table (i.e., through May 1, 2022). See the “Outstanding Equity Awards at Fiscal Year-End” Table included herein for additional information regarding RSUs held by each NEO as of December 31, 2021. As of December 31, 2021, each of our non-employee directors had the following outstanding stock awards, all of which are in the form of RSUs: Messrs. Edmunds, Perold, Rattray and Smith and Mmes. Kinney, Riefler and Volent each had 339 RSUs outstanding, Mr. Ashe had 442 RSUs outstanding and Mr. Taneja had 322 RSUs outstanding. Such RSUs are scheduled to vest on May 1, 2022. Ms. Riefler elected to defer receipt of such RSUs until the 60th day after her "separation from service" as a director. Mr. Taneja elected to defer receipt of such RSUs until the earlier of (i) June 1, 2025 and (ii) the 60th day after his “separation from service”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57150</wp:posOffset>
            </wp:positionV>
            <wp:extent cx="7154545" cy="209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00" w:type="dxa"/>
            <w:vAlign w:val="bottom"/>
            <w:tcBorders>
              <w:right w:val="single" w:sz="8" w:color="16479F"/>
            </w:tcBorders>
          </w:tcPr>
          <w:p>
            <w:pPr>
              <w:ind w:left="8700"/>
              <w:spacing w:after="0"/>
              <w:rPr>
                <w:sz w:val="20"/>
                <w:szCs w:val="20"/>
                <w:color w:val="auto"/>
              </w:rPr>
            </w:pPr>
            <w:r>
              <w:rPr>
                <w:rFonts w:ascii="Arial" w:cs="Arial" w:eastAsia="Arial" w:hAnsi="Arial"/>
                <w:sz w:val="14"/>
                <w:szCs w:val="14"/>
                <w:b w:val="1"/>
                <w:bCs w:val="1"/>
                <w:color w:val="16479F"/>
              </w:rPr>
              <w:t>2022 PROXY STATEMENT</w:t>
            </w:r>
          </w:p>
        </w:tc>
        <w:tc>
          <w:tcPr>
            <w:tcW w:w="640" w:type="dxa"/>
            <w:vAlign w:val="bottom"/>
          </w:tcPr>
          <w:p>
            <w:pPr>
              <w:jc w:val="right"/>
              <w:ind w:right="9"/>
              <w:spacing w:after="0"/>
              <w:rPr>
                <w:sz w:val="20"/>
                <w:szCs w:val="20"/>
                <w:color w:val="auto"/>
              </w:rPr>
            </w:pPr>
            <w:r>
              <w:rPr>
                <w:rFonts w:ascii="Arial" w:cs="Arial" w:eastAsia="Arial" w:hAnsi="Arial"/>
                <w:sz w:val="14"/>
                <w:szCs w:val="14"/>
                <w:b w:val="1"/>
                <w:bCs w:val="1"/>
                <w:color w:val="16479F"/>
              </w:rPr>
              <w:t>101</w:t>
            </w:r>
          </w:p>
        </w:tc>
      </w:tr>
      <w:tr>
        <w:trPr>
          <w:trHeight w:val="65"/>
        </w:trPr>
        <w:tc>
          <w:tcPr>
            <w:tcW w:w="10600" w:type="dxa"/>
            <w:vAlign w:val="bottom"/>
            <w:tcBorders>
              <w:bottom w:val="single" w:sz="8" w:color="16479F"/>
              <w:right w:val="single" w:sz="8" w:color="16479F"/>
            </w:tcBorders>
          </w:tcPr>
          <w:p>
            <w:pPr>
              <w:spacing w:after="0"/>
              <w:rPr>
                <w:sz w:val="5"/>
                <w:szCs w:val="5"/>
                <w:color w:val="auto"/>
              </w:rPr>
            </w:pPr>
          </w:p>
        </w:tc>
        <w:tc>
          <w:tcPr>
            <w:tcW w:w="640" w:type="dxa"/>
            <w:vAlign w:val="bottom"/>
            <w:tcBorders>
              <w:bottom w:val="single" w:sz="8" w:color="16479F"/>
            </w:tcBorders>
          </w:tcPr>
          <w:p>
            <w:pPr>
              <w:spacing w:after="0"/>
              <w:rPr>
                <w:sz w:val="5"/>
                <w:szCs w:val="5"/>
                <w:color w:val="auto"/>
              </w:rPr>
            </w:pPr>
          </w:p>
        </w:tc>
      </w:tr>
    </w:tbl>
    <w:p>
      <w:pPr>
        <w:spacing w:after="0" w:line="200" w:lineRule="exact"/>
        <w:rPr>
          <w:sz w:val="20"/>
          <w:szCs w:val="20"/>
          <w:color w:val="auto"/>
        </w:rPr>
      </w:pPr>
    </w:p>
    <w:p>
      <w:pPr>
        <w:spacing w:after="0" w:line="314" w:lineRule="exact"/>
        <w:rPr>
          <w:sz w:val="20"/>
          <w:szCs w:val="20"/>
          <w:color w:val="auto"/>
        </w:rPr>
      </w:pPr>
    </w:p>
    <w:p>
      <w:pPr>
        <w:ind w:left="280" w:right="120" w:hanging="273"/>
        <w:spacing w:after="0" w:line="197" w:lineRule="auto"/>
        <w:tabs>
          <w:tab w:leader="none" w:pos="280" w:val="left"/>
        </w:tabs>
        <w:numPr>
          <w:ilvl w:val="0"/>
          <w:numId w:val="151"/>
        </w:numPr>
        <w:rPr>
          <w:rFonts w:ascii="Arial" w:cs="Arial" w:eastAsia="Arial" w:hAnsi="Arial"/>
          <w:sz w:val="24"/>
          <w:szCs w:val="24"/>
          <w:color w:val="auto"/>
          <w:vertAlign w:val="superscript"/>
        </w:rPr>
      </w:pPr>
      <w:r>
        <w:rPr>
          <w:rFonts w:ascii="Arial" w:cs="Arial" w:eastAsia="Arial" w:hAnsi="Arial"/>
          <w:sz w:val="14"/>
          <w:szCs w:val="14"/>
          <w:color w:val="auto"/>
        </w:rPr>
        <w:t>Except as indicated in the footnotes to this table, to our knowledge each executive officer and director, as of March 1, 2022, had sole voting and investment power with respect to his or her shares of our common stock. Beneficial Ownership Totals may differ from those set forth in Statements of Changes in Beneficial Ownership reported on Form 4 filed with the SEC due to the exclusion herein of RSUs granted by the Company, as described in footnote (1) to this table.</w:t>
      </w:r>
    </w:p>
    <w:p>
      <w:pPr>
        <w:spacing w:after="0" w:line="44" w:lineRule="exact"/>
        <w:rPr>
          <w:rFonts w:ascii="Arial" w:cs="Arial" w:eastAsia="Arial" w:hAnsi="Arial"/>
          <w:sz w:val="24"/>
          <w:szCs w:val="24"/>
          <w:color w:val="auto"/>
          <w:vertAlign w:val="superscript"/>
        </w:rPr>
      </w:pPr>
    </w:p>
    <w:p>
      <w:pPr>
        <w:ind w:left="280" w:right="80" w:hanging="273"/>
        <w:spacing w:after="0" w:line="206" w:lineRule="auto"/>
        <w:tabs>
          <w:tab w:leader="none" w:pos="280" w:val="left"/>
        </w:tabs>
        <w:numPr>
          <w:ilvl w:val="0"/>
          <w:numId w:val="151"/>
        </w:numPr>
        <w:rPr>
          <w:rFonts w:ascii="Arial" w:cs="Arial" w:eastAsia="Arial" w:hAnsi="Arial"/>
          <w:sz w:val="24"/>
          <w:szCs w:val="24"/>
          <w:color w:val="auto"/>
          <w:vertAlign w:val="superscript"/>
        </w:rPr>
      </w:pPr>
      <w:r>
        <w:rPr>
          <w:rFonts w:ascii="Arial" w:cs="Arial" w:eastAsia="Arial" w:hAnsi="Arial"/>
          <w:sz w:val="14"/>
          <w:szCs w:val="14"/>
          <w:color w:val="auto"/>
        </w:rPr>
        <w:t>All executive officers and directors (other than Mr. Fernandez) each beneficially owned less than 1.0% of the shares of our outstanding common stock. Percentages for each beneficial owner are calculated in accordance with Rule 13d-3(d)(1) under the Exchange Act. Percentages for each named executive officer, executive officer and director as of March 1, 2022 and collectively as a group are based on the number of our shares outstanding as of March 1, 2022, which excludes shares of our common stock that can be acquired through vesting of RSUs within 60 days of the date of this table (i.e., through May 1, 2022).</w:t>
      </w:r>
    </w:p>
    <w:p>
      <w:pPr>
        <w:spacing w:after="0" w:line="44" w:lineRule="exact"/>
        <w:rPr>
          <w:rFonts w:ascii="Arial" w:cs="Arial" w:eastAsia="Arial" w:hAnsi="Arial"/>
          <w:sz w:val="24"/>
          <w:szCs w:val="24"/>
          <w:color w:val="auto"/>
          <w:vertAlign w:val="superscript"/>
        </w:rPr>
      </w:pPr>
    </w:p>
    <w:p>
      <w:pPr>
        <w:ind w:left="280" w:right="140" w:hanging="273"/>
        <w:spacing w:after="0" w:line="197" w:lineRule="auto"/>
        <w:tabs>
          <w:tab w:leader="none" w:pos="280" w:val="left"/>
        </w:tabs>
        <w:numPr>
          <w:ilvl w:val="0"/>
          <w:numId w:val="151"/>
        </w:numPr>
        <w:rPr>
          <w:rFonts w:ascii="Arial" w:cs="Arial" w:eastAsia="Arial" w:hAnsi="Arial"/>
          <w:sz w:val="24"/>
          <w:szCs w:val="24"/>
          <w:color w:val="auto"/>
          <w:vertAlign w:val="superscript"/>
        </w:rPr>
      </w:pPr>
      <w:r>
        <w:rPr>
          <w:rFonts w:ascii="Arial" w:cs="Arial" w:eastAsia="Arial" w:hAnsi="Arial"/>
          <w:sz w:val="14"/>
          <w:szCs w:val="14"/>
          <w:color w:val="auto"/>
        </w:rPr>
        <w:t>Includes 314,479 shares of our common stock held by the Fernandez 2007 Children’s Trust of which the spouse of Mr. Fernandez is the trustee, 503,109 shares of our common stock held by The Henry Fernandez 2022 MSCI Annuity Trust of which Mr. Fernandez is the trustee, 7,900 shares of our common stock held by one of his children under the Uniform Transfer to Minors Act and 15,800 shares of our common stock directly held by two of Mr. Fernandez’s children.</w:t>
      </w:r>
    </w:p>
    <w:p>
      <w:pPr>
        <w:spacing w:after="0" w:line="44" w:lineRule="exact"/>
        <w:rPr>
          <w:rFonts w:ascii="Arial" w:cs="Arial" w:eastAsia="Arial" w:hAnsi="Arial"/>
          <w:sz w:val="24"/>
          <w:szCs w:val="24"/>
          <w:color w:val="auto"/>
          <w:vertAlign w:val="superscript"/>
        </w:rPr>
      </w:pPr>
    </w:p>
    <w:p>
      <w:pPr>
        <w:ind w:left="280" w:right="120" w:hanging="273"/>
        <w:spacing w:after="0" w:line="182" w:lineRule="auto"/>
        <w:tabs>
          <w:tab w:leader="none" w:pos="280" w:val="left"/>
        </w:tabs>
        <w:numPr>
          <w:ilvl w:val="0"/>
          <w:numId w:val="151"/>
        </w:numPr>
        <w:rPr>
          <w:rFonts w:ascii="Arial" w:cs="Arial" w:eastAsia="Arial" w:hAnsi="Arial"/>
          <w:sz w:val="24"/>
          <w:szCs w:val="24"/>
          <w:color w:val="auto"/>
          <w:vertAlign w:val="superscript"/>
        </w:rPr>
      </w:pPr>
      <w:r>
        <w:rPr>
          <w:rFonts w:ascii="Arial" w:cs="Arial" w:eastAsia="Arial" w:hAnsi="Arial"/>
          <w:sz w:val="14"/>
          <w:szCs w:val="14"/>
          <w:color w:val="auto"/>
        </w:rPr>
        <w:t>Includes 4,020 shares of our common stock held by the Catherine R. Kinney 2020 GRAT of which Ms. Kinney is the trustee and 10,558 shares of our common stock held by the Catherine R. Kinney 2021 GRAT No. 2 of which Ms. Kinney is the trustee.</w:t>
      </w:r>
    </w:p>
    <w:p>
      <w:pPr>
        <w:ind w:left="280" w:hanging="273"/>
        <w:spacing w:after="0" w:line="186" w:lineRule="auto"/>
        <w:tabs>
          <w:tab w:leader="none" w:pos="280" w:val="left"/>
        </w:tabs>
        <w:numPr>
          <w:ilvl w:val="0"/>
          <w:numId w:val="151"/>
        </w:numPr>
        <w:rPr>
          <w:rFonts w:ascii="Arial" w:cs="Arial" w:eastAsia="Arial" w:hAnsi="Arial"/>
          <w:sz w:val="24"/>
          <w:szCs w:val="24"/>
          <w:color w:val="auto"/>
          <w:vertAlign w:val="superscript"/>
        </w:rPr>
      </w:pPr>
      <w:r>
        <w:rPr>
          <w:rFonts w:ascii="Arial" w:cs="Arial" w:eastAsia="Arial" w:hAnsi="Arial"/>
          <w:sz w:val="14"/>
          <w:szCs w:val="14"/>
          <w:color w:val="auto"/>
        </w:rPr>
        <w:t>Mr. Taneja was appointed to the Board, effective June 1, 2021.</w:t>
      </w:r>
    </w:p>
    <w:p>
      <w:pPr>
        <w:spacing w:after="0" w:line="127" w:lineRule="exact"/>
        <w:rPr>
          <w:sz w:val="20"/>
          <w:szCs w:val="20"/>
          <w:color w:val="auto"/>
        </w:rPr>
      </w:pPr>
    </w:p>
    <w:p>
      <w:pPr>
        <w:spacing w:after="0"/>
        <w:rPr>
          <w:sz w:val="20"/>
          <w:szCs w:val="20"/>
          <w:color w:val="auto"/>
        </w:rPr>
      </w:pPr>
      <w:r>
        <w:rPr>
          <w:rFonts w:ascii="Arial" w:cs="Arial" w:eastAsia="Arial" w:hAnsi="Arial"/>
          <w:sz w:val="32"/>
          <w:szCs w:val="32"/>
          <w:b w:val="1"/>
          <w:bCs w:val="1"/>
          <w:color w:val="16479F"/>
        </w:rPr>
        <w:t>Stock Ownership of Principal Shareholders</w:t>
      </w:r>
    </w:p>
    <w:p>
      <w:pPr>
        <w:spacing w:after="0" w:line="242"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The following table contains information regarding the only persons we know of that beneficially own more than 5% of our common stock. Percentage of class amounts are based on 81,267,909 shares of our common stock outstanding as of March 1, 2022.</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40" w:type="dxa"/>
            <w:vAlign w:val="bottom"/>
          </w:tcPr>
          <w:p>
            <w:pPr>
              <w:spacing w:after="0"/>
              <w:rPr>
                <w:sz w:val="14"/>
                <w:szCs w:val="14"/>
                <w:color w:val="auto"/>
              </w:rPr>
            </w:pPr>
          </w:p>
        </w:tc>
        <w:tc>
          <w:tcPr>
            <w:tcW w:w="2400" w:type="dxa"/>
            <w:vAlign w:val="bottom"/>
            <w:gridSpan w:val="2"/>
          </w:tcPr>
          <w:p>
            <w:pPr>
              <w:jc w:val="right"/>
              <w:ind w:right="284"/>
              <w:spacing w:after="0"/>
              <w:rPr>
                <w:sz w:val="20"/>
                <w:szCs w:val="20"/>
                <w:color w:val="auto"/>
              </w:rPr>
            </w:pPr>
            <w:r>
              <w:rPr>
                <w:rFonts w:ascii="Arial" w:cs="Arial" w:eastAsia="Arial" w:hAnsi="Arial"/>
                <w:sz w:val="14"/>
                <w:szCs w:val="14"/>
                <w:b w:val="1"/>
                <w:bCs w:val="1"/>
                <w:color w:val="auto"/>
              </w:rPr>
              <w:t>Shares of Common Stock</w:t>
            </w:r>
          </w:p>
        </w:tc>
      </w:tr>
      <w:tr>
        <w:trPr>
          <w:trHeight w:val="195"/>
        </w:trPr>
        <w:tc>
          <w:tcPr>
            <w:tcW w:w="8840" w:type="dxa"/>
            <w:vAlign w:val="bottom"/>
          </w:tcPr>
          <w:p>
            <w:pPr>
              <w:spacing w:after="0"/>
              <w:rPr>
                <w:sz w:val="16"/>
                <w:szCs w:val="16"/>
                <w:color w:val="auto"/>
              </w:rPr>
            </w:pPr>
          </w:p>
        </w:tc>
        <w:tc>
          <w:tcPr>
            <w:tcW w:w="2400" w:type="dxa"/>
            <w:vAlign w:val="bottom"/>
            <w:tcBorders>
              <w:bottom w:val="single" w:sz="8" w:color="16479F"/>
            </w:tcBorders>
            <w:gridSpan w:val="2"/>
          </w:tcPr>
          <w:p>
            <w:pPr>
              <w:jc w:val="right"/>
              <w:ind w:right="504"/>
              <w:spacing w:after="0"/>
              <w:rPr>
                <w:sz w:val="20"/>
                <w:szCs w:val="20"/>
                <w:color w:val="auto"/>
              </w:rPr>
            </w:pPr>
            <w:r>
              <w:rPr>
                <w:rFonts w:ascii="Arial" w:cs="Arial" w:eastAsia="Arial" w:hAnsi="Arial"/>
                <w:sz w:val="14"/>
                <w:szCs w:val="14"/>
                <w:b w:val="1"/>
                <w:bCs w:val="1"/>
                <w:color w:val="auto"/>
              </w:rPr>
              <w:t>Beneficially Owned</w:t>
            </w:r>
          </w:p>
        </w:tc>
      </w:tr>
      <w:tr>
        <w:trPr>
          <w:trHeight w:val="187"/>
        </w:trPr>
        <w:tc>
          <w:tcPr>
            <w:tcW w:w="8840" w:type="dxa"/>
            <w:vAlign w:val="bottom"/>
          </w:tcPr>
          <w:p>
            <w:pPr>
              <w:spacing w:after="0"/>
              <w:rPr>
                <w:sz w:val="16"/>
                <w:szCs w:val="16"/>
                <w:color w:val="auto"/>
              </w:rPr>
            </w:pPr>
          </w:p>
        </w:tc>
        <w:tc>
          <w:tcPr>
            <w:tcW w:w="1340" w:type="dxa"/>
            <w:vAlign w:val="bottom"/>
          </w:tcPr>
          <w:p>
            <w:pPr>
              <w:jc w:val="right"/>
              <w:ind w:right="167"/>
              <w:spacing w:after="0"/>
              <w:rPr>
                <w:sz w:val="20"/>
                <w:szCs w:val="20"/>
                <w:color w:val="auto"/>
              </w:rPr>
            </w:pPr>
            <w:r>
              <w:rPr>
                <w:rFonts w:ascii="Arial" w:cs="Arial" w:eastAsia="Arial" w:hAnsi="Arial"/>
                <w:sz w:val="14"/>
                <w:szCs w:val="14"/>
                <w:b w:val="1"/>
                <w:bCs w:val="1"/>
                <w:color w:val="auto"/>
              </w:rPr>
              <w:t>Number of</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Percentage</w:t>
            </w:r>
          </w:p>
        </w:tc>
      </w:tr>
      <w:tr>
        <w:trPr>
          <w:trHeight w:val="214"/>
        </w:trPr>
        <w:tc>
          <w:tcPr>
            <w:tcW w:w="8840" w:type="dxa"/>
            <w:vAlign w:val="bottom"/>
            <w:tcBorders>
              <w:bottom w:val="single" w:sz="8" w:color="16479F"/>
            </w:tcBorders>
          </w:tcPr>
          <w:p>
            <w:pPr>
              <w:ind w:left="60"/>
              <w:spacing w:after="0"/>
              <w:rPr>
                <w:sz w:val="20"/>
                <w:szCs w:val="20"/>
                <w:color w:val="auto"/>
              </w:rPr>
            </w:pPr>
            <w:r>
              <w:rPr>
                <w:rFonts w:ascii="Arial" w:cs="Arial" w:eastAsia="Arial" w:hAnsi="Arial"/>
                <w:sz w:val="14"/>
                <w:szCs w:val="14"/>
                <w:b w:val="1"/>
                <w:bCs w:val="1"/>
                <w:color w:val="auto"/>
              </w:rPr>
              <w:t>Name and Address</w:t>
            </w:r>
          </w:p>
        </w:tc>
        <w:tc>
          <w:tcPr>
            <w:tcW w:w="1340" w:type="dxa"/>
            <w:vAlign w:val="bottom"/>
            <w:tcBorders>
              <w:bottom w:val="single" w:sz="8" w:color="16479F"/>
            </w:tcBorders>
          </w:tcPr>
          <w:p>
            <w:pPr>
              <w:jc w:val="right"/>
              <w:ind w:right="167"/>
              <w:spacing w:after="0"/>
              <w:rPr>
                <w:sz w:val="20"/>
                <w:szCs w:val="20"/>
                <w:color w:val="auto"/>
              </w:rPr>
            </w:pPr>
            <w:r>
              <w:rPr>
                <w:rFonts w:ascii="Arial" w:cs="Arial" w:eastAsia="Arial" w:hAnsi="Arial"/>
                <w:sz w:val="14"/>
                <w:szCs w:val="14"/>
                <w:b w:val="1"/>
                <w:bCs w:val="1"/>
                <w:color w:val="auto"/>
              </w:rPr>
              <w:t>Shares</w:t>
            </w:r>
          </w:p>
        </w:tc>
        <w:tc>
          <w:tcPr>
            <w:tcW w:w="1060" w:type="dxa"/>
            <w:vAlign w:val="bottom"/>
            <w:tcBorders>
              <w:bottom w:val="single" w:sz="8" w:color="16479F"/>
            </w:tcBorders>
          </w:tcPr>
          <w:p>
            <w:pPr>
              <w:jc w:val="right"/>
              <w:spacing w:after="0" w:line="214" w:lineRule="exact"/>
              <w:rPr>
                <w:sz w:val="20"/>
                <w:szCs w:val="20"/>
                <w:color w:val="auto"/>
              </w:rPr>
            </w:pPr>
            <w:r>
              <w:rPr>
                <w:rFonts w:ascii="Arial" w:cs="Arial" w:eastAsia="Arial" w:hAnsi="Arial"/>
                <w:sz w:val="14"/>
                <w:szCs w:val="14"/>
                <w:b w:val="1"/>
                <w:bCs w:val="1"/>
                <w:color w:val="auto"/>
              </w:rPr>
              <w:t>of Class</w:t>
            </w:r>
            <w:r>
              <w:rPr>
                <w:rFonts w:ascii="Arial" w:cs="Arial" w:eastAsia="Arial" w:hAnsi="Arial"/>
                <w:sz w:val="23"/>
                <w:szCs w:val="23"/>
                <w:b w:val="1"/>
                <w:bCs w:val="1"/>
                <w:color w:val="auto"/>
                <w:vertAlign w:val="superscript"/>
              </w:rPr>
              <w:t>(1)</w:t>
            </w:r>
          </w:p>
        </w:tc>
      </w:tr>
      <w:tr>
        <w:trPr>
          <w:trHeight w:val="209"/>
        </w:trPr>
        <w:tc>
          <w:tcPr>
            <w:tcW w:w="8840" w:type="dxa"/>
            <w:vAlign w:val="bottom"/>
            <w:shd w:val="clear" w:color="auto" w:fill="F0F1F8"/>
          </w:tcPr>
          <w:p>
            <w:pPr>
              <w:ind w:left="60"/>
              <w:spacing w:after="0"/>
              <w:rPr>
                <w:sz w:val="20"/>
                <w:szCs w:val="20"/>
                <w:color w:val="auto"/>
              </w:rPr>
            </w:pPr>
            <w:r>
              <w:rPr>
                <w:rFonts w:ascii="Arial" w:cs="Arial" w:eastAsia="Arial" w:hAnsi="Arial"/>
                <w:sz w:val="16"/>
                <w:szCs w:val="16"/>
                <w:color w:val="auto"/>
              </w:rPr>
              <w:t>The Vanguard Group</w:t>
            </w:r>
          </w:p>
        </w:tc>
        <w:tc>
          <w:tcPr>
            <w:tcW w:w="1340" w:type="dxa"/>
            <w:vAlign w:val="bottom"/>
            <w:shd w:val="clear" w:color="auto" w:fill="F0F1F8"/>
          </w:tcPr>
          <w:p>
            <w:pPr>
              <w:jc w:val="right"/>
              <w:ind w:right="167"/>
              <w:spacing w:after="0" w:line="210" w:lineRule="exact"/>
              <w:rPr>
                <w:sz w:val="20"/>
                <w:szCs w:val="20"/>
                <w:color w:val="auto"/>
              </w:rPr>
            </w:pPr>
            <w:r>
              <w:rPr>
                <w:rFonts w:ascii="Arial" w:cs="Arial" w:eastAsia="Arial" w:hAnsi="Arial"/>
                <w:sz w:val="15"/>
                <w:szCs w:val="15"/>
                <w:color w:val="auto"/>
              </w:rPr>
              <w:t>8,548,608</w:t>
            </w:r>
            <w:r>
              <w:rPr>
                <w:rFonts w:ascii="Arial" w:cs="Arial" w:eastAsia="Arial" w:hAnsi="Arial"/>
                <w:sz w:val="24"/>
                <w:szCs w:val="24"/>
                <w:color w:val="auto"/>
                <w:vertAlign w:val="superscript"/>
              </w:rPr>
              <w:t>(2)</w:t>
            </w:r>
          </w:p>
        </w:tc>
        <w:tc>
          <w:tcPr>
            <w:tcW w:w="1060" w:type="dxa"/>
            <w:vAlign w:val="bottom"/>
            <w:shd w:val="clear" w:color="auto" w:fill="F0F1F8"/>
          </w:tcPr>
          <w:p>
            <w:pPr>
              <w:jc w:val="right"/>
              <w:spacing w:after="0"/>
              <w:rPr>
                <w:sz w:val="20"/>
                <w:szCs w:val="20"/>
                <w:color w:val="auto"/>
              </w:rPr>
            </w:pPr>
            <w:r>
              <w:rPr>
                <w:rFonts w:ascii="Arial" w:cs="Arial" w:eastAsia="Arial" w:hAnsi="Arial"/>
                <w:sz w:val="16"/>
                <w:szCs w:val="16"/>
                <w:color w:val="auto"/>
              </w:rPr>
              <w:t>10.52%</w:t>
            </w:r>
          </w:p>
        </w:tc>
      </w:tr>
      <w:tr>
        <w:trPr>
          <w:trHeight w:val="187"/>
        </w:trPr>
        <w:tc>
          <w:tcPr>
            <w:tcW w:w="8840" w:type="dxa"/>
            <w:vAlign w:val="bottom"/>
            <w:shd w:val="clear" w:color="auto" w:fill="F0F1F8"/>
          </w:tcPr>
          <w:p>
            <w:pPr>
              <w:ind w:left="60"/>
              <w:spacing w:after="0"/>
              <w:rPr>
                <w:sz w:val="20"/>
                <w:szCs w:val="20"/>
                <w:color w:val="auto"/>
              </w:rPr>
            </w:pPr>
            <w:r>
              <w:rPr>
                <w:rFonts w:ascii="Arial" w:cs="Arial" w:eastAsia="Arial" w:hAnsi="Arial"/>
                <w:sz w:val="16"/>
                <w:szCs w:val="16"/>
                <w:color w:val="auto"/>
              </w:rPr>
              <w:t>100 Vanguard Blvd.</w:t>
            </w:r>
          </w:p>
        </w:tc>
        <w:tc>
          <w:tcPr>
            <w:tcW w:w="1340" w:type="dxa"/>
            <w:vAlign w:val="bottom"/>
            <w:shd w:val="clear" w:color="auto" w:fill="F0F1F8"/>
          </w:tcPr>
          <w:p>
            <w:pPr>
              <w:spacing w:after="0"/>
              <w:rPr>
                <w:sz w:val="16"/>
                <w:szCs w:val="16"/>
                <w:color w:val="auto"/>
              </w:rPr>
            </w:pPr>
          </w:p>
        </w:tc>
        <w:tc>
          <w:tcPr>
            <w:tcW w:w="1060" w:type="dxa"/>
            <w:vAlign w:val="bottom"/>
            <w:shd w:val="clear" w:color="auto" w:fill="F0F1F8"/>
          </w:tcPr>
          <w:p>
            <w:pPr>
              <w:spacing w:after="0"/>
              <w:rPr>
                <w:sz w:val="16"/>
                <w:szCs w:val="16"/>
                <w:color w:val="auto"/>
              </w:rPr>
            </w:pPr>
          </w:p>
        </w:tc>
      </w:tr>
      <w:tr>
        <w:trPr>
          <w:trHeight w:val="212"/>
        </w:trPr>
        <w:tc>
          <w:tcPr>
            <w:tcW w:w="8840" w:type="dxa"/>
            <w:vAlign w:val="bottom"/>
            <w:shd w:val="clear" w:color="auto" w:fill="F0F1F8"/>
          </w:tcPr>
          <w:p>
            <w:pPr>
              <w:ind w:left="60"/>
              <w:spacing w:after="0"/>
              <w:rPr>
                <w:sz w:val="20"/>
                <w:szCs w:val="20"/>
                <w:color w:val="auto"/>
              </w:rPr>
            </w:pPr>
            <w:r>
              <w:rPr>
                <w:rFonts w:ascii="Arial" w:cs="Arial" w:eastAsia="Arial" w:hAnsi="Arial"/>
                <w:sz w:val="16"/>
                <w:szCs w:val="16"/>
                <w:color w:val="auto"/>
              </w:rPr>
              <w:t>Malvern, PA 19355</w:t>
            </w:r>
          </w:p>
        </w:tc>
        <w:tc>
          <w:tcPr>
            <w:tcW w:w="1340" w:type="dxa"/>
            <w:vAlign w:val="bottom"/>
            <w:shd w:val="clear" w:color="auto" w:fill="F0F1F8"/>
          </w:tcPr>
          <w:p>
            <w:pPr>
              <w:spacing w:after="0"/>
              <w:rPr>
                <w:sz w:val="18"/>
                <w:szCs w:val="18"/>
                <w:color w:val="auto"/>
              </w:rPr>
            </w:pPr>
          </w:p>
        </w:tc>
        <w:tc>
          <w:tcPr>
            <w:tcW w:w="1060" w:type="dxa"/>
            <w:vAlign w:val="bottom"/>
            <w:shd w:val="clear" w:color="auto" w:fill="F0F1F8"/>
          </w:tcPr>
          <w:p>
            <w:pPr>
              <w:spacing w:after="0"/>
              <w:rPr>
                <w:sz w:val="18"/>
                <w:szCs w:val="18"/>
                <w:color w:val="auto"/>
              </w:rPr>
            </w:pPr>
          </w:p>
        </w:tc>
      </w:tr>
      <w:tr>
        <w:trPr>
          <w:trHeight w:val="216"/>
        </w:trPr>
        <w:tc>
          <w:tcPr>
            <w:tcW w:w="8840" w:type="dxa"/>
            <w:vAlign w:val="bottom"/>
          </w:tcPr>
          <w:p>
            <w:pPr>
              <w:ind w:left="60"/>
              <w:spacing w:after="0"/>
              <w:rPr>
                <w:sz w:val="20"/>
                <w:szCs w:val="20"/>
                <w:color w:val="auto"/>
              </w:rPr>
            </w:pPr>
            <w:r>
              <w:rPr>
                <w:rFonts w:ascii="Arial" w:cs="Arial" w:eastAsia="Arial" w:hAnsi="Arial"/>
                <w:sz w:val="16"/>
                <w:szCs w:val="16"/>
                <w:color w:val="auto"/>
              </w:rPr>
              <w:t>BlackRock, Inc.</w:t>
            </w:r>
          </w:p>
        </w:tc>
        <w:tc>
          <w:tcPr>
            <w:tcW w:w="1340" w:type="dxa"/>
            <w:vAlign w:val="bottom"/>
          </w:tcPr>
          <w:p>
            <w:pPr>
              <w:jc w:val="right"/>
              <w:ind w:right="167"/>
              <w:spacing w:after="0" w:line="216" w:lineRule="exact"/>
              <w:rPr>
                <w:sz w:val="20"/>
                <w:szCs w:val="20"/>
                <w:color w:val="auto"/>
              </w:rPr>
            </w:pPr>
            <w:r>
              <w:rPr>
                <w:rFonts w:ascii="Arial" w:cs="Arial" w:eastAsia="Arial" w:hAnsi="Arial"/>
                <w:sz w:val="16"/>
                <w:szCs w:val="16"/>
                <w:color w:val="auto"/>
              </w:rPr>
              <w:t>6,730,522</w:t>
            </w:r>
            <w:r>
              <w:rPr>
                <w:rFonts w:ascii="Arial" w:cs="Arial" w:eastAsia="Arial" w:hAnsi="Arial"/>
                <w:sz w:val="25"/>
                <w:szCs w:val="25"/>
                <w:color w:val="auto"/>
                <w:vertAlign w:val="superscript"/>
              </w:rPr>
              <w:t>(3)</w:t>
            </w:r>
          </w:p>
        </w:tc>
        <w:tc>
          <w:tcPr>
            <w:tcW w:w="1060" w:type="dxa"/>
            <w:vAlign w:val="bottom"/>
          </w:tcPr>
          <w:p>
            <w:pPr>
              <w:jc w:val="right"/>
              <w:spacing w:after="0"/>
              <w:rPr>
                <w:sz w:val="20"/>
                <w:szCs w:val="20"/>
                <w:color w:val="auto"/>
              </w:rPr>
            </w:pPr>
            <w:r>
              <w:rPr>
                <w:rFonts w:ascii="Arial" w:cs="Arial" w:eastAsia="Arial" w:hAnsi="Arial"/>
                <w:sz w:val="16"/>
                <w:szCs w:val="16"/>
                <w:color w:val="auto"/>
              </w:rPr>
              <w:t>8.28%</w:t>
            </w:r>
          </w:p>
        </w:tc>
      </w:tr>
      <w:tr>
        <w:trPr>
          <w:trHeight w:val="187"/>
        </w:trPr>
        <w:tc>
          <w:tcPr>
            <w:tcW w:w="8840" w:type="dxa"/>
            <w:vAlign w:val="bottom"/>
          </w:tcPr>
          <w:p>
            <w:pPr>
              <w:ind w:left="60"/>
              <w:spacing w:after="0"/>
              <w:rPr>
                <w:sz w:val="20"/>
                <w:szCs w:val="20"/>
                <w:color w:val="auto"/>
              </w:rPr>
            </w:pPr>
            <w:r>
              <w:rPr>
                <w:rFonts w:ascii="Arial" w:cs="Arial" w:eastAsia="Arial" w:hAnsi="Arial"/>
                <w:sz w:val="16"/>
                <w:szCs w:val="16"/>
                <w:color w:val="auto"/>
              </w:rPr>
              <w:t>55 East 52nd Street</w:t>
            </w:r>
          </w:p>
        </w:tc>
        <w:tc>
          <w:tcPr>
            <w:tcW w:w="1340" w:type="dxa"/>
            <w:vAlign w:val="bottom"/>
          </w:tcPr>
          <w:p>
            <w:pPr>
              <w:spacing w:after="0"/>
              <w:rPr>
                <w:sz w:val="16"/>
                <w:szCs w:val="16"/>
                <w:color w:val="auto"/>
              </w:rPr>
            </w:pPr>
          </w:p>
        </w:tc>
        <w:tc>
          <w:tcPr>
            <w:tcW w:w="1060" w:type="dxa"/>
            <w:vAlign w:val="bottom"/>
          </w:tcPr>
          <w:p>
            <w:pPr>
              <w:spacing w:after="0"/>
              <w:rPr>
                <w:sz w:val="16"/>
                <w:szCs w:val="16"/>
                <w:color w:val="auto"/>
              </w:rPr>
            </w:pPr>
          </w:p>
        </w:tc>
      </w:tr>
    </w:tbl>
    <w:p>
      <w:pPr>
        <w:ind w:left="60"/>
        <w:spacing w:after="0"/>
        <w:rPr>
          <w:sz w:val="20"/>
          <w:szCs w:val="20"/>
          <w:color w:val="auto"/>
        </w:rPr>
      </w:pPr>
      <w:r>
        <w:rPr>
          <w:rFonts w:ascii="Arial" w:cs="Arial" w:eastAsia="Arial" w:hAnsi="Arial"/>
          <w:sz w:val="16"/>
          <w:szCs w:val="16"/>
          <w:color w:val="auto"/>
        </w:rPr>
        <w:t>New York, NY 10055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359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80" w:lineRule="exact"/>
        <w:rPr>
          <w:sz w:val="20"/>
          <w:szCs w:val="20"/>
          <w:color w:val="auto"/>
        </w:rPr>
      </w:pPr>
    </w:p>
    <w:p>
      <w:pPr>
        <w:ind w:left="280" w:right="120" w:hanging="273"/>
        <w:spacing w:after="0" w:line="197" w:lineRule="auto"/>
        <w:tabs>
          <w:tab w:leader="none" w:pos="280" w:val="left"/>
        </w:tabs>
        <w:numPr>
          <w:ilvl w:val="0"/>
          <w:numId w:val="152"/>
        </w:numPr>
        <w:rPr>
          <w:rFonts w:ascii="Arial" w:cs="Arial" w:eastAsia="Arial" w:hAnsi="Arial"/>
          <w:sz w:val="24"/>
          <w:szCs w:val="24"/>
          <w:color w:val="auto"/>
          <w:vertAlign w:val="superscript"/>
        </w:rPr>
      </w:pPr>
      <w:r>
        <w:rPr>
          <w:rFonts w:ascii="Arial" w:cs="Arial" w:eastAsia="Arial" w:hAnsi="Arial"/>
          <w:sz w:val="14"/>
          <w:szCs w:val="14"/>
          <w:color w:val="auto"/>
        </w:rPr>
        <w:t>Because percentage of class ownership is based on the total number of shares of our common stock outstanding as of a date that differs from the date used by the principal shareholders to calculate the percentages for purposes of filing the applicable Schedule 13G or 13G/A, percentages of class ownership presented herein may differ from amounts reported in the applicable Schedule 13G or 13G/A filed with the SEC by the relevant principal shareholder.</w:t>
      </w:r>
    </w:p>
    <w:p>
      <w:pPr>
        <w:spacing w:after="0" w:line="44" w:lineRule="exact"/>
        <w:rPr>
          <w:rFonts w:ascii="Arial" w:cs="Arial" w:eastAsia="Arial" w:hAnsi="Arial"/>
          <w:sz w:val="24"/>
          <w:szCs w:val="24"/>
          <w:color w:val="auto"/>
          <w:vertAlign w:val="superscript"/>
        </w:rPr>
      </w:pPr>
    </w:p>
    <w:p>
      <w:pPr>
        <w:ind w:left="280" w:right="160" w:hanging="273"/>
        <w:spacing w:after="0" w:line="212" w:lineRule="auto"/>
        <w:tabs>
          <w:tab w:leader="none" w:pos="280" w:val="left"/>
        </w:tabs>
        <w:numPr>
          <w:ilvl w:val="0"/>
          <w:numId w:val="152"/>
        </w:numPr>
        <w:rPr>
          <w:rFonts w:ascii="Arial" w:cs="Arial" w:eastAsia="Arial" w:hAnsi="Arial"/>
          <w:sz w:val="24"/>
          <w:szCs w:val="24"/>
          <w:color w:val="auto"/>
          <w:vertAlign w:val="superscript"/>
        </w:rPr>
      </w:pPr>
      <w:r>
        <w:rPr>
          <w:rFonts w:ascii="Arial" w:cs="Arial" w:eastAsia="Arial" w:hAnsi="Arial"/>
          <w:sz w:val="14"/>
          <w:szCs w:val="14"/>
          <w:color w:val="auto"/>
        </w:rPr>
        <w:t>Based on information in a Schedule 13G/A (Amendment No. 9) filed with the SEC on February 10, 2022. The Schedule 13G/A discloses that The Vanguard Group had sole voting power as to 0 shares of our common stock, shared voting power as to 136,149 shares of our common stock, sole dispositive power as to 8,212,212 shares of our common stock and shared dispositive power as to 336,396 shares of our common stock. In addition, the Schedule 13G/A discloses that the person filing the report is an investment adviser in accordance with §240.13d-1(b)(1)(ii)(E) and the identification and classification of the subsidiaries which acquired the securities being reported on therein are set forth on Appendix A thereto.</w:t>
      </w:r>
    </w:p>
    <w:p>
      <w:pPr>
        <w:spacing w:after="0" w:line="44" w:lineRule="exact"/>
        <w:rPr>
          <w:rFonts w:ascii="Arial" w:cs="Arial" w:eastAsia="Arial" w:hAnsi="Arial"/>
          <w:sz w:val="24"/>
          <w:szCs w:val="24"/>
          <w:color w:val="auto"/>
          <w:vertAlign w:val="superscript"/>
        </w:rPr>
      </w:pPr>
    </w:p>
    <w:p>
      <w:pPr>
        <w:ind w:left="280" w:right="20" w:hanging="273"/>
        <w:spacing w:after="0" w:line="206" w:lineRule="auto"/>
        <w:tabs>
          <w:tab w:leader="none" w:pos="280" w:val="left"/>
        </w:tabs>
        <w:numPr>
          <w:ilvl w:val="0"/>
          <w:numId w:val="152"/>
        </w:numPr>
        <w:rPr>
          <w:rFonts w:ascii="Arial" w:cs="Arial" w:eastAsia="Arial" w:hAnsi="Arial"/>
          <w:sz w:val="24"/>
          <w:szCs w:val="24"/>
          <w:color w:val="auto"/>
          <w:vertAlign w:val="superscript"/>
        </w:rPr>
      </w:pPr>
      <w:r>
        <w:rPr>
          <w:rFonts w:ascii="Arial" w:cs="Arial" w:eastAsia="Arial" w:hAnsi="Arial"/>
          <w:sz w:val="14"/>
          <w:szCs w:val="14"/>
          <w:color w:val="auto"/>
        </w:rPr>
        <w:t>Based on information in a Schedule 13G/A (Amendment No. 10) filed with the SEC on February 3, 2022. The Schedule 13G/A discloses that BlackRock, Inc. had sole voting power as to 6,023,969 shares of our common stock and sole dispositive power as to 6,730,522 shares of our common stock. In addition, the Schedule 13G/A discloses that the person filing the report is a parent holding company or control person in accordance with §240.13d-1(b)(1)(ii)(G) and the identification and classification of the subsidiaries which acquired the securities being reported on therein are set forth on Exhibit A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57150</wp:posOffset>
            </wp:positionV>
            <wp:extent cx="7154545" cy="209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149860</wp:posOffset>
            </wp:positionV>
            <wp:extent cx="7133590" cy="21272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3590" cy="212725"/>
                    </a:xfrm>
                    <a:prstGeom prst="rect">
                      <a:avLst/>
                    </a:prstGeom>
                    <a:noFill/>
                  </pic:spPr>
                </pic:pic>
              </a:graphicData>
            </a:graphic>
          </wp:anchor>
        </w:drawing>
      </w:r>
    </w:p>
    <w:p>
      <w:pPr>
        <w:spacing w:after="0" w:line="283"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4"/>
          <w:szCs w:val="14"/>
          <w:b w:val="1"/>
          <w:bCs w:val="1"/>
          <w:color w:val="16479F"/>
        </w:rPr>
        <w:t>102</w:t>
      </w:r>
      <w:r>
        <w:rPr>
          <w:sz w:val="20"/>
          <w:szCs w:val="20"/>
          <w:color w:val="auto"/>
        </w:rPr>
        <w:tab/>
      </w:r>
      <w:r>
        <w:rPr>
          <w:rFonts w:ascii="Arial" w:cs="Arial" w:eastAsia="Arial" w:hAnsi="Arial"/>
          <w:sz w:val="14"/>
          <w:szCs w:val="14"/>
          <w:b w:val="1"/>
          <w:bCs w:val="1"/>
          <w:color w:val="16479F"/>
        </w:rPr>
        <w:t>MSCI</w:t>
      </w:r>
    </w:p>
    <w:p>
      <w:pPr>
        <w:spacing w:after="0" w:line="197" w:lineRule="exact"/>
        <w:rPr>
          <w:sz w:val="20"/>
          <w:szCs w:val="20"/>
          <w:color w:val="auto"/>
        </w:rPr>
      </w:pPr>
    </w:p>
    <w:p>
      <w:pPr>
        <w:spacing w:after="0"/>
        <w:rPr>
          <w:sz w:val="20"/>
          <w:szCs w:val="20"/>
          <w:color w:val="auto"/>
        </w:rPr>
      </w:pPr>
      <w:r>
        <w:rPr>
          <w:rFonts w:ascii="Arial" w:cs="Arial" w:eastAsia="Arial" w:hAnsi="Arial"/>
          <w:sz w:val="54"/>
          <w:szCs w:val="54"/>
          <w:b w:val="1"/>
          <w:bCs w:val="1"/>
          <w:color w:val="002739"/>
        </w:rPr>
        <w:t>Other Matters</w:t>
      </w:r>
    </w:p>
    <w:p>
      <w:pPr>
        <w:spacing w:after="0" w:line="230" w:lineRule="exact"/>
        <w:rPr>
          <w:sz w:val="20"/>
          <w:szCs w:val="20"/>
          <w:color w:val="auto"/>
        </w:rPr>
      </w:pPr>
    </w:p>
    <w:p>
      <w:pPr>
        <w:spacing w:after="0"/>
        <w:rPr>
          <w:sz w:val="20"/>
          <w:szCs w:val="20"/>
          <w:color w:val="auto"/>
        </w:rPr>
      </w:pPr>
      <w:r>
        <w:rPr>
          <w:rFonts w:ascii="Arial" w:cs="Arial" w:eastAsia="Arial" w:hAnsi="Arial"/>
          <w:sz w:val="32"/>
          <w:szCs w:val="32"/>
          <w:b w:val="1"/>
          <w:bCs w:val="1"/>
          <w:color w:val="16479F"/>
        </w:rPr>
        <w:t>Corporate Governance Documents</w:t>
      </w:r>
    </w:p>
    <w:p>
      <w:pPr>
        <w:spacing w:after="0" w:line="259" w:lineRule="exact"/>
        <w:rPr>
          <w:sz w:val="20"/>
          <w:szCs w:val="20"/>
          <w:color w:val="auto"/>
        </w:rPr>
      </w:pPr>
    </w:p>
    <w:p>
      <w:pPr>
        <w:ind w:right="280"/>
        <w:spacing w:after="0" w:line="256" w:lineRule="auto"/>
        <w:rPr>
          <w:sz w:val="20"/>
          <w:szCs w:val="20"/>
          <w:color w:val="auto"/>
        </w:rPr>
      </w:pPr>
      <w:r>
        <w:rPr>
          <w:rFonts w:ascii="Arial" w:cs="Arial" w:eastAsia="Arial" w:hAnsi="Arial"/>
          <w:sz w:val="16"/>
          <w:szCs w:val="16"/>
          <w:color w:val="auto"/>
        </w:rPr>
        <w:t xml:space="preserve">MSCI has a corporate governance webpage that can be found under the “Corporate Governance” link under the “Investor Resources” tab on our website’s Investor Relations homepage </w:t>
      </w:r>
      <w:r>
        <w:rPr>
          <w:rFonts w:ascii="Arial" w:cs="Arial" w:eastAsia="Arial" w:hAnsi="Arial"/>
          <w:sz w:val="16"/>
          <w:szCs w:val="16"/>
          <w:color w:val="00B5AA"/>
        </w:rPr>
        <w:t>(https://ir.msci.com)</w:t>
      </w:r>
      <w:r>
        <w:rPr>
          <w:rFonts w:ascii="Arial" w:cs="Arial" w:eastAsia="Arial" w:hAnsi="Arial"/>
          <w:sz w:val="16"/>
          <w:szCs w:val="16"/>
          <w:color w:val="auto"/>
        </w:rPr>
        <w:t>.</w:t>
      </w:r>
    </w:p>
    <w:p>
      <w:pPr>
        <w:spacing w:after="0" w:line="197" w:lineRule="exact"/>
        <w:rPr>
          <w:sz w:val="20"/>
          <w:szCs w:val="20"/>
          <w:color w:val="auto"/>
        </w:rPr>
      </w:pPr>
    </w:p>
    <w:p>
      <w:pPr>
        <w:ind w:right="160"/>
        <w:spacing w:after="0" w:line="247" w:lineRule="auto"/>
        <w:rPr>
          <w:sz w:val="20"/>
          <w:szCs w:val="20"/>
          <w:color w:val="auto"/>
        </w:rPr>
      </w:pPr>
      <w:r>
        <w:rPr>
          <w:rFonts w:ascii="Arial" w:cs="Arial" w:eastAsia="Arial" w:hAnsi="Arial"/>
          <w:sz w:val="16"/>
          <w:szCs w:val="16"/>
          <w:color w:val="auto"/>
        </w:rPr>
        <w:t xml:space="preserve">Our Corporate Governance Policies (including our Director Independence Standards), Code of Ethics and Business Conduct and committee charters are available electronically, without charge, on or through our website. To access these documents, click on the “Corporate Governance” link under the “Investor Resources” tab found on our website’s Investor Relations homepage </w:t>
      </w:r>
      <w:r>
        <w:rPr>
          <w:rFonts w:ascii="Arial" w:cs="Arial" w:eastAsia="Arial" w:hAnsi="Arial"/>
          <w:sz w:val="16"/>
          <w:szCs w:val="16"/>
          <w:color w:val="00B5AA"/>
        </w:rPr>
        <w:t>(https://ir.msci. com)</w:t>
      </w:r>
      <w:r>
        <w:rPr>
          <w:rFonts w:ascii="Arial" w:cs="Arial" w:eastAsia="Arial" w:hAnsi="Arial"/>
          <w:sz w:val="16"/>
          <w:szCs w:val="16"/>
          <w:color w:val="auto"/>
        </w:rPr>
        <w:t>. These documents are also available, without charge, to any shareholder who requests them by writing to us at c/o Corporate Secretary, MSCI Inc., 7 World Trade Center, 250 Greenwich Street, 49th Floor, New York, New York 10007 or via email at investor.relations@msci.com.</w:t>
      </w:r>
    </w:p>
    <w:p>
      <w:pPr>
        <w:spacing w:after="0" w:line="205" w:lineRule="exact"/>
        <w:rPr>
          <w:sz w:val="20"/>
          <w:szCs w:val="20"/>
          <w:color w:val="auto"/>
        </w:rPr>
      </w:pPr>
    </w:p>
    <w:p>
      <w:pPr>
        <w:ind w:right="200"/>
        <w:spacing w:after="0" w:line="248" w:lineRule="auto"/>
        <w:rPr>
          <w:sz w:val="20"/>
          <w:szCs w:val="20"/>
          <w:color w:val="auto"/>
        </w:rPr>
      </w:pPr>
      <w:r>
        <w:rPr>
          <w:rFonts w:ascii="Arial" w:cs="Arial" w:eastAsia="Arial" w:hAnsi="Arial"/>
          <w:sz w:val="16"/>
          <w:szCs w:val="16"/>
          <w:color w:val="auto"/>
        </w:rPr>
        <w:t xml:space="preserve">Our Code of Ethics and Business Conduct applies to our directors, executive officers and employees. If we make any substantive amendment to, or grant a waiver to, a provision of the Code of Ethics and Business Conduct for our CEO, CFO, Principal Accounting Officer and Global Controller or persons performing similar functions, we will satisfy the applicable SEC disclosure requirement by promptly disclosing the nature of the amendment or waiver on our website’s Investor Relations homepage </w:t>
      </w:r>
      <w:r>
        <w:rPr>
          <w:rFonts w:ascii="Arial" w:cs="Arial" w:eastAsia="Arial" w:hAnsi="Arial"/>
          <w:sz w:val="16"/>
          <w:szCs w:val="16"/>
          <w:color w:val="00B5AA"/>
        </w:rPr>
        <w:t>(https://ir.msci.com)</w:t>
      </w:r>
      <w:r>
        <w:rPr>
          <w:rFonts w:ascii="Arial" w:cs="Arial" w:eastAsia="Arial" w:hAnsi="Arial"/>
          <w:sz w:val="16"/>
          <w:szCs w:val="16"/>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32"/>
          <w:szCs w:val="32"/>
          <w:b w:val="1"/>
          <w:bCs w:val="1"/>
          <w:color w:val="16479F"/>
        </w:rPr>
        <w:t>Certain Transactions</w:t>
      </w:r>
    </w:p>
    <w:p>
      <w:pPr>
        <w:spacing w:after="0" w:line="169"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Transactions with Shareholders</w:t>
      </w:r>
    </w:p>
    <w:p>
      <w:pPr>
        <w:spacing w:after="0" w:line="249"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From time to time, shareholders that own more than 5% of our common stock subscribe to, license or otherwise purchase, in the normal course of business, certain of our products and services. These transactions are negotiated on an arm’s-length basis and are subject to review under our Related Person Transactions Policy described below.</w:t>
      </w:r>
    </w:p>
    <w:p>
      <w:pPr>
        <w:spacing w:after="0" w:line="148"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During 2021, BlackRock, Inc. and The Vanguard Group and/or their respective affiliates subscribed to, licensed or otherwise purchased in the normal course of business, certain of our products and services. For purposes of full disclosure, revenues recognized by us from subscriptions, licenses and other fees related to our products and services in 2021 from each of these shareholders and/or their respective affiliates are set forth in the table below.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60" w:type="dxa"/>
            <w:vAlign w:val="bottom"/>
            <w:tcBorders>
              <w:bottom w:val="single" w:sz="8" w:color="16479F"/>
            </w:tcBorders>
          </w:tcPr>
          <w:p>
            <w:pPr>
              <w:ind w:left="60"/>
              <w:spacing w:after="0"/>
              <w:rPr>
                <w:sz w:val="20"/>
                <w:szCs w:val="20"/>
                <w:color w:val="auto"/>
              </w:rPr>
            </w:pPr>
            <w:r>
              <w:rPr>
                <w:rFonts w:ascii="Arial" w:cs="Arial" w:eastAsia="Arial" w:hAnsi="Arial"/>
                <w:sz w:val="14"/>
                <w:szCs w:val="14"/>
                <w:b w:val="1"/>
                <w:bCs w:val="1"/>
                <w:color w:val="auto"/>
              </w:rPr>
              <w:t>Name</w:t>
            </w:r>
          </w:p>
        </w:tc>
        <w:tc>
          <w:tcPr>
            <w:tcW w:w="5380" w:type="dxa"/>
            <w:vAlign w:val="bottom"/>
            <w:tcBorders>
              <w:bottom w:val="single" w:sz="8" w:color="16479F"/>
            </w:tcBorders>
          </w:tcPr>
          <w:p>
            <w:pPr>
              <w:jc w:val="right"/>
              <w:spacing w:after="0"/>
              <w:rPr>
                <w:sz w:val="20"/>
                <w:szCs w:val="20"/>
                <w:color w:val="auto"/>
              </w:rPr>
            </w:pPr>
            <w:r>
              <w:rPr>
                <w:rFonts w:ascii="Arial" w:cs="Arial" w:eastAsia="Arial" w:hAnsi="Arial"/>
                <w:sz w:val="14"/>
                <w:szCs w:val="14"/>
                <w:b w:val="1"/>
                <w:bCs w:val="1"/>
                <w:color w:val="auto"/>
              </w:rPr>
              <w:t>2021 Revenues</w:t>
            </w:r>
          </w:p>
        </w:tc>
      </w:tr>
      <w:tr>
        <w:trPr>
          <w:trHeight w:val="240"/>
        </w:trPr>
        <w:tc>
          <w:tcPr>
            <w:tcW w:w="5860" w:type="dxa"/>
            <w:vAlign w:val="bottom"/>
            <w:shd w:val="clear" w:color="auto" w:fill="F0F1F8"/>
          </w:tcPr>
          <w:p>
            <w:pPr>
              <w:ind w:left="60"/>
              <w:spacing w:after="0"/>
              <w:rPr>
                <w:sz w:val="20"/>
                <w:szCs w:val="20"/>
                <w:color w:val="auto"/>
              </w:rPr>
            </w:pPr>
            <w:r>
              <w:rPr>
                <w:rFonts w:ascii="Arial" w:cs="Arial" w:eastAsia="Arial" w:hAnsi="Arial"/>
                <w:sz w:val="16"/>
                <w:szCs w:val="16"/>
                <w:color w:val="auto"/>
              </w:rPr>
              <w:t>BlackRock, Inc.</w:t>
            </w:r>
          </w:p>
        </w:tc>
        <w:tc>
          <w:tcPr>
            <w:tcW w:w="5380" w:type="dxa"/>
            <w:vAlign w:val="bottom"/>
            <w:shd w:val="clear" w:color="auto" w:fill="F0F1F8"/>
          </w:tcPr>
          <w:p>
            <w:pPr>
              <w:jc w:val="right"/>
              <w:spacing w:after="0"/>
              <w:rPr>
                <w:sz w:val="20"/>
                <w:szCs w:val="20"/>
                <w:color w:val="auto"/>
              </w:rPr>
            </w:pPr>
            <w:r>
              <w:rPr>
                <w:rFonts w:ascii="Arial" w:cs="Arial" w:eastAsia="Arial" w:hAnsi="Arial"/>
                <w:sz w:val="16"/>
                <w:szCs w:val="16"/>
                <w:color w:val="auto"/>
              </w:rPr>
              <w:t>$259.7 million</w:t>
            </w:r>
          </w:p>
        </w:tc>
      </w:tr>
      <w:tr>
        <w:trPr>
          <w:trHeight w:val="234"/>
        </w:trPr>
        <w:tc>
          <w:tcPr>
            <w:tcW w:w="58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The Vanguard Group</w:t>
            </w:r>
          </w:p>
        </w:tc>
        <w:tc>
          <w:tcPr>
            <w:tcW w:w="5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$ 17.7 million</w:t>
            </w:r>
          </w:p>
        </w:tc>
      </w:tr>
    </w:tbl>
    <w:p>
      <w:pPr>
        <w:spacing w:after="0" w:line="125"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Transactions with Directors</w:t>
      </w:r>
    </w:p>
    <w:p>
      <w:pPr>
        <w:spacing w:after="0" w:line="249"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Sandy C. Rattray served as the Chief Investment Officer of Man Group plc from 2017 to September 30, 2021. In 2021, Man Group plc and its subsidiaries subscribed to, licensed or otherwise purchased in the normal course of business, certain of the Company’s products and services. Revenues recognized from subscriptions, licenses and other fees related to such products and services in 2021 were approximately $3.7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56515</wp:posOffset>
            </wp:positionV>
            <wp:extent cx="7154545" cy="209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00" w:type="dxa"/>
            <w:vAlign w:val="bottom"/>
            <w:tcBorders>
              <w:right w:val="single" w:sz="8" w:color="16479F"/>
            </w:tcBorders>
          </w:tcPr>
          <w:p>
            <w:pPr>
              <w:ind w:left="8700"/>
              <w:spacing w:after="0"/>
              <w:rPr>
                <w:sz w:val="20"/>
                <w:szCs w:val="20"/>
                <w:color w:val="auto"/>
              </w:rPr>
            </w:pPr>
            <w:r>
              <w:rPr>
                <w:rFonts w:ascii="Arial" w:cs="Arial" w:eastAsia="Arial" w:hAnsi="Arial"/>
                <w:sz w:val="14"/>
                <w:szCs w:val="14"/>
                <w:b w:val="1"/>
                <w:bCs w:val="1"/>
                <w:color w:val="16479F"/>
              </w:rPr>
              <w:t>2022 PROXY STATEMENT</w:t>
            </w:r>
          </w:p>
        </w:tc>
        <w:tc>
          <w:tcPr>
            <w:tcW w:w="640" w:type="dxa"/>
            <w:vAlign w:val="bottom"/>
          </w:tcPr>
          <w:p>
            <w:pPr>
              <w:jc w:val="right"/>
              <w:ind w:right="9"/>
              <w:spacing w:after="0"/>
              <w:rPr>
                <w:sz w:val="20"/>
                <w:szCs w:val="20"/>
                <w:color w:val="auto"/>
              </w:rPr>
            </w:pPr>
            <w:r>
              <w:rPr>
                <w:rFonts w:ascii="Arial" w:cs="Arial" w:eastAsia="Arial" w:hAnsi="Arial"/>
                <w:sz w:val="14"/>
                <w:szCs w:val="14"/>
                <w:b w:val="1"/>
                <w:bCs w:val="1"/>
                <w:color w:val="16479F"/>
              </w:rPr>
              <w:t>103</w:t>
            </w:r>
          </w:p>
        </w:tc>
      </w:tr>
      <w:tr>
        <w:trPr>
          <w:trHeight w:val="65"/>
        </w:trPr>
        <w:tc>
          <w:tcPr>
            <w:tcW w:w="10600" w:type="dxa"/>
            <w:vAlign w:val="bottom"/>
            <w:tcBorders>
              <w:bottom w:val="single" w:sz="8" w:color="16479F"/>
              <w:right w:val="single" w:sz="8" w:color="16479F"/>
            </w:tcBorders>
          </w:tcPr>
          <w:p>
            <w:pPr>
              <w:spacing w:after="0"/>
              <w:rPr>
                <w:sz w:val="5"/>
                <w:szCs w:val="5"/>
                <w:color w:val="auto"/>
              </w:rPr>
            </w:pPr>
          </w:p>
        </w:tc>
        <w:tc>
          <w:tcPr>
            <w:tcW w:w="640" w:type="dxa"/>
            <w:vAlign w:val="bottom"/>
            <w:tcBorders>
              <w:bottom w:val="single" w:sz="8" w:color="16479F"/>
            </w:tcBorders>
          </w:tcPr>
          <w:p>
            <w:pPr>
              <w:spacing w:after="0"/>
              <w:rPr>
                <w:sz w:val="5"/>
                <w:szCs w:val="5"/>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32"/>
          <w:szCs w:val="32"/>
          <w:b w:val="1"/>
          <w:bCs w:val="1"/>
          <w:color w:val="16479F"/>
        </w:rPr>
        <w:t>Related Person Transactions Policy</w:t>
      </w:r>
    </w:p>
    <w:p>
      <w:pPr>
        <w:spacing w:after="0" w:line="259" w:lineRule="exact"/>
        <w:rPr>
          <w:sz w:val="20"/>
          <w:szCs w:val="20"/>
          <w:color w:val="auto"/>
        </w:rPr>
      </w:pPr>
    </w:p>
    <w:p>
      <w:pPr>
        <w:ind w:right="480"/>
        <w:spacing w:after="0" w:line="248" w:lineRule="auto"/>
        <w:rPr>
          <w:sz w:val="20"/>
          <w:szCs w:val="20"/>
          <w:color w:val="auto"/>
        </w:rPr>
      </w:pPr>
      <w:r>
        <w:rPr>
          <w:rFonts w:ascii="Arial" w:cs="Arial" w:eastAsia="Arial" w:hAnsi="Arial"/>
          <w:sz w:val="16"/>
          <w:szCs w:val="16"/>
          <w:color w:val="auto"/>
        </w:rPr>
        <w:t>The Company maintains a written Related Person Transactions Policy (the “Policy”), which governs the approval of related person transactions. The Governance Committee administers the Policy. It is the responsibility of each director, director nominee and executive officer to promptly notify the legal department of transactions in which he or she may be involved. The legal department also conducts diligence and maintains controls and procedures to identify and submit for review and approval any such transactions.</w:t>
      </w:r>
    </w:p>
    <w:p>
      <w:pPr>
        <w:spacing w:after="0" w:line="204"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Under the Policy, the legal department determines whether a proposed transaction constitutes a related person transaction requiring review under the Policy and/or disclosure. If the legal department determines that (i) the proposed transaction constitutes a related person transaction or (ii) it would be beneficial to further review the transaction under the Policy, then the legal department may review and approve certain transactions pursuant to delegation from the Governance Committee or refer the transactions to the Governance Committee.</w:t>
      </w:r>
    </w:p>
    <w:p>
      <w:pPr>
        <w:spacing w:after="0" w:line="204"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When evaluating a proposed Related Person Transaction, the legal department will consider all relevant facts and circumstances, including: (1) the dollar amount of the transaction, the commercial reasonableness of the terms and the purpose of the transaction, as well as the benefit to the Company; (2) whether negotiations were at arm’s length; (3) the terms and conditions of comparable or similar transactions; (4) whether the transaction is provided on terms that may be more favorable than those available to others; (5) the materiality and character of the related person’s interest in the transaction and whether there may be any conflicts of interest; (6) whether the transaction would be considered unusual for one or both of the parties and (7) whether the transaction may impact director independence if applicable.</w:t>
      </w:r>
    </w:p>
    <w:p>
      <w:pPr>
        <w:spacing w:after="0" w:line="129" w:lineRule="exact"/>
        <w:rPr>
          <w:sz w:val="20"/>
          <w:szCs w:val="20"/>
          <w:color w:val="auto"/>
        </w:rPr>
      </w:pPr>
    </w:p>
    <w:p>
      <w:pPr>
        <w:spacing w:after="0"/>
        <w:rPr>
          <w:sz w:val="20"/>
          <w:szCs w:val="20"/>
          <w:color w:val="auto"/>
        </w:rPr>
      </w:pPr>
      <w:r>
        <w:rPr>
          <w:rFonts w:ascii="Arial" w:cs="Arial" w:eastAsia="Arial" w:hAnsi="Arial"/>
          <w:sz w:val="32"/>
          <w:szCs w:val="32"/>
          <w:b w:val="1"/>
          <w:bCs w:val="1"/>
          <w:color w:val="16479F"/>
        </w:rPr>
        <w:t>Other Business</w:t>
      </w:r>
    </w:p>
    <w:p>
      <w:pPr>
        <w:spacing w:after="0" w:line="259" w:lineRule="exact"/>
        <w:rPr>
          <w:sz w:val="20"/>
          <w:szCs w:val="20"/>
          <w:color w:val="auto"/>
        </w:rPr>
      </w:pPr>
    </w:p>
    <w:p>
      <w:pPr>
        <w:ind w:right="420"/>
        <w:spacing w:after="0" w:line="256" w:lineRule="auto"/>
        <w:rPr>
          <w:sz w:val="20"/>
          <w:szCs w:val="20"/>
          <w:color w:val="auto"/>
        </w:rPr>
      </w:pPr>
      <w:r>
        <w:rPr>
          <w:rFonts w:ascii="Arial" w:cs="Arial" w:eastAsia="Arial" w:hAnsi="Arial"/>
          <w:sz w:val="16"/>
          <w:szCs w:val="16"/>
          <w:color w:val="auto"/>
        </w:rPr>
        <w:t>We do not know of any matters that may be presented for action at the meeting other than those described in this Proxy Statement. If any other matter is properly brought before the meeting, the proxy holders will vote on such matter in their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123825</wp:posOffset>
            </wp:positionV>
            <wp:extent cx="7133590" cy="57785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3590" cy="577850"/>
                    </a:xfrm>
                    <a:prstGeom prst="rect">
                      <a:avLst/>
                    </a:prstGeom>
                    <a:noFill/>
                  </pic:spPr>
                </pic:pic>
              </a:graphicData>
            </a:graphic>
          </wp:anchor>
        </w:drawing>
      </w:r>
    </w:p>
    <w:p>
      <w:pPr>
        <w:spacing w:after="0" w:line="331" w:lineRule="exact"/>
        <w:rPr>
          <w:sz w:val="20"/>
          <w:szCs w:val="20"/>
          <w:color w:val="auto"/>
        </w:rPr>
      </w:pPr>
    </w:p>
    <w:p>
      <w:pPr>
        <w:ind w:left="180" w:right="340"/>
        <w:spacing w:after="0" w:line="263" w:lineRule="auto"/>
        <w:rPr>
          <w:sz w:val="20"/>
          <w:szCs w:val="20"/>
          <w:color w:val="auto"/>
        </w:rPr>
      </w:pPr>
      <w:r>
        <w:rPr>
          <w:rFonts w:ascii="Arial" w:cs="Arial" w:eastAsia="Arial" w:hAnsi="Arial"/>
          <w:sz w:val="16"/>
          <w:szCs w:val="16"/>
          <w:b w:val="1"/>
          <w:bCs w:val="1"/>
          <w:color w:val="auto"/>
        </w:rPr>
        <w:t xml:space="preserve">Important Notice Regarding the Availability of Proxy Materials for the Shareholder Meeting to be held on April 26, 2022. Our Proxy Statement and our Annual Report on Form 10-K for the fiscal year ended December 31, 2021 are available free of charge at </w:t>
      </w:r>
      <w:r>
        <w:rPr>
          <w:rFonts w:ascii="Arial" w:cs="Arial" w:eastAsia="Arial" w:hAnsi="Arial"/>
          <w:sz w:val="16"/>
          <w:szCs w:val="16"/>
          <w:b w:val="1"/>
          <w:bCs w:val="1"/>
          <w:color w:val="00B5AA"/>
        </w:rPr>
        <w:t>www.proxyvote.com</w:t>
      </w:r>
      <w:r>
        <w:rPr>
          <w:rFonts w:ascii="Arial" w:cs="Arial" w:eastAsia="Arial" w:hAnsi="Arial"/>
          <w:sz w:val="16"/>
          <w:szCs w:val="16"/>
          <w:b w:val="1"/>
          <w:bCs w:val="1"/>
          <w:color w:val="auto"/>
        </w:rPr>
        <w:t>. Information contained on such website is not incorporated by reference into this Proxy Statement or any other report we file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161290</wp:posOffset>
            </wp:positionV>
            <wp:extent cx="7154545" cy="209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149860</wp:posOffset>
            </wp:positionV>
            <wp:extent cx="7133590" cy="21272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3590" cy="212725"/>
                    </a:xfrm>
                    <a:prstGeom prst="rect">
                      <a:avLst/>
                    </a:prstGeom>
                    <a:noFill/>
                  </pic:spPr>
                </pic:pic>
              </a:graphicData>
            </a:graphic>
          </wp:anchor>
        </w:drawing>
      </w:r>
    </w:p>
    <w:p>
      <w:pPr>
        <w:spacing w:after="0" w:line="283"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4"/>
          <w:szCs w:val="14"/>
          <w:b w:val="1"/>
          <w:bCs w:val="1"/>
          <w:color w:val="16479F"/>
        </w:rPr>
        <w:t>104</w:t>
      </w:r>
      <w:r>
        <w:rPr>
          <w:sz w:val="20"/>
          <w:szCs w:val="20"/>
          <w:color w:val="auto"/>
        </w:rPr>
        <w:tab/>
      </w:r>
      <w:r>
        <w:rPr>
          <w:rFonts w:ascii="Arial" w:cs="Arial" w:eastAsia="Arial" w:hAnsi="Arial"/>
          <w:sz w:val="14"/>
          <w:szCs w:val="14"/>
          <w:b w:val="1"/>
          <w:bCs w:val="1"/>
          <w:color w:val="16479F"/>
        </w:rPr>
        <w:t>MSCI</w:t>
      </w:r>
    </w:p>
    <w:p>
      <w:pPr>
        <w:spacing w:after="0" w:line="250" w:lineRule="exact"/>
        <w:rPr>
          <w:sz w:val="20"/>
          <w:szCs w:val="20"/>
          <w:color w:val="auto"/>
        </w:rPr>
      </w:pPr>
    </w:p>
    <w:p>
      <w:pPr>
        <w:spacing w:after="0"/>
        <w:rPr>
          <w:sz w:val="20"/>
          <w:szCs w:val="20"/>
          <w:color w:val="auto"/>
        </w:rPr>
      </w:pPr>
      <w:r>
        <w:rPr>
          <w:rFonts w:ascii="Arial" w:cs="Arial" w:eastAsia="Arial" w:hAnsi="Arial"/>
          <w:sz w:val="54"/>
          <w:szCs w:val="54"/>
          <w:b w:val="1"/>
          <w:bCs w:val="1"/>
          <w:color w:val="002739"/>
        </w:rPr>
        <w:t>Annex A: Frequently Asked Questions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do we refer to MSCI Inc. in this Proxy Statement?</w:t>
      </w:r>
    </w:p>
    <w:p>
      <w:pPr>
        <w:spacing w:after="0" w:line="238"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We refer to MSCI Inc. as the “Company,” “MSCI,” “we,” “our” or “us” and the Board of Directors of MSCI Inc. as the “Board.” MSCI is incorporated in Delaware and its shares are listed on The New York Stock Exchange under the symbol MSCI. References to “Shares,” “shares” or “shares of our common stock” in this Proxy Statement refer to shares of our common stock, par value $0.01 per share.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are the date, time and place of the 2022 Annual Meeting?</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We will hold the 2022 Annual Meeting on April 26, 2022 at 2:30 P.M. Eastern Time, via the internet at </w:t>
      </w:r>
      <w:r>
        <w:rPr>
          <w:rFonts w:ascii="Arial" w:cs="Arial" w:eastAsia="Arial" w:hAnsi="Arial"/>
          <w:sz w:val="16"/>
          <w:szCs w:val="16"/>
          <w:color w:val="00B5AA"/>
        </w:rPr>
        <w:t>www.virtualshareholdermeeting.com/MSCI2022</w:t>
      </w:r>
      <w:r>
        <w:rPr>
          <w:rFonts w:ascii="Arial" w:cs="Arial" w:eastAsia="Arial" w:hAnsi="Arial"/>
          <w:sz w:val="16"/>
          <w:szCs w:val="16"/>
          <w:color w:val="auto"/>
        </w:rPr>
        <w:t>.</w:t>
      </w:r>
    </w:p>
    <w:p>
      <w:pPr>
        <w:spacing w:after="0" w:line="218"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 xml:space="preserve">In order to access the virtual annual meeting, you will be asked to provide your 16-digit control number. Instructions on how to attend and participate via the internet, including how to demonstrate proof of share ownership, are posted at </w:t>
      </w:r>
      <w:r>
        <w:rPr>
          <w:rFonts w:ascii="Arial" w:cs="Arial" w:eastAsia="Arial" w:hAnsi="Arial"/>
          <w:sz w:val="16"/>
          <w:szCs w:val="16"/>
          <w:color w:val="00B5AA"/>
        </w:rPr>
        <w:t>www.virtualshareholdermeeting.com/MSCI2022</w:t>
      </w:r>
      <w:r>
        <w:rPr>
          <w:rFonts w:ascii="Arial" w:cs="Arial" w:eastAsia="Arial" w:hAnsi="Arial"/>
          <w:sz w:val="16"/>
          <w:szCs w:val="16"/>
          <w:color w:val="auto"/>
        </w:rPr>
        <w:t>. Information contained on this website is not incorporated by reference into this Proxy Statement or any other report we file with the SEC.</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Will the 2022 Annual Meeting be webcast?</w:t>
      </w:r>
    </w:p>
    <w:p>
      <w:pPr>
        <w:spacing w:after="0" w:line="238"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 xml:space="preserve">Yes. You may attend the annual meeting virtually at </w:t>
      </w:r>
      <w:r>
        <w:rPr>
          <w:rFonts w:ascii="Arial" w:cs="Arial" w:eastAsia="Arial" w:hAnsi="Arial"/>
          <w:sz w:val="16"/>
          <w:szCs w:val="16"/>
          <w:color w:val="00B5AA"/>
        </w:rPr>
        <w:t>www.virtualshareholdermeeting.com/MSCI2022</w:t>
      </w:r>
      <w:r>
        <w:rPr>
          <w:rFonts w:ascii="Arial" w:cs="Arial" w:eastAsia="Arial" w:hAnsi="Arial"/>
          <w:sz w:val="16"/>
          <w:szCs w:val="16"/>
          <w:color w:val="auto"/>
        </w:rPr>
        <w:t xml:space="preserve">, where you will be able to vote electronically and submit questions during the meeting. A webcast replay of the 2022 Annual Meeting will also be archived on our Investor Relations website, </w:t>
      </w:r>
      <w:r>
        <w:rPr>
          <w:rFonts w:ascii="Arial" w:cs="Arial" w:eastAsia="Arial" w:hAnsi="Arial"/>
          <w:sz w:val="16"/>
          <w:szCs w:val="16"/>
          <w:color w:val="00B5AA"/>
        </w:rPr>
        <w:t>https://ir.msci.com/events.cfm</w:t>
      </w:r>
      <w:r>
        <w:rPr>
          <w:rFonts w:ascii="Arial" w:cs="Arial" w:eastAsia="Arial" w:hAnsi="Arial"/>
          <w:sz w:val="16"/>
          <w:szCs w:val="16"/>
          <w:color w:val="000000"/>
        </w:rPr>
        <w:t>, until April 26, 2023.</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do I submit a question at the 2022 Annual Meeting?</w:t>
      </w:r>
    </w:p>
    <w:p>
      <w:pPr>
        <w:spacing w:after="0" w:line="238" w:lineRule="exact"/>
        <w:rPr>
          <w:sz w:val="20"/>
          <w:szCs w:val="20"/>
          <w:color w:val="auto"/>
        </w:rPr>
      </w:pPr>
    </w:p>
    <w:p>
      <w:pPr>
        <w:jc w:val="both"/>
        <w:ind w:right="80"/>
        <w:spacing w:after="0" w:line="250" w:lineRule="auto"/>
        <w:rPr>
          <w:sz w:val="20"/>
          <w:szCs w:val="20"/>
          <w:color w:val="auto"/>
        </w:rPr>
      </w:pPr>
      <w:r>
        <w:rPr>
          <w:rFonts w:ascii="Arial" w:cs="Arial" w:eastAsia="Arial" w:hAnsi="Arial"/>
          <w:sz w:val="16"/>
          <w:szCs w:val="16"/>
          <w:color w:val="auto"/>
        </w:rPr>
        <w:t>To submit questions before the 2022 Annual Meeting, please email your question(s) to the Corporate Secretary at corporatesecretary@msci.com by no later than April 25, 2022. Please include “Annual Meeting Questions” in the subject line and provide your name, 16-digit control number and, if applicable, indicate the proposal to which your question relates in the body of the email.</w:t>
      </w:r>
    </w:p>
    <w:p>
      <w:pPr>
        <w:spacing w:after="0" w:line="202"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color w:val="auto"/>
        </w:rPr>
        <w:t xml:space="preserve">You may submit a question during the meeting via our virtual shareholder meeting website, </w:t>
      </w:r>
      <w:r>
        <w:rPr>
          <w:rFonts w:ascii="Arial" w:cs="Arial" w:eastAsia="Arial" w:hAnsi="Arial"/>
          <w:sz w:val="16"/>
          <w:szCs w:val="16"/>
          <w:color w:val="00B5AA"/>
        </w:rPr>
        <w:t>www.virtualshareholdermeeting. com/MSCI2022</w:t>
      </w:r>
      <w:r>
        <w:rPr>
          <w:rFonts w:ascii="Arial" w:cs="Arial" w:eastAsia="Arial" w:hAnsi="Arial"/>
          <w:sz w:val="16"/>
          <w:szCs w:val="16"/>
          <w:color w:val="auto"/>
        </w:rPr>
        <w:t xml:space="preserve">. If your question is properly submitted during the relevant portion of the meeting agenda, our Chairman intends to respond to your question during the live webcast. Questions on similar topics may be combined and answered together. A webcast replay of the 2022 Annual Meeting, including the Q&amp;A session, will also be archived on our Investor Relations website, </w:t>
      </w:r>
      <w:r>
        <w:rPr>
          <w:rFonts w:ascii="Arial" w:cs="Arial" w:eastAsia="Arial" w:hAnsi="Arial"/>
          <w:sz w:val="16"/>
          <w:szCs w:val="16"/>
          <w:color w:val="00B5AA"/>
        </w:rPr>
        <w:t>https://ir.msci.com/events.cfm</w:t>
      </w:r>
      <w:r>
        <w:rPr>
          <w:rFonts w:ascii="Arial" w:cs="Arial" w:eastAsia="Arial" w:hAnsi="Arial"/>
          <w:sz w:val="16"/>
          <w:szCs w:val="16"/>
          <w:color w:val="auto"/>
        </w:rPr>
        <w:t>, until April 26, 2023.</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if the Company encounters technical difficulties during the 2022 Annual Meeting?</w:t>
      </w:r>
    </w:p>
    <w:p>
      <w:pPr>
        <w:spacing w:after="0" w:line="23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 xml:space="preserve">If we experience technical difficulties during the meeting (e.g., a temporary or prolonged power outage), our Chairman will determine whether the meeting can be promptly reconvened (if the technical difficulty is temporary) or whether the meeting will need to be reconvened on a later day (if the technical difficulty is more prolonged). In any situation, we will promptly notify shareholders of the decision via </w:t>
      </w:r>
      <w:r>
        <w:rPr>
          <w:rFonts w:ascii="Arial" w:cs="Arial" w:eastAsia="Arial" w:hAnsi="Arial"/>
          <w:sz w:val="16"/>
          <w:szCs w:val="16"/>
          <w:color w:val="00B5AA"/>
        </w:rPr>
        <w:t>www.virutalshareholdermeeting.com/MSCI2022</w:t>
      </w:r>
      <w:r>
        <w:rPr>
          <w:rFonts w:ascii="Arial" w:cs="Arial" w:eastAsia="Arial" w:hAnsi="Arial"/>
          <w:sz w:val="16"/>
          <w:szCs w:val="16"/>
          <w:color w:val="auto"/>
        </w:rPr>
        <w:t>.</w:t>
      </w:r>
    </w:p>
    <w:p>
      <w:pPr>
        <w:spacing w:after="0" w:line="202"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auto"/>
        </w:rPr>
        <w:t>If you encounter technical difficulties accessing our meeting or asking questions during the meeting, a support line will be available on the login page of the virtual meeting website.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may attend the 2022 Annual Meeting?</w:t>
      </w:r>
    </w:p>
    <w:p>
      <w:pPr>
        <w:spacing w:after="0" w:line="238" w:lineRule="exact"/>
        <w:rPr>
          <w:sz w:val="20"/>
          <w:szCs w:val="20"/>
          <w:color w:val="auto"/>
        </w:rPr>
      </w:pPr>
    </w:p>
    <w:p>
      <w:pPr>
        <w:ind w:right="320"/>
        <w:spacing w:after="0" w:line="248" w:lineRule="auto"/>
        <w:rPr>
          <w:sz w:val="20"/>
          <w:szCs w:val="20"/>
          <w:color w:val="auto"/>
        </w:rPr>
      </w:pPr>
      <w:r>
        <w:rPr>
          <w:rFonts w:ascii="Arial" w:cs="Arial" w:eastAsia="Arial" w:hAnsi="Arial"/>
          <w:sz w:val="16"/>
          <w:szCs w:val="16"/>
          <w:color w:val="auto"/>
        </w:rPr>
        <w:t>All stockholders as of March 1, 2022, or their duly appointed proxies, may attend the 2022 Annual Meeting. In order to attend the 2022 Annual Meeting, a stockholder must own MSCI common stock at the close of business on March 1, 2022. If your shares are held in the name of a broker, bank, custodian, nominee or other record holder (“street name”), you must obtain a proxy, executed in your favor, from the holder of record (that is, your broker, bank, custodian, or nominee) to be able to vote at the 2022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125730</wp:posOffset>
            </wp:positionV>
            <wp:extent cx="7154545" cy="209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5" w:name="page106"/>
    <w:bookmarkEnd w:id="105"/>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00" w:type="dxa"/>
            <w:vAlign w:val="bottom"/>
            <w:tcBorders>
              <w:right w:val="single" w:sz="8" w:color="16479F"/>
            </w:tcBorders>
          </w:tcPr>
          <w:p>
            <w:pPr>
              <w:ind w:left="8700"/>
              <w:spacing w:after="0"/>
              <w:rPr>
                <w:sz w:val="20"/>
                <w:szCs w:val="20"/>
                <w:color w:val="auto"/>
              </w:rPr>
            </w:pPr>
            <w:r>
              <w:rPr>
                <w:rFonts w:ascii="Arial" w:cs="Arial" w:eastAsia="Arial" w:hAnsi="Arial"/>
                <w:sz w:val="14"/>
                <w:szCs w:val="14"/>
                <w:b w:val="1"/>
                <w:bCs w:val="1"/>
                <w:color w:val="16479F"/>
              </w:rPr>
              <w:t>2022 PROXY STATEMENT</w:t>
            </w:r>
          </w:p>
        </w:tc>
        <w:tc>
          <w:tcPr>
            <w:tcW w:w="640" w:type="dxa"/>
            <w:vAlign w:val="bottom"/>
          </w:tcPr>
          <w:p>
            <w:pPr>
              <w:jc w:val="right"/>
              <w:ind w:right="9"/>
              <w:spacing w:after="0"/>
              <w:rPr>
                <w:sz w:val="20"/>
                <w:szCs w:val="20"/>
                <w:color w:val="auto"/>
              </w:rPr>
            </w:pPr>
            <w:r>
              <w:rPr>
                <w:rFonts w:ascii="Arial" w:cs="Arial" w:eastAsia="Arial" w:hAnsi="Arial"/>
                <w:sz w:val="14"/>
                <w:szCs w:val="14"/>
                <w:b w:val="1"/>
                <w:bCs w:val="1"/>
                <w:color w:val="16479F"/>
              </w:rPr>
              <w:t>105</w:t>
            </w:r>
          </w:p>
        </w:tc>
      </w:tr>
      <w:tr>
        <w:trPr>
          <w:trHeight w:val="65"/>
        </w:trPr>
        <w:tc>
          <w:tcPr>
            <w:tcW w:w="10600" w:type="dxa"/>
            <w:vAlign w:val="bottom"/>
            <w:tcBorders>
              <w:bottom w:val="single" w:sz="8" w:color="16479F"/>
              <w:right w:val="single" w:sz="8" w:color="16479F"/>
            </w:tcBorders>
          </w:tcPr>
          <w:p>
            <w:pPr>
              <w:spacing w:after="0"/>
              <w:rPr>
                <w:sz w:val="5"/>
                <w:szCs w:val="5"/>
                <w:color w:val="auto"/>
              </w:rPr>
            </w:pPr>
          </w:p>
        </w:tc>
        <w:tc>
          <w:tcPr>
            <w:tcW w:w="640" w:type="dxa"/>
            <w:vAlign w:val="bottom"/>
            <w:tcBorders>
              <w:bottom w:val="single" w:sz="8" w:color="16479F"/>
            </w:tcBorders>
          </w:tcPr>
          <w:p>
            <w:pPr>
              <w:spacing w:after="0"/>
              <w:rPr>
                <w:sz w:val="5"/>
                <w:szCs w:val="5"/>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may vote at the 2022 Annual Meeting?</w:t>
      </w:r>
    </w:p>
    <w:p>
      <w:pPr>
        <w:spacing w:after="0" w:line="238" w:lineRule="exact"/>
        <w:rPr>
          <w:sz w:val="20"/>
          <w:szCs w:val="20"/>
          <w:color w:val="auto"/>
        </w:rPr>
      </w:pPr>
    </w:p>
    <w:p>
      <w:pPr>
        <w:ind w:right="280"/>
        <w:spacing w:after="0" w:line="250" w:lineRule="auto"/>
        <w:rPr>
          <w:sz w:val="20"/>
          <w:szCs w:val="20"/>
          <w:color w:val="auto"/>
        </w:rPr>
      </w:pPr>
      <w:r>
        <w:rPr>
          <w:rFonts w:ascii="Arial" w:cs="Arial" w:eastAsia="Arial" w:hAnsi="Arial"/>
          <w:sz w:val="16"/>
          <w:szCs w:val="16"/>
          <w:color w:val="auto"/>
        </w:rPr>
        <w:t>You can vote your shares of MSCI common stock at our 2022 Annual Meeting if you were a shareholder at the close of business on March 1, 2022 (the “record date”). As of March 1, 2022, there were 81,267,909 shares of MSCI common stock outstanding. Each share of MSCI common stock entitles you to one vote on each matter voted on at the annual meeting of shareholders.</w:t>
      </w:r>
    </w:p>
    <w:p>
      <w:pPr>
        <w:spacing w:after="0" w:line="202" w:lineRule="exact"/>
        <w:rPr>
          <w:sz w:val="20"/>
          <w:szCs w:val="20"/>
          <w:color w:val="auto"/>
        </w:rPr>
      </w:pPr>
    </w:p>
    <w:p>
      <w:pPr>
        <w:jc w:val="both"/>
        <w:ind w:right="380"/>
        <w:spacing w:after="0" w:line="250" w:lineRule="auto"/>
        <w:rPr>
          <w:sz w:val="20"/>
          <w:szCs w:val="20"/>
          <w:color w:val="auto"/>
        </w:rPr>
      </w:pPr>
      <w:r>
        <w:rPr>
          <w:rFonts w:ascii="Arial" w:cs="Arial" w:eastAsia="Arial" w:hAnsi="Arial"/>
          <w:sz w:val="16"/>
          <w:szCs w:val="16"/>
          <w:color w:val="auto"/>
        </w:rPr>
        <w:t>A majority of the shares of MSCI common stock outstanding at the close of business on the record date must be present in order to hold the meeting and conduct business. This is called a “quorum.” Your shares are counted as present at the 2022 Annual Meeting if you vote through the internet at the virtual annual meeting of shareholders or properly submit your proxy prior to the 2022 Annual Meeting.</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Why did I receive a one-page notice in the mail regarding the internet availability of proxy materials instead of a full set of printed proxy materials?</w:t>
      </w:r>
    </w:p>
    <w:p>
      <w:pPr>
        <w:spacing w:after="0" w:line="238"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Pursuant to the “notice and access” rules adopted by the SEC, we are making this Proxy Statement and our 2021 Annual Report on Form 10-K (including any amendments thereto) available to our shareholders over the internet. As a result, unless you have previously requested electronic access to our proxy materials or the receipt of paper proxy materials, you will receive a Notice of Internet Availability of Proxy Materials containing instructions on how to access this Proxy Statement and our 2021 Annual Report on Form 10-K (including any amendments thereto) over the internet, how to request a free paper copy of these materials and how to vote via the internet. We will mail the Notice of Internet Availability of Proxy Materials on or about March 16, 2022. The Notice of Internet Availability of Proxy Materials is not a proxy card and cannot be used to vote your shares.</w:t>
      </w:r>
    </w:p>
    <w:p>
      <w:pPr>
        <w:spacing w:after="0" w:line="207"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In addition, if you are voting online, you will be prompted to consent to receiving proxy materials electronically in future years. Choosing to receive your future proxy materials electronically will save us the cost of printing and mailing documents to you and will reduce the impact of our annual meetings of shareholders on the environment. If you choose to receive future proxy materials electronically, you will receive an email next year with instructions containing a link to those materials and a link to the proxy voting site. Your election to receive proxy materials electronically will remain in effect until you terminate it. See “How do I sign up for electronic delivery of proxy materials?” below for further information on electing to receive proxy materials electronically.</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is the difference between holding shares as a “record holder” and as a beneficial owner of shares held in “street name”?</w:t>
      </w:r>
    </w:p>
    <w:p>
      <w:pPr>
        <w:spacing w:after="0" w:line="222"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i w:val="1"/>
          <w:iCs w:val="1"/>
          <w:color w:val="auto"/>
        </w:rPr>
        <w:t>Record Holder</w:t>
      </w:r>
      <w:r>
        <w:rPr>
          <w:rFonts w:ascii="Arial" w:cs="Arial" w:eastAsia="Arial" w:hAnsi="Arial"/>
          <w:sz w:val="16"/>
          <w:szCs w:val="16"/>
          <w:color w:val="auto"/>
        </w:rPr>
        <w:t>. If your shares are registered directly in your name with MSCI’s transfer agent, Broadridge Corporate Issuer Solutions, Inc. (including its</w:t>
      </w:r>
      <w:r>
        <w:rPr>
          <w:rFonts w:ascii="Arial" w:cs="Arial" w:eastAsia="Arial" w:hAnsi="Arial"/>
          <w:sz w:val="16"/>
          <w:szCs w:val="16"/>
          <w:i w:val="1"/>
          <w:iCs w:val="1"/>
          <w:color w:val="auto"/>
        </w:rPr>
        <w:t xml:space="preserve"> </w:t>
      </w:r>
      <w:r>
        <w:rPr>
          <w:rFonts w:ascii="Arial" w:cs="Arial" w:eastAsia="Arial" w:hAnsi="Arial"/>
          <w:sz w:val="16"/>
          <w:szCs w:val="16"/>
          <w:color w:val="auto"/>
        </w:rPr>
        <w:t>affiliates, “Broadridge”), you are considered a “record holder” with respect to those shares, and the Notice of Internet Availability of Proxy Materials will be sent directly to you.</w:t>
      </w:r>
    </w:p>
    <w:p>
      <w:pPr>
        <w:spacing w:after="0" w:line="176" w:lineRule="exact"/>
        <w:rPr>
          <w:sz w:val="20"/>
          <w:szCs w:val="20"/>
          <w:color w:val="auto"/>
        </w:rPr>
      </w:pPr>
    </w:p>
    <w:p>
      <w:pPr>
        <w:spacing w:after="0" w:line="251" w:lineRule="auto"/>
        <w:rPr>
          <w:sz w:val="20"/>
          <w:szCs w:val="20"/>
          <w:color w:val="auto"/>
        </w:rPr>
      </w:pPr>
      <w:r>
        <w:rPr>
          <w:rFonts w:ascii="Arial" w:cs="Arial" w:eastAsia="Arial" w:hAnsi="Arial"/>
          <w:sz w:val="16"/>
          <w:szCs w:val="16"/>
          <w:i w:val="1"/>
          <w:iCs w:val="1"/>
          <w:color w:val="auto"/>
        </w:rPr>
        <w:t xml:space="preserve">Beneficial Owner of Shares Held in Street Name. </w:t>
      </w:r>
      <w:r>
        <w:rPr>
          <w:rFonts w:ascii="Arial" w:cs="Arial" w:eastAsia="Arial" w:hAnsi="Arial"/>
          <w:sz w:val="16"/>
          <w:szCs w:val="16"/>
          <w:color w:val="auto"/>
        </w:rPr>
        <w:t>If your shares are held in an account with a brokerage firm, bank, broker dealer, or other intermediary, then</w:t>
      </w:r>
      <w:r>
        <w:rPr>
          <w:rFonts w:ascii="Arial" w:cs="Arial" w:eastAsia="Arial" w:hAnsi="Arial"/>
          <w:sz w:val="16"/>
          <w:szCs w:val="16"/>
          <w:i w:val="1"/>
          <w:iCs w:val="1"/>
          <w:color w:val="auto"/>
        </w:rPr>
        <w:t xml:space="preserve"> </w:t>
      </w:r>
      <w:r>
        <w:rPr>
          <w:rFonts w:ascii="Arial" w:cs="Arial" w:eastAsia="Arial" w:hAnsi="Arial"/>
          <w:sz w:val="16"/>
          <w:szCs w:val="16"/>
          <w:color w:val="auto"/>
        </w:rPr>
        <w:t>you are considered a beneficial owner of shares held in “street name,” and the Notice of Internet Availability of Proxy Materials and other proxy materials will be forwarded to you by that intermediary. As a beneficial owner of shares held in “street name,” you have the right to direct that intermediary on how to vote the shares held in your account by following their instructions for voting and using their forms. If you do not provide your brokerage firm, bank, broker dealer or other intermediary with instructions on how to vote your shares, such intermediary or intermediary nominee will be able to vote your shares only with respect to the proposal related to the ratification of the appointment of PricewaterhouseCoopers LLP as our independent auditor for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123825</wp:posOffset>
            </wp:positionV>
            <wp:extent cx="7154545" cy="209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00" w:type="dxa"/>
            <w:vAlign w:val="bottom"/>
            <w:tcBorders>
              <w:right w:val="single" w:sz="8" w:color="16479F"/>
            </w:tcBorders>
          </w:tcPr>
          <w:p>
            <w:pPr>
              <w:jc w:val="right"/>
              <w:ind w:right="289"/>
              <w:spacing w:after="0"/>
              <w:rPr>
                <w:sz w:val="20"/>
                <w:szCs w:val="20"/>
                <w:color w:val="auto"/>
              </w:rPr>
            </w:pPr>
            <w:r>
              <w:rPr>
                <w:rFonts w:ascii="Arial" w:cs="Arial" w:eastAsia="Arial" w:hAnsi="Arial"/>
                <w:sz w:val="14"/>
                <w:szCs w:val="14"/>
                <w:b w:val="1"/>
                <w:bCs w:val="1"/>
                <w:color w:val="16479F"/>
              </w:rPr>
              <w:t>106</w:t>
            </w:r>
          </w:p>
        </w:tc>
        <w:tc>
          <w:tcPr>
            <w:tcW w:w="10540" w:type="dxa"/>
            <w:vAlign w:val="bottom"/>
          </w:tcPr>
          <w:p>
            <w:pPr>
              <w:ind w:left="100"/>
              <w:spacing w:after="0"/>
              <w:rPr>
                <w:sz w:val="20"/>
                <w:szCs w:val="20"/>
                <w:color w:val="auto"/>
              </w:rPr>
            </w:pPr>
            <w:r>
              <w:rPr>
                <w:rFonts w:ascii="Arial" w:cs="Arial" w:eastAsia="Arial" w:hAnsi="Arial"/>
                <w:sz w:val="14"/>
                <w:szCs w:val="14"/>
                <w:b w:val="1"/>
                <w:bCs w:val="1"/>
                <w:color w:val="16479F"/>
              </w:rPr>
              <w:t>MSCI  |  ANNEX A: FREQUENTLY ASKED QUESTIONS</w:t>
            </w:r>
          </w:p>
        </w:tc>
      </w:tr>
      <w:tr>
        <w:trPr>
          <w:trHeight w:val="65"/>
        </w:trPr>
        <w:tc>
          <w:tcPr>
            <w:tcW w:w="700" w:type="dxa"/>
            <w:vAlign w:val="bottom"/>
            <w:tcBorders>
              <w:bottom w:val="single" w:sz="8" w:color="16479F"/>
              <w:right w:val="single" w:sz="8" w:color="16479F"/>
            </w:tcBorders>
          </w:tcPr>
          <w:p>
            <w:pPr>
              <w:spacing w:after="0"/>
              <w:rPr>
                <w:sz w:val="5"/>
                <w:szCs w:val="5"/>
                <w:color w:val="auto"/>
              </w:rPr>
            </w:pPr>
          </w:p>
        </w:tc>
        <w:tc>
          <w:tcPr>
            <w:tcW w:w="10540" w:type="dxa"/>
            <w:vAlign w:val="bottom"/>
            <w:tcBorders>
              <w:bottom w:val="single" w:sz="8" w:color="16479F"/>
            </w:tcBorders>
          </w:tcPr>
          <w:p>
            <w:pPr>
              <w:spacing w:after="0"/>
              <w:rPr>
                <w:sz w:val="5"/>
                <w:szCs w:val="5"/>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do I vote my shares?</w:t>
      </w:r>
    </w:p>
    <w:p>
      <w:pPr>
        <w:spacing w:after="0" w:line="238"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You may direct your vote by internet, telephone or mail. Your vote must be received by the deadline specified on the proxy card or voting instruction form, as applicable.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3200" w:type="dxa"/>
            <w:vAlign w:val="bottom"/>
          </w:tcPr>
          <w:p>
            <w:pPr>
              <w:ind w:left="180"/>
              <w:spacing w:after="0"/>
              <w:rPr>
                <w:sz w:val="20"/>
                <w:szCs w:val="20"/>
                <w:color w:val="auto"/>
              </w:rPr>
            </w:pPr>
            <w:r>
              <w:rPr>
                <w:rFonts w:ascii="Arial" w:cs="Arial" w:eastAsia="Arial" w:hAnsi="Arial"/>
                <w:sz w:val="14"/>
                <w:szCs w:val="14"/>
                <w:b w:val="1"/>
                <w:bCs w:val="1"/>
                <w:color w:val="auto"/>
              </w:rPr>
              <w:t>If You are a Beneficial Holder of</w:t>
            </w:r>
          </w:p>
        </w:tc>
      </w:tr>
      <w:tr>
        <w:trPr>
          <w:trHeight w:val="174"/>
        </w:trPr>
        <w:tc>
          <w:tcPr>
            <w:tcW w:w="2320" w:type="dxa"/>
            <w:vAlign w:val="bottom"/>
            <w:tcBorders>
              <w:bottom w:val="single" w:sz="8" w:color="16479F"/>
            </w:tcBorders>
          </w:tcPr>
          <w:p>
            <w:pPr>
              <w:spacing w:after="0"/>
              <w:rPr>
                <w:sz w:val="15"/>
                <w:szCs w:val="15"/>
                <w:color w:val="auto"/>
              </w:rPr>
            </w:pPr>
          </w:p>
        </w:tc>
        <w:tc>
          <w:tcPr>
            <w:tcW w:w="5720" w:type="dxa"/>
            <w:vAlign w:val="bottom"/>
            <w:tcBorders>
              <w:bottom w:val="single" w:sz="8" w:color="16479F"/>
            </w:tcBorders>
          </w:tcPr>
          <w:p>
            <w:pPr>
              <w:ind w:left="280"/>
              <w:spacing w:after="0"/>
              <w:rPr>
                <w:sz w:val="20"/>
                <w:szCs w:val="20"/>
                <w:color w:val="auto"/>
              </w:rPr>
            </w:pPr>
            <w:r>
              <w:rPr>
                <w:rFonts w:ascii="Arial" w:cs="Arial" w:eastAsia="Arial" w:hAnsi="Arial"/>
                <w:sz w:val="14"/>
                <w:szCs w:val="14"/>
                <w:b w:val="1"/>
                <w:bCs w:val="1"/>
                <w:color w:val="auto"/>
              </w:rPr>
              <w:t>If You are a Shareholder of Record</w:t>
            </w:r>
          </w:p>
        </w:tc>
        <w:tc>
          <w:tcPr>
            <w:tcW w:w="3200" w:type="dxa"/>
            <w:vAlign w:val="bottom"/>
            <w:tcBorders>
              <w:bottom w:val="single" w:sz="8" w:color="16479F"/>
            </w:tcBorders>
          </w:tcPr>
          <w:p>
            <w:pPr>
              <w:ind w:left="180"/>
              <w:spacing w:after="0"/>
              <w:rPr>
                <w:sz w:val="20"/>
                <w:szCs w:val="20"/>
                <w:color w:val="auto"/>
              </w:rPr>
            </w:pPr>
            <w:r>
              <w:rPr>
                <w:rFonts w:ascii="Arial" w:cs="Arial" w:eastAsia="Arial" w:hAnsi="Arial"/>
                <w:sz w:val="14"/>
                <w:szCs w:val="14"/>
                <w:b w:val="1"/>
                <w:bCs w:val="1"/>
                <w:color w:val="auto"/>
              </w:rPr>
              <w:t>Shares Held in “Street Name”</w:t>
            </w:r>
          </w:p>
        </w:tc>
      </w:tr>
      <w:tr>
        <w:trPr>
          <w:trHeight w:val="209"/>
        </w:trPr>
        <w:tc>
          <w:tcPr>
            <w:tcW w:w="2320" w:type="dxa"/>
            <w:vAlign w:val="bottom"/>
            <w:shd w:val="clear" w:color="auto" w:fill="F0F1F8"/>
          </w:tcPr>
          <w:p>
            <w:pPr>
              <w:spacing w:after="0"/>
              <w:rPr>
                <w:sz w:val="20"/>
                <w:szCs w:val="20"/>
                <w:color w:val="auto"/>
              </w:rPr>
            </w:pPr>
            <w:r>
              <w:rPr>
                <w:rFonts w:ascii="Arial" w:cs="Arial" w:eastAsia="Arial" w:hAnsi="Arial"/>
                <w:sz w:val="16"/>
                <w:szCs w:val="16"/>
                <w:color w:val="auto"/>
              </w:rPr>
              <w:t xml:space="preserve">By Internet </w:t>
            </w:r>
            <w:r>
              <w:rPr>
                <w:rFonts w:ascii="Arial" w:cs="Arial" w:eastAsia="Arial" w:hAnsi="Arial"/>
                <w:sz w:val="16"/>
                <w:szCs w:val="16"/>
                <w:i w:val="1"/>
                <w:iCs w:val="1"/>
                <w:color w:val="auto"/>
              </w:rPr>
              <w:t>Prior to</w:t>
            </w:r>
            <w:r>
              <w:rPr>
                <w:rFonts w:ascii="Arial" w:cs="Arial" w:eastAsia="Arial" w:hAnsi="Arial"/>
                <w:sz w:val="16"/>
                <w:szCs w:val="16"/>
                <w:color w:val="auto"/>
              </w:rPr>
              <w:t xml:space="preserve"> the 2022</w:t>
            </w:r>
          </w:p>
        </w:tc>
        <w:tc>
          <w:tcPr>
            <w:tcW w:w="5720" w:type="dxa"/>
            <w:vAlign w:val="bottom"/>
            <w:shd w:val="clear" w:color="auto" w:fill="F0F1F8"/>
          </w:tcPr>
          <w:p>
            <w:pPr>
              <w:ind w:left="280"/>
              <w:spacing w:after="0"/>
              <w:rPr>
                <w:sz w:val="20"/>
                <w:szCs w:val="20"/>
                <w:color w:val="auto"/>
              </w:rPr>
            </w:pPr>
            <w:r>
              <w:rPr>
                <w:rFonts w:ascii="Arial" w:cs="Arial" w:eastAsia="Arial" w:hAnsi="Arial"/>
                <w:sz w:val="16"/>
                <w:szCs w:val="16"/>
                <w:i w:val="1"/>
                <w:iCs w:val="1"/>
                <w:color w:val="00B5AA"/>
              </w:rPr>
              <w:t>www.proxyvote.com</w:t>
            </w:r>
          </w:p>
        </w:tc>
        <w:tc>
          <w:tcPr>
            <w:tcW w:w="3200" w:type="dxa"/>
            <w:vAlign w:val="bottom"/>
            <w:shd w:val="clear" w:color="auto" w:fill="F0F1F8"/>
          </w:tcPr>
          <w:p>
            <w:pPr>
              <w:ind w:left="180"/>
              <w:spacing w:after="0"/>
              <w:rPr>
                <w:sz w:val="20"/>
                <w:szCs w:val="20"/>
                <w:color w:val="auto"/>
              </w:rPr>
            </w:pPr>
            <w:r>
              <w:rPr>
                <w:rFonts w:ascii="Arial" w:cs="Arial" w:eastAsia="Arial" w:hAnsi="Arial"/>
                <w:sz w:val="16"/>
                <w:szCs w:val="16"/>
                <w:i w:val="1"/>
                <w:iCs w:val="1"/>
                <w:color w:val="00B5AA"/>
              </w:rPr>
              <w:t>www.proxyvote.com</w:t>
            </w:r>
          </w:p>
        </w:tc>
      </w:tr>
      <w:tr>
        <w:trPr>
          <w:trHeight w:val="187"/>
        </w:trPr>
        <w:tc>
          <w:tcPr>
            <w:tcW w:w="2320" w:type="dxa"/>
            <w:vAlign w:val="bottom"/>
            <w:shd w:val="clear" w:color="auto" w:fill="F0F1F8"/>
          </w:tcPr>
          <w:p>
            <w:pPr>
              <w:spacing w:after="0"/>
              <w:rPr>
                <w:sz w:val="20"/>
                <w:szCs w:val="20"/>
                <w:color w:val="auto"/>
              </w:rPr>
            </w:pPr>
            <w:r>
              <w:rPr>
                <w:rFonts w:ascii="Arial" w:cs="Arial" w:eastAsia="Arial" w:hAnsi="Arial"/>
                <w:sz w:val="16"/>
                <w:szCs w:val="16"/>
                <w:color w:val="auto"/>
              </w:rPr>
              <w:t>Annual Meeting*</w:t>
            </w:r>
          </w:p>
        </w:tc>
        <w:tc>
          <w:tcPr>
            <w:tcW w:w="5720" w:type="dxa"/>
            <w:vAlign w:val="bottom"/>
            <w:shd w:val="clear" w:color="auto" w:fill="F0F1F8"/>
          </w:tcPr>
          <w:p>
            <w:pPr>
              <w:spacing w:after="0"/>
              <w:rPr>
                <w:sz w:val="16"/>
                <w:szCs w:val="16"/>
                <w:color w:val="auto"/>
              </w:rPr>
            </w:pPr>
          </w:p>
        </w:tc>
        <w:tc>
          <w:tcPr>
            <w:tcW w:w="3200" w:type="dxa"/>
            <w:vAlign w:val="bottom"/>
            <w:shd w:val="clear" w:color="auto" w:fill="F0F1F8"/>
          </w:tcPr>
          <w:p>
            <w:pPr>
              <w:spacing w:after="0"/>
              <w:rPr>
                <w:sz w:val="16"/>
                <w:szCs w:val="16"/>
                <w:color w:val="auto"/>
              </w:rPr>
            </w:pPr>
          </w:p>
        </w:tc>
      </w:tr>
      <w:tr>
        <w:trPr>
          <w:trHeight w:val="187"/>
        </w:trPr>
        <w:tc>
          <w:tcPr>
            <w:tcW w:w="2320" w:type="dxa"/>
            <w:vAlign w:val="bottom"/>
            <w:shd w:val="clear" w:color="auto" w:fill="F0F1F8"/>
          </w:tcPr>
          <w:p>
            <w:pPr>
              <w:spacing w:after="0"/>
              <w:rPr>
                <w:sz w:val="20"/>
                <w:szCs w:val="20"/>
                <w:color w:val="auto"/>
              </w:rPr>
            </w:pPr>
            <w:r>
              <w:rPr>
                <w:rFonts w:ascii="Arial" w:cs="Arial" w:eastAsia="Arial" w:hAnsi="Arial"/>
                <w:sz w:val="16"/>
                <w:szCs w:val="16"/>
                <w:color w:val="auto"/>
              </w:rPr>
              <w:t>(24 hours a day):</w:t>
            </w:r>
          </w:p>
        </w:tc>
        <w:tc>
          <w:tcPr>
            <w:tcW w:w="5720" w:type="dxa"/>
            <w:vAlign w:val="bottom"/>
            <w:shd w:val="clear" w:color="auto" w:fill="F0F1F8"/>
          </w:tcPr>
          <w:p>
            <w:pPr>
              <w:ind w:left="280"/>
              <w:spacing w:after="0"/>
              <w:rPr>
                <w:sz w:val="20"/>
                <w:szCs w:val="20"/>
                <w:color w:val="auto"/>
              </w:rPr>
            </w:pPr>
            <w:r>
              <w:rPr>
                <w:rFonts w:ascii="Arial" w:cs="Arial" w:eastAsia="Arial" w:hAnsi="Arial"/>
                <w:sz w:val="16"/>
                <w:szCs w:val="16"/>
                <w:color w:val="auto"/>
              </w:rPr>
              <w:t>Use the internet to transmit your voting instructions and for electronic</w:t>
            </w:r>
          </w:p>
        </w:tc>
        <w:tc>
          <w:tcPr>
            <w:tcW w:w="3200" w:type="dxa"/>
            <w:vAlign w:val="bottom"/>
            <w:shd w:val="clear" w:color="auto" w:fill="F0F1F8"/>
          </w:tcPr>
          <w:p>
            <w:pPr>
              <w:spacing w:after="0"/>
              <w:rPr>
                <w:sz w:val="16"/>
                <w:szCs w:val="16"/>
                <w:color w:val="auto"/>
              </w:rPr>
            </w:pPr>
          </w:p>
        </w:tc>
      </w:tr>
      <w:tr>
        <w:trPr>
          <w:trHeight w:val="187"/>
        </w:trPr>
        <w:tc>
          <w:tcPr>
            <w:tcW w:w="2320" w:type="dxa"/>
            <w:vAlign w:val="bottom"/>
            <w:shd w:val="clear" w:color="auto" w:fill="F0F1F8"/>
          </w:tcPr>
          <w:p>
            <w:pPr>
              <w:spacing w:after="0"/>
              <w:rPr>
                <w:sz w:val="16"/>
                <w:szCs w:val="16"/>
                <w:color w:val="auto"/>
              </w:rPr>
            </w:pPr>
          </w:p>
        </w:tc>
        <w:tc>
          <w:tcPr>
            <w:tcW w:w="5720" w:type="dxa"/>
            <w:vAlign w:val="bottom"/>
            <w:shd w:val="clear" w:color="auto" w:fill="F0F1F8"/>
          </w:tcPr>
          <w:p>
            <w:pPr>
              <w:ind w:left="280"/>
              <w:spacing w:after="0"/>
              <w:rPr>
                <w:sz w:val="20"/>
                <w:szCs w:val="20"/>
                <w:color w:val="auto"/>
              </w:rPr>
            </w:pPr>
            <w:r>
              <w:rPr>
                <w:rFonts w:ascii="Arial" w:cs="Arial" w:eastAsia="Arial" w:hAnsi="Arial"/>
                <w:sz w:val="16"/>
                <w:szCs w:val="16"/>
                <w:color w:val="auto"/>
              </w:rPr>
              <w:t>delivery of information up until 11:59 P.M. Eastern Time on April 25, 2022.</w:t>
            </w:r>
          </w:p>
        </w:tc>
        <w:tc>
          <w:tcPr>
            <w:tcW w:w="3200" w:type="dxa"/>
            <w:vAlign w:val="bottom"/>
            <w:shd w:val="clear" w:color="auto" w:fill="F0F1F8"/>
          </w:tcPr>
          <w:p>
            <w:pPr>
              <w:spacing w:after="0"/>
              <w:rPr>
                <w:sz w:val="16"/>
                <w:szCs w:val="16"/>
                <w:color w:val="auto"/>
              </w:rPr>
            </w:pPr>
          </w:p>
        </w:tc>
      </w:tr>
      <w:tr>
        <w:trPr>
          <w:trHeight w:val="187"/>
        </w:trPr>
        <w:tc>
          <w:tcPr>
            <w:tcW w:w="2320" w:type="dxa"/>
            <w:vAlign w:val="bottom"/>
            <w:shd w:val="clear" w:color="auto" w:fill="F0F1F8"/>
          </w:tcPr>
          <w:p>
            <w:pPr>
              <w:spacing w:after="0"/>
              <w:rPr>
                <w:sz w:val="16"/>
                <w:szCs w:val="16"/>
                <w:color w:val="auto"/>
              </w:rPr>
            </w:pPr>
          </w:p>
        </w:tc>
        <w:tc>
          <w:tcPr>
            <w:tcW w:w="5720" w:type="dxa"/>
            <w:vAlign w:val="bottom"/>
            <w:shd w:val="clear" w:color="auto" w:fill="F0F1F8"/>
          </w:tcPr>
          <w:p>
            <w:pPr>
              <w:ind w:left="280"/>
              <w:spacing w:after="0"/>
              <w:rPr>
                <w:sz w:val="20"/>
                <w:szCs w:val="20"/>
                <w:color w:val="auto"/>
              </w:rPr>
            </w:pPr>
            <w:r>
              <w:rPr>
                <w:rFonts w:ascii="Arial" w:cs="Arial" w:eastAsia="Arial" w:hAnsi="Arial"/>
                <w:sz w:val="16"/>
                <w:szCs w:val="16"/>
                <w:color w:val="auto"/>
              </w:rPr>
              <w:t>Have your proxy card in hand when you access the website and follow the</w:t>
            </w:r>
          </w:p>
        </w:tc>
        <w:tc>
          <w:tcPr>
            <w:tcW w:w="3200" w:type="dxa"/>
            <w:vAlign w:val="bottom"/>
            <w:shd w:val="clear" w:color="auto" w:fill="F0F1F8"/>
          </w:tcPr>
          <w:p>
            <w:pPr>
              <w:spacing w:after="0"/>
              <w:rPr>
                <w:sz w:val="16"/>
                <w:szCs w:val="16"/>
                <w:color w:val="auto"/>
              </w:rPr>
            </w:pPr>
          </w:p>
        </w:tc>
      </w:tr>
      <w:tr>
        <w:trPr>
          <w:trHeight w:val="187"/>
        </w:trPr>
        <w:tc>
          <w:tcPr>
            <w:tcW w:w="2320" w:type="dxa"/>
            <w:vAlign w:val="bottom"/>
            <w:shd w:val="clear" w:color="auto" w:fill="F0F1F8"/>
          </w:tcPr>
          <w:p>
            <w:pPr>
              <w:spacing w:after="0"/>
              <w:rPr>
                <w:sz w:val="16"/>
                <w:szCs w:val="16"/>
                <w:color w:val="auto"/>
              </w:rPr>
            </w:pPr>
          </w:p>
        </w:tc>
        <w:tc>
          <w:tcPr>
            <w:tcW w:w="5720" w:type="dxa"/>
            <w:vAlign w:val="bottom"/>
            <w:shd w:val="clear" w:color="auto" w:fill="F0F1F8"/>
          </w:tcPr>
          <w:p>
            <w:pPr>
              <w:ind w:left="280"/>
              <w:spacing w:after="0"/>
              <w:rPr>
                <w:sz w:val="20"/>
                <w:szCs w:val="20"/>
                <w:color w:val="auto"/>
              </w:rPr>
            </w:pPr>
            <w:r>
              <w:rPr>
                <w:rFonts w:ascii="Arial" w:cs="Arial" w:eastAsia="Arial" w:hAnsi="Arial"/>
                <w:sz w:val="16"/>
                <w:szCs w:val="16"/>
                <w:color w:val="auto"/>
              </w:rPr>
              <w:t>instructions to obtain your records and to create an electronic voting</w:t>
            </w:r>
          </w:p>
        </w:tc>
        <w:tc>
          <w:tcPr>
            <w:tcW w:w="3200" w:type="dxa"/>
            <w:vAlign w:val="bottom"/>
            <w:shd w:val="clear" w:color="auto" w:fill="F0F1F8"/>
          </w:tcPr>
          <w:p>
            <w:pPr>
              <w:spacing w:after="0"/>
              <w:rPr>
                <w:sz w:val="16"/>
                <w:szCs w:val="16"/>
                <w:color w:val="auto"/>
              </w:rPr>
            </w:pPr>
          </w:p>
        </w:tc>
      </w:tr>
      <w:tr>
        <w:trPr>
          <w:trHeight w:val="212"/>
        </w:trPr>
        <w:tc>
          <w:tcPr>
            <w:tcW w:w="2320" w:type="dxa"/>
            <w:vAlign w:val="bottom"/>
            <w:shd w:val="clear" w:color="auto" w:fill="F0F1F8"/>
          </w:tcPr>
          <w:p>
            <w:pPr>
              <w:spacing w:after="0"/>
              <w:rPr>
                <w:sz w:val="18"/>
                <w:szCs w:val="18"/>
                <w:color w:val="auto"/>
              </w:rPr>
            </w:pPr>
          </w:p>
        </w:tc>
        <w:tc>
          <w:tcPr>
            <w:tcW w:w="5720" w:type="dxa"/>
            <w:vAlign w:val="bottom"/>
            <w:shd w:val="clear" w:color="auto" w:fill="F0F1F8"/>
          </w:tcPr>
          <w:p>
            <w:pPr>
              <w:ind w:left="280"/>
              <w:spacing w:after="0"/>
              <w:rPr>
                <w:sz w:val="20"/>
                <w:szCs w:val="20"/>
                <w:color w:val="auto"/>
              </w:rPr>
            </w:pPr>
            <w:r>
              <w:rPr>
                <w:rFonts w:ascii="Arial" w:cs="Arial" w:eastAsia="Arial" w:hAnsi="Arial"/>
                <w:sz w:val="16"/>
                <w:szCs w:val="16"/>
                <w:color w:val="auto"/>
              </w:rPr>
              <w:t>instruction form.</w:t>
            </w:r>
          </w:p>
        </w:tc>
        <w:tc>
          <w:tcPr>
            <w:tcW w:w="3200" w:type="dxa"/>
            <w:vAlign w:val="bottom"/>
            <w:shd w:val="clear" w:color="auto" w:fill="F0F1F8"/>
          </w:tcPr>
          <w:p>
            <w:pPr>
              <w:spacing w:after="0"/>
              <w:rPr>
                <w:sz w:val="18"/>
                <w:szCs w:val="18"/>
                <w:color w:val="auto"/>
              </w:rPr>
            </w:pPr>
          </w:p>
        </w:tc>
      </w:tr>
      <w:tr>
        <w:trPr>
          <w:trHeight w:val="200"/>
        </w:trPr>
        <w:tc>
          <w:tcPr>
            <w:tcW w:w="2320" w:type="dxa"/>
            <w:vAlign w:val="bottom"/>
          </w:tcPr>
          <w:p>
            <w:pPr>
              <w:spacing w:after="0"/>
              <w:rPr>
                <w:sz w:val="20"/>
                <w:szCs w:val="20"/>
                <w:color w:val="auto"/>
              </w:rPr>
            </w:pPr>
            <w:r>
              <w:rPr>
                <w:rFonts w:ascii="Arial" w:cs="Arial" w:eastAsia="Arial" w:hAnsi="Arial"/>
                <w:sz w:val="16"/>
                <w:szCs w:val="16"/>
                <w:color w:val="auto"/>
              </w:rPr>
              <w:t xml:space="preserve">By Internet </w:t>
            </w:r>
            <w:r>
              <w:rPr>
                <w:rFonts w:ascii="Arial" w:cs="Arial" w:eastAsia="Arial" w:hAnsi="Arial"/>
                <w:sz w:val="16"/>
                <w:szCs w:val="16"/>
                <w:i w:val="1"/>
                <w:iCs w:val="1"/>
                <w:color w:val="auto"/>
              </w:rPr>
              <w:t>During</w:t>
            </w:r>
            <w:r>
              <w:rPr>
                <w:rFonts w:ascii="Arial" w:cs="Arial" w:eastAsia="Arial" w:hAnsi="Arial"/>
                <w:sz w:val="16"/>
                <w:szCs w:val="16"/>
                <w:color w:val="auto"/>
              </w:rPr>
              <w:t xml:space="preserve"> the 2022</w:t>
            </w:r>
          </w:p>
        </w:tc>
        <w:tc>
          <w:tcPr>
            <w:tcW w:w="5720" w:type="dxa"/>
            <w:vAlign w:val="bottom"/>
          </w:tcPr>
          <w:p>
            <w:pPr>
              <w:ind w:left="280"/>
              <w:spacing w:after="0"/>
              <w:rPr>
                <w:sz w:val="20"/>
                <w:szCs w:val="20"/>
                <w:color w:val="auto"/>
              </w:rPr>
            </w:pPr>
            <w:r>
              <w:rPr>
                <w:rFonts w:ascii="Arial" w:cs="Arial" w:eastAsia="Arial" w:hAnsi="Arial"/>
                <w:sz w:val="16"/>
                <w:szCs w:val="16"/>
                <w:i w:val="1"/>
                <w:iCs w:val="1"/>
                <w:color w:val="00B5AA"/>
              </w:rPr>
              <w:t>www.virtualshareholdermeeting.com/MSCI2022</w:t>
            </w:r>
          </w:p>
        </w:tc>
        <w:tc>
          <w:tcPr>
            <w:tcW w:w="3200" w:type="dxa"/>
            <w:vAlign w:val="bottom"/>
          </w:tcPr>
          <w:p>
            <w:pPr>
              <w:ind w:left="180"/>
              <w:spacing w:after="0"/>
              <w:rPr>
                <w:sz w:val="20"/>
                <w:szCs w:val="20"/>
                <w:color w:val="auto"/>
              </w:rPr>
            </w:pPr>
            <w:r>
              <w:rPr>
                <w:rFonts w:ascii="Arial" w:cs="Arial" w:eastAsia="Arial" w:hAnsi="Arial"/>
                <w:sz w:val="16"/>
                <w:szCs w:val="16"/>
                <w:i w:val="1"/>
                <w:iCs w:val="1"/>
                <w:color w:val="00B5AA"/>
              </w:rPr>
              <w:t>www.virtualshareholdermeeting.</w:t>
            </w:r>
          </w:p>
        </w:tc>
      </w:tr>
      <w:tr>
        <w:trPr>
          <w:trHeight w:val="203"/>
        </w:trPr>
        <w:tc>
          <w:tcPr>
            <w:tcW w:w="2320" w:type="dxa"/>
            <w:vAlign w:val="bottom"/>
          </w:tcPr>
          <w:p>
            <w:pPr>
              <w:spacing w:after="0"/>
              <w:rPr>
                <w:sz w:val="20"/>
                <w:szCs w:val="20"/>
                <w:color w:val="auto"/>
              </w:rPr>
            </w:pPr>
            <w:r>
              <w:rPr>
                <w:rFonts w:ascii="Arial" w:cs="Arial" w:eastAsia="Arial" w:hAnsi="Arial"/>
                <w:sz w:val="16"/>
                <w:szCs w:val="16"/>
                <w:color w:val="auto"/>
              </w:rPr>
              <w:t>Annual Meeting*</w:t>
            </w:r>
          </w:p>
        </w:tc>
        <w:tc>
          <w:tcPr>
            <w:tcW w:w="5720" w:type="dxa"/>
            <w:vAlign w:val="bottom"/>
          </w:tcPr>
          <w:p>
            <w:pPr>
              <w:spacing w:after="0"/>
              <w:rPr>
                <w:sz w:val="17"/>
                <w:szCs w:val="17"/>
                <w:color w:val="auto"/>
              </w:rPr>
            </w:pPr>
          </w:p>
        </w:tc>
        <w:tc>
          <w:tcPr>
            <w:tcW w:w="3200" w:type="dxa"/>
            <w:vAlign w:val="bottom"/>
          </w:tcPr>
          <w:p>
            <w:pPr>
              <w:ind w:left="180"/>
              <w:spacing w:after="0"/>
              <w:rPr>
                <w:sz w:val="20"/>
                <w:szCs w:val="20"/>
                <w:color w:val="auto"/>
              </w:rPr>
            </w:pPr>
            <w:r>
              <w:rPr>
                <w:rFonts w:ascii="Arial" w:cs="Arial" w:eastAsia="Arial" w:hAnsi="Arial"/>
                <w:sz w:val="16"/>
                <w:szCs w:val="16"/>
                <w:i w:val="1"/>
                <w:iCs w:val="1"/>
                <w:color w:val="00B5AA"/>
              </w:rPr>
              <w:t>com/MSCI2022</w:t>
            </w:r>
          </w:p>
        </w:tc>
      </w:tr>
      <w:tr>
        <w:trPr>
          <w:trHeight w:val="187"/>
        </w:trPr>
        <w:tc>
          <w:tcPr>
            <w:tcW w:w="2320" w:type="dxa"/>
            <w:vAlign w:val="bottom"/>
          </w:tcPr>
          <w:p>
            <w:pPr>
              <w:spacing w:after="0"/>
              <w:rPr>
                <w:sz w:val="20"/>
                <w:szCs w:val="20"/>
                <w:color w:val="auto"/>
              </w:rPr>
            </w:pPr>
            <w:r>
              <w:rPr>
                <w:rFonts w:ascii="Arial" w:cs="Arial" w:eastAsia="Arial" w:hAnsi="Arial"/>
                <w:sz w:val="16"/>
                <w:szCs w:val="16"/>
                <w:color w:val="auto"/>
              </w:rPr>
              <w:t>(24 hours a day):</w:t>
            </w:r>
          </w:p>
        </w:tc>
        <w:tc>
          <w:tcPr>
            <w:tcW w:w="5720" w:type="dxa"/>
            <w:vAlign w:val="bottom"/>
          </w:tcPr>
          <w:p>
            <w:pPr>
              <w:ind w:left="280"/>
              <w:spacing w:after="0"/>
              <w:rPr>
                <w:sz w:val="20"/>
                <w:szCs w:val="20"/>
                <w:color w:val="auto"/>
              </w:rPr>
            </w:pPr>
            <w:r>
              <w:rPr>
                <w:rFonts w:ascii="Arial" w:cs="Arial" w:eastAsia="Arial" w:hAnsi="Arial"/>
                <w:sz w:val="16"/>
                <w:szCs w:val="16"/>
                <w:color w:val="auto"/>
              </w:rPr>
              <w:t>You may attend the meeting via the internet and vote during the meeting.</w:t>
            </w:r>
          </w:p>
        </w:tc>
        <w:tc>
          <w:tcPr>
            <w:tcW w:w="3200" w:type="dxa"/>
            <w:vAlign w:val="bottom"/>
          </w:tcPr>
          <w:p>
            <w:pPr>
              <w:spacing w:after="0"/>
              <w:rPr>
                <w:sz w:val="16"/>
                <w:szCs w:val="16"/>
                <w:color w:val="auto"/>
              </w:rPr>
            </w:pPr>
          </w:p>
        </w:tc>
      </w:tr>
      <w:tr>
        <w:trPr>
          <w:trHeight w:val="187"/>
        </w:trPr>
        <w:tc>
          <w:tcPr>
            <w:tcW w:w="2320" w:type="dxa"/>
            <w:vAlign w:val="bottom"/>
          </w:tcPr>
          <w:p>
            <w:pPr>
              <w:spacing w:after="0"/>
              <w:rPr>
                <w:sz w:val="16"/>
                <w:szCs w:val="16"/>
                <w:color w:val="auto"/>
              </w:rPr>
            </w:pPr>
          </w:p>
        </w:tc>
        <w:tc>
          <w:tcPr>
            <w:tcW w:w="5720" w:type="dxa"/>
            <w:vAlign w:val="bottom"/>
          </w:tcPr>
          <w:p>
            <w:pPr>
              <w:ind w:left="280"/>
              <w:spacing w:after="0"/>
              <w:rPr>
                <w:sz w:val="20"/>
                <w:szCs w:val="20"/>
                <w:color w:val="auto"/>
              </w:rPr>
            </w:pPr>
            <w:r>
              <w:rPr>
                <w:rFonts w:ascii="Arial" w:cs="Arial" w:eastAsia="Arial" w:hAnsi="Arial"/>
                <w:sz w:val="16"/>
                <w:szCs w:val="16"/>
                <w:color w:val="auto"/>
              </w:rPr>
              <w:t>Have your proxy card in hand when you access the website and follow the</w:t>
            </w:r>
          </w:p>
        </w:tc>
        <w:tc>
          <w:tcPr>
            <w:tcW w:w="3200" w:type="dxa"/>
            <w:vAlign w:val="bottom"/>
          </w:tcPr>
          <w:p>
            <w:pPr>
              <w:spacing w:after="0"/>
              <w:rPr>
                <w:sz w:val="16"/>
                <w:szCs w:val="16"/>
                <w:color w:val="auto"/>
              </w:rPr>
            </w:pPr>
          </w:p>
        </w:tc>
      </w:tr>
      <w:tr>
        <w:trPr>
          <w:trHeight w:val="203"/>
        </w:trPr>
        <w:tc>
          <w:tcPr>
            <w:tcW w:w="2320" w:type="dxa"/>
            <w:vAlign w:val="bottom"/>
          </w:tcPr>
          <w:p>
            <w:pPr>
              <w:spacing w:after="0"/>
              <w:rPr>
                <w:sz w:val="17"/>
                <w:szCs w:val="17"/>
                <w:color w:val="auto"/>
              </w:rPr>
            </w:pPr>
          </w:p>
        </w:tc>
        <w:tc>
          <w:tcPr>
            <w:tcW w:w="5720" w:type="dxa"/>
            <w:vAlign w:val="bottom"/>
          </w:tcPr>
          <w:p>
            <w:pPr>
              <w:ind w:left="280"/>
              <w:spacing w:after="0"/>
              <w:rPr>
                <w:sz w:val="20"/>
                <w:szCs w:val="20"/>
                <w:color w:val="auto"/>
              </w:rPr>
            </w:pPr>
            <w:r>
              <w:rPr>
                <w:rFonts w:ascii="Arial" w:cs="Arial" w:eastAsia="Arial" w:hAnsi="Arial"/>
                <w:sz w:val="16"/>
                <w:szCs w:val="16"/>
                <w:color w:val="auto"/>
              </w:rPr>
              <w:t>instructions.</w:t>
            </w:r>
          </w:p>
        </w:tc>
        <w:tc>
          <w:tcPr>
            <w:tcW w:w="3200" w:type="dxa"/>
            <w:vAlign w:val="bottom"/>
          </w:tcPr>
          <w:p>
            <w:pPr>
              <w:spacing w:after="0"/>
              <w:rPr>
                <w:sz w:val="17"/>
                <w:szCs w:val="17"/>
                <w:color w:val="auto"/>
              </w:rPr>
            </w:pPr>
          </w:p>
        </w:tc>
      </w:tr>
      <w:tr>
        <w:trPr>
          <w:trHeight w:val="226"/>
        </w:trPr>
        <w:tc>
          <w:tcPr>
            <w:tcW w:w="2320" w:type="dxa"/>
            <w:vAlign w:val="bottom"/>
            <w:shd w:val="clear" w:color="auto" w:fill="F0F1F8"/>
          </w:tcPr>
          <w:p>
            <w:pPr>
              <w:spacing w:after="0"/>
              <w:rPr>
                <w:sz w:val="20"/>
                <w:szCs w:val="20"/>
                <w:color w:val="auto"/>
              </w:rPr>
            </w:pPr>
            <w:r>
              <w:rPr>
                <w:rFonts w:ascii="Arial" w:cs="Arial" w:eastAsia="Arial" w:hAnsi="Arial"/>
                <w:sz w:val="16"/>
                <w:szCs w:val="16"/>
                <w:color w:val="auto"/>
              </w:rPr>
              <w:t>By Telephone*</w:t>
            </w:r>
          </w:p>
        </w:tc>
        <w:tc>
          <w:tcPr>
            <w:tcW w:w="5720" w:type="dxa"/>
            <w:vAlign w:val="bottom"/>
            <w:shd w:val="clear" w:color="auto" w:fill="F0F1F8"/>
          </w:tcPr>
          <w:p>
            <w:pPr>
              <w:ind w:left="280"/>
              <w:spacing w:after="0"/>
              <w:rPr>
                <w:sz w:val="20"/>
                <w:szCs w:val="20"/>
                <w:color w:val="auto"/>
              </w:rPr>
            </w:pPr>
            <w:r>
              <w:rPr>
                <w:rFonts w:ascii="Arial" w:cs="Arial" w:eastAsia="Arial" w:hAnsi="Arial"/>
                <w:sz w:val="16"/>
                <w:szCs w:val="16"/>
                <w:color w:val="auto"/>
              </w:rPr>
              <w:t>1-800-690-6903</w:t>
            </w:r>
          </w:p>
        </w:tc>
        <w:tc>
          <w:tcPr>
            <w:tcW w:w="3200" w:type="dxa"/>
            <w:vAlign w:val="bottom"/>
            <w:shd w:val="clear" w:color="auto" w:fill="F0F1F8"/>
          </w:tcPr>
          <w:p>
            <w:pPr>
              <w:ind w:left="180"/>
              <w:spacing w:after="0"/>
              <w:rPr>
                <w:sz w:val="20"/>
                <w:szCs w:val="20"/>
                <w:color w:val="auto"/>
              </w:rPr>
            </w:pPr>
            <w:r>
              <w:rPr>
                <w:rFonts w:ascii="Arial" w:cs="Arial" w:eastAsia="Arial" w:hAnsi="Arial"/>
                <w:sz w:val="16"/>
                <w:szCs w:val="16"/>
                <w:color w:val="auto"/>
              </w:rPr>
              <w:t>Follow the voting instructions you receive</w:t>
            </w:r>
          </w:p>
        </w:tc>
      </w:tr>
      <w:tr>
        <w:trPr>
          <w:trHeight w:val="187"/>
        </w:trPr>
        <w:tc>
          <w:tcPr>
            <w:tcW w:w="2320" w:type="dxa"/>
            <w:vAlign w:val="bottom"/>
            <w:shd w:val="clear" w:color="auto" w:fill="F0F1F8"/>
          </w:tcPr>
          <w:p>
            <w:pPr>
              <w:spacing w:after="0"/>
              <w:rPr>
                <w:sz w:val="20"/>
                <w:szCs w:val="20"/>
                <w:color w:val="auto"/>
              </w:rPr>
            </w:pPr>
            <w:r>
              <w:rPr>
                <w:rFonts w:ascii="Arial" w:cs="Arial" w:eastAsia="Arial" w:hAnsi="Arial"/>
                <w:sz w:val="16"/>
                <w:szCs w:val="16"/>
                <w:color w:val="auto"/>
              </w:rPr>
              <w:t>(24 hours a day):</w:t>
            </w:r>
          </w:p>
        </w:tc>
        <w:tc>
          <w:tcPr>
            <w:tcW w:w="5720" w:type="dxa"/>
            <w:vAlign w:val="bottom"/>
            <w:shd w:val="clear" w:color="auto" w:fill="F0F1F8"/>
          </w:tcPr>
          <w:p>
            <w:pPr>
              <w:spacing w:after="0"/>
              <w:rPr>
                <w:sz w:val="16"/>
                <w:szCs w:val="16"/>
                <w:color w:val="auto"/>
              </w:rPr>
            </w:pPr>
          </w:p>
        </w:tc>
        <w:tc>
          <w:tcPr>
            <w:tcW w:w="3200" w:type="dxa"/>
            <w:vAlign w:val="bottom"/>
            <w:shd w:val="clear" w:color="auto" w:fill="F0F1F8"/>
          </w:tcPr>
          <w:p>
            <w:pPr>
              <w:ind w:left="180"/>
              <w:spacing w:after="0"/>
              <w:rPr>
                <w:sz w:val="20"/>
                <w:szCs w:val="20"/>
                <w:color w:val="auto"/>
              </w:rPr>
            </w:pPr>
            <w:r>
              <w:rPr>
                <w:rFonts w:ascii="Arial" w:cs="Arial" w:eastAsia="Arial" w:hAnsi="Arial"/>
                <w:sz w:val="16"/>
                <w:szCs w:val="16"/>
                <w:color w:val="auto"/>
              </w:rPr>
              <w:t>from your brokerage firm, bank, broker</w:t>
            </w:r>
          </w:p>
        </w:tc>
      </w:tr>
      <w:tr>
        <w:trPr>
          <w:trHeight w:val="187"/>
        </w:trPr>
        <w:tc>
          <w:tcPr>
            <w:tcW w:w="2320" w:type="dxa"/>
            <w:vAlign w:val="bottom"/>
            <w:shd w:val="clear" w:color="auto" w:fill="F0F1F8"/>
          </w:tcPr>
          <w:p>
            <w:pPr>
              <w:spacing w:after="0"/>
              <w:rPr>
                <w:sz w:val="16"/>
                <w:szCs w:val="16"/>
                <w:color w:val="auto"/>
              </w:rPr>
            </w:pPr>
          </w:p>
        </w:tc>
        <w:tc>
          <w:tcPr>
            <w:tcW w:w="5720" w:type="dxa"/>
            <w:vAlign w:val="bottom"/>
            <w:shd w:val="clear" w:color="auto" w:fill="F0F1F8"/>
          </w:tcPr>
          <w:p>
            <w:pPr>
              <w:ind w:left="280"/>
              <w:spacing w:after="0"/>
              <w:rPr>
                <w:sz w:val="20"/>
                <w:szCs w:val="20"/>
                <w:color w:val="auto"/>
              </w:rPr>
            </w:pPr>
            <w:r>
              <w:rPr>
                <w:rFonts w:ascii="Arial" w:cs="Arial" w:eastAsia="Arial" w:hAnsi="Arial"/>
                <w:sz w:val="16"/>
                <w:szCs w:val="16"/>
                <w:color w:val="auto"/>
              </w:rPr>
              <w:t>Use any touch-tone telephone to transmit your voting instructions up until</w:t>
            </w:r>
          </w:p>
        </w:tc>
        <w:tc>
          <w:tcPr>
            <w:tcW w:w="3200" w:type="dxa"/>
            <w:vAlign w:val="bottom"/>
            <w:shd w:val="clear" w:color="auto" w:fill="F0F1F8"/>
          </w:tcPr>
          <w:p>
            <w:pPr>
              <w:ind w:left="180"/>
              <w:spacing w:after="0"/>
              <w:rPr>
                <w:sz w:val="20"/>
                <w:szCs w:val="20"/>
                <w:color w:val="auto"/>
              </w:rPr>
            </w:pPr>
            <w:r>
              <w:rPr>
                <w:rFonts w:ascii="Arial" w:cs="Arial" w:eastAsia="Arial" w:hAnsi="Arial"/>
                <w:sz w:val="16"/>
                <w:szCs w:val="16"/>
                <w:color w:val="auto"/>
              </w:rPr>
              <w:t>dealer or other intermediary.</w:t>
            </w:r>
          </w:p>
        </w:tc>
      </w:tr>
      <w:tr>
        <w:trPr>
          <w:trHeight w:val="187"/>
        </w:trPr>
        <w:tc>
          <w:tcPr>
            <w:tcW w:w="2320" w:type="dxa"/>
            <w:vAlign w:val="bottom"/>
            <w:shd w:val="clear" w:color="auto" w:fill="F0F1F8"/>
          </w:tcPr>
          <w:p>
            <w:pPr>
              <w:spacing w:after="0"/>
              <w:rPr>
                <w:sz w:val="16"/>
                <w:szCs w:val="16"/>
                <w:color w:val="auto"/>
              </w:rPr>
            </w:pPr>
          </w:p>
        </w:tc>
        <w:tc>
          <w:tcPr>
            <w:tcW w:w="5720" w:type="dxa"/>
            <w:vAlign w:val="bottom"/>
            <w:shd w:val="clear" w:color="auto" w:fill="F0F1F8"/>
          </w:tcPr>
          <w:p>
            <w:pPr>
              <w:ind w:left="280"/>
              <w:spacing w:after="0"/>
              <w:rPr>
                <w:sz w:val="20"/>
                <w:szCs w:val="20"/>
                <w:color w:val="auto"/>
              </w:rPr>
            </w:pPr>
            <w:r>
              <w:rPr>
                <w:rFonts w:ascii="Arial" w:cs="Arial" w:eastAsia="Arial" w:hAnsi="Arial"/>
                <w:sz w:val="16"/>
                <w:szCs w:val="16"/>
                <w:color w:val="auto"/>
              </w:rPr>
              <w:t>11:59 P.M. Eastern Time on April 25, 2022. Have your proxy card in hand</w:t>
            </w:r>
          </w:p>
        </w:tc>
        <w:tc>
          <w:tcPr>
            <w:tcW w:w="3200" w:type="dxa"/>
            <w:vAlign w:val="bottom"/>
            <w:shd w:val="clear" w:color="auto" w:fill="F0F1F8"/>
          </w:tcPr>
          <w:p>
            <w:pPr>
              <w:spacing w:after="0"/>
              <w:rPr>
                <w:sz w:val="16"/>
                <w:szCs w:val="16"/>
                <w:color w:val="auto"/>
              </w:rPr>
            </w:pPr>
          </w:p>
        </w:tc>
      </w:tr>
      <w:tr>
        <w:trPr>
          <w:trHeight w:val="212"/>
        </w:trPr>
        <w:tc>
          <w:tcPr>
            <w:tcW w:w="2320" w:type="dxa"/>
            <w:vAlign w:val="bottom"/>
            <w:shd w:val="clear" w:color="auto" w:fill="F0F1F8"/>
          </w:tcPr>
          <w:p>
            <w:pPr>
              <w:spacing w:after="0"/>
              <w:rPr>
                <w:sz w:val="18"/>
                <w:szCs w:val="18"/>
                <w:color w:val="auto"/>
              </w:rPr>
            </w:pPr>
          </w:p>
        </w:tc>
        <w:tc>
          <w:tcPr>
            <w:tcW w:w="5720" w:type="dxa"/>
            <w:vAlign w:val="bottom"/>
            <w:shd w:val="clear" w:color="auto" w:fill="F0F1F8"/>
          </w:tcPr>
          <w:p>
            <w:pPr>
              <w:ind w:left="280"/>
              <w:spacing w:after="0"/>
              <w:rPr>
                <w:sz w:val="20"/>
                <w:szCs w:val="20"/>
                <w:color w:val="auto"/>
              </w:rPr>
            </w:pPr>
            <w:r>
              <w:rPr>
                <w:rFonts w:ascii="Arial" w:cs="Arial" w:eastAsia="Arial" w:hAnsi="Arial"/>
                <w:sz w:val="16"/>
                <w:szCs w:val="16"/>
                <w:color w:val="auto"/>
              </w:rPr>
              <w:t>when you call and then follow the instructions.</w:t>
            </w:r>
          </w:p>
        </w:tc>
        <w:tc>
          <w:tcPr>
            <w:tcW w:w="3200" w:type="dxa"/>
            <w:vAlign w:val="bottom"/>
            <w:shd w:val="clear" w:color="auto" w:fill="F0F1F8"/>
          </w:tcPr>
          <w:p>
            <w:pPr>
              <w:spacing w:after="0"/>
              <w:rPr>
                <w:sz w:val="18"/>
                <w:szCs w:val="18"/>
                <w:color w:val="auto"/>
              </w:rPr>
            </w:pPr>
          </w:p>
        </w:tc>
      </w:tr>
    </w:tbl>
    <w:p>
      <w:pPr>
        <w:spacing w:after="0" w:line="29"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tabs>
          <w:tab w:leader="none" w:pos="2580" w:val="left"/>
        </w:tabs>
        <w:rPr>
          <w:sz w:val="20"/>
          <w:szCs w:val="20"/>
          <w:color w:val="auto"/>
        </w:rPr>
      </w:pPr>
      <w:r>
        <w:rPr>
          <w:rFonts w:ascii="Arial" w:cs="Arial" w:eastAsia="Arial" w:hAnsi="Arial"/>
          <w:sz w:val="16"/>
          <w:szCs w:val="16"/>
          <w:color w:val="auto"/>
        </w:rPr>
        <w:t>By Mail:</w:t>
      </w:r>
      <w:r>
        <w:rPr>
          <w:sz w:val="20"/>
          <w:szCs w:val="20"/>
          <w:color w:val="auto"/>
        </w:rPr>
        <w:tab/>
      </w:r>
      <w:r>
        <w:rPr>
          <w:rFonts w:ascii="Arial" w:cs="Arial" w:eastAsia="Arial" w:hAnsi="Arial"/>
          <w:sz w:val="16"/>
          <w:szCs w:val="16"/>
          <w:color w:val="auto"/>
        </w:rPr>
        <w:t>You can vote by mail by requesting a paper copy of the materials, which will</w:t>
      </w:r>
    </w:p>
    <w:p>
      <w:pPr>
        <w:spacing w:after="0" w:line="3" w:lineRule="exact"/>
        <w:rPr>
          <w:sz w:val="20"/>
          <w:szCs w:val="20"/>
          <w:color w:val="auto"/>
        </w:rPr>
      </w:pPr>
    </w:p>
    <w:p>
      <w:pPr>
        <w:ind w:left="2600" w:right="220"/>
        <w:spacing w:after="0" w:line="250" w:lineRule="auto"/>
        <w:rPr>
          <w:sz w:val="20"/>
          <w:szCs w:val="20"/>
          <w:color w:val="auto"/>
        </w:rPr>
      </w:pPr>
      <w:r>
        <w:rPr>
          <w:rFonts w:ascii="Arial" w:cs="Arial" w:eastAsia="Arial" w:hAnsi="Arial"/>
          <w:sz w:val="16"/>
          <w:szCs w:val="16"/>
          <w:color w:val="auto"/>
        </w:rPr>
        <w:t>include a proxy card. Mark, sign and date your proxy card and return it in the postage-paid envelope we have provided or return it to Vote Processing, c/o Broadridge, 51 Mercedes Way, Edgewood, NY 11717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713359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00"/>
        <w:spacing w:after="0" w:line="250" w:lineRule="auto"/>
        <w:rPr>
          <w:sz w:val="20"/>
          <w:szCs w:val="20"/>
          <w:color w:val="auto"/>
        </w:rPr>
      </w:pPr>
      <w:r>
        <w:rPr>
          <w:rFonts w:ascii="Arial" w:cs="Arial" w:eastAsia="Arial" w:hAnsi="Arial"/>
          <w:sz w:val="16"/>
          <w:szCs w:val="16"/>
          <w:color w:val="auto"/>
        </w:rPr>
        <w:t>Follow the voting instructions you receive from your brokerage firm, bank, broker dealer or other intermediary.</w:t>
      </w:r>
    </w:p>
    <w:p>
      <w:pPr>
        <w:spacing w:after="0" w:line="378" w:lineRule="exact"/>
        <w:rPr>
          <w:sz w:val="20"/>
          <w:szCs w:val="20"/>
          <w:color w:val="auto"/>
        </w:rPr>
      </w:pPr>
    </w:p>
    <w:p>
      <w:pPr>
        <w:sectPr>
          <w:pgSz w:w="11900" w:h="16838" w:orient="portrait"/>
          <w:cols w:equalWidth="0" w:num="2">
            <w:col w:w="7980" w:space="240"/>
            <w:col w:w="3020"/>
          </w:cols>
          <w:pgMar w:left="320" w:top="121" w:right="339" w:bottom="1440" w:gutter="0" w:footer="0" w:header="0"/>
          <w:type w:val="continuous"/>
        </w:sectPr>
      </w:pPr>
    </w:p>
    <w:p>
      <w:pPr>
        <w:ind w:left="200" w:right="300" w:hanging="193"/>
        <w:spacing w:after="0" w:line="254" w:lineRule="auto"/>
        <w:tabs>
          <w:tab w:leader="none" w:pos="20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While MSCI and Broadridge do not charge any fees for voting by internet or telephone, there may be related costs from other parties, such as usage charges from internet access providers and telephone companies, for which you are responsible.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does the Board recommend that I vote and what vote is required for adoption or approval of each matter to be voted on?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140" w:type="dxa"/>
            <w:vAlign w:val="bottom"/>
            <w:tcBorders>
              <w:bottom w:val="single" w:sz="8" w:color="16479F"/>
            </w:tcBorders>
          </w:tcPr>
          <w:p>
            <w:pPr>
              <w:jc w:val="center"/>
              <w:ind w:right="20"/>
              <w:spacing w:after="0"/>
              <w:rPr>
                <w:sz w:val="20"/>
                <w:szCs w:val="20"/>
                <w:color w:val="auto"/>
              </w:rPr>
            </w:pPr>
            <w:r>
              <w:rPr>
                <w:rFonts w:ascii="Arial" w:cs="Arial" w:eastAsia="Arial" w:hAnsi="Arial"/>
                <w:sz w:val="16"/>
                <w:szCs w:val="16"/>
                <w:b w:val="1"/>
                <w:bCs w:val="1"/>
                <w:color w:val="auto"/>
              </w:rPr>
              <w:t>Proposal No.</w:t>
            </w:r>
          </w:p>
        </w:tc>
        <w:tc>
          <w:tcPr>
            <w:tcW w:w="2300" w:type="dxa"/>
            <w:vAlign w:val="bottom"/>
            <w:tcBorders>
              <w:bottom w:val="single" w:sz="8" w:color="16479F"/>
            </w:tcBorders>
          </w:tcPr>
          <w:p>
            <w:pPr>
              <w:ind w:left="120"/>
              <w:spacing w:after="0"/>
              <w:rPr>
                <w:sz w:val="20"/>
                <w:szCs w:val="20"/>
                <w:color w:val="auto"/>
              </w:rPr>
            </w:pPr>
            <w:r>
              <w:rPr>
                <w:rFonts w:ascii="Arial" w:cs="Arial" w:eastAsia="Arial" w:hAnsi="Arial"/>
                <w:sz w:val="16"/>
                <w:szCs w:val="16"/>
                <w:b w:val="1"/>
                <w:bCs w:val="1"/>
                <w:color w:val="auto"/>
              </w:rPr>
              <w:t>Proposal</w:t>
            </w:r>
          </w:p>
        </w:tc>
        <w:tc>
          <w:tcPr>
            <w:tcW w:w="4820" w:type="dxa"/>
            <w:vAlign w:val="bottom"/>
            <w:tcBorders>
              <w:bottom w:val="single" w:sz="8" w:color="16479F"/>
            </w:tcBorders>
          </w:tcPr>
          <w:p>
            <w:pPr>
              <w:ind w:left="760"/>
              <w:spacing w:after="0"/>
              <w:rPr>
                <w:sz w:val="20"/>
                <w:szCs w:val="20"/>
                <w:color w:val="auto"/>
              </w:rPr>
            </w:pPr>
            <w:r>
              <w:rPr>
                <w:rFonts w:ascii="Arial" w:cs="Arial" w:eastAsia="Arial" w:hAnsi="Arial"/>
                <w:sz w:val="16"/>
                <w:szCs w:val="16"/>
                <w:b w:val="1"/>
                <w:bCs w:val="1"/>
                <w:color w:val="auto"/>
              </w:rPr>
              <w:t>Vote Required</w:t>
            </w:r>
          </w:p>
        </w:tc>
        <w:tc>
          <w:tcPr>
            <w:tcW w:w="2980" w:type="dxa"/>
            <w:vAlign w:val="bottom"/>
            <w:tcBorders>
              <w:bottom w:val="single" w:sz="8" w:color="16479F"/>
            </w:tcBorders>
          </w:tcPr>
          <w:p>
            <w:pPr>
              <w:ind w:left="200"/>
              <w:spacing w:after="0"/>
              <w:rPr>
                <w:sz w:val="20"/>
                <w:szCs w:val="20"/>
                <w:color w:val="auto"/>
              </w:rPr>
            </w:pPr>
            <w:r>
              <w:rPr>
                <w:rFonts w:ascii="Arial" w:cs="Arial" w:eastAsia="Arial" w:hAnsi="Arial"/>
                <w:sz w:val="16"/>
                <w:szCs w:val="16"/>
                <w:b w:val="1"/>
                <w:bCs w:val="1"/>
                <w:color w:val="auto"/>
              </w:rPr>
              <w:t>Directors’ Recommendation</w:t>
            </w:r>
          </w:p>
        </w:tc>
      </w:tr>
      <w:tr>
        <w:trPr>
          <w:trHeight w:val="209"/>
        </w:trPr>
        <w:tc>
          <w:tcPr>
            <w:tcW w:w="1140" w:type="dxa"/>
            <w:vAlign w:val="bottom"/>
            <w:shd w:val="clear" w:color="auto" w:fill="F0F1F8"/>
          </w:tcPr>
          <w:p>
            <w:pPr>
              <w:jc w:val="right"/>
              <w:ind w:right="480"/>
              <w:spacing w:after="0"/>
              <w:rPr>
                <w:sz w:val="20"/>
                <w:szCs w:val="20"/>
                <w:color w:val="auto"/>
              </w:rPr>
            </w:pPr>
            <w:r>
              <w:rPr>
                <w:rFonts w:ascii="Arial" w:cs="Arial" w:eastAsia="Arial" w:hAnsi="Arial"/>
                <w:sz w:val="16"/>
                <w:szCs w:val="16"/>
                <w:color w:val="auto"/>
              </w:rPr>
              <w:t>1</w:t>
            </w:r>
          </w:p>
        </w:tc>
        <w:tc>
          <w:tcPr>
            <w:tcW w:w="2300" w:type="dxa"/>
            <w:vAlign w:val="bottom"/>
            <w:shd w:val="clear" w:color="auto" w:fill="F0F1F8"/>
          </w:tcPr>
          <w:p>
            <w:pPr>
              <w:ind w:left="120"/>
              <w:spacing w:after="0"/>
              <w:rPr>
                <w:sz w:val="20"/>
                <w:szCs w:val="20"/>
                <w:color w:val="auto"/>
              </w:rPr>
            </w:pPr>
            <w:r>
              <w:rPr>
                <w:rFonts w:ascii="Arial" w:cs="Arial" w:eastAsia="Arial" w:hAnsi="Arial"/>
                <w:sz w:val="16"/>
                <w:szCs w:val="16"/>
                <w:color w:val="auto"/>
              </w:rPr>
              <w:t>Election of Directors</w:t>
            </w:r>
          </w:p>
        </w:tc>
        <w:tc>
          <w:tcPr>
            <w:tcW w:w="4820" w:type="dxa"/>
            <w:vAlign w:val="bottom"/>
            <w:shd w:val="clear" w:color="auto" w:fill="F0F1F8"/>
          </w:tcPr>
          <w:p>
            <w:pPr>
              <w:ind w:left="760"/>
              <w:spacing w:after="0"/>
              <w:rPr>
                <w:sz w:val="20"/>
                <w:szCs w:val="20"/>
                <w:color w:val="auto"/>
              </w:rPr>
            </w:pPr>
            <w:r>
              <w:rPr>
                <w:rFonts w:ascii="Arial" w:cs="Arial" w:eastAsia="Arial" w:hAnsi="Arial"/>
                <w:sz w:val="16"/>
                <w:szCs w:val="16"/>
                <w:color w:val="auto"/>
              </w:rPr>
              <w:t>Number of votes cast “FOR” exceeds number of votes</w:t>
            </w:r>
          </w:p>
        </w:tc>
        <w:tc>
          <w:tcPr>
            <w:tcW w:w="2980" w:type="dxa"/>
            <w:vAlign w:val="bottom"/>
            <w:shd w:val="clear" w:color="auto" w:fill="F0F1F8"/>
          </w:tcPr>
          <w:p>
            <w:pPr>
              <w:ind w:left="200"/>
              <w:spacing w:after="0"/>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all nominees</w:t>
            </w:r>
          </w:p>
        </w:tc>
      </w:tr>
      <w:tr>
        <w:trPr>
          <w:trHeight w:val="212"/>
        </w:trPr>
        <w:tc>
          <w:tcPr>
            <w:tcW w:w="1140" w:type="dxa"/>
            <w:vAlign w:val="bottom"/>
            <w:shd w:val="clear" w:color="auto" w:fill="F0F1F8"/>
          </w:tcPr>
          <w:p>
            <w:pPr>
              <w:spacing w:after="0"/>
              <w:rPr>
                <w:sz w:val="18"/>
                <w:szCs w:val="18"/>
                <w:color w:val="auto"/>
              </w:rPr>
            </w:pPr>
          </w:p>
        </w:tc>
        <w:tc>
          <w:tcPr>
            <w:tcW w:w="2300" w:type="dxa"/>
            <w:vAlign w:val="bottom"/>
            <w:shd w:val="clear" w:color="auto" w:fill="F0F1F8"/>
          </w:tcPr>
          <w:p>
            <w:pPr>
              <w:spacing w:after="0"/>
              <w:rPr>
                <w:sz w:val="18"/>
                <w:szCs w:val="18"/>
                <w:color w:val="auto"/>
              </w:rPr>
            </w:pPr>
          </w:p>
        </w:tc>
        <w:tc>
          <w:tcPr>
            <w:tcW w:w="4820" w:type="dxa"/>
            <w:vAlign w:val="bottom"/>
            <w:shd w:val="clear" w:color="auto" w:fill="F0F1F8"/>
          </w:tcPr>
          <w:p>
            <w:pPr>
              <w:ind w:left="760"/>
              <w:spacing w:after="0"/>
              <w:rPr>
                <w:sz w:val="20"/>
                <w:szCs w:val="20"/>
                <w:color w:val="auto"/>
              </w:rPr>
            </w:pPr>
            <w:r>
              <w:rPr>
                <w:rFonts w:ascii="Arial" w:cs="Arial" w:eastAsia="Arial" w:hAnsi="Arial"/>
                <w:sz w:val="16"/>
                <w:szCs w:val="16"/>
                <w:color w:val="auto"/>
              </w:rPr>
              <w:t>cast “AGAINST” for each director</w:t>
            </w:r>
          </w:p>
        </w:tc>
        <w:tc>
          <w:tcPr>
            <w:tcW w:w="2980" w:type="dxa"/>
            <w:vAlign w:val="bottom"/>
            <w:shd w:val="clear" w:color="auto" w:fill="F0F1F8"/>
          </w:tcPr>
          <w:p>
            <w:pPr>
              <w:spacing w:after="0"/>
              <w:rPr>
                <w:sz w:val="18"/>
                <w:szCs w:val="18"/>
                <w:color w:val="auto"/>
              </w:rPr>
            </w:pPr>
          </w:p>
        </w:tc>
      </w:tr>
    </w:tbl>
    <w:p>
      <w:pPr>
        <w:spacing w:after="0" w:line="9"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20" w:lineRule="exact"/>
        <w:rPr>
          <w:sz w:val="20"/>
          <w:szCs w:val="20"/>
          <w:color w:val="auto"/>
        </w:rPr>
      </w:pPr>
    </w:p>
    <w:p>
      <w:pPr>
        <w:ind w:left="1260" w:hanging="775"/>
        <w:spacing w:after="0" w:line="289" w:lineRule="auto"/>
        <w:tabs>
          <w:tab w:leader="none" w:pos="1260" w:val="left"/>
        </w:tabs>
        <w:numPr>
          <w:ilvl w:val="0"/>
          <w:numId w:val="154"/>
        </w:numPr>
        <w:rPr>
          <w:rFonts w:ascii="Arial" w:cs="Arial" w:eastAsia="Arial" w:hAnsi="Arial"/>
          <w:sz w:val="15"/>
          <w:szCs w:val="15"/>
          <w:color w:val="auto"/>
        </w:rPr>
      </w:pPr>
      <w:r>
        <w:rPr>
          <w:rFonts w:ascii="Arial" w:cs="Arial" w:eastAsia="Arial" w:hAnsi="Arial"/>
          <w:sz w:val="15"/>
          <w:szCs w:val="15"/>
          <w:color w:val="auto"/>
        </w:rPr>
        <w:t>Advisory Vote to Approve Executive Compensation (Say-on-Pay)</w:t>
      </w:r>
    </w:p>
    <w:p>
      <w:pPr>
        <w:spacing w:after="0" w:line="20" w:lineRule="exact"/>
        <w:rPr>
          <w:sz w:val="20"/>
          <w:szCs w:val="20"/>
          <w:color w:val="auto"/>
        </w:rPr>
      </w:pPr>
      <w:r>
        <w:rPr>
          <w:sz w:val="20"/>
          <w:szCs w:val="20"/>
          <w:color w:val="auto"/>
        </w:rPr>
        <w:br w:type="column"/>
      </w:r>
    </w:p>
    <w:p>
      <w:pPr>
        <w:spacing w:after="0" w:line="250" w:lineRule="auto"/>
        <w:rPr>
          <w:sz w:val="20"/>
          <w:szCs w:val="20"/>
          <w:color w:val="auto"/>
        </w:rPr>
      </w:pPr>
      <w:r>
        <w:rPr>
          <w:rFonts w:ascii="Arial" w:cs="Arial" w:eastAsia="Arial" w:hAnsi="Arial"/>
          <w:sz w:val="16"/>
          <w:szCs w:val="16"/>
          <w:color w:val="auto"/>
        </w:rPr>
        <w:t>Majority of the total votes cast by holders of shares present through the virtual meeting or represented by proxy</w:t>
      </w:r>
    </w:p>
    <w:p>
      <w:pPr>
        <w:spacing w:after="0" w:line="20" w:lineRule="exact"/>
        <w:rPr>
          <w:sz w:val="20"/>
          <w:szCs w:val="20"/>
          <w:color w:val="auto"/>
        </w:rPr>
      </w:pPr>
      <w:r>
        <w:rPr>
          <w:sz w:val="20"/>
          <w:szCs w:val="20"/>
          <w:color w:val="auto"/>
        </w:rPr>
        <w:br w:type="column"/>
      </w:r>
    </w:p>
    <w:p>
      <w:pPr>
        <w:ind w:right="320"/>
        <w:spacing w:after="0" w:line="282" w:lineRule="auto"/>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of the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of our NEOs</w:t>
      </w:r>
    </w:p>
    <w:p>
      <w:pPr>
        <w:spacing w:after="0" w:line="175" w:lineRule="exact"/>
        <w:rPr>
          <w:sz w:val="20"/>
          <w:szCs w:val="20"/>
          <w:color w:val="auto"/>
        </w:rPr>
      </w:pPr>
    </w:p>
    <w:p>
      <w:pPr>
        <w:sectPr>
          <w:pgSz w:w="11900" w:h="16838" w:orient="portrait"/>
          <w:cols w:equalWidth="0" w:num="3">
            <w:col w:w="3800" w:space="400"/>
            <w:col w:w="3780" w:space="480"/>
            <w:col w:w="27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920" w:type="dxa"/>
            <w:vAlign w:val="bottom"/>
            <w:shd w:val="clear" w:color="auto" w:fill="F0F1F8"/>
          </w:tcPr>
          <w:p>
            <w:pPr>
              <w:jc w:val="right"/>
              <w:ind w:right="260"/>
              <w:spacing w:after="0"/>
              <w:rPr>
                <w:sz w:val="20"/>
                <w:szCs w:val="20"/>
                <w:color w:val="auto"/>
              </w:rPr>
            </w:pPr>
            <w:r>
              <w:rPr>
                <w:rFonts w:ascii="Arial" w:cs="Arial" w:eastAsia="Arial" w:hAnsi="Arial"/>
                <w:sz w:val="16"/>
                <w:szCs w:val="16"/>
                <w:color w:val="auto"/>
              </w:rPr>
              <w:t>3</w:t>
            </w:r>
          </w:p>
        </w:tc>
        <w:tc>
          <w:tcPr>
            <w:tcW w:w="2980" w:type="dxa"/>
            <w:vAlign w:val="bottom"/>
            <w:shd w:val="clear" w:color="auto" w:fill="F0F1F8"/>
          </w:tcPr>
          <w:p>
            <w:pPr>
              <w:ind w:left="340"/>
              <w:spacing w:after="0"/>
              <w:rPr>
                <w:sz w:val="20"/>
                <w:szCs w:val="20"/>
                <w:color w:val="auto"/>
              </w:rPr>
            </w:pPr>
            <w:r>
              <w:rPr>
                <w:rFonts w:ascii="Arial" w:cs="Arial" w:eastAsia="Arial" w:hAnsi="Arial"/>
                <w:sz w:val="16"/>
                <w:szCs w:val="16"/>
                <w:color w:val="auto"/>
              </w:rPr>
              <w:t>Ratification of the Appointment of</w:t>
            </w:r>
          </w:p>
        </w:tc>
        <w:tc>
          <w:tcPr>
            <w:tcW w:w="4320" w:type="dxa"/>
            <w:vAlign w:val="bottom"/>
            <w:shd w:val="clear" w:color="auto" w:fill="F0F1F8"/>
          </w:tcPr>
          <w:p>
            <w:pPr>
              <w:ind w:left="300"/>
              <w:spacing w:after="0"/>
              <w:rPr>
                <w:sz w:val="20"/>
                <w:szCs w:val="20"/>
                <w:color w:val="auto"/>
              </w:rPr>
            </w:pPr>
            <w:r>
              <w:rPr>
                <w:rFonts w:ascii="Arial" w:cs="Arial" w:eastAsia="Arial" w:hAnsi="Arial"/>
                <w:sz w:val="16"/>
                <w:szCs w:val="16"/>
                <w:color w:val="auto"/>
              </w:rPr>
              <w:t>Majority of the total votes cast by holders of shares</w:t>
            </w:r>
          </w:p>
        </w:tc>
        <w:tc>
          <w:tcPr>
            <w:tcW w:w="3020" w:type="dxa"/>
            <w:vAlign w:val="bottom"/>
            <w:shd w:val="clear" w:color="auto" w:fill="F0F1F8"/>
          </w:tcPr>
          <w:p>
            <w:pPr>
              <w:ind w:left="240"/>
              <w:spacing w:after="0"/>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appointment</w:t>
            </w:r>
          </w:p>
        </w:tc>
      </w:tr>
      <w:tr>
        <w:trPr>
          <w:trHeight w:val="187"/>
        </w:trPr>
        <w:tc>
          <w:tcPr>
            <w:tcW w:w="920" w:type="dxa"/>
            <w:vAlign w:val="bottom"/>
            <w:shd w:val="clear" w:color="auto" w:fill="F0F1F8"/>
          </w:tcPr>
          <w:p>
            <w:pPr>
              <w:spacing w:after="0"/>
              <w:rPr>
                <w:sz w:val="16"/>
                <w:szCs w:val="16"/>
                <w:color w:val="auto"/>
              </w:rPr>
            </w:pPr>
          </w:p>
        </w:tc>
        <w:tc>
          <w:tcPr>
            <w:tcW w:w="2980" w:type="dxa"/>
            <w:vAlign w:val="bottom"/>
            <w:shd w:val="clear" w:color="auto" w:fill="F0F1F8"/>
          </w:tcPr>
          <w:p>
            <w:pPr>
              <w:ind w:left="340"/>
              <w:spacing w:after="0"/>
              <w:rPr>
                <w:sz w:val="20"/>
                <w:szCs w:val="20"/>
                <w:color w:val="auto"/>
              </w:rPr>
            </w:pPr>
            <w:r>
              <w:rPr>
                <w:rFonts w:ascii="Arial" w:cs="Arial" w:eastAsia="Arial" w:hAnsi="Arial"/>
                <w:sz w:val="16"/>
                <w:szCs w:val="16"/>
                <w:color w:val="auto"/>
              </w:rPr>
              <w:t>MSCI’s Independent Auditor</w:t>
            </w:r>
          </w:p>
        </w:tc>
        <w:tc>
          <w:tcPr>
            <w:tcW w:w="4320" w:type="dxa"/>
            <w:vAlign w:val="bottom"/>
            <w:shd w:val="clear" w:color="auto" w:fill="F0F1F8"/>
          </w:tcPr>
          <w:p>
            <w:pPr>
              <w:ind w:left="300"/>
              <w:spacing w:after="0"/>
              <w:rPr>
                <w:sz w:val="20"/>
                <w:szCs w:val="20"/>
                <w:color w:val="auto"/>
              </w:rPr>
            </w:pPr>
            <w:r>
              <w:rPr>
                <w:rFonts w:ascii="Arial" w:cs="Arial" w:eastAsia="Arial" w:hAnsi="Arial"/>
                <w:sz w:val="16"/>
                <w:szCs w:val="16"/>
                <w:color w:val="auto"/>
              </w:rPr>
              <w:t>present through the virtual meeting or represented by</w:t>
            </w:r>
          </w:p>
        </w:tc>
        <w:tc>
          <w:tcPr>
            <w:tcW w:w="3020" w:type="dxa"/>
            <w:vAlign w:val="bottom"/>
            <w:shd w:val="clear" w:color="auto" w:fill="F0F1F8"/>
          </w:tcPr>
          <w:p>
            <w:pPr>
              <w:ind w:left="240"/>
              <w:spacing w:after="0"/>
              <w:rPr>
                <w:sz w:val="20"/>
                <w:szCs w:val="20"/>
                <w:color w:val="auto"/>
              </w:rPr>
            </w:pPr>
            <w:r>
              <w:rPr>
                <w:rFonts w:ascii="Arial" w:cs="Arial" w:eastAsia="Arial" w:hAnsi="Arial"/>
                <w:sz w:val="16"/>
                <w:szCs w:val="16"/>
                <w:color w:val="auto"/>
              </w:rPr>
              <w:t>of PricewaterhouseCoopers LLP</w:t>
            </w:r>
          </w:p>
        </w:tc>
      </w:tr>
      <w:tr>
        <w:trPr>
          <w:trHeight w:val="206"/>
        </w:trPr>
        <w:tc>
          <w:tcPr>
            <w:tcW w:w="920" w:type="dxa"/>
            <w:vAlign w:val="bottom"/>
            <w:tcBorders>
              <w:bottom w:val="single" w:sz="8" w:color="auto"/>
            </w:tcBorders>
            <w:shd w:val="clear" w:color="auto" w:fill="F0F1F8"/>
          </w:tcPr>
          <w:p>
            <w:pPr>
              <w:spacing w:after="0"/>
              <w:rPr>
                <w:sz w:val="17"/>
                <w:szCs w:val="17"/>
                <w:color w:val="auto"/>
              </w:rPr>
            </w:pPr>
          </w:p>
        </w:tc>
        <w:tc>
          <w:tcPr>
            <w:tcW w:w="2980" w:type="dxa"/>
            <w:vAlign w:val="bottom"/>
            <w:tcBorders>
              <w:bottom w:val="single" w:sz="8" w:color="auto"/>
            </w:tcBorders>
            <w:shd w:val="clear" w:color="auto" w:fill="F0F1F8"/>
          </w:tcPr>
          <w:p>
            <w:pPr>
              <w:spacing w:after="0"/>
              <w:rPr>
                <w:sz w:val="17"/>
                <w:szCs w:val="17"/>
                <w:color w:val="auto"/>
              </w:rPr>
            </w:pPr>
          </w:p>
        </w:tc>
        <w:tc>
          <w:tcPr>
            <w:tcW w:w="4320" w:type="dxa"/>
            <w:vAlign w:val="bottom"/>
            <w:tcBorders>
              <w:bottom w:val="single" w:sz="8" w:color="auto"/>
            </w:tcBorders>
            <w:shd w:val="clear" w:color="auto" w:fill="F0F1F8"/>
          </w:tcPr>
          <w:p>
            <w:pPr>
              <w:ind w:left="300"/>
              <w:spacing w:after="0"/>
              <w:rPr>
                <w:sz w:val="20"/>
                <w:szCs w:val="20"/>
                <w:color w:val="auto"/>
              </w:rPr>
            </w:pPr>
            <w:r>
              <w:rPr>
                <w:rFonts w:ascii="Arial" w:cs="Arial" w:eastAsia="Arial" w:hAnsi="Arial"/>
                <w:sz w:val="16"/>
                <w:szCs w:val="16"/>
                <w:color w:val="auto"/>
              </w:rPr>
              <w:t>proxy</w:t>
            </w:r>
          </w:p>
        </w:tc>
        <w:tc>
          <w:tcPr>
            <w:tcW w:w="3020" w:type="dxa"/>
            <w:vAlign w:val="bottom"/>
            <w:tcBorders>
              <w:bottom w:val="single" w:sz="8" w:color="auto"/>
            </w:tcBorders>
            <w:shd w:val="clear" w:color="auto" w:fill="F0F1F8"/>
          </w:tcPr>
          <w:p>
            <w:pPr>
              <w:spacing w:after="0"/>
              <w:rPr>
                <w:sz w:val="17"/>
                <w:szCs w:val="17"/>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will my shares be voted if I do not give specific voting instructions and what are broker non-votes?</w:t>
      </w:r>
    </w:p>
    <w:p>
      <w:pPr>
        <w:spacing w:after="0" w:line="222"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i w:val="1"/>
          <w:iCs w:val="1"/>
          <w:color w:val="auto"/>
        </w:rPr>
        <w:t xml:space="preserve">Record Holders. </w:t>
      </w:r>
      <w:r>
        <w:rPr>
          <w:rFonts w:ascii="Arial" w:cs="Arial" w:eastAsia="Arial" w:hAnsi="Arial"/>
          <w:sz w:val="16"/>
          <w:szCs w:val="16"/>
          <w:color w:val="auto"/>
        </w:rPr>
        <w:t>If you indicate that you wish to vote as recommended by our Board or if you sign, date and return a proxy card but do not give specific voting</w:t>
      </w:r>
      <w:r>
        <w:rPr>
          <w:rFonts w:ascii="Arial" w:cs="Arial" w:eastAsia="Arial" w:hAnsi="Arial"/>
          <w:sz w:val="16"/>
          <w:szCs w:val="16"/>
          <w:i w:val="1"/>
          <w:iCs w:val="1"/>
          <w:color w:val="auto"/>
        </w:rPr>
        <w:t xml:space="preserve"> </w:t>
      </w:r>
      <w:r>
        <w:rPr>
          <w:rFonts w:ascii="Arial" w:cs="Arial" w:eastAsia="Arial" w:hAnsi="Arial"/>
          <w:sz w:val="16"/>
          <w:szCs w:val="16"/>
          <w:color w:val="auto"/>
        </w:rPr>
        <w:t>instructions, then the proxy holders will vote your shares in the manner recommended by our Board on all matters presented in this Proxy Statement (e.g., “FOR” for Proposal No. 1, No. 2 and No. 3) and in their discretion regarding any other matters properly presented for a vote at our 2022 Annual Meeting. As of the date of this Proxy Statement, we did not know of any proposals or matters to be raised at the 2022 Annual Meeting other than those presented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124460</wp:posOffset>
            </wp:positionV>
            <wp:extent cx="7154545" cy="209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7" w:name="page108"/>
    <w:bookmarkEnd w:id="107"/>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00" w:type="dxa"/>
            <w:vAlign w:val="bottom"/>
            <w:tcBorders>
              <w:right w:val="single" w:sz="8" w:color="16479F"/>
            </w:tcBorders>
          </w:tcPr>
          <w:p>
            <w:pPr>
              <w:ind w:left="8700"/>
              <w:spacing w:after="0"/>
              <w:rPr>
                <w:sz w:val="20"/>
                <w:szCs w:val="20"/>
                <w:color w:val="auto"/>
              </w:rPr>
            </w:pPr>
            <w:r>
              <w:rPr>
                <w:rFonts w:ascii="Arial" w:cs="Arial" w:eastAsia="Arial" w:hAnsi="Arial"/>
                <w:sz w:val="14"/>
                <w:szCs w:val="14"/>
                <w:b w:val="1"/>
                <w:bCs w:val="1"/>
                <w:color w:val="16479F"/>
              </w:rPr>
              <w:t>2022 PROXY STATEMENT</w:t>
            </w:r>
          </w:p>
        </w:tc>
        <w:tc>
          <w:tcPr>
            <w:tcW w:w="640" w:type="dxa"/>
            <w:vAlign w:val="bottom"/>
          </w:tcPr>
          <w:p>
            <w:pPr>
              <w:jc w:val="right"/>
              <w:ind w:right="9"/>
              <w:spacing w:after="0"/>
              <w:rPr>
                <w:sz w:val="20"/>
                <w:szCs w:val="20"/>
                <w:color w:val="auto"/>
              </w:rPr>
            </w:pPr>
            <w:r>
              <w:rPr>
                <w:rFonts w:ascii="Arial" w:cs="Arial" w:eastAsia="Arial" w:hAnsi="Arial"/>
                <w:sz w:val="14"/>
                <w:szCs w:val="14"/>
                <w:b w:val="1"/>
                <w:bCs w:val="1"/>
                <w:color w:val="16479F"/>
              </w:rPr>
              <w:t>107</w:t>
            </w:r>
          </w:p>
        </w:tc>
      </w:tr>
      <w:tr>
        <w:trPr>
          <w:trHeight w:val="65"/>
        </w:trPr>
        <w:tc>
          <w:tcPr>
            <w:tcW w:w="10600" w:type="dxa"/>
            <w:vAlign w:val="bottom"/>
            <w:tcBorders>
              <w:bottom w:val="single" w:sz="8" w:color="16479F"/>
              <w:right w:val="single" w:sz="8" w:color="16479F"/>
            </w:tcBorders>
          </w:tcPr>
          <w:p>
            <w:pPr>
              <w:spacing w:after="0"/>
              <w:rPr>
                <w:sz w:val="5"/>
                <w:szCs w:val="5"/>
                <w:color w:val="auto"/>
              </w:rPr>
            </w:pPr>
          </w:p>
        </w:tc>
        <w:tc>
          <w:tcPr>
            <w:tcW w:w="640" w:type="dxa"/>
            <w:vAlign w:val="bottom"/>
            <w:tcBorders>
              <w:bottom w:val="single" w:sz="8" w:color="16479F"/>
            </w:tcBorders>
          </w:tcPr>
          <w:p>
            <w:pPr>
              <w:spacing w:after="0"/>
              <w:rPr>
                <w:sz w:val="5"/>
                <w:szCs w:val="5"/>
                <w:color w:val="auto"/>
              </w:rPr>
            </w:pPr>
          </w:p>
        </w:tc>
      </w:tr>
    </w:tbl>
    <w:p>
      <w:pPr>
        <w:spacing w:after="0" w:line="200"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i w:val="1"/>
          <w:iCs w:val="1"/>
          <w:color w:val="auto"/>
        </w:rPr>
        <w:t xml:space="preserve">Beneficial Owners of Shares Held in “Street Name.” </w:t>
      </w:r>
      <w:r>
        <w:rPr>
          <w:rFonts w:ascii="Arial" w:cs="Arial" w:eastAsia="Arial" w:hAnsi="Arial"/>
          <w:sz w:val="16"/>
          <w:szCs w:val="16"/>
          <w:color w:val="auto"/>
        </w:rPr>
        <w:t>Broker non-votes occurs when your brokerage firm, bank, broker dealer or other intermediary has not</w:t>
      </w:r>
      <w:r>
        <w:rPr>
          <w:rFonts w:ascii="Arial" w:cs="Arial" w:eastAsia="Arial" w:hAnsi="Arial"/>
          <w:sz w:val="16"/>
          <w:szCs w:val="16"/>
          <w:i w:val="1"/>
          <w:iCs w:val="1"/>
          <w:color w:val="auto"/>
        </w:rPr>
        <w:t xml:space="preserve"> </w:t>
      </w:r>
      <w:r>
        <w:rPr>
          <w:rFonts w:ascii="Arial" w:cs="Arial" w:eastAsia="Arial" w:hAnsi="Arial"/>
          <w:sz w:val="16"/>
          <w:szCs w:val="16"/>
          <w:color w:val="auto"/>
        </w:rPr>
        <w:t>received specific voting instructions from you with respect to shares held in “street name” and the broker does not have discretionary voting authority with respect to a proposal. If you are the beneficial owner of shares held in “street name” and you do not give instructions as to how to vote, your broker may have authority to vote your shares only on discretionary items but not on non-discretionary items, as determined by the NYSE.</w:t>
      </w:r>
    </w:p>
    <w:p>
      <w:pPr>
        <w:spacing w:after="0" w:line="178" w:lineRule="exact"/>
        <w:rPr>
          <w:sz w:val="20"/>
          <w:szCs w:val="20"/>
          <w:color w:val="auto"/>
        </w:rPr>
      </w:pPr>
    </w:p>
    <w:p>
      <w:pPr>
        <w:ind w:left="240" w:right="160" w:hanging="233"/>
        <w:spacing w:after="0" w:line="282" w:lineRule="auto"/>
        <w:tabs>
          <w:tab w:leader="none" w:pos="240" w:val="left"/>
        </w:tabs>
        <w:numPr>
          <w:ilvl w:val="0"/>
          <w:numId w:val="155"/>
        </w:numPr>
        <w:rPr>
          <w:rFonts w:ascii="Arial" w:cs="Arial" w:eastAsia="Arial" w:hAnsi="Arial"/>
          <w:sz w:val="16"/>
          <w:szCs w:val="16"/>
          <w:color w:val="16479F"/>
        </w:rPr>
      </w:pPr>
      <w:r>
        <w:rPr>
          <w:rFonts w:ascii="Arial" w:cs="Arial" w:eastAsia="Arial" w:hAnsi="Arial"/>
          <w:sz w:val="16"/>
          <w:szCs w:val="16"/>
          <w:b w:val="1"/>
          <w:bCs w:val="1"/>
          <w:color w:val="auto"/>
        </w:rPr>
        <w:t xml:space="preserve">Non-discretionary items. </w:t>
      </w:r>
      <w:r>
        <w:rPr>
          <w:rFonts w:ascii="Arial" w:cs="Arial" w:eastAsia="Arial" w:hAnsi="Arial"/>
          <w:sz w:val="16"/>
          <w:szCs w:val="16"/>
          <w:color w:val="auto"/>
        </w:rPr>
        <w:t>The following proposals are considered “non-discretionary” items: Proposal No. 1—election of directors and Proposal No. 2—</w:t>
      </w:r>
      <w:r>
        <w:rPr>
          <w:rFonts w:ascii="Arial" w:cs="Arial" w:eastAsia="Arial" w:hAnsi="Arial"/>
          <w:sz w:val="16"/>
          <w:szCs w:val="16"/>
          <w:b w:val="1"/>
          <w:bCs w:val="1"/>
          <w:color w:val="auto"/>
        </w:rPr>
        <w:t xml:space="preserve"> </w:t>
      </w:r>
      <w:r>
        <w:rPr>
          <w:rFonts w:ascii="Arial" w:cs="Arial" w:eastAsia="Arial" w:hAnsi="Arial"/>
          <w:sz w:val="16"/>
          <w:szCs w:val="16"/>
          <w:color w:val="auto"/>
        </w:rPr>
        <w:t>approve, by non-binding vote, our executive compensation.</w:t>
      </w:r>
    </w:p>
    <w:p>
      <w:pPr>
        <w:spacing w:after="0" w:line="22" w:lineRule="exact"/>
        <w:rPr>
          <w:rFonts w:ascii="Arial" w:cs="Arial" w:eastAsia="Arial" w:hAnsi="Arial"/>
          <w:sz w:val="16"/>
          <w:szCs w:val="16"/>
          <w:color w:val="16479F"/>
        </w:rPr>
      </w:pPr>
    </w:p>
    <w:p>
      <w:pPr>
        <w:jc w:val="both"/>
        <w:ind w:left="240" w:right="100" w:hanging="233"/>
        <w:spacing w:after="0" w:line="263" w:lineRule="auto"/>
        <w:tabs>
          <w:tab w:leader="none" w:pos="240" w:val="left"/>
        </w:tabs>
        <w:numPr>
          <w:ilvl w:val="0"/>
          <w:numId w:val="155"/>
        </w:numPr>
        <w:rPr>
          <w:rFonts w:ascii="Arial" w:cs="Arial" w:eastAsia="Arial" w:hAnsi="Arial"/>
          <w:sz w:val="16"/>
          <w:szCs w:val="16"/>
          <w:color w:val="16479F"/>
        </w:rPr>
      </w:pPr>
      <w:r>
        <w:rPr>
          <w:rFonts w:ascii="Arial" w:cs="Arial" w:eastAsia="Arial" w:hAnsi="Arial"/>
          <w:sz w:val="16"/>
          <w:szCs w:val="16"/>
          <w:b w:val="1"/>
          <w:bCs w:val="1"/>
          <w:color w:val="auto"/>
        </w:rPr>
        <w:t>Discretionary item</w:t>
      </w:r>
      <w:r>
        <w:rPr>
          <w:rFonts w:ascii="Arial" w:cs="Arial" w:eastAsia="Arial" w:hAnsi="Arial"/>
          <w:sz w:val="16"/>
          <w:szCs w:val="16"/>
          <w:color w:val="auto"/>
        </w:rPr>
        <w:t>. Proposal No. 3—the ratification of the appointment of PricewaterhouseCoopers LLP as the Company’s independent auditor for 2022</w:t>
      </w:r>
      <w:r>
        <w:rPr>
          <w:rFonts w:ascii="Arial" w:cs="Arial" w:eastAsia="Arial" w:hAnsi="Arial"/>
          <w:sz w:val="16"/>
          <w:szCs w:val="16"/>
          <w:b w:val="1"/>
          <w:bCs w:val="1"/>
          <w:color w:val="auto"/>
        </w:rPr>
        <w:t xml:space="preserve"> </w:t>
      </w:r>
      <w:r>
        <w:rPr>
          <w:rFonts w:ascii="Arial" w:cs="Arial" w:eastAsia="Arial" w:hAnsi="Arial"/>
          <w:sz w:val="16"/>
          <w:szCs w:val="16"/>
          <w:color w:val="auto"/>
        </w:rPr>
        <w:t>is a “discretionary” item. NYSE member brokers that do not receive voting instructions from beneficial owners of shares held in “street name” may vote on this proposal in their discretion, subject to any voting policies adopted by the broker holding your shares.</w:t>
      </w:r>
    </w:p>
    <w:p>
      <w:pPr>
        <w:spacing w:after="0" w:line="192"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Broker non-votes are counted as present for purposes of determining the presence or absence of a quorum for the transaction of business. However, broker non-votes are not counted for purposes of Proposal Nos. 1 and 2 and will therefore have no effect on the outcome of these proposals. Therefore, if you hold your shares in an account with a brokerage firm, bank, a broker dealer or other intermediary, it is critically important that you submit your voting instructions if you want your shares to count for the non-discretionary items listed above.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are abstentions treated?</w:t>
      </w:r>
    </w:p>
    <w:p>
      <w:pPr>
        <w:spacing w:after="0" w:line="238"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Abstentions are also counted as present for purposes of determining the presence or absence of a quorum for the transaction of business. Abstentions have no effect on the determination of whether a nominee or any of the proposals have received the vote of a majority of the shares of common stock present or represented by proxy and voting at the 2022 Annual Meeting. However, abstentions could prevent the approval of a proposal where the number of affirmative votes, though a majority of the votes represented and cast, does not constitute a majority of the required quorum.</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are my choices for casting my vote on each matter to be voted on?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260" w:type="dxa"/>
            <w:vAlign w:val="bottom"/>
            <w:tcBorders>
              <w:bottom w:val="single" w:sz="8" w:color="16479F"/>
            </w:tcBorders>
          </w:tcPr>
          <w:p>
            <w:pPr>
              <w:jc w:val="right"/>
              <w:ind w:right="242"/>
              <w:spacing w:after="0"/>
              <w:rPr>
                <w:sz w:val="20"/>
                <w:szCs w:val="20"/>
                <w:color w:val="auto"/>
              </w:rPr>
            </w:pPr>
            <w:r>
              <w:rPr>
                <w:rFonts w:ascii="Arial" w:cs="Arial" w:eastAsia="Arial" w:hAnsi="Arial"/>
                <w:sz w:val="14"/>
                <w:szCs w:val="14"/>
                <w:b w:val="1"/>
                <w:bCs w:val="1"/>
                <w:color w:val="auto"/>
              </w:rPr>
              <w:t>Proposal No.</w:t>
            </w:r>
          </w:p>
        </w:tc>
        <w:tc>
          <w:tcPr>
            <w:tcW w:w="3060" w:type="dxa"/>
            <w:vAlign w:val="bottom"/>
            <w:tcBorders>
              <w:bottom w:val="single" w:sz="8" w:color="16479F"/>
            </w:tcBorders>
          </w:tcPr>
          <w:p>
            <w:pPr>
              <w:ind w:left="320"/>
              <w:spacing w:after="0"/>
              <w:rPr>
                <w:sz w:val="20"/>
                <w:szCs w:val="20"/>
                <w:color w:val="auto"/>
              </w:rPr>
            </w:pPr>
            <w:r>
              <w:rPr>
                <w:rFonts w:ascii="Arial" w:cs="Arial" w:eastAsia="Arial" w:hAnsi="Arial"/>
                <w:sz w:val="14"/>
                <w:szCs w:val="14"/>
                <w:b w:val="1"/>
                <w:bCs w:val="1"/>
                <w:color w:val="auto"/>
              </w:rPr>
              <w:t>Proposal</w:t>
            </w:r>
          </w:p>
        </w:tc>
        <w:tc>
          <w:tcPr>
            <w:tcW w:w="2900" w:type="dxa"/>
            <w:vAlign w:val="bottom"/>
            <w:tcBorders>
              <w:bottom w:val="single" w:sz="8" w:color="16479F"/>
            </w:tcBorders>
          </w:tcPr>
          <w:p>
            <w:pPr>
              <w:ind w:left="200"/>
              <w:spacing w:after="0"/>
              <w:rPr>
                <w:sz w:val="20"/>
                <w:szCs w:val="20"/>
                <w:color w:val="auto"/>
              </w:rPr>
            </w:pPr>
            <w:r>
              <w:rPr>
                <w:rFonts w:ascii="Arial" w:cs="Arial" w:eastAsia="Arial" w:hAnsi="Arial"/>
                <w:sz w:val="14"/>
                <w:szCs w:val="14"/>
                <w:b w:val="1"/>
                <w:bCs w:val="1"/>
                <w:color w:val="auto"/>
              </w:rPr>
              <w:t>Voting Options</w:t>
            </w:r>
          </w:p>
        </w:tc>
        <w:tc>
          <w:tcPr>
            <w:tcW w:w="4020" w:type="dxa"/>
            <w:vAlign w:val="bottom"/>
            <w:tcBorders>
              <w:bottom w:val="single" w:sz="8" w:color="16479F"/>
            </w:tcBorders>
          </w:tcPr>
          <w:p>
            <w:pPr>
              <w:ind w:left="660"/>
              <w:spacing w:after="0"/>
              <w:rPr>
                <w:sz w:val="20"/>
                <w:szCs w:val="20"/>
                <w:color w:val="auto"/>
              </w:rPr>
            </w:pPr>
            <w:r>
              <w:rPr>
                <w:rFonts w:ascii="Arial" w:cs="Arial" w:eastAsia="Arial" w:hAnsi="Arial"/>
                <w:sz w:val="14"/>
                <w:szCs w:val="14"/>
                <w:b w:val="1"/>
                <w:bCs w:val="1"/>
                <w:color w:val="auto"/>
              </w:rPr>
              <w:t>Effect of Abstentions</w:t>
            </w:r>
          </w:p>
        </w:tc>
      </w:tr>
      <w:tr>
        <w:trPr>
          <w:trHeight w:val="209"/>
        </w:trPr>
        <w:tc>
          <w:tcPr>
            <w:tcW w:w="1260" w:type="dxa"/>
            <w:vAlign w:val="bottom"/>
            <w:shd w:val="clear" w:color="auto" w:fill="F0F1F8"/>
          </w:tcPr>
          <w:p>
            <w:pPr>
              <w:jc w:val="right"/>
              <w:ind w:right="602"/>
              <w:spacing w:after="0"/>
              <w:rPr>
                <w:sz w:val="20"/>
                <w:szCs w:val="20"/>
                <w:color w:val="auto"/>
              </w:rPr>
            </w:pPr>
            <w:r>
              <w:rPr>
                <w:rFonts w:ascii="Arial" w:cs="Arial" w:eastAsia="Arial" w:hAnsi="Arial"/>
                <w:sz w:val="16"/>
                <w:szCs w:val="16"/>
                <w:color w:val="auto"/>
              </w:rPr>
              <w:t>1</w:t>
            </w:r>
          </w:p>
        </w:tc>
        <w:tc>
          <w:tcPr>
            <w:tcW w:w="3060" w:type="dxa"/>
            <w:vAlign w:val="bottom"/>
            <w:shd w:val="clear" w:color="auto" w:fill="F0F1F8"/>
          </w:tcPr>
          <w:p>
            <w:pPr>
              <w:ind w:left="320"/>
              <w:spacing w:after="0"/>
              <w:rPr>
                <w:sz w:val="20"/>
                <w:szCs w:val="20"/>
                <w:color w:val="auto"/>
              </w:rPr>
            </w:pPr>
            <w:r>
              <w:rPr>
                <w:rFonts w:ascii="Arial" w:cs="Arial" w:eastAsia="Arial" w:hAnsi="Arial"/>
                <w:sz w:val="16"/>
                <w:szCs w:val="16"/>
                <w:color w:val="auto"/>
              </w:rPr>
              <w:t>Election of Directors</w:t>
            </w:r>
          </w:p>
        </w:tc>
        <w:tc>
          <w:tcPr>
            <w:tcW w:w="2900" w:type="dxa"/>
            <w:vAlign w:val="bottom"/>
            <w:shd w:val="clear" w:color="auto" w:fill="F0F1F8"/>
          </w:tcPr>
          <w:p>
            <w:pPr>
              <w:ind w:left="200"/>
              <w:spacing w:after="0"/>
              <w:rPr>
                <w:sz w:val="20"/>
                <w:szCs w:val="20"/>
                <w:color w:val="auto"/>
              </w:rPr>
            </w:pPr>
            <w:r>
              <w:rPr>
                <w:rFonts w:ascii="Arial" w:cs="Arial" w:eastAsia="Arial" w:hAnsi="Arial"/>
                <w:sz w:val="16"/>
                <w:szCs w:val="16"/>
                <w:color w:val="auto"/>
              </w:rPr>
              <w:t>FOR, AGAINST or ABSTAIN</w:t>
            </w:r>
          </w:p>
        </w:tc>
        <w:tc>
          <w:tcPr>
            <w:tcW w:w="4020" w:type="dxa"/>
            <w:vAlign w:val="bottom"/>
            <w:shd w:val="clear" w:color="auto" w:fill="F0F1F8"/>
          </w:tcPr>
          <w:p>
            <w:pPr>
              <w:ind w:left="660"/>
              <w:spacing w:after="0"/>
              <w:rPr>
                <w:sz w:val="20"/>
                <w:szCs w:val="20"/>
                <w:color w:val="auto"/>
              </w:rPr>
            </w:pPr>
            <w:r>
              <w:rPr>
                <w:rFonts w:ascii="Arial" w:cs="Arial" w:eastAsia="Arial" w:hAnsi="Arial"/>
                <w:sz w:val="16"/>
                <w:szCs w:val="16"/>
                <w:color w:val="auto"/>
              </w:rPr>
              <w:t>No effect—not counted as a “vote cast”</w:t>
            </w:r>
          </w:p>
        </w:tc>
      </w:tr>
      <w:tr>
        <w:trPr>
          <w:trHeight w:val="212"/>
        </w:trPr>
        <w:tc>
          <w:tcPr>
            <w:tcW w:w="1260" w:type="dxa"/>
            <w:vAlign w:val="bottom"/>
            <w:shd w:val="clear" w:color="auto" w:fill="F0F1F8"/>
          </w:tcPr>
          <w:p>
            <w:pPr>
              <w:spacing w:after="0"/>
              <w:rPr>
                <w:sz w:val="18"/>
                <w:szCs w:val="18"/>
                <w:color w:val="auto"/>
              </w:rPr>
            </w:pPr>
          </w:p>
        </w:tc>
        <w:tc>
          <w:tcPr>
            <w:tcW w:w="3060" w:type="dxa"/>
            <w:vAlign w:val="bottom"/>
            <w:shd w:val="clear" w:color="auto" w:fill="F0F1F8"/>
          </w:tcPr>
          <w:p>
            <w:pPr>
              <w:spacing w:after="0"/>
              <w:rPr>
                <w:sz w:val="18"/>
                <w:szCs w:val="18"/>
                <w:color w:val="auto"/>
              </w:rPr>
            </w:pPr>
          </w:p>
        </w:tc>
        <w:tc>
          <w:tcPr>
            <w:tcW w:w="2900" w:type="dxa"/>
            <w:vAlign w:val="bottom"/>
            <w:shd w:val="clear" w:color="auto" w:fill="F0F1F8"/>
          </w:tcPr>
          <w:p>
            <w:pPr>
              <w:ind w:left="200"/>
              <w:spacing w:after="0"/>
              <w:rPr>
                <w:sz w:val="20"/>
                <w:szCs w:val="20"/>
                <w:color w:val="auto"/>
              </w:rPr>
            </w:pPr>
            <w:r>
              <w:rPr>
                <w:rFonts w:ascii="Arial" w:cs="Arial" w:eastAsia="Arial" w:hAnsi="Arial"/>
                <w:sz w:val="16"/>
                <w:szCs w:val="16"/>
                <w:color w:val="auto"/>
              </w:rPr>
              <w:t>(for each director nominee)</w:t>
            </w:r>
          </w:p>
        </w:tc>
        <w:tc>
          <w:tcPr>
            <w:tcW w:w="4020" w:type="dxa"/>
            <w:vAlign w:val="bottom"/>
            <w:shd w:val="clear" w:color="auto" w:fill="F0F1F8"/>
          </w:tcPr>
          <w:p>
            <w:pPr>
              <w:spacing w:after="0"/>
              <w:rPr>
                <w:sz w:val="18"/>
                <w:szCs w:val="18"/>
                <w:color w:val="auto"/>
              </w:rPr>
            </w:pPr>
          </w:p>
        </w:tc>
      </w:tr>
      <w:tr>
        <w:trPr>
          <w:trHeight w:val="216"/>
        </w:trPr>
        <w:tc>
          <w:tcPr>
            <w:tcW w:w="1260" w:type="dxa"/>
            <w:vAlign w:val="bottom"/>
          </w:tcPr>
          <w:p>
            <w:pPr>
              <w:jc w:val="right"/>
              <w:ind w:right="602"/>
              <w:spacing w:after="0"/>
              <w:rPr>
                <w:sz w:val="20"/>
                <w:szCs w:val="20"/>
                <w:color w:val="auto"/>
              </w:rPr>
            </w:pPr>
            <w:r>
              <w:rPr>
                <w:rFonts w:ascii="Arial" w:cs="Arial" w:eastAsia="Arial" w:hAnsi="Arial"/>
                <w:sz w:val="16"/>
                <w:szCs w:val="16"/>
                <w:color w:val="auto"/>
              </w:rPr>
              <w:t>2</w:t>
            </w:r>
          </w:p>
        </w:tc>
        <w:tc>
          <w:tcPr>
            <w:tcW w:w="3060" w:type="dxa"/>
            <w:vAlign w:val="bottom"/>
          </w:tcPr>
          <w:p>
            <w:pPr>
              <w:ind w:left="320"/>
              <w:spacing w:after="0"/>
              <w:rPr>
                <w:sz w:val="20"/>
                <w:szCs w:val="20"/>
                <w:color w:val="auto"/>
              </w:rPr>
            </w:pPr>
            <w:r>
              <w:rPr>
                <w:rFonts w:ascii="Arial" w:cs="Arial" w:eastAsia="Arial" w:hAnsi="Arial"/>
                <w:sz w:val="16"/>
                <w:szCs w:val="16"/>
                <w:color w:val="auto"/>
              </w:rPr>
              <w:t>Advisory Vote to Approve Executive</w:t>
            </w:r>
          </w:p>
        </w:tc>
        <w:tc>
          <w:tcPr>
            <w:tcW w:w="2900" w:type="dxa"/>
            <w:vAlign w:val="bottom"/>
          </w:tcPr>
          <w:p>
            <w:pPr>
              <w:ind w:left="200"/>
              <w:spacing w:after="0"/>
              <w:rPr>
                <w:sz w:val="20"/>
                <w:szCs w:val="20"/>
                <w:color w:val="auto"/>
              </w:rPr>
            </w:pPr>
            <w:r>
              <w:rPr>
                <w:rFonts w:ascii="Arial" w:cs="Arial" w:eastAsia="Arial" w:hAnsi="Arial"/>
                <w:sz w:val="16"/>
                <w:szCs w:val="16"/>
                <w:color w:val="auto"/>
              </w:rPr>
              <w:t>FOR, AGAINST or ABSTAIN</w:t>
            </w:r>
          </w:p>
        </w:tc>
        <w:tc>
          <w:tcPr>
            <w:tcW w:w="4020" w:type="dxa"/>
            <w:vAlign w:val="bottom"/>
          </w:tcPr>
          <w:p>
            <w:pPr>
              <w:ind w:left="660"/>
              <w:spacing w:after="0"/>
              <w:rPr>
                <w:sz w:val="20"/>
                <w:szCs w:val="20"/>
                <w:color w:val="auto"/>
              </w:rPr>
            </w:pPr>
            <w:r>
              <w:rPr>
                <w:rFonts w:ascii="Arial" w:cs="Arial" w:eastAsia="Arial" w:hAnsi="Arial"/>
                <w:sz w:val="16"/>
                <w:szCs w:val="16"/>
                <w:color w:val="auto"/>
              </w:rPr>
              <w:t>No effect—not counted as a “vote cast”</w:t>
            </w:r>
          </w:p>
        </w:tc>
      </w:tr>
      <w:tr>
        <w:trPr>
          <w:trHeight w:val="203"/>
        </w:trPr>
        <w:tc>
          <w:tcPr>
            <w:tcW w:w="1260" w:type="dxa"/>
            <w:vAlign w:val="bottom"/>
          </w:tcPr>
          <w:p>
            <w:pPr>
              <w:spacing w:after="0"/>
              <w:rPr>
                <w:sz w:val="17"/>
                <w:szCs w:val="17"/>
                <w:color w:val="auto"/>
              </w:rPr>
            </w:pPr>
          </w:p>
        </w:tc>
        <w:tc>
          <w:tcPr>
            <w:tcW w:w="3060" w:type="dxa"/>
            <w:vAlign w:val="bottom"/>
          </w:tcPr>
          <w:p>
            <w:pPr>
              <w:ind w:left="320"/>
              <w:spacing w:after="0"/>
              <w:rPr>
                <w:sz w:val="20"/>
                <w:szCs w:val="20"/>
                <w:color w:val="auto"/>
              </w:rPr>
            </w:pPr>
            <w:r>
              <w:rPr>
                <w:rFonts w:ascii="Arial" w:cs="Arial" w:eastAsia="Arial" w:hAnsi="Arial"/>
                <w:sz w:val="16"/>
                <w:szCs w:val="16"/>
                <w:color w:val="auto"/>
              </w:rPr>
              <w:t>Compensation (Say-on-Pay)</w:t>
            </w:r>
          </w:p>
        </w:tc>
        <w:tc>
          <w:tcPr>
            <w:tcW w:w="2900" w:type="dxa"/>
            <w:vAlign w:val="bottom"/>
          </w:tcPr>
          <w:p>
            <w:pPr>
              <w:spacing w:after="0"/>
              <w:rPr>
                <w:sz w:val="17"/>
                <w:szCs w:val="17"/>
                <w:color w:val="auto"/>
              </w:rPr>
            </w:pPr>
          </w:p>
        </w:tc>
        <w:tc>
          <w:tcPr>
            <w:tcW w:w="4020" w:type="dxa"/>
            <w:vAlign w:val="bottom"/>
          </w:tcPr>
          <w:p>
            <w:pPr>
              <w:spacing w:after="0"/>
              <w:rPr>
                <w:sz w:val="17"/>
                <w:szCs w:val="17"/>
                <w:color w:val="auto"/>
              </w:rPr>
            </w:pPr>
          </w:p>
        </w:tc>
      </w:tr>
      <w:tr>
        <w:trPr>
          <w:trHeight w:val="226"/>
        </w:trPr>
        <w:tc>
          <w:tcPr>
            <w:tcW w:w="1260" w:type="dxa"/>
            <w:vAlign w:val="bottom"/>
            <w:shd w:val="clear" w:color="auto" w:fill="F0F1F8"/>
          </w:tcPr>
          <w:p>
            <w:pPr>
              <w:jc w:val="right"/>
              <w:ind w:right="602"/>
              <w:spacing w:after="0"/>
              <w:rPr>
                <w:sz w:val="20"/>
                <w:szCs w:val="20"/>
                <w:color w:val="auto"/>
              </w:rPr>
            </w:pPr>
            <w:r>
              <w:rPr>
                <w:rFonts w:ascii="Arial" w:cs="Arial" w:eastAsia="Arial" w:hAnsi="Arial"/>
                <w:sz w:val="16"/>
                <w:szCs w:val="16"/>
                <w:color w:val="auto"/>
              </w:rPr>
              <w:t>3</w:t>
            </w:r>
          </w:p>
        </w:tc>
        <w:tc>
          <w:tcPr>
            <w:tcW w:w="3060" w:type="dxa"/>
            <w:vAlign w:val="bottom"/>
            <w:shd w:val="clear" w:color="auto" w:fill="F0F1F8"/>
          </w:tcPr>
          <w:p>
            <w:pPr>
              <w:ind w:left="320"/>
              <w:spacing w:after="0"/>
              <w:rPr>
                <w:sz w:val="20"/>
                <w:szCs w:val="20"/>
                <w:color w:val="auto"/>
              </w:rPr>
            </w:pPr>
            <w:r>
              <w:rPr>
                <w:rFonts w:ascii="Arial" w:cs="Arial" w:eastAsia="Arial" w:hAnsi="Arial"/>
                <w:sz w:val="16"/>
                <w:szCs w:val="16"/>
                <w:color w:val="auto"/>
              </w:rPr>
              <w:t>Ratification of the Appointment of</w:t>
            </w:r>
          </w:p>
        </w:tc>
        <w:tc>
          <w:tcPr>
            <w:tcW w:w="2900" w:type="dxa"/>
            <w:vAlign w:val="bottom"/>
            <w:shd w:val="clear" w:color="auto" w:fill="F0F1F8"/>
          </w:tcPr>
          <w:p>
            <w:pPr>
              <w:ind w:left="200"/>
              <w:spacing w:after="0"/>
              <w:rPr>
                <w:sz w:val="20"/>
                <w:szCs w:val="20"/>
                <w:color w:val="auto"/>
              </w:rPr>
            </w:pPr>
            <w:r>
              <w:rPr>
                <w:rFonts w:ascii="Arial" w:cs="Arial" w:eastAsia="Arial" w:hAnsi="Arial"/>
                <w:sz w:val="16"/>
                <w:szCs w:val="16"/>
                <w:color w:val="auto"/>
              </w:rPr>
              <w:t>FOR, AGAINST or ABSTAIN</w:t>
            </w:r>
          </w:p>
        </w:tc>
        <w:tc>
          <w:tcPr>
            <w:tcW w:w="4020" w:type="dxa"/>
            <w:vAlign w:val="bottom"/>
            <w:shd w:val="clear" w:color="auto" w:fill="F0F1F8"/>
          </w:tcPr>
          <w:p>
            <w:pPr>
              <w:ind w:left="660"/>
              <w:spacing w:after="0"/>
              <w:rPr>
                <w:sz w:val="20"/>
                <w:szCs w:val="20"/>
                <w:color w:val="auto"/>
              </w:rPr>
            </w:pPr>
            <w:r>
              <w:rPr>
                <w:rFonts w:ascii="Arial" w:cs="Arial" w:eastAsia="Arial" w:hAnsi="Arial"/>
                <w:sz w:val="16"/>
                <w:szCs w:val="16"/>
                <w:color w:val="auto"/>
              </w:rPr>
              <w:t>No effect—not counted as a “vote cast”</w:t>
            </w:r>
          </w:p>
        </w:tc>
      </w:tr>
      <w:tr>
        <w:trPr>
          <w:trHeight w:val="206"/>
        </w:trPr>
        <w:tc>
          <w:tcPr>
            <w:tcW w:w="1260" w:type="dxa"/>
            <w:vAlign w:val="bottom"/>
            <w:tcBorders>
              <w:bottom w:val="single" w:sz="8" w:color="auto"/>
            </w:tcBorders>
            <w:shd w:val="clear" w:color="auto" w:fill="F0F1F8"/>
          </w:tcPr>
          <w:p>
            <w:pPr>
              <w:spacing w:after="0"/>
              <w:rPr>
                <w:sz w:val="17"/>
                <w:szCs w:val="17"/>
                <w:color w:val="auto"/>
              </w:rPr>
            </w:pPr>
          </w:p>
        </w:tc>
        <w:tc>
          <w:tcPr>
            <w:tcW w:w="3060" w:type="dxa"/>
            <w:vAlign w:val="bottom"/>
            <w:tcBorders>
              <w:bottom w:val="single" w:sz="8" w:color="auto"/>
            </w:tcBorders>
            <w:shd w:val="clear" w:color="auto" w:fill="F0F1F8"/>
          </w:tcPr>
          <w:p>
            <w:pPr>
              <w:ind w:left="320"/>
              <w:spacing w:after="0"/>
              <w:rPr>
                <w:sz w:val="20"/>
                <w:szCs w:val="20"/>
                <w:color w:val="auto"/>
              </w:rPr>
            </w:pPr>
            <w:r>
              <w:rPr>
                <w:rFonts w:ascii="Arial" w:cs="Arial" w:eastAsia="Arial" w:hAnsi="Arial"/>
                <w:sz w:val="16"/>
                <w:szCs w:val="16"/>
                <w:color w:val="auto"/>
              </w:rPr>
              <w:t>MSCI’s Independent Auditor</w:t>
            </w:r>
          </w:p>
        </w:tc>
        <w:tc>
          <w:tcPr>
            <w:tcW w:w="2900" w:type="dxa"/>
            <w:vAlign w:val="bottom"/>
            <w:tcBorders>
              <w:bottom w:val="single" w:sz="8" w:color="auto"/>
            </w:tcBorders>
            <w:shd w:val="clear" w:color="auto" w:fill="F0F1F8"/>
          </w:tcPr>
          <w:p>
            <w:pPr>
              <w:spacing w:after="0"/>
              <w:rPr>
                <w:sz w:val="17"/>
                <w:szCs w:val="17"/>
                <w:color w:val="auto"/>
              </w:rPr>
            </w:pPr>
          </w:p>
        </w:tc>
        <w:tc>
          <w:tcPr>
            <w:tcW w:w="4020" w:type="dxa"/>
            <w:vAlign w:val="bottom"/>
            <w:tcBorders>
              <w:bottom w:val="single" w:sz="8" w:color="auto"/>
            </w:tcBorders>
            <w:shd w:val="clear" w:color="auto" w:fill="F0F1F8"/>
          </w:tcPr>
          <w:p>
            <w:pPr>
              <w:spacing w:after="0"/>
              <w:rPr>
                <w:sz w:val="17"/>
                <w:szCs w:val="17"/>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many votes are required to elect directors and adopt proposals?</w:t>
      </w:r>
    </w:p>
    <w:p>
      <w:pPr>
        <w:spacing w:after="0" w:line="238"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The election of each director and ratification of the appointment of PwC as MSCI’s independent auditor requires the affirmative vote of a majority of the shares of common stock represented or by proxy at the meeting and entitled to vote. The approval of a resolution regarding the compensation of our NEOs as disclosed in this Proxy Statement is a non-binding advisory vote; however, we value the opinions of our stockholders and will take into account the outcome of this vote in considering future compensation arrangements. A majority of the shares entitled to vote on a matter, whether present virtually or by proxy, will constitute a quorum at the meeting.</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happens if a director does not receive a majority of the votes required for his or her re-election?</w:t>
      </w:r>
    </w:p>
    <w:p>
      <w:pPr>
        <w:spacing w:after="0" w:line="238" w:lineRule="exact"/>
        <w:rPr>
          <w:sz w:val="20"/>
          <w:szCs w:val="20"/>
          <w:color w:val="auto"/>
        </w:rPr>
      </w:pPr>
    </w:p>
    <w:p>
      <w:pPr>
        <w:ind w:right="120"/>
        <w:spacing w:after="0" w:line="246" w:lineRule="auto"/>
        <w:rPr>
          <w:sz w:val="20"/>
          <w:szCs w:val="20"/>
          <w:color w:val="auto"/>
        </w:rPr>
      </w:pPr>
      <w:r>
        <w:rPr>
          <w:rFonts w:ascii="Arial" w:cs="Arial" w:eastAsia="Arial" w:hAnsi="Arial"/>
          <w:sz w:val="16"/>
          <w:szCs w:val="16"/>
          <w:color w:val="auto"/>
        </w:rPr>
        <w:t>Under the laws of Delaware (our state of incorporation), if the director is not elected at the annual meeting, the director will continue to serve on the Board as a “holdover director.” However, our Bylaws provide that, in order for an incumbent director to become a nominee of the Board, the director must submit an irrevocable resignation as director that becomes effective if (i) he or she does not receive a majority of the votes cast in an uncontested election and (ii) the Board accepts the resignation. If a director does not receive a majority of the votes cast in an uncontested election, the Governance Committee will consider the director’s resignation and recommend to the Board whether to accept or reject the resignation. The Board will decide whether to accept or reject the resignation and publicly disclose its decision within 90 days after the election results are certified.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128270</wp:posOffset>
            </wp:positionV>
            <wp:extent cx="7154545" cy="209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00" w:type="dxa"/>
            <w:vAlign w:val="bottom"/>
            <w:tcBorders>
              <w:right w:val="single" w:sz="8" w:color="16479F"/>
            </w:tcBorders>
          </w:tcPr>
          <w:p>
            <w:pPr>
              <w:jc w:val="right"/>
              <w:ind w:right="289"/>
              <w:spacing w:after="0"/>
              <w:rPr>
                <w:sz w:val="20"/>
                <w:szCs w:val="20"/>
                <w:color w:val="auto"/>
              </w:rPr>
            </w:pPr>
            <w:r>
              <w:rPr>
                <w:rFonts w:ascii="Arial" w:cs="Arial" w:eastAsia="Arial" w:hAnsi="Arial"/>
                <w:sz w:val="14"/>
                <w:szCs w:val="14"/>
                <w:b w:val="1"/>
                <w:bCs w:val="1"/>
                <w:color w:val="16479F"/>
              </w:rPr>
              <w:t>108</w:t>
            </w:r>
          </w:p>
        </w:tc>
        <w:tc>
          <w:tcPr>
            <w:tcW w:w="10540" w:type="dxa"/>
            <w:vAlign w:val="bottom"/>
          </w:tcPr>
          <w:p>
            <w:pPr>
              <w:ind w:left="100"/>
              <w:spacing w:after="0"/>
              <w:rPr>
                <w:sz w:val="20"/>
                <w:szCs w:val="20"/>
                <w:color w:val="auto"/>
              </w:rPr>
            </w:pPr>
            <w:r>
              <w:rPr>
                <w:rFonts w:ascii="Arial" w:cs="Arial" w:eastAsia="Arial" w:hAnsi="Arial"/>
                <w:sz w:val="14"/>
                <w:szCs w:val="14"/>
                <w:b w:val="1"/>
                <w:bCs w:val="1"/>
                <w:color w:val="16479F"/>
              </w:rPr>
              <w:t>MSCI  |  ANNEX A: FREQUENTLY ASKED QUESTIONS</w:t>
            </w:r>
          </w:p>
        </w:tc>
      </w:tr>
      <w:tr>
        <w:trPr>
          <w:trHeight w:val="65"/>
        </w:trPr>
        <w:tc>
          <w:tcPr>
            <w:tcW w:w="700" w:type="dxa"/>
            <w:vAlign w:val="bottom"/>
            <w:tcBorders>
              <w:bottom w:val="single" w:sz="8" w:color="16479F"/>
              <w:right w:val="single" w:sz="8" w:color="16479F"/>
            </w:tcBorders>
          </w:tcPr>
          <w:p>
            <w:pPr>
              <w:spacing w:after="0"/>
              <w:rPr>
                <w:sz w:val="5"/>
                <w:szCs w:val="5"/>
                <w:color w:val="auto"/>
              </w:rPr>
            </w:pPr>
          </w:p>
        </w:tc>
        <w:tc>
          <w:tcPr>
            <w:tcW w:w="10540" w:type="dxa"/>
            <w:vAlign w:val="bottom"/>
            <w:tcBorders>
              <w:bottom w:val="single" w:sz="8" w:color="16479F"/>
            </w:tcBorders>
          </w:tcPr>
          <w:p>
            <w:pPr>
              <w:spacing w:after="0"/>
              <w:rPr>
                <w:sz w:val="5"/>
                <w:szCs w:val="5"/>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do I revoke or change my proxy?</w:t>
      </w:r>
    </w:p>
    <w:p>
      <w:pPr>
        <w:spacing w:after="0" w:line="238"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If you are a “record holder,” you can revoke or change your proxy at any time before your shares are voted, subject to the voting deadlines that are described on the proxy card or voting instruction form, as applicable, by:</w:t>
      </w:r>
    </w:p>
    <w:p>
      <w:pPr>
        <w:spacing w:after="0" w:line="177" w:lineRule="exact"/>
        <w:rPr>
          <w:sz w:val="20"/>
          <w:szCs w:val="20"/>
          <w:color w:val="auto"/>
        </w:rPr>
      </w:pPr>
    </w:p>
    <w:p>
      <w:pPr>
        <w:ind w:left="240" w:hanging="233"/>
        <w:spacing w:after="0"/>
        <w:tabs>
          <w:tab w:leader="none" w:pos="240" w:val="left"/>
        </w:tabs>
        <w:numPr>
          <w:ilvl w:val="0"/>
          <w:numId w:val="156"/>
        </w:numPr>
        <w:rPr>
          <w:rFonts w:ascii="Arial" w:cs="Arial" w:eastAsia="Arial" w:hAnsi="Arial"/>
          <w:sz w:val="16"/>
          <w:szCs w:val="16"/>
          <w:color w:val="16479F"/>
        </w:rPr>
      </w:pPr>
      <w:r>
        <w:rPr>
          <w:rFonts w:ascii="Arial" w:cs="Arial" w:eastAsia="Arial" w:hAnsi="Arial"/>
          <w:sz w:val="16"/>
          <w:szCs w:val="16"/>
          <w:b w:val="1"/>
          <w:bCs w:val="1"/>
          <w:color w:val="auto"/>
        </w:rPr>
        <w:t xml:space="preserve">Voting </w:t>
      </w:r>
      <w:r>
        <w:rPr>
          <w:rFonts w:ascii="Arial" w:cs="Arial" w:eastAsia="Arial" w:hAnsi="Arial"/>
          <w:sz w:val="16"/>
          <w:szCs w:val="16"/>
          <w:color w:val="auto"/>
        </w:rPr>
        <w:t>again by internet or by telephone (only your last internet or telephone proxy submitted prior to the meeting will be counted);</w:t>
      </w:r>
    </w:p>
    <w:p>
      <w:pPr>
        <w:spacing w:after="0" w:line="103" w:lineRule="exact"/>
        <w:rPr>
          <w:rFonts w:ascii="Arial" w:cs="Arial" w:eastAsia="Arial" w:hAnsi="Arial"/>
          <w:sz w:val="16"/>
          <w:szCs w:val="16"/>
          <w:color w:val="16479F"/>
        </w:rPr>
      </w:pPr>
    </w:p>
    <w:p>
      <w:pPr>
        <w:ind w:left="240" w:hanging="233"/>
        <w:spacing w:after="0"/>
        <w:tabs>
          <w:tab w:leader="none" w:pos="240" w:val="left"/>
        </w:tabs>
        <w:numPr>
          <w:ilvl w:val="0"/>
          <w:numId w:val="156"/>
        </w:numPr>
        <w:rPr>
          <w:rFonts w:ascii="Arial" w:cs="Arial" w:eastAsia="Arial" w:hAnsi="Arial"/>
          <w:sz w:val="16"/>
          <w:szCs w:val="16"/>
          <w:color w:val="16479F"/>
        </w:rPr>
      </w:pPr>
      <w:r>
        <w:rPr>
          <w:rFonts w:ascii="Arial" w:cs="Arial" w:eastAsia="Arial" w:hAnsi="Arial"/>
          <w:sz w:val="16"/>
          <w:szCs w:val="16"/>
          <w:color w:val="auto"/>
        </w:rPr>
        <w:t>Signing and returning a new proxy card with a later date; or</w:t>
      </w:r>
    </w:p>
    <w:p>
      <w:pPr>
        <w:spacing w:after="0" w:line="83" w:lineRule="exact"/>
        <w:rPr>
          <w:rFonts w:ascii="Arial" w:cs="Arial" w:eastAsia="Arial" w:hAnsi="Arial"/>
          <w:sz w:val="16"/>
          <w:szCs w:val="16"/>
          <w:color w:val="16479F"/>
        </w:rPr>
      </w:pPr>
    </w:p>
    <w:p>
      <w:pPr>
        <w:ind w:left="240" w:right="420" w:hanging="233"/>
        <w:spacing w:after="0" w:line="256" w:lineRule="auto"/>
        <w:tabs>
          <w:tab w:leader="none" w:pos="240" w:val="left"/>
        </w:tabs>
        <w:numPr>
          <w:ilvl w:val="0"/>
          <w:numId w:val="156"/>
        </w:numPr>
        <w:rPr>
          <w:rFonts w:ascii="Arial" w:cs="Arial" w:eastAsia="Arial" w:hAnsi="Arial"/>
          <w:sz w:val="16"/>
          <w:szCs w:val="16"/>
          <w:color w:val="16479F"/>
        </w:rPr>
      </w:pPr>
      <w:r>
        <w:rPr>
          <w:rFonts w:ascii="Arial" w:cs="Arial" w:eastAsia="Arial" w:hAnsi="Arial"/>
          <w:sz w:val="16"/>
          <w:szCs w:val="16"/>
          <w:color w:val="auto"/>
        </w:rPr>
        <w:t>Voting by internet while attending the virtual annual meeting (attending the annual meeting by internet does not revoke your proxy unless you vote by internet during the virtual annual meeting).</w:t>
      </w:r>
    </w:p>
    <w:p>
      <w:pPr>
        <w:spacing w:after="0" w:line="197" w:lineRule="exact"/>
        <w:rPr>
          <w:sz w:val="20"/>
          <w:szCs w:val="20"/>
          <w:color w:val="auto"/>
        </w:rPr>
      </w:pPr>
    </w:p>
    <w:p>
      <w:pPr>
        <w:jc w:val="both"/>
        <w:ind w:right="520"/>
        <w:spacing w:after="0" w:line="289" w:lineRule="auto"/>
        <w:rPr>
          <w:sz w:val="20"/>
          <w:szCs w:val="20"/>
          <w:color w:val="auto"/>
        </w:rPr>
      </w:pPr>
      <w:r>
        <w:rPr>
          <w:rFonts w:ascii="Arial" w:cs="Arial" w:eastAsia="Arial" w:hAnsi="Arial"/>
          <w:sz w:val="15"/>
          <w:szCs w:val="15"/>
          <w:color w:val="auto"/>
        </w:rPr>
        <w:t>If you are a “record holder,” you may also revoke your proxy by giving written notice of revocation to c/o Corporate Secretary, MSCI Inc., 7 World Trade Center, 250 Greenwich Street, 49th Floor, New York, New York 10007, which must be received no later than 5:00 P.M. Eastern Time, on April 25, 2022.</w:t>
      </w:r>
    </w:p>
    <w:p>
      <w:pPr>
        <w:spacing w:after="0" w:line="174" w:lineRule="exact"/>
        <w:rPr>
          <w:sz w:val="20"/>
          <w:szCs w:val="20"/>
          <w:color w:val="auto"/>
        </w:rPr>
      </w:pPr>
    </w:p>
    <w:p>
      <w:pPr>
        <w:jc w:val="both"/>
        <w:ind w:right="60"/>
        <w:spacing w:after="0" w:line="256" w:lineRule="auto"/>
        <w:rPr>
          <w:sz w:val="20"/>
          <w:szCs w:val="20"/>
          <w:color w:val="auto"/>
        </w:rPr>
      </w:pPr>
      <w:r>
        <w:rPr>
          <w:rFonts w:ascii="Arial" w:cs="Arial" w:eastAsia="Arial" w:hAnsi="Arial"/>
          <w:sz w:val="16"/>
          <w:szCs w:val="16"/>
          <w:color w:val="auto"/>
        </w:rPr>
        <w:t>If you are a beneficial owner of shares held in “street name,” you may revoke your proxy by following the instructions your brokerage firm, bank, broker dealer or other intermediary provides.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Will my vote be confidential?</w:t>
      </w:r>
    </w:p>
    <w:p>
      <w:pPr>
        <w:spacing w:after="0" w:line="238" w:lineRule="exact"/>
        <w:rPr>
          <w:sz w:val="20"/>
          <w:szCs w:val="20"/>
          <w:color w:val="auto"/>
        </w:rPr>
      </w:pPr>
    </w:p>
    <w:p>
      <w:pPr>
        <w:ind w:right="260"/>
        <w:spacing w:after="0" w:line="256" w:lineRule="auto"/>
        <w:rPr>
          <w:sz w:val="20"/>
          <w:szCs w:val="20"/>
          <w:color w:val="auto"/>
        </w:rPr>
      </w:pPr>
      <w:r>
        <w:rPr>
          <w:rFonts w:ascii="Arial" w:cs="Arial" w:eastAsia="Arial" w:hAnsi="Arial"/>
          <w:sz w:val="16"/>
          <w:szCs w:val="16"/>
          <w:color w:val="auto"/>
        </w:rPr>
        <w:t>Our Bylaws provide that your individual vote is confidential and will not be disclosed to any officer, director or employee of MSCI, except as required by law and in certain limited circumstances such as when you request or consent to disclosure, or make a request or comment on the proxy card.</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counts the votes cast at the 2022 Annual Meeting?</w:t>
      </w:r>
    </w:p>
    <w:p>
      <w:pPr>
        <w:spacing w:after="0" w:line="238" w:lineRule="exact"/>
        <w:rPr>
          <w:sz w:val="20"/>
          <w:szCs w:val="20"/>
          <w:color w:val="auto"/>
        </w:rPr>
      </w:pPr>
    </w:p>
    <w:p>
      <w:pPr>
        <w:ind w:right="460"/>
        <w:spacing w:after="0" w:line="256" w:lineRule="auto"/>
        <w:rPr>
          <w:sz w:val="20"/>
          <w:szCs w:val="20"/>
          <w:color w:val="auto"/>
        </w:rPr>
      </w:pPr>
      <w:r>
        <w:rPr>
          <w:rFonts w:ascii="Arial" w:cs="Arial" w:eastAsia="Arial" w:hAnsi="Arial"/>
          <w:sz w:val="16"/>
          <w:szCs w:val="16"/>
          <w:color w:val="auto"/>
        </w:rPr>
        <w:t>Representatives of Broadridge will tabulate the votes cast at the 2022 Annual Meeting, and American Election Services, LLC will act as the independent inspector of elections.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Where can I find the voting results of the 2022 Annual Meeting?</w:t>
      </w:r>
    </w:p>
    <w:p>
      <w:pPr>
        <w:spacing w:after="0" w:line="238" w:lineRule="exact"/>
        <w:rPr>
          <w:sz w:val="20"/>
          <w:szCs w:val="20"/>
          <w:color w:val="auto"/>
        </w:rPr>
      </w:pPr>
    </w:p>
    <w:p>
      <w:pPr>
        <w:jc w:val="both"/>
        <w:ind w:right="60"/>
        <w:spacing w:after="0" w:line="250" w:lineRule="auto"/>
        <w:rPr>
          <w:sz w:val="20"/>
          <w:szCs w:val="20"/>
          <w:color w:val="auto"/>
        </w:rPr>
      </w:pPr>
      <w:r>
        <w:rPr>
          <w:rFonts w:ascii="Arial" w:cs="Arial" w:eastAsia="Arial" w:hAnsi="Arial"/>
          <w:sz w:val="16"/>
          <w:szCs w:val="16"/>
          <w:color w:val="auto"/>
        </w:rPr>
        <w:t>We expect to announce the preliminary voting results at the 2022 Annual Meeting. The final voting results will be tallied by representatives of Broadridge, our inspector of elections, and will be subsequently published by us by the filing of a Current Report on Form 8-K with the SEC within four business days after the 2022 Annual Meeting.</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will pay for the cost of the proxy solicitation?</w:t>
      </w:r>
    </w:p>
    <w:p>
      <w:pPr>
        <w:spacing w:after="0" w:line="238"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We pay the expenses of the preparation of proxy materials and the solicitation of proxies for our 2022 Annual Meeting. Proxies may be solicited on our behalf by directors, officers, employees or agents in person or by telephone, electronic transmission and facsimile transmission. Our directors, officers and employees will receive no additional compensation for any such solicitation.</w:t>
      </w:r>
    </w:p>
    <w:p>
      <w:pPr>
        <w:spacing w:after="0" w:line="202"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We have also hired Saratoga Proxy Consulting LLC (“Saratoga”), 520 8th Avenue, New York, NY 10018, to assist in the distribution and solicitation of proxies. We will pay Saratoga a fee of $10,000, plus reasonable expenses, for these services. We will reimburse brokers and other similar institutions for costs incurred by them in mailing proxy materials to beneficial owners.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do I sign up for electronic delivery of proxy materials?</w:t>
      </w:r>
    </w:p>
    <w:p>
      <w:pPr>
        <w:spacing w:after="0" w:line="238" w:lineRule="exact"/>
        <w:rPr>
          <w:sz w:val="20"/>
          <w:szCs w:val="20"/>
          <w:color w:val="auto"/>
        </w:rPr>
      </w:pPr>
    </w:p>
    <w:p>
      <w:pPr>
        <w:ind w:right="60"/>
        <w:spacing w:after="0" w:line="246" w:lineRule="auto"/>
        <w:rPr>
          <w:sz w:val="20"/>
          <w:szCs w:val="20"/>
          <w:color w:val="auto"/>
        </w:rPr>
      </w:pPr>
      <w:r>
        <w:rPr>
          <w:rFonts w:ascii="Arial" w:cs="Arial" w:eastAsia="Arial" w:hAnsi="Arial"/>
          <w:sz w:val="16"/>
          <w:szCs w:val="16"/>
          <w:color w:val="auto"/>
        </w:rPr>
        <w:t xml:space="preserve">Shareholders can access this Proxy Statement and our 2021 Annual Report on Form 10-K via the internet at </w:t>
      </w:r>
      <w:r>
        <w:rPr>
          <w:rFonts w:ascii="Arial" w:cs="Arial" w:eastAsia="Arial" w:hAnsi="Arial"/>
          <w:sz w:val="16"/>
          <w:szCs w:val="16"/>
          <w:color w:val="00B5AA"/>
        </w:rPr>
        <w:t>www.proxyvote.com</w:t>
      </w:r>
      <w:r>
        <w:rPr>
          <w:rFonts w:ascii="Arial" w:cs="Arial" w:eastAsia="Arial" w:hAnsi="Arial"/>
          <w:sz w:val="16"/>
          <w:szCs w:val="16"/>
          <w:color w:val="auto"/>
        </w:rPr>
        <w:t xml:space="preserve"> by following the instructions outlined on the secure website. For future annual meetings of shareholders, shareholders can consent to accessing our proxy materials, including the Notice of Internet Availability of Proxy Materials, our 2021 Annual Report on Form 10-K and the Proxy Statement, electronically in lieu of receiving hard copies by mail. To receive our proxy materials electronically, you will need access to a computer and an email account. If you vote through the internet at </w:t>
      </w:r>
      <w:r>
        <w:rPr>
          <w:rFonts w:ascii="Arial" w:cs="Arial" w:eastAsia="Arial" w:hAnsi="Arial"/>
          <w:sz w:val="16"/>
          <w:szCs w:val="16"/>
          <w:color w:val="00B5AA"/>
        </w:rPr>
        <w:t>www.proxyvote.com</w:t>
      </w:r>
      <w:r>
        <w:rPr>
          <w:rFonts w:ascii="Arial" w:cs="Arial" w:eastAsia="Arial" w:hAnsi="Arial"/>
          <w:sz w:val="16"/>
          <w:szCs w:val="16"/>
          <w:color w:val="000000"/>
        </w:rPr>
        <w:t>, you will be prompted to consent to receiving proxy materials electronically in future years. To consent to electronic delivery, when</w:t>
      </w:r>
      <w:r>
        <w:rPr>
          <w:rFonts w:ascii="Arial" w:cs="Arial" w:eastAsia="Arial" w:hAnsi="Arial"/>
          <w:sz w:val="16"/>
          <w:szCs w:val="16"/>
          <w:color w:val="00B5AA"/>
        </w:rPr>
        <w:t xml:space="preserve"> </w:t>
      </w:r>
      <w:r>
        <w:rPr>
          <w:rFonts w:ascii="Arial" w:cs="Arial" w:eastAsia="Arial" w:hAnsi="Arial"/>
          <w:sz w:val="16"/>
          <w:szCs w:val="16"/>
          <w:color w:val="000000"/>
        </w:rPr>
        <w:t>prompted, you must indicate that you agree to receive such materials electronically in future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128270</wp:posOffset>
            </wp:positionV>
            <wp:extent cx="7154545" cy="209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00" w:type="dxa"/>
            <w:vAlign w:val="bottom"/>
            <w:tcBorders>
              <w:right w:val="single" w:sz="8" w:color="16479F"/>
            </w:tcBorders>
          </w:tcPr>
          <w:p>
            <w:pPr>
              <w:ind w:left="8700"/>
              <w:spacing w:after="0"/>
              <w:rPr>
                <w:sz w:val="20"/>
                <w:szCs w:val="20"/>
                <w:color w:val="auto"/>
              </w:rPr>
            </w:pPr>
            <w:r>
              <w:rPr>
                <w:rFonts w:ascii="Arial" w:cs="Arial" w:eastAsia="Arial" w:hAnsi="Arial"/>
                <w:sz w:val="14"/>
                <w:szCs w:val="14"/>
                <w:b w:val="1"/>
                <w:bCs w:val="1"/>
                <w:color w:val="16479F"/>
              </w:rPr>
              <w:t>2022 PROXY STATEMENT</w:t>
            </w:r>
          </w:p>
        </w:tc>
        <w:tc>
          <w:tcPr>
            <w:tcW w:w="640" w:type="dxa"/>
            <w:vAlign w:val="bottom"/>
          </w:tcPr>
          <w:p>
            <w:pPr>
              <w:jc w:val="right"/>
              <w:ind w:right="9"/>
              <w:spacing w:after="0"/>
              <w:rPr>
                <w:sz w:val="20"/>
                <w:szCs w:val="20"/>
                <w:color w:val="auto"/>
              </w:rPr>
            </w:pPr>
            <w:r>
              <w:rPr>
                <w:rFonts w:ascii="Arial" w:cs="Arial" w:eastAsia="Arial" w:hAnsi="Arial"/>
                <w:sz w:val="14"/>
                <w:szCs w:val="14"/>
                <w:b w:val="1"/>
                <w:bCs w:val="1"/>
                <w:color w:val="16479F"/>
              </w:rPr>
              <w:t>109</w:t>
            </w:r>
          </w:p>
        </w:tc>
      </w:tr>
      <w:tr>
        <w:trPr>
          <w:trHeight w:val="65"/>
        </w:trPr>
        <w:tc>
          <w:tcPr>
            <w:tcW w:w="10600" w:type="dxa"/>
            <w:vAlign w:val="bottom"/>
            <w:tcBorders>
              <w:bottom w:val="single" w:sz="8" w:color="16479F"/>
              <w:right w:val="single" w:sz="8" w:color="16479F"/>
            </w:tcBorders>
          </w:tcPr>
          <w:p>
            <w:pPr>
              <w:spacing w:after="0"/>
              <w:rPr>
                <w:sz w:val="5"/>
                <w:szCs w:val="5"/>
                <w:color w:val="auto"/>
              </w:rPr>
            </w:pPr>
          </w:p>
        </w:tc>
        <w:tc>
          <w:tcPr>
            <w:tcW w:w="640" w:type="dxa"/>
            <w:vAlign w:val="bottom"/>
            <w:tcBorders>
              <w:bottom w:val="single" w:sz="8" w:color="16479F"/>
            </w:tcBorders>
          </w:tcPr>
          <w:p>
            <w:pPr>
              <w:spacing w:after="0"/>
              <w:rPr>
                <w:sz w:val="5"/>
                <w:szCs w:val="5"/>
                <w:color w:val="auto"/>
              </w:rPr>
            </w:pPr>
          </w:p>
        </w:tc>
      </w:tr>
    </w:tbl>
    <w:p>
      <w:pPr>
        <w:spacing w:after="0" w:line="216" w:lineRule="exact"/>
        <w:rPr>
          <w:sz w:val="20"/>
          <w:szCs w:val="20"/>
          <w:color w:val="auto"/>
        </w:rPr>
      </w:pPr>
    </w:p>
    <w:p>
      <w:pPr>
        <w:ind w:right="560"/>
        <w:spacing w:after="0" w:line="256" w:lineRule="auto"/>
        <w:rPr>
          <w:sz w:val="20"/>
          <w:szCs w:val="20"/>
          <w:color w:val="auto"/>
        </w:rPr>
      </w:pPr>
      <w:r>
        <w:rPr>
          <w:rFonts w:ascii="Arial" w:cs="Arial" w:eastAsia="Arial" w:hAnsi="Arial"/>
          <w:sz w:val="16"/>
          <w:szCs w:val="16"/>
          <w:color w:val="auto"/>
        </w:rPr>
        <w:t>Shareholders that wish to revoke their request for electronic delivery may do so at any time without charge, by contacting us in writing at c/o Corporate Secretary, MSCI Inc., 7 World Trade Center, 250 Greenwich Street, 49th Floor, New York, New York 10007 or by telephone at (212) 981-7465.</w:t>
      </w:r>
    </w:p>
    <w:p>
      <w:pPr>
        <w:spacing w:after="0" w:line="197" w:lineRule="exact"/>
        <w:rPr>
          <w:sz w:val="20"/>
          <w:szCs w:val="20"/>
          <w:color w:val="auto"/>
        </w:rPr>
      </w:pPr>
    </w:p>
    <w:p>
      <w:pPr>
        <w:ind w:right="400"/>
        <w:spacing w:after="0" w:line="256" w:lineRule="auto"/>
        <w:rPr>
          <w:sz w:val="20"/>
          <w:szCs w:val="20"/>
          <w:color w:val="auto"/>
        </w:rPr>
      </w:pPr>
      <w:r>
        <w:rPr>
          <w:rFonts w:ascii="Arial" w:cs="Arial" w:eastAsia="Arial" w:hAnsi="Arial"/>
          <w:sz w:val="16"/>
          <w:szCs w:val="16"/>
          <w:color w:val="auto"/>
        </w:rPr>
        <w:t>If you hold your shares through a brokerage firm, bank, broker dealer or other intermediary and you have not already done so, you can choose electronic delivery of our proxy materials by contacting such intermediary. You may also update your email address by contacting such intermediary.</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is householding?</w:t>
      </w:r>
    </w:p>
    <w:p>
      <w:pPr>
        <w:spacing w:after="0" w:line="238" w:lineRule="exact"/>
        <w:rPr>
          <w:sz w:val="20"/>
          <w:szCs w:val="20"/>
          <w:color w:val="auto"/>
        </w:rPr>
      </w:pPr>
    </w:p>
    <w:p>
      <w:pPr>
        <w:ind w:right="100"/>
        <w:spacing w:after="0" w:line="247" w:lineRule="auto"/>
        <w:rPr>
          <w:sz w:val="20"/>
          <w:szCs w:val="20"/>
          <w:color w:val="auto"/>
        </w:rPr>
      </w:pPr>
      <w:r>
        <w:rPr>
          <w:rFonts w:ascii="Arial" w:cs="Arial" w:eastAsia="Arial" w:hAnsi="Arial"/>
          <w:sz w:val="16"/>
          <w:szCs w:val="16"/>
          <w:color w:val="auto"/>
        </w:rPr>
        <w:t>Consistent with notices sent to shareholders of record sharing a single address, we will send only one copy of each of the Notice of Internet Availability of Proxy Materials, our 2021 Annual Report on Form 10-K and this Proxy Statement to that address unless we have received contrary instructions from any shareholder at that address. This “householding” practice reduces our printing and postage costs. Shareholders may request or discontinue householding, or may request a separate copy of each of the Notice of Internet Availability of Proxy Materials, our 2021 Annual Report on Form 10-K or this Proxy Statement as follows:</w:t>
      </w:r>
    </w:p>
    <w:p>
      <w:pPr>
        <w:spacing w:after="0" w:line="205" w:lineRule="exact"/>
        <w:rPr>
          <w:sz w:val="20"/>
          <w:szCs w:val="20"/>
          <w:color w:val="auto"/>
        </w:rPr>
      </w:pPr>
    </w:p>
    <w:p>
      <w:pPr>
        <w:ind w:left="240" w:right="260" w:hanging="233"/>
        <w:spacing w:after="0" w:line="256" w:lineRule="auto"/>
        <w:tabs>
          <w:tab w:leader="none" w:pos="240" w:val="left"/>
        </w:tabs>
        <w:numPr>
          <w:ilvl w:val="0"/>
          <w:numId w:val="157"/>
        </w:numPr>
        <w:rPr>
          <w:rFonts w:ascii="Arial" w:cs="Arial" w:eastAsia="Arial" w:hAnsi="Arial"/>
          <w:sz w:val="16"/>
          <w:szCs w:val="16"/>
          <w:color w:val="16479F"/>
        </w:rPr>
      </w:pPr>
      <w:r>
        <w:rPr>
          <w:rFonts w:ascii="Arial" w:cs="Arial" w:eastAsia="Arial" w:hAnsi="Arial"/>
          <w:sz w:val="16"/>
          <w:szCs w:val="16"/>
          <w:color w:val="auto"/>
        </w:rPr>
        <w:t>Shareholders wishing to discontinue or begin householding, should contact us in writing at c/o Corporate Secretary at MSCI Inc., 7 World Trade Center, 250 Greenwich Street, 49th Floor, New York, New York 10007 or by telephone at (212) 981-7465.</w:t>
      </w:r>
    </w:p>
    <w:p>
      <w:pPr>
        <w:spacing w:after="0" w:line="62" w:lineRule="exact"/>
        <w:rPr>
          <w:rFonts w:ascii="Arial" w:cs="Arial" w:eastAsia="Arial" w:hAnsi="Arial"/>
          <w:sz w:val="16"/>
          <w:szCs w:val="16"/>
          <w:color w:val="16479F"/>
        </w:rPr>
      </w:pPr>
    </w:p>
    <w:p>
      <w:pPr>
        <w:ind w:left="240" w:right="280" w:hanging="233"/>
        <w:spacing w:after="0" w:line="256" w:lineRule="auto"/>
        <w:tabs>
          <w:tab w:leader="none" w:pos="240" w:val="left"/>
        </w:tabs>
        <w:numPr>
          <w:ilvl w:val="0"/>
          <w:numId w:val="157"/>
        </w:numPr>
        <w:rPr>
          <w:rFonts w:ascii="Arial" w:cs="Arial" w:eastAsia="Arial" w:hAnsi="Arial"/>
          <w:sz w:val="16"/>
          <w:szCs w:val="16"/>
          <w:color w:val="16479F"/>
        </w:rPr>
      </w:pPr>
      <w:r>
        <w:rPr>
          <w:rFonts w:ascii="Arial" w:cs="Arial" w:eastAsia="Arial" w:hAnsi="Arial"/>
          <w:sz w:val="16"/>
          <w:szCs w:val="16"/>
          <w:color w:val="auto"/>
        </w:rPr>
        <w:t>Shareholders owning their shares through a bank, broker or other holder of record who wish to either discontinue or begin householding should contact their record holder.</w:t>
      </w:r>
    </w:p>
    <w:p>
      <w:pPr>
        <w:spacing w:after="0" w:line="62" w:lineRule="exact"/>
        <w:rPr>
          <w:rFonts w:ascii="Arial" w:cs="Arial" w:eastAsia="Arial" w:hAnsi="Arial"/>
          <w:sz w:val="16"/>
          <w:szCs w:val="16"/>
          <w:color w:val="16479F"/>
        </w:rPr>
      </w:pPr>
    </w:p>
    <w:p>
      <w:pPr>
        <w:ind w:left="240" w:right="40" w:hanging="233"/>
        <w:spacing w:after="0" w:line="248" w:lineRule="auto"/>
        <w:tabs>
          <w:tab w:leader="none" w:pos="240" w:val="left"/>
        </w:tabs>
        <w:numPr>
          <w:ilvl w:val="0"/>
          <w:numId w:val="157"/>
        </w:numPr>
        <w:rPr>
          <w:rFonts w:ascii="Arial" w:cs="Arial" w:eastAsia="Arial" w:hAnsi="Arial"/>
          <w:sz w:val="16"/>
          <w:szCs w:val="16"/>
          <w:color w:val="16479F"/>
        </w:rPr>
      </w:pPr>
      <w:r>
        <w:rPr>
          <w:rFonts w:ascii="Arial" w:cs="Arial" w:eastAsia="Arial" w:hAnsi="Arial"/>
          <w:sz w:val="16"/>
          <w:szCs w:val="16"/>
          <w:color w:val="auto"/>
        </w:rPr>
        <w:t>Any householded shareholder may request prompt delivery of a copy of each of the Notice of Internet Availability of Proxy Materials, our 2021 Annual Report on Form 10-K or the Proxy Statement, as applicable, by contacting us at (212) 981-7465 or by writing to us at Investor Relations, MSCI Inc., 7 World Trade Center, 250 Greenwich Street, 49th Floor, New York, New York 10007 or via email at investor.relations@msci.com. Instructions for requesting such materials are also included in the Notice of Internet Availability of Proxy Materials.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can I submit a recommendation for a director candidate?</w:t>
      </w:r>
    </w:p>
    <w:p>
      <w:pPr>
        <w:spacing w:after="0" w:line="238" w:lineRule="exact"/>
        <w:rPr>
          <w:sz w:val="20"/>
          <w:szCs w:val="20"/>
          <w:color w:val="auto"/>
        </w:rPr>
      </w:pPr>
    </w:p>
    <w:p>
      <w:pPr>
        <w:ind w:right="300"/>
        <w:spacing w:after="0" w:line="256" w:lineRule="auto"/>
        <w:rPr>
          <w:sz w:val="20"/>
          <w:szCs w:val="20"/>
          <w:color w:val="auto"/>
        </w:rPr>
      </w:pPr>
      <w:r>
        <w:rPr>
          <w:rFonts w:ascii="Arial" w:cs="Arial" w:eastAsia="Arial" w:hAnsi="Arial"/>
          <w:sz w:val="16"/>
          <w:szCs w:val="16"/>
          <w:color w:val="auto"/>
        </w:rPr>
        <w:t>The Governance Committee oversees searches for and identifies qualified individuals for membership on MSCI’s Board. Please see page 30 of this Proxy Statement for additional information on director qualifications.</w:t>
      </w:r>
    </w:p>
    <w:p>
      <w:pPr>
        <w:spacing w:after="0" w:line="197"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Shareholders may make recommendations for consideration by the Governance Committee at any time. To recommend a director candidate for consideration by the Governance Committee, a shareholder must submit a written notice which demonstrates that it is being submitted by a shareholder of MSCI and include information about each proposed director candidate, including name, age, business address, principal occupation, principal qualifications and other relevant biographical information. In addition, the shareholder must confirm his or her candidate’s consent to serve as a director. There is no difference in the manner in which the Governance Committee evaluates nominees proposed by shareholders and those identified by the Governance Committee. Shareholders must send recommendations to the Governance Committee, c/o Corporate Secretary, MSCI Inc., 7 World Trade Center, 250 Greenwich Street, 49th Floor, New York, New York 10007.</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can I submit nominees (such as through proxy access) or a shareholder proposal at the 2023 annual meeting of shareholders?</w:t>
      </w:r>
    </w:p>
    <w:p>
      <w:pPr>
        <w:spacing w:after="0" w:line="238"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Shareholders who wish to submit a “proxy access” nomination for inclusion in our proxy statement in connection with our 2023 annual meeting of shareholders may do so by submitting a nomination notice, in compliance with the procedures and along with the other information required by our Bylaws, in writing at c/o Corporate Secretary, MSCI Inc., 7 World Trade Center, 250 Greenwich Street, 49th Floor, New York, New York 10007 or by email to corporatesecretary@msci.com, no earlier than October 17, 2022 and no later than November 16, 2022.</w:t>
      </w:r>
    </w:p>
    <w:p>
      <w:pPr>
        <w:spacing w:after="0" w:line="204"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Shareholders intending to present a proposal at the 2023 annual meeting of shareholders under SEC Rule 14a-8 to request that the proposal be included in next year’s Proxy Statement must submit the proposal to us in writing at c/o Corporate Secretary, MSCI Inc., 7 World Trade Center, 250 Greenwich Street, 49th Floor, New York, New York 10007 or by email to corporatesecretary@msci.com. We must receive the proposal by no later than November 16, 2022. If we hold our 2023 annual meeting of shareholders more than 30 days before or after April 26, 2023 (the one-year anniversary date of the 2022 Annual Meeting), we will disclose the new deadline by which shareholder proposals must be received under Item 5 of Part II of our earliest possible Quarterly Report on Form 10-Q or, if impracticable, by any means reasonably determined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128270</wp:posOffset>
            </wp:positionV>
            <wp:extent cx="7154545" cy="209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00" w:type="dxa"/>
            <w:vAlign w:val="bottom"/>
            <w:tcBorders>
              <w:right w:val="single" w:sz="8" w:color="16479F"/>
            </w:tcBorders>
          </w:tcPr>
          <w:p>
            <w:pPr>
              <w:jc w:val="right"/>
              <w:ind w:right="289"/>
              <w:spacing w:after="0"/>
              <w:rPr>
                <w:sz w:val="20"/>
                <w:szCs w:val="20"/>
                <w:color w:val="auto"/>
              </w:rPr>
            </w:pPr>
            <w:r>
              <w:rPr>
                <w:rFonts w:ascii="Arial" w:cs="Arial" w:eastAsia="Arial" w:hAnsi="Arial"/>
                <w:sz w:val="14"/>
                <w:szCs w:val="14"/>
                <w:b w:val="1"/>
                <w:bCs w:val="1"/>
                <w:color w:val="16479F"/>
              </w:rPr>
              <w:t>110</w:t>
            </w:r>
          </w:p>
        </w:tc>
        <w:tc>
          <w:tcPr>
            <w:tcW w:w="10540" w:type="dxa"/>
            <w:vAlign w:val="bottom"/>
          </w:tcPr>
          <w:p>
            <w:pPr>
              <w:ind w:left="100"/>
              <w:spacing w:after="0"/>
              <w:rPr>
                <w:sz w:val="20"/>
                <w:szCs w:val="20"/>
                <w:color w:val="auto"/>
              </w:rPr>
            </w:pPr>
            <w:r>
              <w:rPr>
                <w:rFonts w:ascii="Arial" w:cs="Arial" w:eastAsia="Arial" w:hAnsi="Arial"/>
                <w:sz w:val="14"/>
                <w:szCs w:val="14"/>
                <w:b w:val="1"/>
                <w:bCs w:val="1"/>
                <w:color w:val="16479F"/>
              </w:rPr>
              <w:t>MSCI  |  ANNEX A: FREQUENTLY ASKED QUESTIONS</w:t>
            </w:r>
          </w:p>
        </w:tc>
      </w:tr>
      <w:tr>
        <w:trPr>
          <w:trHeight w:val="65"/>
        </w:trPr>
        <w:tc>
          <w:tcPr>
            <w:tcW w:w="700" w:type="dxa"/>
            <w:vAlign w:val="bottom"/>
            <w:tcBorders>
              <w:bottom w:val="single" w:sz="8" w:color="16479F"/>
              <w:right w:val="single" w:sz="8" w:color="16479F"/>
            </w:tcBorders>
          </w:tcPr>
          <w:p>
            <w:pPr>
              <w:spacing w:after="0"/>
              <w:rPr>
                <w:sz w:val="5"/>
                <w:szCs w:val="5"/>
                <w:color w:val="auto"/>
              </w:rPr>
            </w:pPr>
          </w:p>
        </w:tc>
        <w:tc>
          <w:tcPr>
            <w:tcW w:w="10540" w:type="dxa"/>
            <w:vAlign w:val="bottom"/>
            <w:tcBorders>
              <w:bottom w:val="single" w:sz="8" w:color="16479F"/>
            </w:tcBorders>
          </w:tcPr>
          <w:p>
            <w:pPr>
              <w:spacing w:after="0"/>
              <w:rPr>
                <w:sz w:val="5"/>
                <w:szCs w:val="5"/>
                <w:color w:val="auto"/>
              </w:rPr>
            </w:pPr>
          </w:p>
        </w:tc>
      </w:tr>
    </w:tbl>
    <w:p>
      <w:pPr>
        <w:spacing w:after="0" w:line="216"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auto"/>
        </w:rPr>
        <w:t>to inform shareholders. In addition, shareholder proposals must otherwise comply with the requirements of Rule 14a-8 under the Exchange Act and with the SEC regulations under Rule 14a-8 regarding the inclusion of shareholder proposals in company-sponsored proxy materials.</w:t>
      </w:r>
    </w:p>
    <w:p>
      <w:pPr>
        <w:spacing w:after="0" w:line="197"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Shareholders intending to present a proposal at the 2023 annual meeting of shareholders, but not for inclusion of the proposal in our Proxy Statement, or to nominate a person for election as a director, must comply with the requirements set forth in our Bylaws. Our Bylaws require, among other things, that our Corporate Secretary receive written notice from the shareholder of record of intent to present such proposal or nomination no more than 120 days and no less than 90 days prior to the anniversary of the preceding year’s annual meeting of shareholders.</w:t>
      </w:r>
    </w:p>
    <w:p>
      <w:pPr>
        <w:spacing w:after="0" w:line="204"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Therefore, the Company must receive notice of such a proposal or nomination for the 2023 Annual meeting of shareholders no earlier than December 27, 2022 and no later than January 26, 2023. The notice must contain the information required by our Bylaws, a copy of which is available upon request to us in writing at c/o Corporate Secretary, MSCI Inc., 7 World Trade Center, 250 Greenwich Street, 49th Floor, New York, New York 10007.</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do I communicate with individual directors or the Board as a group?</w:t>
      </w:r>
    </w:p>
    <w:p>
      <w:pPr>
        <w:spacing w:after="0" w:line="238"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Shareholders and other interested parties may contact any member (or all members) of the Board by mail. To communicate with the Board, any individual director or any group or committee of directors, correspondence should be addressed to the Board or any such individual director or group or committee of directors by either name or title. All such correspondence should be sent to the Board at c/o Corporate Secretary, MSCI Inc., 7 World Trade Center, 250 Greenwich Street, 49th Floor, New York, New York 10007. Correspondence that is unrelated to the duties and responsibilities of the Board such as spam, junk mail and mass mailings, product complaints, personal employee complaints, product inquiries, new product suggestions, resumes and other forms of job inquiries, surveys, business solicitations or advertisements will not be forwarded to the Board.</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do I report issues regarding accounting, internal controls and other auditing matters?</w:t>
      </w:r>
    </w:p>
    <w:p>
      <w:pPr>
        <w:spacing w:after="0" w:line="238" w:lineRule="exact"/>
        <w:rPr>
          <w:sz w:val="20"/>
          <w:szCs w:val="20"/>
          <w:color w:val="auto"/>
        </w:rPr>
      </w:pPr>
    </w:p>
    <w:p>
      <w:pPr>
        <w:ind w:right="120"/>
        <w:spacing w:after="0" w:line="247" w:lineRule="auto"/>
        <w:rPr>
          <w:sz w:val="20"/>
          <w:szCs w:val="20"/>
          <w:color w:val="auto"/>
        </w:rPr>
      </w:pPr>
      <w:r>
        <w:rPr>
          <w:rFonts w:ascii="Arial" w:cs="Arial" w:eastAsia="Arial" w:hAnsi="Arial"/>
          <w:sz w:val="16"/>
          <w:szCs w:val="16"/>
          <w:color w:val="auto"/>
        </w:rPr>
        <w:t xml:space="preserve">Any interested parties may report potential issues regarding accounting, internal controls and other auditing matters. The communication should be marked “Personal and Confidential” and sent to MSCI Inc., 7 World Trade Center, 250 Greenwich Street, 49th Floor, New York, New York 10007, Attention: Chair of the Audit Committee of MSCI Inc., in care of the General Counsel. Our Procedures for Submission of Ethical or Accounting Related Complaints are available on our website. To access this document, click on the “Corporate Governance” link under the “Investor Resources” tab found on our website’s Investor Relations homepage </w:t>
      </w:r>
      <w:r>
        <w:rPr>
          <w:rFonts w:ascii="Arial" w:cs="Arial" w:eastAsia="Arial" w:hAnsi="Arial"/>
          <w:sz w:val="16"/>
          <w:szCs w:val="16"/>
          <w:color w:val="00B5AA"/>
        </w:rPr>
        <w:t>(https://ir.msci.com).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127000</wp:posOffset>
            </wp:positionV>
            <wp:extent cx="7154545" cy="209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00" w:type="dxa"/>
            <w:vAlign w:val="bottom"/>
            <w:tcBorders>
              <w:right w:val="single" w:sz="8" w:color="16479F"/>
            </w:tcBorders>
          </w:tcPr>
          <w:p>
            <w:pPr>
              <w:ind w:left="8700"/>
              <w:spacing w:after="0"/>
              <w:rPr>
                <w:sz w:val="20"/>
                <w:szCs w:val="20"/>
                <w:color w:val="auto"/>
              </w:rPr>
            </w:pPr>
            <w:r>
              <w:rPr>
                <w:rFonts w:ascii="Arial" w:cs="Arial" w:eastAsia="Arial" w:hAnsi="Arial"/>
                <w:sz w:val="14"/>
                <w:szCs w:val="14"/>
                <w:b w:val="1"/>
                <w:bCs w:val="1"/>
                <w:color w:val="16479F"/>
              </w:rPr>
              <w:t>2022 PROXY STATEMENT</w:t>
            </w:r>
          </w:p>
        </w:tc>
        <w:tc>
          <w:tcPr>
            <w:tcW w:w="640" w:type="dxa"/>
            <w:vAlign w:val="bottom"/>
          </w:tcPr>
          <w:p>
            <w:pPr>
              <w:jc w:val="right"/>
              <w:ind w:right="9"/>
              <w:spacing w:after="0"/>
              <w:rPr>
                <w:sz w:val="20"/>
                <w:szCs w:val="20"/>
                <w:color w:val="auto"/>
              </w:rPr>
            </w:pPr>
            <w:r>
              <w:rPr>
                <w:rFonts w:ascii="Arial" w:cs="Arial" w:eastAsia="Arial" w:hAnsi="Arial"/>
                <w:sz w:val="14"/>
                <w:szCs w:val="14"/>
                <w:b w:val="1"/>
                <w:bCs w:val="1"/>
                <w:color w:val="16479F"/>
              </w:rPr>
              <w:t>111</w:t>
            </w:r>
          </w:p>
        </w:tc>
      </w:tr>
      <w:tr>
        <w:trPr>
          <w:trHeight w:val="65"/>
        </w:trPr>
        <w:tc>
          <w:tcPr>
            <w:tcW w:w="10600" w:type="dxa"/>
            <w:vAlign w:val="bottom"/>
            <w:tcBorders>
              <w:bottom w:val="single" w:sz="8" w:color="16479F"/>
              <w:right w:val="single" w:sz="8" w:color="16479F"/>
            </w:tcBorders>
          </w:tcPr>
          <w:p>
            <w:pPr>
              <w:spacing w:after="0"/>
              <w:rPr>
                <w:sz w:val="5"/>
                <w:szCs w:val="5"/>
                <w:color w:val="auto"/>
              </w:rPr>
            </w:pPr>
          </w:p>
        </w:tc>
        <w:tc>
          <w:tcPr>
            <w:tcW w:w="640" w:type="dxa"/>
            <w:vAlign w:val="bottom"/>
            <w:tcBorders>
              <w:bottom w:val="single" w:sz="8" w:color="16479F"/>
            </w:tcBorders>
          </w:tcPr>
          <w:p>
            <w:pPr>
              <w:spacing w:after="0"/>
              <w:rPr>
                <w:sz w:val="5"/>
                <w:szCs w:val="5"/>
                <w:color w:val="auto"/>
              </w:rPr>
            </w:pPr>
          </w:p>
        </w:tc>
      </w:tr>
    </w:tbl>
    <w:p>
      <w:pPr>
        <w:spacing w:after="0" w:line="144" w:lineRule="exact"/>
        <w:rPr>
          <w:sz w:val="20"/>
          <w:szCs w:val="20"/>
          <w:color w:val="auto"/>
        </w:rPr>
      </w:pPr>
    </w:p>
    <w:p>
      <w:pPr>
        <w:ind w:right="2780"/>
        <w:spacing w:after="0" w:line="268" w:lineRule="auto"/>
        <w:rPr>
          <w:sz w:val="20"/>
          <w:szCs w:val="20"/>
          <w:color w:val="auto"/>
        </w:rPr>
      </w:pPr>
      <w:r>
        <w:rPr>
          <w:rFonts w:ascii="Arial" w:cs="Arial" w:eastAsia="Arial" w:hAnsi="Arial"/>
          <w:sz w:val="54"/>
          <w:szCs w:val="54"/>
          <w:b w:val="1"/>
          <w:bCs w:val="1"/>
          <w:color w:val="002739"/>
        </w:rPr>
        <w:t>Annex B: Supplemental Financial Information</w:t>
      </w:r>
    </w:p>
    <w:p>
      <w:pPr>
        <w:spacing w:after="0" w:line="67" w:lineRule="exact"/>
        <w:rPr>
          <w:sz w:val="20"/>
          <w:szCs w:val="20"/>
          <w:color w:val="auto"/>
        </w:rPr>
      </w:pPr>
    </w:p>
    <w:p>
      <w:pPr>
        <w:spacing w:after="0"/>
        <w:rPr>
          <w:sz w:val="20"/>
          <w:szCs w:val="20"/>
          <w:color w:val="auto"/>
        </w:rPr>
      </w:pPr>
      <w:r>
        <w:rPr>
          <w:rFonts w:ascii="Arial" w:cs="Arial" w:eastAsia="Arial" w:hAnsi="Arial"/>
          <w:sz w:val="32"/>
          <w:szCs w:val="32"/>
          <w:b w:val="1"/>
          <w:bCs w:val="1"/>
          <w:color w:val="16479F"/>
        </w:rPr>
        <w:t>Non-GAAP Financial Measures</w:t>
      </w:r>
    </w:p>
    <w:p>
      <w:pPr>
        <w:spacing w:after="0" w:line="254" w:lineRule="exact"/>
        <w:rPr>
          <w:sz w:val="20"/>
          <w:szCs w:val="20"/>
          <w:color w:val="auto"/>
        </w:rPr>
      </w:pPr>
    </w:p>
    <w:p>
      <w:pPr>
        <w:spacing w:after="0"/>
        <w:rPr>
          <w:sz w:val="20"/>
          <w:szCs w:val="20"/>
          <w:color w:val="auto"/>
        </w:rPr>
      </w:pPr>
      <w:r>
        <w:rPr>
          <w:rFonts w:ascii="Arial" w:cs="Arial" w:eastAsia="Arial" w:hAnsi="Arial"/>
          <w:sz w:val="15"/>
          <w:szCs w:val="15"/>
          <w:color w:val="auto"/>
        </w:rPr>
        <w:t>Full-Year 2021 Reconciliation of Operating Revenue Growth to Organic Operating Revenue Growth (unaudited)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40" w:type="dxa"/>
            <w:vAlign w:val="bottom"/>
          </w:tcPr>
          <w:p>
            <w:pPr>
              <w:spacing w:after="0"/>
              <w:rPr>
                <w:sz w:val="16"/>
                <w:szCs w:val="16"/>
                <w:color w:val="auto"/>
              </w:rPr>
            </w:pPr>
          </w:p>
        </w:tc>
        <w:tc>
          <w:tcPr>
            <w:tcW w:w="5600" w:type="dxa"/>
            <w:vAlign w:val="bottom"/>
            <w:tcBorders>
              <w:bottom w:val="single" w:sz="8" w:color="16479F"/>
            </w:tcBorders>
            <w:gridSpan w:val="4"/>
          </w:tcPr>
          <w:p>
            <w:pPr>
              <w:jc w:val="right"/>
              <w:ind w:right="646"/>
              <w:spacing w:after="0"/>
              <w:rPr>
                <w:sz w:val="20"/>
                <w:szCs w:val="20"/>
                <w:color w:val="auto"/>
              </w:rPr>
            </w:pPr>
            <w:r>
              <w:rPr>
                <w:rFonts w:ascii="Arial" w:cs="Arial" w:eastAsia="Arial" w:hAnsi="Arial"/>
                <w:sz w:val="14"/>
                <w:szCs w:val="14"/>
                <w:b w:val="1"/>
                <w:bCs w:val="1"/>
                <w:color w:val="auto"/>
              </w:rPr>
              <w:t>Comparison of The Years Ended December 31, 2021 and 2020</w:t>
            </w:r>
          </w:p>
        </w:tc>
        <w:tc>
          <w:tcPr>
            <w:tcW w:w="20" w:type="dxa"/>
            <w:vAlign w:val="bottom"/>
          </w:tcPr>
          <w:p>
            <w:pPr>
              <w:spacing w:after="0"/>
              <w:rPr>
                <w:sz w:val="16"/>
                <w:szCs w:val="16"/>
                <w:color w:val="auto"/>
              </w:rPr>
            </w:pPr>
          </w:p>
        </w:tc>
      </w:tr>
      <w:tr>
        <w:trPr>
          <w:trHeight w:val="173"/>
        </w:trPr>
        <w:tc>
          <w:tcPr>
            <w:tcW w:w="56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500" w:type="dxa"/>
            <w:vAlign w:val="bottom"/>
          </w:tcPr>
          <w:p>
            <w:pPr>
              <w:jc w:val="right"/>
              <w:ind w:right="206"/>
              <w:spacing w:after="0"/>
              <w:rPr>
                <w:sz w:val="20"/>
                <w:szCs w:val="20"/>
                <w:color w:val="auto"/>
              </w:rPr>
            </w:pPr>
            <w:r>
              <w:rPr>
                <w:rFonts w:ascii="Arial" w:cs="Arial" w:eastAsia="Arial" w:hAnsi="Arial"/>
                <w:sz w:val="14"/>
                <w:szCs w:val="14"/>
                <w:b w:val="1"/>
                <w:bCs w:val="1"/>
                <w:color w:val="auto"/>
              </w:rPr>
              <w:t>Recurring</w:t>
            </w:r>
          </w:p>
        </w:tc>
        <w:tc>
          <w:tcPr>
            <w:tcW w:w="1360" w:type="dxa"/>
            <w:vAlign w:val="bottom"/>
          </w:tcPr>
          <w:p>
            <w:pPr>
              <w:jc w:val="right"/>
              <w:ind w:right="106"/>
              <w:spacing w:after="0"/>
              <w:rPr>
                <w:sz w:val="20"/>
                <w:szCs w:val="20"/>
                <w:color w:val="auto"/>
              </w:rPr>
            </w:pPr>
            <w:r>
              <w:rPr>
                <w:rFonts w:ascii="Arial" w:cs="Arial" w:eastAsia="Arial" w:hAnsi="Arial"/>
                <w:sz w:val="14"/>
                <w:szCs w:val="14"/>
                <w:b w:val="1"/>
                <w:bCs w:val="1"/>
                <w:color w:val="auto"/>
              </w:rPr>
              <w:t>Asset-</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Non-Recurring</w:t>
            </w:r>
          </w:p>
        </w:tc>
        <w:tc>
          <w:tcPr>
            <w:tcW w:w="20" w:type="dxa"/>
            <w:vAlign w:val="bottom"/>
          </w:tcPr>
          <w:p>
            <w:pPr>
              <w:spacing w:after="0"/>
              <w:rPr>
                <w:sz w:val="15"/>
                <w:szCs w:val="15"/>
                <w:color w:val="auto"/>
              </w:rPr>
            </w:pPr>
          </w:p>
        </w:tc>
      </w:tr>
      <w:tr>
        <w:trPr>
          <w:trHeight w:val="161"/>
        </w:trPr>
        <w:tc>
          <w:tcPr>
            <w:tcW w:w="5640" w:type="dxa"/>
            <w:vAlign w:val="bottom"/>
          </w:tcPr>
          <w:p>
            <w:pPr>
              <w:spacing w:after="0"/>
              <w:rPr>
                <w:sz w:val="13"/>
                <w:szCs w:val="13"/>
                <w:color w:val="auto"/>
              </w:rPr>
            </w:pPr>
          </w:p>
        </w:tc>
        <w:tc>
          <w:tcPr>
            <w:tcW w:w="1480" w:type="dxa"/>
            <w:vAlign w:val="bottom"/>
          </w:tcPr>
          <w:p>
            <w:pPr>
              <w:jc w:val="right"/>
              <w:ind w:right="166"/>
              <w:spacing w:after="0"/>
              <w:rPr>
                <w:sz w:val="20"/>
                <w:szCs w:val="20"/>
                <w:color w:val="auto"/>
              </w:rPr>
            </w:pPr>
            <w:r>
              <w:rPr>
                <w:rFonts w:ascii="Arial" w:cs="Arial" w:eastAsia="Arial" w:hAnsi="Arial"/>
                <w:sz w:val="14"/>
                <w:szCs w:val="14"/>
                <w:b w:val="1"/>
                <w:bCs w:val="1"/>
                <w:color w:val="auto"/>
              </w:rPr>
              <w:t>Total</w:t>
            </w:r>
          </w:p>
        </w:tc>
        <w:tc>
          <w:tcPr>
            <w:tcW w:w="1500" w:type="dxa"/>
            <w:vAlign w:val="bottom"/>
          </w:tcPr>
          <w:p>
            <w:pPr>
              <w:jc w:val="right"/>
              <w:ind w:right="206"/>
              <w:spacing w:after="0"/>
              <w:rPr>
                <w:sz w:val="20"/>
                <w:szCs w:val="20"/>
                <w:color w:val="auto"/>
              </w:rPr>
            </w:pPr>
            <w:r>
              <w:rPr>
                <w:rFonts w:ascii="Arial" w:cs="Arial" w:eastAsia="Arial" w:hAnsi="Arial"/>
                <w:sz w:val="14"/>
                <w:szCs w:val="14"/>
                <w:b w:val="1"/>
                <w:bCs w:val="1"/>
                <w:color w:val="auto"/>
              </w:rPr>
              <w:t>Subscription</w:t>
            </w:r>
          </w:p>
        </w:tc>
        <w:tc>
          <w:tcPr>
            <w:tcW w:w="1360" w:type="dxa"/>
            <w:vAlign w:val="bottom"/>
          </w:tcPr>
          <w:p>
            <w:pPr>
              <w:jc w:val="right"/>
              <w:ind w:right="106"/>
              <w:spacing w:after="0"/>
              <w:rPr>
                <w:sz w:val="20"/>
                <w:szCs w:val="20"/>
                <w:color w:val="auto"/>
              </w:rPr>
            </w:pPr>
            <w:r>
              <w:rPr>
                <w:rFonts w:ascii="Arial" w:cs="Arial" w:eastAsia="Arial" w:hAnsi="Arial"/>
                <w:sz w:val="14"/>
                <w:szCs w:val="14"/>
                <w:b w:val="1"/>
                <w:bCs w:val="1"/>
                <w:color w:val="auto"/>
              </w:rPr>
              <w:t>Based Fees</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Revenues</w:t>
            </w:r>
          </w:p>
        </w:tc>
        <w:tc>
          <w:tcPr>
            <w:tcW w:w="20" w:type="dxa"/>
            <w:vAlign w:val="bottom"/>
          </w:tcPr>
          <w:p>
            <w:pPr>
              <w:spacing w:after="0"/>
              <w:rPr>
                <w:sz w:val="13"/>
                <w:szCs w:val="13"/>
                <w:color w:val="auto"/>
              </w:rPr>
            </w:pPr>
          </w:p>
        </w:tc>
      </w:tr>
      <w:tr>
        <w:trPr>
          <w:trHeight w:val="161"/>
        </w:trPr>
        <w:tc>
          <w:tcPr>
            <w:tcW w:w="5640" w:type="dxa"/>
            <w:vAlign w:val="bottom"/>
          </w:tcPr>
          <w:p>
            <w:pPr>
              <w:spacing w:after="0"/>
              <w:rPr>
                <w:sz w:val="13"/>
                <w:szCs w:val="13"/>
                <w:color w:val="auto"/>
              </w:rPr>
            </w:pPr>
          </w:p>
        </w:tc>
        <w:tc>
          <w:tcPr>
            <w:tcW w:w="1480" w:type="dxa"/>
            <w:vAlign w:val="bottom"/>
          </w:tcPr>
          <w:p>
            <w:pPr>
              <w:jc w:val="right"/>
              <w:ind w:right="166"/>
              <w:spacing w:after="0"/>
              <w:rPr>
                <w:sz w:val="20"/>
                <w:szCs w:val="20"/>
                <w:color w:val="auto"/>
              </w:rPr>
            </w:pPr>
            <w:r>
              <w:rPr>
                <w:rFonts w:ascii="Arial" w:cs="Arial" w:eastAsia="Arial" w:hAnsi="Arial"/>
                <w:sz w:val="14"/>
                <w:szCs w:val="14"/>
                <w:b w:val="1"/>
                <w:bCs w:val="1"/>
                <w:color w:val="auto"/>
              </w:rPr>
              <w:t>Change</w:t>
            </w:r>
          </w:p>
        </w:tc>
        <w:tc>
          <w:tcPr>
            <w:tcW w:w="1500" w:type="dxa"/>
            <w:vAlign w:val="bottom"/>
          </w:tcPr>
          <w:p>
            <w:pPr>
              <w:jc w:val="right"/>
              <w:ind w:right="206"/>
              <w:spacing w:after="0"/>
              <w:rPr>
                <w:sz w:val="20"/>
                <w:szCs w:val="20"/>
                <w:color w:val="auto"/>
              </w:rPr>
            </w:pPr>
            <w:r>
              <w:rPr>
                <w:rFonts w:ascii="Arial" w:cs="Arial" w:eastAsia="Arial" w:hAnsi="Arial"/>
                <w:sz w:val="14"/>
                <w:szCs w:val="14"/>
                <w:b w:val="1"/>
                <w:bCs w:val="1"/>
                <w:color w:val="auto"/>
              </w:rPr>
              <w:t>Change</w:t>
            </w:r>
          </w:p>
        </w:tc>
        <w:tc>
          <w:tcPr>
            <w:tcW w:w="1360" w:type="dxa"/>
            <w:vAlign w:val="bottom"/>
          </w:tcPr>
          <w:p>
            <w:pPr>
              <w:jc w:val="right"/>
              <w:ind w:right="106"/>
              <w:spacing w:after="0"/>
              <w:rPr>
                <w:sz w:val="20"/>
                <w:szCs w:val="20"/>
                <w:color w:val="auto"/>
              </w:rPr>
            </w:pPr>
            <w:r>
              <w:rPr>
                <w:rFonts w:ascii="Arial" w:cs="Arial" w:eastAsia="Arial" w:hAnsi="Arial"/>
                <w:sz w:val="14"/>
                <w:szCs w:val="14"/>
                <w:b w:val="1"/>
                <w:bCs w:val="1"/>
                <w:color w:val="auto"/>
              </w:rPr>
              <w:t>Change</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13"/>
                <w:szCs w:val="13"/>
                <w:color w:val="auto"/>
              </w:rPr>
            </w:pPr>
          </w:p>
        </w:tc>
      </w:tr>
      <w:tr>
        <w:trPr>
          <w:trHeight w:val="195"/>
        </w:trPr>
        <w:tc>
          <w:tcPr>
            <w:tcW w:w="5640" w:type="dxa"/>
            <w:vAlign w:val="bottom"/>
            <w:tcBorders>
              <w:bottom w:val="single" w:sz="8" w:color="16479F"/>
            </w:tcBorders>
          </w:tcPr>
          <w:p>
            <w:pPr>
              <w:ind w:left="60"/>
              <w:spacing w:after="0"/>
              <w:rPr>
                <w:sz w:val="20"/>
                <w:szCs w:val="20"/>
                <w:color w:val="auto"/>
              </w:rPr>
            </w:pPr>
            <w:r>
              <w:rPr>
                <w:rFonts w:ascii="Arial" w:cs="Arial" w:eastAsia="Arial" w:hAnsi="Arial"/>
                <w:sz w:val="14"/>
                <w:szCs w:val="14"/>
                <w:b w:val="1"/>
                <w:bCs w:val="1"/>
                <w:color w:val="auto"/>
              </w:rPr>
              <w:t>Index</w:t>
            </w:r>
          </w:p>
        </w:tc>
        <w:tc>
          <w:tcPr>
            <w:tcW w:w="1480" w:type="dxa"/>
            <w:vAlign w:val="bottom"/>
            <w:tcBorders>
              <w:bottom w:val="single" w:sz="8" w:color="16479F"/>
            </w:tcBorders>
          </w:tcPr>
          <w:p>
            <w:pPr>
              <w:jc w:val="right"/>
              <w:ind w:right="166"/>
              <w:spacing w:after="0"/>
              <w:rPr>
                <w:sz w:val="20"/>
                <w:szCs w:val="20"/>
                <w:color w:val="auto"/>
              </w:rPr>
            </w:pPr>
            <w:r>
              <w:rPr>
                <w:rFonts w:ascii="Arial" w:cs="Arial" w:eastAsia="Arial" w:hAnsi="Arial"/>
                <w:sz w:val="14"/>
                <w:szCs w:val="14"/>
                <w:b w:val="1"/>
                <w:bCs w:val="1"/>
                <w:color w:val="auto"/>
              </w:rPr>
              <w:t>Percentage</w:t>
            </w:r>
          </w:p>
        </w:tc>
        <w:tc>
          <w:tcPr>
            <w:tcW w:w="1500" w:type="dxa"/>
            <w:vAlign w:val="bottom"/>
            <w:tcBorders>
              <w:bottom w:val="single" w:sz="8" w:color="16479F"/>
            </w:tcBorders>
          </w:tcPr>
          <w:p>
            <w:pPr>
              <w:jc w:val="right"/>
              <w:ind w:right="206"/>
              <w:spacing w:after="0"/>
              <w:rPr>
                <w:sz w:val="20"/>
                <w:szCs w:val="20"/>
                <w:color w:val="auto"/>
              </w:rPr>
            </w:pPr>
            <w:r>
              <w:rPr>
                <w:rFonts w:ascii="Arial" w:cs="Arial" w:eastAsia="Arial" w:hAnsi="Arial"/>
                <w:sz w:val="14"/>
                <w:szCs w:val="14"/>
                <w:b w:val="1"/>
                <w:bCs w:val="1"/>
                <w:color w:val="auto"/>
              </w:rPr>
              <w:t>Percentage</w:t>
            </w:r>
          </w:p>
        </w:tc>
        <w:tc>
          <w:tcPr>
            <w:tcW w:w="1360" w:type="dxa"/>
            <w:vAlign w:val="bottom"/>
            <w:tcBorders>
              <w:bottom w:val="single" w:sz="8" w:color="16479F"/>
            </w:tcBorders>
          </w:tcPr>
          <w:p>
            <w:pPr>
              <w:jc w:val="right"/>
              <w:ind w:right="106"/>
              <w:spacing w:after="0"/>
              <w:rPr>
                <w:sz w:val="20"/>
                <w:szCs w:val="20"/>
                <w:color w:val="auto"/>
              </w:rPr>
            </w:pPr>
            <w:r>
              <w:rPr>
                <w:rFonts w:ascii="Arial" w:cs="Arial" w:eastAsia="Arial" w:hAnsi="Arial"/>
                <w:sz w:val="14"/>
                <w:szCs w:val="14"/>
                <w:b w:val="1"/>
                <w:bCs w:val="1"/>
                <w:color w:val="auto"/>
              </w:rPr>
              <w:t>Percentage</w:t>
            </w:r>
          </w:p>
        </w:tc>
        <w:tc>
          <w:tcPr>
            <w:tcW w:w="1260" w:type="dxa"/>
            <w:vAlign w:val="bottom"/>
            <w:tcBorders>
              <w:bottom w:val="single" w:sz="8" w:color="16479F"/>
            </w:tcBorders>
          </w:tcPr>
          <w:p>
            <w:pPr>
              <w:jc w:val="right"/>
              <w:spacing w:after="0"/>
              <w:rPr>
                <w:sz w:val="20"/>
                <w:szCs w:val="20"/>
                <w:color w:val="auto"/>
              </w:rPr>
            </w:pPr>
            <w:r>
              <w:rPr>
                <w:rFonts w:ascii="Arial" w:cs="Arial" w:eastAsia="Arial" w:hAnsi="Arial"/>
                <w:sz w:val="14"/>
                <w:szCs w:val="14"/>
                <w:b w:val="1"/>
                <w:bCs w:val="1"/>
                <w:color w:val="auto"/>
              </w:rPr>
              <w:t>Percentage</w:t>
            </w:r>
          </w:p>
        </w:tc>
        <w:tc>
          <w:tcPr>
            <w:tcW w:w="20" w:type="dxa"/>
            <w:vAlign w:val="bottom"/>
          </w:tcPr>
          <w:p>
            <w:pPr>
              <w:spacing w:after="0"/>
              <w:rPr>
                <w:sz w:val="16"/>
                <w:szCs w:val="16"/>
                <w:color w:val="auto"/>
              </w:rPr>
            </w:pPr>
          </w:p>
        </w:tc>
      </w:tr>
      <w:tr>
        <w:trPr>
          <w:trHeight w:val="213"/>
        </w:trPr>
        <w:tc>
          <w:tcPr>
            <w:tcW w:w="5640" w:type="dxa"/>
            <w:vAlign w:val="bottom"/>
            <w:shd w:val="clear" w:color="auto" w:fill="F0F1F8"/>
          </w:tcPr>
          <w:p>
            <w:pPr>
              <w:ind w:left="60"/>
              <w:spacing w:after="0"/>
              <w:rPr>
                <w:sz w:val="20"/>
                <w:szCs w:val="20"/>
                <w:color w:val="auto"/>
              </w:rPr>
            </w:pPr>
            <w:r>
              <w:rPr>
                <w:rFonts w:ascii="Arial" w:cs="Arial" w:eastAsia="Arial" w:hAnsi="Arial"/>
                <w:sz w:val="15"/>
                <w:szCs w:val="15"/>
                <w:color w:val="auto"/>
              </w:rPr>
              <w:t>Operating revenue growth</w:t>
            </w:r>
          </w:p>
        </w:tc>
        <w:tc>
          <w:tcPr>
            <w:tcW w:w="1480" w:type="dxa"/>
            <w:vAlign w:val="bottom"/>
            <w:shd w:val="clear" w:color="auto" w:fill="F0F1F8"/>
          </w:tcPr>
          <w:p>
            <w:pPr>
              <w:jc w:val="right"/>
              <w:ind w:right="286"/>
              <w:spacing w:after="0"/>
              <w:rPr>
                <w:sz w:val="20"/>
                <w:szCs w:val="20"/>
                <w:color w:val="auto"/>
              </w:rPr>
            </w:pPr>
            <w:r>
              <w:rPr>
                <w:rFonts w:ascii="Arial" w:cs="Arial" w:eastAsia="Arial" w:hAnsi="Arial"/>
                <w:sz w:val="15"/>
                <w:szCs w:val="15"/>
                <w:color w:val="auto"/>
              </w:rPr>
              <w:t>23.1%</w:t>
            </w:r>
          </w:p>
        </w:tc>
        <w:tc>
          <w:tcPr>
            <w:tcW w:w="1500" w:type="dxa"/>
            <w:vAlign w:val="bottom"/>
            <w:shd w:val="clear" w:color="auto" w:fill="F0F1F8"/>
          </w:tcPr>
          <w:p>
            <w:pPr>
              <w:jc w:val="right"/>
              <w:ind w:right="326"/>
              <w:spacing w:after="0"/>
              <w:rPr>
                <w:sz w:val="20"/>
                <w:szCs w:val="20"/>
                <w:color w:val="auto"/>
              </w:rPr>
            </w:pPr>
            <w:r>
              <w:rPr>
                <w:rFonts w:ascii="Arial" w:cs="Arial" w:eastAsia="Arial" w:hAnsi="Arial"/>
                <w:sz w:val="15"/>
                <w:szCs w:val="15"/>
                <w:color w:val="auto"/>
              </w:rPr>
              <w:t>12.1%</w:t>
            </w:r>
          </w:p>
        </w:tc>
        <w:tc>
          <w:tcPr>
            <w:tcW w:w="1360" w:type="dxa"/>
            <w:vAlign w:val="bottom"/>
            <w:shd w:val="clear" w:color="auto" w:fill="F0F1F8"/>
          </w:tcPr>
          <w:p>
            <w:pPr>
              <w:jc w:val="right"/>
              <w:ind w:right="206"/>
              <w:spacing w:after="0"/>
              <w:rPr>
                <w:sz w:val="20"/>
                <w:szCs w:val="20"/>
                <w:color w:val="auto"/>
              </w:rPr>
            </w:pPr>
            <w:r>
              <w:rPr>
                <w:rFonts w:ascii="Arial" w:cs="Arial" w:eastAsia="Arial" w:hAnsi="Arial"/>
                <w:sz w:val="15"/>
                <w:szCs w:val="15"/>
                <w:color w:val="auto"/>
              </w:rPr>
              <w:t>38.6%</w:t>
            </w:r>
          </w:p>
        </w:tc>
        <w:tc>
          <w:tcPr>
            <w:tcW w:w="1260" w:type="dxa"/>
            <w:vAlign w:val="bottom"/>
            <w:shd w:val="clear" w:color="auto" w:fill="F0F1F8"/>
          </w:tcPr>
          <w:p>
            <w:pPr>
              <w:jc w:val="right"/>
              <w:ind w:right="26"/>
              <w:spacing w:after="0"/>
              <w:rPr>
                <w:sz w:val="20"/>
                <w:szCs w:val="20"/>
                <w:color w:val="auto"/>
              </w:rPr>
            </w:pPr>
            <w:r>
              <w:rPr>
                <w:rFonts w:ascii="Arial" w:cs="Arial" w:eastAsia="Arial" w:hAnsi="Arial"/>
                <w:sz w:val="15"/>
                <w:szCs w:val="15"/>
                <w:color w:val="auto"/>
              </w:rPr>
              <w:t>29.8%</w:t>
            </w:r>
          </w:p>
        </w:tc>
        <w:tc>
          <w:tcPr>
            <w:tcW w:w="20" w:type="dxa"/>
            <w:vAlign w:val="bottom"/>
          </w:tcPr>
          <w:p>
            <w:pPr>
              <w:spacing w:after="0"/>
              <w:rPr>
                <w:sz w:val="18"/>
                <w:szCs w:val="18"/>
                <w:color w:val="auto"/>
              </w:rPr>
            </w:pPr>
          </w:p>
        </w:tc>
      </w:tr>
      <w:tr>
        <w:trPr>
          <w:trHeight w:val="209"/>
        </w:trPr>
        <w:tc>
          <w:tcPr>
            <w:tcW w:w="5640" w:type="dxa"/>
            <w:vAlign w:val="bottom"/>
          </w:tcPr>
          <w:p>
            <w:pPr>
              <w:ind w:left="60"/>
              <w:spacing w:after="0"/>
              <w:rPr>
                <w:sz w:val="20"/>
                <w:szCs w:val="20"/>
                <w:color w:val="auto"/>
              </w:rPr>
            </w:pPr>
            <w:r>
              <w:rPr>
                <w:rFonts w:ascii="Arial" w:cs="Arial" w:eastAsia="Arial" w:hAnsi="Arial"/>
                <w:sz w:val="15"/>
                <w:szCs w:val="15"/>
                <w:color w:val="auto"/>
              </w:rPr>
              <w:t>Impact of acquisitions and divestitures</w:t>
            </w:r>
          </w:p>
        </w:tc>
        <w:tc>
          <w:tcPr>
            <w:tcW w:w="1480" w:type="dxa"/>
            <w:vAlign w:val="bottom"/>
          </w:tcPr>
          <w:p>
            <w:pPr>
              <w:jc w:val="right"/>
              <w:ind w:right="286"/>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326"/>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206"/>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r>
      <w:tr>
        <w:trPr>
          <w:trHeight w:val="214"/>
        </w:trPr>
        <w:tc>
          <w:tcPr>
            <w:tcW w:w="5640" w:type="dxa"/>
            <w:vAlign w:val="bottom"/>
            <w:shd w:val="clear" w:color="auto" w:fill="F0F1F8"/>
          </w:tcPr>
          <w:p>
            <w:pPr>
              <w:ind w:left="60"/>
              <w:spacing w:after="0"/>
              <w:rPr>
                <w:sz w:val="20"/>
                <w:szCs w:val="20"/>
                <w:color w:val="auto"/>
              </w:rPr>
            </w:pPr>
            <w:r>
              <w:rPr>
                <w:rFonts w:ascii="Arial" w:cs="Arial" w:eastAsia="Arial" w:hAnsi="Arial"/>
                <w:sz w:val="15"/>
                <w:szCs w:val="15"/>
                <w:color w:val="auto"/>
              </w:rPr>
              <w:t>Impact of foreign currency exchange rate fluctuations</w:t>
            </w:r>
          </w:p>
        </w:tc>
        <w:tc>
          <w:tcPr>
            <w:tcW w:w="1480" w:type="dxa"/>
            <w:vAlign w:val="bottom"/>
            <w:tcBorders>
              <w:bottom w:val="single" w:sz="8" w:color="auto"/>
            </w:tcBorders>
            <w:shd w:val="clear" w:color="auto" w:fill="F0F1F8"/>
          </w:tcPr>
          <w:p>
            <w:pPr>
              <w:jc w:val="right"/>
              <w:ind w:right="286"/>
              <w:spacing w:after="0"/>
              <w:rPr>
                <w:sz w:val="20"/>
                <w:szCs w:val="20"/>
                <w:color w:val="auto"/>
              </w:rPr>
            </w:pPr>
            <w:r>
              <w:rPr>
                <w:rFonts w:ascii="Arial" w:cs="Arial" w:eastAsia="Arial" w:hAnsi="Arial"/>
                <w:sz w:val="15"/>
                <w:szCs w:val="15"/>
                <w:color w:val="auto"/>
              </w:rPr>
              <w:t>0.1%</w:t>
            </w:r>
          </w:p>
        </w:tc>
        <w:tc>
          <w:tcPr>
            <w:tcW w:w="1500" w:type="dxa"/>
            <w:vAlign w:val="bottom"/>
            <w:tcBorders>
              <w:bottom w:val="single" w:sz="8" w:color="auto"/>
            </w:tcBorders>
            <w:shd w:val="clear" w:color="auto" w:fill="F0F1F8"/>
          </w:tcPr>
          <w:p>
            <w:pPr>
              <w:jc w:val="right"/>
              <w:ind w:right="326"/>
              <w:spacing w:after="0"/>
              <w:rPr>
                <w:sz w:val="20"/>
                <w:szCs w:val="20"/>
                <w:color w:val="auto"/>
              </w:rPr>
            </w:pPr>
            <w:r>
              <w:rPr>
                <w:rFonts w:ascii="Arial" w:cs="Arial" w:eastAsia="Arial" w:hAnsi="Arial"/>
                <w:sz w:val="15"/>
                <w:szCs w:val="15"/>
                <w:color w:val="auto"/>
              </w:rPr>
              <w:t>0.1%</w:t>
            </w:r>
          </w:p>
        </w:tc>
        <w:tc>
          <w:tcPr>
            <w:tcW w:w="1360" w:type="dxa"/>
            <w:vAlign w:val="bottom"/>
            <w:tcBorders>
              <w:bottom w:val="single" w:sz="8" w:color="auto"/>
            </w:tcBorders>
            <w:shd w:val="clear" w:color="auto" w:fill="F0F1F8"/>
          </w:tcPr>
          <w:p>
            <w:pPr>
              <w:jc w:val="right"/>
              <w:ind w:right="146"/>
              <w:spacing w:after="0"/>
              <w:rPr>
                <w:sz w:val="20"/>
                <w:szCs w:val="20"/>
                <w:color w:val="auto"/>
              </w:rPr>
            </w:pPr>
            <w:r>
              <w:rPr>
                <w:rFonts w:ascii="Arial" w:cs="Arial" w:eastAsia="Arial" w:hAnsi="Arial"/>
                <w:sz w:val="15"/>
                <w:szCs w:val="15"/>
                <w:color w:val="auto"/>
              </w:rPr>
              <w:t>(0.1%)</w:t>
            </w:r>
          </w:p>
        </w:tc>
        <w:tc>
          <w:tcPr>
            <w:tcW w:w="1260" w:type="dxa"/>
            <w:vAlign w:val="bottom"/>
            <w:tcBorders>
              <w:bottom w:val="single" w:sz="8" w:color="auto"/>
            </w:tcBorders>
            <w:shd w:val="clear" w:color="auto" w:fill="F0F1F8"/>
          </w:tcPr>
          <w:p>
            <w:pPr>
              <w:jc w:val="right"/>
              <w:ind w:right="26"/>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r>
      <w:tr>
        <w:trPr>
          <w:trHeight w:val="208"/>
        </w:trPr>
        <w:tc>
          <w:tcPr>
            <w:tcW w:w="56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Organic operating revenue growth</w:t>
            </w:r>
          </w:p>
        </w:tc>
        <w:tc>
          <w:tcPr>
            <w:tcW w:w="1480" w:type="dxa"/>
            <w:vAlign w:val="bottom"/>
            <w:tcBorders>
              <w:bottom w:val="single" w:sz="8" w:color="auto"/>
            </w:tcBorders>
          </w:tcPr>
          <w:p>
            <w:pPr>
              <w:jc w:val="right"/>
              <w:ind w:right="286"/>
              <w:spacing w:after="0"/>
              <w:rPr>
                <w:sz w:val="20"/>
                <w:szCs w:val="20"/>
                <w:color w:val="auto"/>
              </w:rPr>
            </w:pPr>
            <w:r>
              <w:rPr>
                <w:rFonts w:ascii="Arial" w:cs="Arial" w:eastAsia="Arial" w:hAnsi="Arial"/>
                <w:sz w:val="15"/>
                <w:szCs w:val="15"/>
                <w:color w:val="auto"/>
              </w:rPr>
              <w:t>23.2%</w:t>
            </w:r>
          </w:p>
        </w:tc>
        <w:tc>
          <w:tcPr>
            <w:tcW w:w="1500" w:type="dxa"/>
            <w:vAlign w:val="bottom"/>
            <w:tcBorders>
              <w:bottom w:val="single" w:sz="8" w:color="auto"/>
            </w:tcBorders>
          </w:tcPr>
          <w:p>
            <w:pPr>
              <w:jc w:val="right"/>
              <w:ind w:right="326"/>
              <w:spacing w:after="0"/>
              <w:rPr>
                <w:sz w:val="20"/>
                <w:szCs w:val="20"/>
                <w:color w:val="auto"/>
              </w:rPr>
            </w:pPr>
            <w:r>
              <w:rPr>
                <w:rFonts w:ascii="Arial" w:cs="Arial" w:eastAsia="Arial" w:hAnsi="Arial"/>
                <w:sz w:val="15"/>
                <w:szCs w:val="15"/>
                <w:color w:val="auto"/>
              </w:rPr>
              <w:t>12.2%</w:t>
            </w:r>
          </w:p>
        </w:tc>
        <w:tc>
          <w:tcPr>
            <w:tcW w:w="136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rPr>
              <w:t>38.5%</w:t>
            </w:r>
          </w:p>
        </w:tc>
        <w:tc>
          <w:tcPr>
            <w:tcW w:w="12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29.8%</w:t>
            </w:r>
          </w:p>
        </w:tc>
        <w:tc>
          <w:tcPr>
            <w:tcW w:w="20" w:type="dxa"/>
            <w:vAlign w:val="bottom"/>
          </w:tcPr>
          <w:p>
            <w:pPr>
              <w:spacing w:after="0"/>
              <w:rPr>
                <w:sz w:val="18"/>
                <w:szCs w:val="18"/>
                <w:color w:val="auto"/>
              </w:rPr>
            </w:pPr>
          </w:p>
        </w:tc>
      </w:tr>
      <w:tr>
        <w:trPr>
          <w:trHeight w:val="360"/>
        </w:trPr>
        <w:tc>
          <w:tcPr>
            <w:tcW w:w="56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00" w:type="dxa"/>
            <w:vAlign w:val="bottom"/>
          </w:tcPr>
          <w:p>
            <w:pPr>
              <w:jc w:val="right"/>
              <w:ind w:right="326"/>
              <w:spacing w:after="0"/>
              <w:rPr>
                <w:sz w:val="20"/>
                <w:szCs w:val="20"/>
                <w:color w:val="auto"/>
              </w:rPr>
            </w:pPr>
            <w:r>
              <w:rPr>
                <w:rFonts w:ascii="Arial" w:cs="Arial" w:eastAsia="Arial" w:hAnsi="Arial"/>
                <w:sz w:val="14"/>
                <w:szCs w:val="14"/>
                <w:b w:val="1"/>
                <w:bCs w:val="1"/>
                <w:color w:val="auto"/>
              </w:rPr>
              <w:t>Recurring</w:t>
            </w:r>
          </w:p>
        </w:tc>
        <w:tc>
          <w:tcPr>
            <w:tcW w:w="1360" w:type="dxa"/>
            <w:vAlign w:val="bottom"/>
          </w:tcPr>
          <w:p>
            <w:pPr>
              <w:jc w:val="right"/>
              <w:ind w:right="206"/>
              <w:spacing w:after="0"/>
              <w:rPr>
                <w:sz w:val="20"/>
                <w:szCs w:val="20"/>
                <w:color w:val="auto"/>
              </w:rPr>
            </w:pPr>
            <w:r>
              <w:rPr>
                <w:rFonts w:ascii="Arial" w:cs="Arial" w:eastAsia="Arial" w:hAnsi="Arial"/>
                <w:sz w:val="14"/>
                <w:szCs w:val="14"/>
                <w:b w:val="1"/>
                <w:bCs w:val="1"/>
                <w:color w:val="auto"/>
              </w:rPr>
              <w:t>Asset-</w:t>
            </w:r>
          </w:p>
        </w:tc>
        <w:tc>
          <w:tcPr>
            <w:tcW w:w="1260" w:type="dxa"/>
            <w:vAlign w:val="bottom"/>
          </w:tcPr>
          <w:p>
            <w:pPr>
              <w:jc w:val="right"/>
              <w:ind w:right="26"/>
              <w:spacing w:after="0"/>
              <w:rPr>
                <w:sz w:val="20"/>
                <w:szCs w:val="20"/>
                <w:color w:val="auto"/>
              </w:rPr>
            </w:pPr>
            <w:r>
              <w:rPr>
                <w:rFonts w:ascii="Arial" w:cs="Arial" w:eastAsia="Arial" w:hAnsi="Arial"/>
                <w:sz w:val="14"/>
                <w:szCs w:val="14"/>
                <w:b w:val="1"/>
                <w:bCs w:val="1"/>
                <w:color w:val="auto"/>
              </w:rPr>
              <w:t>Non-Recurring</w:t>
            </w:r>
          </w:p>
        </w:tc>
        <w:tc>
          <w:tcPr>
            <w:tcW w:w="20" w:type="dxa"/>
            <w:vAlign w:val="bottom"/>
          </w:tcPr>
          <w:p>
            <w:pPr>
              <w:spacing w:after="0"/>
              <w:rPr>
                <w:sz w:val="24"/>
                <w:szCs w:val="24"/>
                <w:color w:val="auto"/>
              </w:rPr>
            </w:pPr>
          </w:p>
        </w:tc>
      </w:tr>
      <w:tr>
        <w:trPr>
          <w:trHeight w:val="161"/>
        </w:trPr>
        <w:tc>
          <w:tcPr>
            <w:tcW w:w="5640" w:type="dxa"/>
            <w:vAlign w:val="bottom"/>
          </w:tcPr>
          <w:p>
            <w:pPr>
              <w:spacing w:after="0"/>
              <w:rPr>
                <w:sz w:val="13"/>
                <w:szCs w:val="13"/>
                <w:color w:val="auto"/>
              </w:rPr>
            </w:pPr>
          </w:p>
        </w:tc>
        <w:tc>
          <w:tcPr>
            <w:tcW w:w="1480" w:type="dxa"/>
            <w:vAlign w:val="bottom"/>
          </w:tcPr>
          <w:p>
            <w:pPr>
              <w:jc w:val="right"/>
              <w:ind w:right="286"/>
              <w:spacing w:after="0"/>
              <w:rPr>
                <w:sz w:val="20"/>
                <w:szCs w:val="20"/>
                <w:color w:val="auto"/>
              </w:rPr>
            </w:pPr>
            <w:r>
              <w:rPr>
                <w:rFonts w:ascii="Arial" w:cs="Arial" w:eastAsia="Arial" w:hAnsi="Arial"/>
                <w:sz w:val="14"/>
                <w:szCs w:val="14"/>
                <w:b w:val="1"/>
                <w:bCs w:val="1"/>
                <w:color w:val="auto"/>
              </w:rPr>
              <w:t>Total</w:t>
            </w:r>
          </w:p>
        </w:tc>
        <w:tc>
          <w:tcPr>
            <w:tcW w:w="1500" w:type="dxa"/>
            <w:vAlign w:val="bottom"/>
          </w:tcPr>
          <w:p>
            <w:pPr>
              <w:jc w:val="right"/>
              <w:ind w:right="326"/>
              <w:spacing w:after="0"/>
              <w:rPr>
                <w:sz w:val="20"/>
                <w:szCs w:val="20"/>
                <w:color w:val="auto"/>
              </w:rPr>
            </w:pPr>
            <w:r>
              <w:rPr>
                <w:rFonts w:ascii="Arial" w:cs="Arial" w:eastAsia="Arial" w:hAnsi="Arial"/>
                <w:sz w:val="14"/>
                <w:szCs w:val="14"/>
                <w:b w:val="1"/>
                <w:bCs w:val="1"/>
                <w:color w:val="auto"/>
              </w:rPr>
              <w:t>Subscription</w:t>
            </w:r>
          </w:p>
        </w:tc>
        <w:tc>
          <w:tcPr>
            <w:tcW w:w="1360" w:type="dxa"/>
            <w:vAlign w:val="bottom"/>
          </w:tcPr>
          <w:p>
            <w:pPr>
              <w:jc w:val="right"/>
              <w:ind w:right="206"/>
              <w:spacing w:after="0"/>
              <w:rPr>
                <w:sz w:val="20"/>
                <w:szCs w:val="20"/>
                <w:color w:val="auto"/>
              </w:rPr>
            </w:pPr>
            <w:r>
              <w:rPr>
                <w:rFonts w:ascii="Arial" w:cs="Arial" w:eastAsia="Arial" w:hAnsi="Arial"/>
                <w:sz w:val="14"/>
                <w:szCs w:val="14"/>
                <w:b w:val="1"/>
                <w:bCs w:val="1"/>
                <w:color w:val="auto"/>
              </w:rPr>
              <w:t>Based Fees</w:t>
            </w:r>
          </w:p>
        </w:tc>
        <w:tc>
          <w:tcPr>
            <w:tcW w:w="1260" w:type="dxa"/>
            <w:vAlign w:val="bottom"/>
          </w:tcPr>
          <w:p>
            <w:pPr>
              <w:jc w:val="right"/>
              <w:ind w:right="26"/>
              <w:spacing w:after="0"/>
              <w:rPr>
                <w:sz w:val="20"/>
                <w:szCs w:val="20"/>
                <w:color w:val="auto"/>
              </w:rPr>
            </w:pPr>
            <w:r>
              <w:rPr>
                <w:rFonts w:ascii="Arial" w:cs="Arial" w:eastAsia="Arial" w:hAnsi="Arial"/>
                <w:sz w:val="14"/>
                <w:szCs w:val="14"/>
                <w:b w:val="1"/>
                <w:bCs w:val="1"/>
                <w:color w:val="auto"/>
              </w:rPr>
              <w:t>Revenues</w:t>
            </w:r>
          </w:p>
        </w:tc>
        <w:tc>
          <w:tcPr>
            <w:tcW w:w="20" w:type="dxa"/>
            <w:vAlign w:val="bottom"/>
          </w:tcPr>
          <w:p>
            <w:pPr>
              <w:spacing w:after="0"/>
              <w:rPr>
                <w:sz w:val="13"/>
                <w:szCs w:val="13"/>
                <w:color w:val="auto"/>
              </w:rPr>
            </w:pPr>
          </w:p>
        </w:tc>
      </w:tr>
      <w:tr>
        <w:trPr>
          <w:trHeight w:val="161"/>
        </w:trPr>
        <w:tc>
          <w:tcPr>
            <w:tcW w:w="5640" w:type="dxa"/>
            <w:vAlign w:val="bottom"/>
          </w:tcPr>
          <w:p>
            <w:pPr>
              <w:spacing w:after="0"/>
              <w:rPr>
                <w:sz w:val="13"/>
                <w:szCs w:val="13"/>
                <w:color w:val="auto"/>
              </w:rPr>
            </w:pPr>
          </w:p>
        </w:tc>
        <w:tc>
          <w:tcPr>
            <w:tcW w:w="1480" w:type="dxa"/>
            <w:vAlign w:val="bottom"/>
          </w:tcPr>
          <w:p>
            <w:pPr>
              <w:jc w:val="right"/>
              <w:ind w:right="286"/>
              <w:spacing w:after="0"/>
              <w:rPr>
                <w:sz w:val="20"/>
                <w:szCs w:val="20"/>
                <w:color w:val="auto"/>
              </w:rPr>
            </w:pPr>
            <w:r>
              <w:rPr>
                <w:rFonts w:ascii="Arial" w:cs="Arial" w:eastAsia="Arial" w:hAnsi="Arial"/>
                <w:sz w:val="14"/>
                <w:szCs w:val="14"/>
                <w:b w:val="1"/>
                <w:bCs w:val="1"/>
                <w:color w:val="auto"/>
              </w:rPr>
              <w:t>Change</w:t>
            </w:r>
          </w:p>
        </w:tc>
        <w:tc>
          <w:tcPr>
            <w:tcW w:w="1500" w:type="dxa"/>
            <w:vAlign w:val="bottom"/>
          </w:tcPr>
          <w:p>
            <w:pPr>
              <w:jc w:val="right"/>
              <w:ind w:right="326"/>
              <w:spacing w:after="0"/>
              <w:rPr>
                <w:sz w:val="20"/>
                <w:szCs w:val="20"/>
                <w:color w:val="auto"/>
              </w:rPr>
            </w:pPr>
            <w:r>
              <w:rPr>
                <w:rFonts w:ascii="Arial" w:cs="Arial" w:eastAsia="Arial" w:hAnsi="Arial"/>
                <w:sz w:val="14"/>
                <w:szCs w:val="14"/>
                <w:b w:val="1"/>
                <w:bCs w:val="1"/>
                <w:color w:val="auto"/>
              </w:rPr>
              <w:t>Change</w:t>
            </w:r>
          </w:p>
        </w:tc>
        <w:tc>
          <w:tcPr>
            <w:tcW w:w="1360" w:type="dxa"/>
            <w:vAlign w:val="bottom"/>
          </w:tcPr>
          <w:p>
            <w:pPr>
              <w:jc w:val="right"/>
              <w:ind w:right="206"/>
              <w:spacing w:after="0"/>
              <w:rPr>
                <w:sz w:val="20"/>
                <w:szCs w:val="20"/>
                <w:color w:val="auto"/>
              </w:rPr>
            </w:pPr>
            <w:r>
              <w:rPr>
                <w:rFonts w:ascii="Arial" w:cs="Arial" w:eastAsia="Arial" w:hAnsi="Arial"/>
                <w:sz w:val="14"/>
                <w:szCs w:val="14"/>
                <w:b w:val="1"/>
                <w:bCs w:val="1"/>
                <w:color w:val="auto"/>
              </w:rPr>
              <w:t>Change</w:t>
            </w:r>
          </w:p>
        </w:tc>
        <w:tc>
          <w:tcPr>
            <w:tcW w:w="1260" w:type="dxa"/>
            <w:vAlign w:val="bottom"/>
          </w:tcPr>
          <w:p>
            <w:pPr>
              <w:jc w:val="right"/>
              <w:ind w:right="26"/>
              <w:spacing w:after="0"/>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13"/>
                <w:szCs w:val="13"/>
                <w:color w:val="auto"/>
              </w:rPr>
            </w:pPr>
          </w:p>
        </w:tc>
      </w:tr>
      <w:tr>
        <w:trPr>
          <w:trHeight w:val="195"/>
        </w:trPr>
        <w:tc>
          <w:tcPr>
            <w:tcW w:w="5640" w:type="dxa"/>
            <w:vAlign w:val="bottom"/>
            <w:tcBorders>
              <w:bottom w:val="single" w:sz="8" w:color="16479F"/>
            </w:tcBorders>
          </w:tcPr>
          <w:p>
            <w:pPr>
              <w:ind w:left="60"/>
              <w:spacing w:after="0"/>
              <w:rPr>
                <w:sz w:val="20"/>
                <w:szCs w:val="20"/>
                <w:color w:val="auto"/>
              </w:rPr>
            </w:pPr>
            <w:r>
              <w:rPr>
                <w:rFonts w:ascii="Arial" w:cs="Arial" w:eastAsia="Arial" w:hAnsi="Arial"/>
                <w:sz w:val="14"/>
                <w:szCs w:val="14"/>
                <w:b w:val="1"/>
                <w:bCs w:val="1"/>
                <w:color w:val="auto"/>
              </w:rPr>
              <w:t>Analytics</w:t>
            </w:r>
          </w:p>
        </w:tc>
        <w:tc>
          <w:tcPr>
            <w:tcW w:w="1480" w:type="dxa"/>
            <w:vAlign w:val="bottom"/>
            <w:tcBorders>
              <w:bottom w:val="single" w:sz="8" w:color="16479F"/>
            </w:tcBorders>
          </w:tcPr>
          <w:p>
            <w:pPr>
              <w:jc w:val="right"/>
              <w:ind w:right="286"/>
              <w:spacing w:after="0"/>
              <w:rPr>
                <w:sz w:val="20"/>
                <w:szCs w:val="20"/>
                <w:color w:val="auto"/>
              </w:rPr>
            </w:pPr>
            <w:r>
              <w:rPr>
                <w:rFonts w:ascii="Arial" w:cs="Arial" w:eastAsia="Arial" w:hAnsi="Arial"/>
                <w:sz w:val="14"/>
                <w:szCs w:val="14"/>
                <w:b w:val="1"/>
                <w:bCs w:val="1"/>
                <w:color w:val="auto"/>
              </w:rPr>
              <w:t>Percentage</w:t>
            </w:r>
          </w:p>
        </w:tc>
        <w:tc>
          <w:tcPr>
            <w:tcW w:w="1500" w:type="dxa"/>
            <w:vAlign w:val="bottom"/>
            <w:tcBorders>
              <w:bottom w:val="single" w:sz="8" w:color="16479F"/>
            </w:tcBorders>
          </w:tcPr>
          <w:p>
            <w:pPr>
              <w:jc w:val="right"/>
              <w:ind w:right="326"/>
              <w:spacing w:after="0"/>
              <w:rPr>
                <w:sz w:val="20"/>
                <w:szCs w:val="20"/>
                <w:color w:val="auto"/>
              </w:rPr>
            </w:pPr>
            <w:r>
              <w:rPr>
                <w:rFonts w:ascii="Arial" w:cs="Arial" w:eastAsia="Arial" w:hAnsi="Arial"/>
                <w:sz w:val="14"/>
                <w:szCs w:val="14"/>
                <w:b w:val="1"/>
                <w:bCs w:val="1"/>
                <w:color w:val="auto"/>
              </w:rPr>
              <w:t>Percentage</w:t>
            </w:r>
          </w:p>
        </w:tc>
        <w:tc>
          <w:tcPr>
            <w:tcW w:w="1360" w:type="dxa"/>
            <w:vAlign w:val="bottom"/>
            <w:tcBorders>
              <w:bottom w:val="single" w:sz="8" w:color="16479F"/>
            </w:tcBorders>
          </w:tcPr>
          <w:p>
            <w:pPr>
              <w:jc w:val="right"/>
              <w:ind w:right="206"/>
              <w:spacing w:after="0"/>
              <w:rPr>
                <w:sz w:val="20"/>
                <w:szCs w:val="20"/>
                <w:color w:val="auto"/>
              </w:rPr>
            </w:pPr>
            <w:r>
              <w:rPr>
                <w:rFonts w:ascii="Arial" w:cs="Arial" w:eastAsia="Arial" w:hAnsi="Arial"/>
                <w:sz w:val="14"/>
                <w:szCs w:val="14"/>
                <w:b w:val="1"/>
                <w:bCs w:val="1"/>
                <w:color w:val="auto"/>
              </w:rPr>
              <w:t>Percentage</w:t>
            </w:r>
          </w:p>
        </w:tc>
        <w:tc>
          <w:tcPr>
            <w:tcW w:w="1260" w:type="dxa"/>
            <w:vAlign w:val="bottom"/>
            <w:tcBorders>
              <w:bottom w:val="single" w:sz="8" w:color="16479F"/>
            </w:tcBorders>
          </w:tcPr>
          <w:p>
            <w:pPr>
              <w:jc w:val="right"/>
              <w:ind w:right="26"/>
              <w:spacing w:after="0"/>
              <w:rPr>
                <w:sz w:val="20"/>
                <w:szCs w:val="20"/>
                <w:color w:val="auto"/>
              </w:rPr>
            </w:pPr>
            <w:r>
              <w:rPr>
                <w:rFonts w:ascii="Arial" w:cs="Arial" w:eastAsia="Arial" w:hAnsi="Arial"/>
                <w:sz w:val="14"/>
                <w:szCs w:val="14"/>
                <w:b w:val="1"/>
                <w:bCs w:val="1"/>
                <w:color w:val="auto"/>
              </w:rPr>
              <w:t>Percentage</w:t>
            </w:r>
          </w:p>
        </w:tc>
        <w:tc>
          <w:tcPr>
            <w:tcW w:w="20" w:type="dxa"/>
            <w:vAlign w:val="bottom"/>
          </w:tcPr>
          <w:p>
            <w:pPr>
              <w:spacing w:after="0"/>
              <w:rPr>
                <w:sz w:val="16"/>
                <w:szCs w:val="16"/>
                <w:color w:val="auto"/>
              </w:rPr>
            </w:pPr>
          </w:p>
        </w:tc>
      </w:tr>
      <w:tr>
        <w:trPr>
          <w:trHeight w:val="213"/>
        </w:trPr>
        <w:tc>
          <w:tcPr>
            <w:tcW w:w="5640" w:type="dxa"/>
            <w:vAlign w:val="bottom"/>
            <w:shd w:val="clear" w:color="auto" w:fill="F0F1F8"/>
          </w:tcPr>
          <w:p>
            <w:pPr>
              <w:ind w:left="60"/>
              <w:spacing w:after="0"/>
              <w:rPr>
                <w:sz w:val="20"/>
                <w:szCs w:val="20"/>
                <w:color w:val="auto"/>
              </w:rPr>
            </w:pPr>
            <w:r>
              <w:rPr>
                <w:rFonts w:ascii="Arial" w:cs="Arial" w:eastAsia="Arial" w:hAnsi="Arial"/>
                <w:sz w:val="15"/>
                <w:szCs w:val="15"/>
                <w:color w:val="auto"/>
              </w:rPr>
              <w:t>Operating revenue growth</w:t>
            </w:r>
          </w:p>
        </w:tc>
        <w:tc>
          <w:tcPr>
            <w:tcW w:w="1480" w:type="dxa"/>
            <w:vAlign w:val="bottom"/>
            <w:shd w:val="clear" w:color="auto" w:fill="F0F1F8"/>
          </w:tcPr>
          <w:p>
            <w:pPr>
              <w:jc w:val="right"/>
              <w:ind w:right="286"/>
              <w:spacing w:after="0"/>
              <w:rPr>
                <w:sz w:val="20"/>
                <w:szCs w:val="20"/>
                <w:color w:val="auto"/>
              </w:rPr>
            </w:pPr>
            <w:r>
              <w:rPr>
                <w:rFonts w:ascii="Arial" w:cs="Arial" w:eastAsia="Arial" w:hAnsi="Arial"/>
                <w:sz w:val="15"/>
                <w:szCs w:val="15"/>
                <w:color w:val="auto"/>
              </w:rPr>
              <w:t>5.9%</w:t>
            </w:r>
          </w:p>
        </w:tc>
        <w:tc>
          <w:tcPr>
            <w:tcW w:w="1500" w:type="dxa"/>
            <w:vAlign w:val="bottom"/>
            <w:shd w:val="clear" w:color="auto" w:fill="F0F1F8"/>
          </w:tcPr>
          <w:p>
            <w:pPr>
              <w:jc w:val="right"/>
              <w:ind w:right="326"/>
              <w:spacing w:after="0"/>
              <w:rPr>
                <w:sz w:val="20"/>
                <w:szCs w:val="20"/>
                <w:color w:val="auto"/>
              </w:rPr>
            </w:pPr>
            <w:r>
              <w:rPr>
                <w:rFonts w:ascii="Arial" w:cs="Arial" w:eastAsia="Arial" w:hAnsi="Arial"/>
                <w:sz w:val="15"/>
                <w:szCs w:val="15"/>
                <w:color w:val="auto"/>
              </w:rPr>
              <w:t>5.3%</w:t>
            </w:r>
          </w:p>
        </w:tc>
        <w:tc>
          <w:tcPr>
            <w:tcW w:w="1360" w:type="dxa"/>
            <w:vAlign w:val="bottom"/>
            <w:shd w:val="clear" w:color="auto" w:fill="F0F1F8"/>
          </w:tcPr>
          <w:p>
            <w:pPr>
              <w:jc w:val="right"/>
              <w:ind w:right="206"/>
              <w:spacing w:after="0"/>
              <w:rPr>
                <w:sz w:val="20"/>
                <w:szCs w:val="20"/>
                <w:color w:val="auto"/>
              </w:rPr>
            </w:pPr>
            <w:r>
              <w:rPr>
                <w:rFonts w:ascii="Arial" w:cs="Arial" w:eastAsia="Arial" w:hAnsi="Arial"/>
                <w:sz w:val="15"/>
                <w:szCs w:val="15"/>
                <w:color w:val="auto"/>
              </w:rPr>
              <w:t>—%</w:t>
            </w:r>
          </w:p>
        </w:tc>
        <w:tc>
          <w:tcPr>
            <w:tcW w:w="1260" w:type="dxa"/>
            <w:vAlign w:val="bottom"/>
            <w:shd w:val="clear" w:color="auto" w:fill="F0F1F8"/>
          </w:tcPr>
          <w:p>
            <w:pPr>
              <w:jc w:val="right"/>
              <w:ind w:right="26"/>
              <w:spacing w:after="0"/>
              <w:rPr>
                <w:sz w:val="20"/>
                <w:szCs w:val="20"/>
                <w:color w:val="auto"/>
              </w:rPr>
            </w:pPr>
            <w:r>
              <w:rPr>
                <w:rFonts w:ascii="Arial" w:cs="Arial" w:eastAsia="Arial" w:hAnsi="Arial"/>
                <w:sz w:val="15"/>
                <w:szCs w:val="15"/>
                <w:color w:val="auto"/>
              </w:rPr>
              <w:t>48.1%</w:t>
            </w:r>
          </w:p>
        </w:tc>
        <w:tc>
          <w:tcPr>
            <w:tcW w:w="20" w:type="dxa"/>
            <w:vAlign w:val="bottom"/>
          </w:tcPr>
          <w:p>
            <w:pPr>
              <w:spacing w:after="0"/>
              <w:rPr>
                <w:sz w:val="18"/>
                <w:szCs w:val="18"/>
                <w:color w:val="auto"/>
              </w:rPr>
            </w:pPr>
          </w:p>
        </w:tc>
      </w:tr>
      <w:tr>
        <w:trPr>
          <w:trHeight w:val="209"/>
        </w:trPr>
        <w:tc>
          <w:tcPr>
            <w:tcW w:w="5640" w:type="dxa"/>
            <w:vAlign w:val="bottom"/>
          </w:tcPr>
          <w:p>
            <w:pPr>
              <w:ind w:left="60"/>
              <w:spacing w:after="0"/>
              <w:rPr>
                <w:sz w:val="20"/>
                <w:szCs w:val="20"/>
                <w:color w:val="auto"/>
              </w:rPr>
            </w:pPr>
            <w:r>
              <w:rPr>
                <w:rFonts w:ascii="Arial" w:cs="Arial" w:eastAsia="Arial" w:hAnsi="Arial"/>
                <w:sz w:val="15"/>
                <w:szCs w:val="15"/>
                <w:color w:val="auto"/>
              </w:rPr>
              <w:t>Impact of acquisitions and divestitures</w:t>
            </w:r>
          </w:p>
        </w:tc>
        <w:tc>
          <w:tcPr>
            <w:tcW w:w="1480" w:type="dxa"/>
            <w:vAlign w:val="bottom"/>
          </w:tcPr>
          <w:p>
            <w:pPr>
              <w:jc w:val="right"/>
              <w:ind w:right="286"/>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326"/>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206"/>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r>
      <w:tr>
        <w:trPr>
          <w:trHeight w:val="214"/>
        </w:trPr>
        <w:tc>
          <w:tcPr>
            <w:tcW w:w="5640" w:type="dxa"/>
            <w:vAlign w:val="bottom"/>
            <w:shd w:val="clear" w:color="auto" w:fill="F0F1F8"/>
          </w:tcPr>
          <w:p>
            <w:pPr>
              <w:ind w:left="60"/>
              <w:spacing w:after="0"/>
              <w:rPr>
                <w:sz w:val="20"/>
                <w:szCs w:val="20"/>
                <w:color w:val="auto"/>
              </w:rPr>
            </w:pPr>
            <w:r>
              <w:rPr>
                <w:rFonts w:ascii="Arial" w:cs="Arial" w:eastAsia="Arial" w:hAnsi="Arial"/>
                <w:sz w:val="15"/>
                <w:szCs w:val="15"/>
                <w:color w:val="auto"/>
              </w:rPr>
              <w:t>Impact of foreign currency exchange rate fluctuations</w:t>
            </w:r>
          </w:p>
        </w:tc>
        <w:tc>
          <w:tcPr>
            <w:tcW w:w="1480" w:type="dxa"/>
            <w:vAlign w:val="bottom"/>
            <w:tcBorders>
              <w:bottom w:val="single" w:sz="8" w:color="auto"/>
            </w:tcBorders>
            <w:shd w:val="clear" w:color="auto" w:fill="F0F1F8"/>
          </w:tcPr>
          <w:p>
            <w:pPr>
              <w:jc w:val="right"/>
              <w:ind w:right="286"/>
              <w:spacing w:after="0"/>
              <w:rPr>
                <w:sz w:val="20"/>
                <w:szCs w:val="20"/>
                <w:color w:val="auto"/>
              </w:rPr>
            </w:pPr>
            <w:r>
              <w:rPr>
                <w:rFonts w:ascii="Arial" w:cs="Arial" w:eastAsia="Arial" w:hAnsi="Arial"/>
                <w:sz w:val="15"/>
                <w:szCs w:val="15"/>
                <w:color w:val="auto"/>
              </w:rPr>
              <w:t>0.2%</w:t>
            </w:r>
          </w:p>
        </w:tc>
        <w:tc>
          <w:tcPr>
            <w:tcW w:w="1500" w:type="dxa"/>
            <w:vAlign w:val="bottom"/>
            <w:tcBorders>
              <w:bottom w:val="single" w:sz="8" w:color="auto"/>
            </w:tcBorders>
            <w:shd w:val="clear" w:color="auto" w:fill="F0F1F8"/>
          </w:tcPr>
          <w:p>
            <w:pPr>
              <w:jc w:val="right"/>
              <w:ind w:right="326"/>
              <w:spacing w:after="0"/>
              <w:rPr>
                <w:sz w:val="20"/>
                <w:szCs w:val="20"/>
                <w:color w:val="auto"/>
              </w:rPr>
            </w:pPr>
            <w:r>
              <w:rPr>
                <w:rFonts w:ascii="Arial" w:cs="Arial" w:eastAsia="Arial" w:hAnsi="Arial"/>
                <w:sz w:val="15"/>
                <w:szCs w:val="15"/>
                <w:color w:val="auto"/>
              </w:rPr>
              <w:t>0.2%</w:t>
            </w:r>
          </w:p>
        </w:tc>
        <w:tc>
          <w:tcPr>
            <w:tcW w:w="1360" w:type="dxa"/>
            <w:vAlign w:val="bottom"/>
            <w:tcBorders>
              <w:bottom w:val="single" w:sz="8" w:color="auto"/>
            </w:tcBorders>
            <w:shd w:val="clear" w:color="auto" w:fill="F0F1F8"/>
          </w:tcPr>
          <w:p>
            <w:pPr>
              <w:jc w:val="right"/>
              <w:ind w:right="206"/>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shd w:val="clear" w:color="auto" w:fill="F0F1F8"/>
          </w:tcPr>
          <w:p>
            <w:pPr>
              <w:jc w:val="right"/>
              <w:spacing w:after="0"/>
              <w:rPr>
                <w:sz w:val="20"/>
                <w:szCs w:val="20"/>
                <w:color w:val="auto"/>
              </w:rPr>
            </w:pPr>
            <w:r>
              <w:rPr>
                <w:rFonts w:ascii="Arial" w:cs="Arial" w:eastAsia="Arial" w:hAnsi="Arial"/>
                <w:sz w:val="15"/>
                <w:szCs w:val="15"/>
                <w:color w:val="auto"/>
              </w:rPr>
              <w:t>(0.1%)</w:t>
            </w:r>
          </w:p>
        </w:tc>
        <w:tc>
          <w:tcPr>
            <w:tcW w:w="20" w:type="dxa"/>
            <w:vAlign w:val="bottom"/>
          </w:tcPr>
          <w:p>
            <w:pPr>
              <w:spacing w:after="0"/>
              <w:rPr>
                <w:sz w:val="18"/>
                <w:szCs w:val="18"/>
                <w:color w:val="auto"/>
              </w:rPr>
            </w:pPr>
          </w:p>
        </w:tc>
      </w:tr>
      <w:tr>
        <w:trPr>
          <w:trHeight w:val="208"/>
        </w:trPr>
        <w:tc>
          <w:tcPr>
            <w:tcW w:w="56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Organic operating revenue growth</w:t>
            </w:r>
          </w:p>
        </w:tc>
        <w:tc>
          <w:tcPr>
            <w:tcW w:w="1480" w:type="dxa"/>
            <w:vAlign w:val="bottom"/>
            <w:tcBorders>
              <w:bottom w:val="single" w:sz="8" w:color="auto"/>
            </w:tcBorders>
          </w:tcPr>
          <w:p>
            <w:pPr>
              <w:jc w:val="right"/>
              <w:ind w:right="286"/>
              <w:spacing w:after="0"/>
              <w:rPr>
                <w:sz w:val="20"/>
                <w:szCs w:val="20"/>
                <w:color w:val="auto"/>
              </w:rPr>
            </w:pPr>
            <w:r>
              <w:rPr>
                <w:rFonts w:ascii="Arial" w:cs="Arial" w:eastAsia="Arial" w:hAnsi="Arial"/>
                <w:sz w:val="15"/>
                <w:szCs w:val="15"/>
                <w:color w:val="auto"/>
              </w:rPr>
              <w:t>6.1%</w:t>
            </w:r>
          </w:p>
        </w:tc>
        <w:tc>
          <w:tcPr>
            <w:tcW w:w="1500" w:type="dxa"/>
            <w:vAlign w:val="bottom"/>
            <w:tcBorders>
              <w:bottom w:val="single" w:sz="8" w:color="auto"/>
            </w:tcBorders>
          </w:tcPr>
          <w:p>
            <w:pPr>
              <w:jc w:val="right"/>
              <w:ind w:right="326"/>
              <w:spacing w:after="0"/>
              <w:rPr>
                <w:sz w:val="20"/>
                <w:szCs w:val="20"/>
                <w:color w:val="auto"/>
              </w:rPr>
            </w:pPr>
            <w:r>
              <w:rPr>
                <w:rFonts w:ascii="Arial" w:cs="Arial" w:eastAsia="Arial" w:hAnsi="Arial"/>
                <w:sz w:val="15"/>
                <w:szCs w:val="15"/>
                <w:color w:val="auto"/>
              </w:rPr>
              <w:t>5.5%</w:t>
            </w:r>
          </w:p>
        </w:tc>
        <w:tc>
          <w:tcPr>
            <w:tcW w:w="136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48.0%</w:t>
            </w:r>
          </w:p>
        </w:tc>
        <w:tc>
          <w:tcPr>
            <w:tcW w:w="20" w:type="dxa"/>
            <w:vAlign w:val="bottom"/>
          </w:tcPr>
          <w:p>
            <w:pPr>
              <w:spacing w:after="0"/>
              <w:rPr>
                <w:sz w:val="18"/>
                <w:szCs w:val="18"/>
                <w:color w:val="auto"/>
              </w:rPr>
            </w:pPr>
          </w:p>
        </w:tc>
      </w:tr>
      <w:tr>
        <w:trPr>
          <w:trHeight w:val="360"/>
        </w:trPr>
        <w:tc>
          <w:tcPr>
            <w:tcW w:w="56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00" w:type="dxa"/>
            <w:vAlign w:val="bottom"/>
          </w:tcPr>
          <w:p>
            <w:pPr>
              <w:jc w:val="right"/>
              <w:ind w:right="326"/>
              <w:spacing w:after="0"/>
              <w:rPr>
                <w:sz w:val="20"/>
                <w:szCs w:val="20"/>
                <w:color w:val="auto"/>
              </w:rPr>
            </w:pPr>
            <w:r>
              <w:rPr>
                <w:rFonts w:ascii="Arial" w:cs="Arial" w:eastAsia="Arial" w:hAnsi="Arial"/>
                <w:sz w:val="14"/>
                <w:szCs w:val="14"/>
                <w:b w:val="1"/>
                <w:bCs w:val="1"/>
                <w:color w:val="auto"/>
              </w:rPr>
              <w:t>Recurring</w:t>
            </w:r>
          </w:p>
        </w:tc>
        <w:tc>
          <w:tcPr>
            <w:tcW w:w="1360" w:type="dxa"/>
            <w:vAlign w:val="bottom"/>
          </w:tcPr>
          <w:p>
            <w:pPr>
              <w:jc w:val="right"/>
              <w:ind w:right="206"/>
              <w:spacing w:after="0"/>
              <w:rPr>
                <w:sz w:val="20"/>
                <w:szCs w:val="20"/>
                <w:color w:val="auto"/>
              </w:rPr>
            </w:pPr>
            <w:r>
              <w:rPr>
                <w:rFonts w:ascii="Arial" w:cs="Arial" w:eastAsia="Arial" w:hAnsi="Arial"/>
                <w:sz w:val="14"/>
                <w:szCs w:val="14"/>
                <w:b w:val="1"/>
                <w:bCs w:val="1"/>
                <w:color w:val="auto"/>
              </w:rPr>
              <w:t>Asset-</w:t>
            </w:r>
          </w:p>
        </w:tc>
        <w:tc>
          <w:tcPr>
            <w:tcW w:w="1260" w:type="dxa"/>
            <w:vAlign w:val="bottom"/>
          </w:tcPr>
          <w:p>
            <w:pPr>
              <w:jc w:val="right"/>
              <w:ind w:right="26"/>
              <w:spacing w:after="0"/>
              <w:rPr>
                <w:sz w:val="20"/>
                <w:szCs w:val="20"/>
                <w:color w:val="auto"/>
              </w:rPr>
            </w:pPr>
            <w:r>
              <w:rPr>
                <w:rFonts w:ascii="Arial" w:cs="Arial" w:eastAsia="Arial" w:hAnsi="Arial"/>
                <w:sz w:val="14"/>
                <w:szCs w:val="14"/>
                <w:b w:val="1"/>
                <w:bCs w:val="1"/>
                <w:color w:val="auto"/>
              </w:rPr>
              <w:t>Non-Recurring</w:t>
            </w:r>
          </w:p>
        </w:tc>
        <w:tc>
          <w:tcPr>
            <w:tcW w:w="20" w:type="dxa"/>
            <w:vAlign w:val="bottom"/>
          </w:tcPr>
          <w:p>
            <w:pPr>
              <w:spacing w:after="0"/>
              <w:rPr>
                <w:sz w:val="24"/>
                <w:szCs w:val="24"/>
                <w:color w:val="auto"/>
              </w:rPr>
            </w:pPr>
          </w:p>
        </w:tc>
      </w:tr>
      <w:tr>
        <w:trPr>
          <w:trHeight w:val="161"/>
        </w:trPr>
        <w:tc>
          <w:tcPr>
            <w:tcW w:w="5640" w:type="dxa"/>
            <w:vAlign w:val="bottom"/>
          </w:tcPr>
          <w:p>
            <w:pPr>
              <w:spacing w:after="0"/>
              <w:rPr>
                <w:sz w:val="13"/>
                <w:szCs w:val="13"/>
                <w:color w:val="auto"/>
              </w:rPr>
            </w:pPr>
          </w:p>
        </w:tc>
        <w:tc>
          <w:tcPr>
            <w:tcW w:w="1480" w:type="dxa"/>
            <w:vAlign w:val="bottom"/>
          </w:tcPr>
          <w:p>
            <w:pPr>
              <w:jc w:val="right"/>
              <w:ind w:right="286"/>
              <w:spacing w:after="0"/>
              <w:rPr>
                <w:sz w:val="20"/>
                <w:szCs w:val="20"/>
                <w:color w:val="auto"/>
              </w:rPr>
            </w:pPr>
            <w:r>
              <w:rPr>
                <w:rFonts w:ascii="Arial" w:cs="Arial" w:eastAsia="Arial" w:hAnsi="Arial"/>
                <w:sz w:val="14"/>
                <w:szCs w:val="14"/>
                <w:b w:val="1"/>
                <w:bCs w:val="1"/>
                <w:color w:val="auto"/>
              </w:rPr>
              <w:t>Total</w:t>
            </w:r>
          </w:p>
        </w:tc>
        <w:tc>
          <w:tcPr>
            <w:tcW w:w="1500" w:type="dxa"/>
            <w:vAlign w:val="bottom"/>
          </w:tcPr>
          <w:p>
            <w:pPr>
              <w:jc w:val="right"/>
              <w:ind w:right="326"/>
              <w:spacing w:after="0"/>
              <w:rPr>
                <w:sz w:val="20"/>
                <w:szCs w:val="20"/>
                <w:color w:val="auto"/>
              </w:rPr>
            </w:pPr>
            <w:r>
              <w:rPr>
                <w:rFonts w:ascii="Arial" w:cs="Arial" w:eastAsia="Arial" w:hAnsi="Arial"/>
                <w:sz w:val="14"/>
                <w:szCs w:val="14"/>
                <w:b w:val="1"/>
                <w:bCs w:val="1"/>
                <w:color w:val="auto"/>
              </w:rPr>
              <w:t>Subscription</w:t>
            </w:r>
          </w:p>
        </w:tc>
        <w:tc>
          <w:tcPr>
            <w:tcW w:w="1360" w:type="dxa"/>
            <w:vAlign w:val="bottom"/>
          </w:tcPr>
          <w:p>
            <w:pPr>
              <w:jc w:val="right"/>
              <w:ind w:right="206"/>
              <w:spacing w:after="0"/>
              <w:rPr>
                <w:sz w:val="20"/>
                <w:szCs w:val="20"/>
                <w:color w:val="auto"/>
              </w:rPr>
            </w:pPr>
            <w:r>
              <w:rPr>
                <w:rFonts w:ascii="Arial" w:cs="Arial" w:eastAsia="Arial" w:hAnsi="Arial"/>
                <w:sz w:val="14"/>
                <w:szCs w:val="14"/>
                <w:b w:val="1"/>
                <w:bCs w:val="1"/>
                <w:color w:val="auto"/>
              </w:rPr>
              <w:t>Based Fees</w:t>
            </w:r>
          </w:p>
        </w:tc>
        <w:tc>
          <w:tcPr>
            <w:tcW w:w="1260" w:type="dxa"/>
            <w:vAlign w:val="bottom"/>
          </w:tcPr>
          <w:p>
            <w:pPr>
              <w:jc w:val="right"/>
              <w:ind w:right="26"/>
              <w:spacing w:after="0"/>
              <w:rPr>
                <w:sz w:val="20"/>
                <w:szCs w:val="20"/>
                <w:color w:val="auto"/>
              </w:rPr>
            </w:pPr>
            <w:r>
              <w:rPr>
                <w:rFonts w:ascii="Arial" w:cs="Arial" w:eastAsia="Arial" w:hAnsi="Arial"/>
                <w:sz w:val="14"/>
                <w:szCs w:val="14"/>
                <w:b w:val="1"/>
                <w:bCs w:val="1"/>
                <w:color w:val="auto"/>
              </w:rPr>
              <w:t>Revenues</w:t>
            </w:r>
          </w:p>
        </w:tc>
        <w:tc>
          <w:tcPr>
            <w:tcW w:w="20" w:type="dxa"/>
            <w:vAlign w:val="bottom"/>
          </w:tcPr>
          <w:p>
            <w:pPr>
              <w:spacing w:after="0"/>
              <w:rPr>
                <w:sz w:val="13"/>
                <w:szCs w:val="13"/>
                <w:color w:val="auto"/>
              </w:rPr>
            </w:pPr>
          </w:p>
        </w:tc>
      </w:tr>
      <w:tr>
        <w:trPr>
          <w:trHeight w:val="161"/>
        </w:trPr>
        <w:tc>
          <w:tcPr>
            <w:tcW w:w="5640" w:type="dxa"/>
            <w:vAlign w:val="bottom"/>
          </w:tcPr>
          <w:p>
            <w:pPr>
              <w:spacing w:after="0"/>
              <w:rPr>
                <w:sz w:val="13"/>
                <w:szCs w:val="13"/>
                <w:color w:val="auto"/>
              </w:rPr>
            </w:pPr>
          </w:p>
        </w:tc>
        <w:tc>
          <w:tcPr>
            <w:tcW w:w="1480" w:type="dxa"/>
            <w:vAlign w:val="bottom"/>
          </w:tcPr>
          <w:p>
            <w:pPr>
              <w:jc w:val="right"/>
              <w:ind w:right="286"/>
              <w:spacing w:after="0"/>
              <w:rPr>
                <w:sz w:val="20"/>
                <w:szCs w:val="20"/>
                <w:color w:val="auto"/>
              </w:rPr>
            </w:pPr>
            <w:r>
              <w:rPr>
                <w:rFonts w:ascii="Arial" w:cs="Arial" w:eastAsia="Arial" w:hAnsi="Arial"/>
                <w:sz w:val="14"/>
                <w:szCs w:val="14"/>
                <w:b w:val="1"/>
                <w:bCs w:val="1"/>
                <w:color w:val="auto"/>
              </w:rPr>
              <w:t>Change</w:t>
            </w:r>
          </w:p>
        </w:tc>
        <w:tc>
          <w:tcPr>
            <w:tcW w:w="1500" w:type="dxa"/>
            <w:vAlign w:val="bottom"/>
          </w:tcPr>
          <w:p>
            <w:pPr>
              <w:jc w:val="right"/>
              <w:ind w:right="326"/>
              <w:spacing w:after="0"/>
              <w:rPr>
                <w:sz w:val="20"/>
                <w:szCs w:val="20"/>
                <w:color w:val="auto"/>
              </w:rPr>
            </w:pPr>
            <w:r>
              <w:rPr>
                <w:rFonts w:ascii="Arial" w:cs="Arial" w:eastAsia="Arial" w:hAnsi="Arial"/>
                <w:sz w:val="14"/>
                <w:szCs w:val="14"/>
                <w:b w:val="1"/>
                <w:bCs w:val="1"/>
                <w:color w:val="auto"/>
              </w:rPr>
              <w:t>Change</w:t>
            </w:r>
          </w:p>
        </w:tc>
        <w:tc>
          <w:tcPr>
            <w:tcW w:w="1360" w:type="dxa"/>
            <w:vAlign w:val="bottom"/>
          </w:tcPr>
          <w:p>
            <w:pPr>
              <w:jc w:val="right"/>
              <w:ind w:right="206"/>
              <w:spacing w:after="0"/>
              <w:rPr>
                <w:sz w:val="20"/>
                <w:szCs w:val="20"/>
                <w:color w:val="auto"/>
              </w:rPr>
            </w:pPr>
            <w:r>
              <w:rPr>
                <w:rFonts w:ascii="Arial" w:cs="Arial" w:eastAsia="Arial" w:hAnsi="Arial"/>
                <w:sz w:val="14"/>
                <w:szCs w:val="14"/>
                <w:b w:val="1"/>
                <w:bCs w:val="1"/>
                <w:color w:val="auto"/>
              </w:rPr>
              <w:t>Change</w:t>
            </w:r>
          </w:p>
        </w:tc>
        <w:tc>
          <w:tcPr>
            <w:tcW w:w="1260" w:type="dxa"/>
            <w:vAlign w:val="bottom"/>
          </w:tcPr>
          <w:p>
            <w:pPr>
              <w:jc w:val="right"/>
              <w:ind w:right="26"/>
              <w:spacing w:after="0"/>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13"/>
                <w:szCs w:val="13"/>
                <w:color w:val="auto"/>
              </w:rPr>
            </w:pPr>
          </w:p>
        </w:tc>
      </w:tr>
      <w:tr>
        <w:trPr>
          <w:trHeight w:val="195"/>
        </w:trPr>
        <w:tc>
          <w:tcPr>
            <w:tcW w:w="5640" w:type="dxa"/>
            <w:vAlign w:val="bottom"/>
            <w:tcBorders>
              <w:bottom w:val="single" w:sz="8" w:color="16479F"/>
            </w:tcBorders>
          </w:tcPr>
          <w:p>
            <w:pPr>
              <w:ind w:left="60"/>
              <w:spacing w:after="0"/>
              <w:rPr>
                <w:sz w:val="20"/>
                <w:szCs w:val="20"/>
                <w:color w:val="auto"/>
              </w:rPr>
            </w:pPr>
            <w:r>
              <w:rPr>
                <w:rFonts w:ascii="Arial" w:cs="Arial" w:eastAsia="Arial" w:hAnsi="Arial"/>
                <w:sz w:val="14"/>
                <w:szCs w:val="14"/>
                <w:b w:val="1"/>
                <w:bCs w:val="1"/>
                <w:color w:val="auto"/>
              </w:rPr>
              <w:t>ESG and Climate</w:t>
            </w:r>
          </w:p>
        </w:tc>
        <w:tc>
          <w:tcPr>
            <w:tcW w:w="1480" w:type="dxa"/>
            <w:vAlign w:val="bottom"/>
            <w:tcBorders>
              <w:bottom w:val="single" w:sz="8" w:color="16479F"/>
            </w:tcBorders>
          </w:tcPr>
          <w:p>
            <w:pPr>
              <w:jc w:val="right"/>
              <w:ind w:right="286"/>
              <w:spacing w:after="0"/>
              <w:rPr>
                <w:sz w:val="20"/>
                <w:szCs w:val="20"/>
                <w:color w:val="auto"/>
              </w:rPr>
            </w:pPr>
            <w:r>
              <w:rPr>
                <w:rFonts w:ascii="Arial" w:cs="Arial" w:eastAsia="Arial" w:hAnsi="Arial"/>
                <w:sz w:val="14"/>
                <w:szCs w:val="14"/>
                <w:b w:val="1"/>
                <w:bCs w:val="1"/>
                <w:color w:val="auto"/>
              </w:rPr>
              <w:t>Percentage</w:t>
            </w:r>
          </w:p>
        </w:tc>
        <w:tc>
          <w:tcPr>
            <w:tcW w:w="1500" w:type="dxa"/>
            <w:vAlign w:val="bottom"/>
            <w:tcBorders>
              <w:bottom w:val="single" w:sz="8" w:color="16479F"/>
            </w:tcBorders>
          </w:tcPr>
          <w:p>
            <w:pPr>
              <w:jc w:val="right"/>
              <w:ind w:right="326"/>
              <w:spacing w:after="0"/>
              <w:rPr>
                <w:sz w:val="20"/>
                <w:szCs w:val="20"/>
                <w:color w:val="auto"/>
              </w:rPr>
            </w:pPr>
            <w:r>
              <w:rPr>
                <w:rFonts w:ascii="Arial" w:cs="Arial" w:eastAsia="Arial" w:hAnsi="Arial"/>
                <w:sz w:val="14"/>
                <w:szCs w:val="14"/>
                <w:b w:val="1"/>
                <w:bCs w:val="1"/>
                <w:color w:val="auto"/>
              </w:rPr>
              <w:t>Percentage</w:t>
            </w:r>
          </w:p>
        </w:tc>
        <w:tc>
          <w:tcPr>
            <w:tcW w:w="1360" w:type="dxa"/>
            <w:vAlign w:val="bottom"/>
            <w:tcBorders>
              <w:bottom w:val="single" w:sz="8" w:color="16479F"/>
            </w:tcBorders>
          </w:tcPr>
          <w:p>
            <w:pPr>
              <w:jc w:val="right"/>
              <w:ind w:right="206"/>
              <w:spacing w:after="0"/>
              <w:rPr>
                <w:sz w:val="20"/>
                <w:szCs w:val="20"/>
                <w:color w:val="auto"/>
              </w:rPr>
            </w:pPr>
            <w:r>
              <w:rPr>
                <w:rFonts w:ascii="Arial" w:cs="Arial" w:eastAsia="Arial" w:hAnsi="Arial"/>
                <w:sz w:val="14"/>
                <w:szCs w:val="14"/>
                <w:b w:val="1"/>
                <w:bCs w:val="1"/>
                <w:color w:val="auto"/>
              </w:rPr>
              <w:t>Percentage</w:t>
            </w:r>
          </w:p>
        </w:tc>
        <w:tc>
          <w:tcPr>
            <w:tcW w:w="1260" w:type="dxa"/>
            <w:vAlign w:val="bottom"/>
            <w:tcBorders>
              <w:bottom w:val="single" w:sz="8" w:color="16479F"/>
            </w:tcBorders>
          </w:tcPr>
          <w:p>
            <w:pPr>
              <w:jc w:val="right"/>
              <w:ind w:right="26"/>
              <w:spacing w:after="0"/>
              <w:rPr>
                <w:sz w:val="20"/>
                <w:szCs w:val="20"/>
                <w:color w:val="auto"/>
              </w:rPr>
            </w:pPr>
            <w:r>
              <w:rPr>
                <w:rFonts w:ascii="Arial" w:cs="Arial" w:eastAsia="Arial" w:hAnsi="Arial"/>
                <w:sz w:val="14"/>
                <w:szCs w:val="14"/>
                <w:b w:val="1"/>
                <w:bCs w:val="1"/>
                <w:color w:val="auto"/>
              </w:rPr>
              <w:t>Percentage</w:t>
            </w:r>
          </w:p>
        </w:tc>
        <w:tc>
          <w:tcPr>
            <w:tcW w:w="20" w:type="dxa"/>
            <w:vAlign w:val="bottom"/>
          </w:tcPr>
          <w:p>
            <w:pPr>
              <w:spacing w:after="0"/>
              <w:rPr>
                <w:sz w:val="16"/>
                <w:szCs w:val="16"/>
                <w:color w:val="auto"/>
              </w:rPr>
            </w:pPr>
          </w:p>
        </w:tc>
      </w:tr>
      <w:tr>
        <w:trPr>
          <w:trHeight w:val="213"/>
        </w:trPr>
        <w:tc>
          <w:tcPr>
            <w:tcW w:w="5640" w:type="dxa"/>
            <w:vAlign w:val="bottom"/>
            <w:shd w:val="clear" w:color="auto" w:fill="F0F1F8"/>
          </w:tcPr>
          <w:p>
            <w:pPr>
              <w:ind w:left="60"/>
              <w:spacing w:after="0"/>
              <w:rPr>
                <w:sz w:val="20"/>
                <w:szCs w:val="20"/>
                <w:color w:val="auto"/>
              </w:rPr>
            </w:pPr>
            <w:r>
              <w:rPr>
                <w:rFonts w:ascii="Arial" w:cs="Arial" w:eastAsia="Arial" w:hAnsi="Arial"/>
                <w:sz w:val="15"/>
                <w:szCs w:val="15"/>
                <w:color w:val="auto"/>
              </w:rPr>
              <w:t>Operating revenue growth</w:t>
            </w:r>
          </w:p>
        </w:tc>
        <w:tc>
          <w:tcPr>
            <w:tcW w:w="1480" w:type="dxa"/>
            <w:vAlign w:val="bottom"/>
            <w:shd w:val="clear" w:color="auto" w:fill="F0F1F8"/>
          </w:tcPr>
          <w:p>
            <w:pPr>
              <w:jc w:val="right"/>
              <w:ind w:right="286"/>
              <w:spacing w:after="0"/>
              <w:rPr>
                <w:sz w:val="20"/>
                <w:szCs w:val="20"/>
                <w:color w:val="auto"/>
              </w:rPr>
            </w:pPr>
            <w:r>
              <w:rPr>
                <w:rFonts w:ascii="Arial" w:cs="Arial" w:eastAsia="Arial" w:hAnsi="Arial"/>
                <w:sz w:val="15"/>
                <w:szCs w:val="15"/>
                <w:color w:val="auto"/>
              </w:rPr>
              <w:t>49.2%</w:t>
            </w:r>
          </w:p>
        </w:tc>
        <w:tc>
          <w:tcPr>
            <w:tcW w:w="1500" w:type="dxa"/>
            <w:vAlign w:val="bottom"/>
            <w:shd w:val="clear" w:color="auto" w:fill="F0F1F8"/>
          </w:tcPr>
          <w:p>
            <w:pPr>
              <w:jc w:val="right"/>
              <w:ind w:right="326"/>
              <w:spacing w:after="0"/>
              <w:rPr>
                <w:sz w:val="20"/>
                <w:szCs w:val="20"/>
                <w:color w:val="auto"/>
              </w:rPr>
            </w:pPr>
            <w:r>
              <w:rPr>
                <w:rFonts w:ascii="Arial" w:cs="Arial" w:eastAsia="Arial" w:hAnsi="Arial"/>
                <w:sz w:val="15"/>
                <w:szCs w:val="15"/>
                <w:color w:val="auto"/>
              </w:rPr>
              <w:t>47.9%</w:t>
            </w:r>
          </w:p>
        </w:tc>
        <w:tc>
          <w:tcPr>
            <w:tcW w:w="1360" w:type="dxa"/>
            <w:vAlign w:val="bottom"/>
            <w:shd w:val="clear" w:color="auto" w:fill="F0F1F8"/>
          </w:tcPr>
          <w:p>
            <w:pPr>
              <w:jc w:val="right"/>
              <w:ind w:right="206"/>
              <w:spacing w:after="0"/>
              <w:rPr>
                <w:sz w:val="20"/>
                <w:szCs w:val="20"/>
                <w:color w:val="auto"/>
              </w:rPr>
            </w:pPr>
            <w:r>
              <w:rPr>
                <w:rFonts w:ascii="Arial" w:cs="Arial" w:eastAsia="Arial" w:hAnsi="Arial"/>
                <w:sz w:val="15"/>
                <w:szCs w:val="15"/>
                <w:color w:val="auto"/>
              </w:rPr>
              <w:t>—%</w:t>
            </w:r>
          </w:p>
        </w:tc>
        <w:tc>
          <w:tcPr>
            <w:tcW w:w="1260" w:type="dxa"/>
            <w:vAlign w:val="bottom"/>
            <w:shd w:val="clear" w:color="auto" w:fill="F0F1F8"/>
          </w:tcPr>
          <w:p>
            <w:pPr>
              <w:jc w:val="right"/>
              <w:ind w:right="26"/>
              <w:spacing w:after="0"/>
              <w:rPr>
                <w:sz w:val="20"/>
                <w:szCs w:val="20"/>
                <w:color w:val="auto"/>
              </w:rPr>
            </w:pPr>
            <w:r>
              <w:rPr>
                <w:rFonts w:ascii="Arial" w:cs="Arial" w:eastAsia="Arial" w:hAnsi="Arial"/>
                <w:sz w:val="15"/>
                <w:szCs w:val="15"/>
                <w:color w:val="auto"/>
              </w:rPr>
              <w:t>152.5%</w:t>
            </w:r>
          </w:p>
        </w:tc>
        <w:tc>
          <w:tcPr>
            <w:tcW w:w="20" w:type="dxa"/>
            <w:vAlign w:val="bottom"/>
          </w:tcPr>
          <w:p>
            <w:pPr>
              <w:spacing w:after="0"/>
              <w:rPr>
                <w:sz w:val="18"/>
                <w:szCs w:val="18"/>
                <w:color w:val="auto"/>
              </w:rPr>
            </w:pPr>
          </w:p>
        </w:tc>
      </w:tr>
      <w:tr>
        <w:trPr>
          <w:trHeight w:val="209"/>
        </w:trPr>
        <w:tc>
          <w:tcPr>
            <w:tcW w:w="5640" w:type="dxa"/>
            <w:vAlign w:val="bottom"/>
          </w:tcPr>
          <w:p>
            <w:pPr>
              <w:ind w:left="60"/>
              <w:spacing w:after="0"/>
              <w:rPr>
                <w:sz w:val="20"/>
                <w:szCs w:val="20"/>
                <w:color w:val="auto"/>
              </w:rPr>
            </w:pPr>
            <w:r>
              <w:rPr>
                <w:rFonts w:ascii="Arial" w:cs="Arial" w:eastAsia="Arial" w:hAnsi="Arial"/>
                <w:sz w:val="15"/>
                <w:szCs w:val="15"/>
                <w:color w:val="auto"/>
              </w:rPr>
              <w:t>Impact of acquisitions and divestitures</w:t>
            </w:r>
          </w:p>
        </w:tc>
        <w:tc>
          <w:tcPr>
            <w:tcW w:w="1480" w:type="dxa"/>
            <w:vAlign w:val="bottom"/>
          </w:tcPr>
          <w:p>
            <w:pPr>
              <w:jc w:val="right"/>
              <w:ind w:right="286"/>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326"/>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206"/>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r>
      <w:tr>
        <w:trPr>
          <w:trHeight w:val="214"/>
        </w:trPr>
        <w:tc>
          <w:tcPr>
            <w:tcW w:w="5640" w:type="dxa"/>
            <w:vAlign w:val="bottom"/>
            <w:shd w:val="clear" w:color="auto" w:fill="F0F1F8"/>
          </w:tcPr>
          <w:p>
            <w:pPr>
              <w:ind w:left="60"/>
              <w:spacing w:after="0"/>
              <w:rPr>
                <w:sz w:val="20"/>
                <w:szCs w:val="20"/>
                <w:color w:val="auto"/>
              </w:rPr>
            </w:pPr>
            <w:r>
              <w:rPr>
                <w:rFonts w:ascii="Arial" w:cs="Arial" w:eastAsia="Arial" w:hAnsi="Arial"/>
                <w:sz w:val="15"/>
                <w:szCs w:val="15"/>
                <w:color w:val="auto"/>
              </w:rPr>
              <w:t>Impact of foreign currency exchange rate fluctuations</w:t>
            </w:r>
          </w:p>
        </w:tc>
        <w:tc>
          <w:tcPr>
            <w:tcW w:w="1480" w:type="dxa"/>
            <w:vAlign w:val="bottom"/>
            <w:tcBorders>
              <w:bottom w:val="single" w:sz="8" w:color="auto"/>
            </w:tcBorders>
            <w:shd w:val="clear" w:color="auto" w:fill="F0F1F8"/>
          </w:tcPr>
          <w:p>
            <w:pPr>
              <w:jc w:val="right"/>
              <w:ind w:right="246"/>
              <w:spacing w:after="0"/>
              <w:rPr>
                <w:sz w:val="20"/>
                <w:szCs w:val="20"/>
                <w:color w:val="auto"/>
              </w:rPr>
            </w:pPr>
            <w:r>
              <w:rPr>
                <w:rFonts w:ascii="Arial" w:cs="Arial" w:eastAsia="Arial" w:hAnsi="Arial"/>
                <w:sz w:val="15"/>
                <w:szCs w:val="15"/>
                <w:color w:val="auto"/>
              </w:rPr>
              <w:t>(5.8%)</w:t>
            </w:r>
          </w:p>
        </w:tc>
        <w:tc>
          <w:tcPr>
            <w:tcW w:w="1500" w:type="dxa"/>
            <w:vAlign w:val="bottom"/>
            <w:tcBorders>
              <w:bottom w:val="single" w:sz="8" w:color="auto"/>
            </w:tcBorders>
            <w:shd w:val="clear" w:color="auto" w:fill="F0F1F8"/>
          </w:tcPr>
          <w:p>
            <w:pPr>
              <w:jc w:val="right"/>
              <w:ind w:right="266"/>
              <w:spacing w:after="0"/>
              <w:rPr>
                <w:sz w:val="20"/>
                <w:szCs w:val="20"/>
                <w:color w:val="auto"/>
              </w:rPr>
            </w:pPr>
            <w:r>
              <w:rPr>
                <w:rFonts w:ascii="Arial" w:cs="Arial" w:eastAsia="Arial" w:hAnsi="Arial"/>
                <w:sz w:val="15"/>
                <w:szCs w:val="15"/>
                <w:color w:val="auto"/>
              </w:rPr>
              <w:t>(5.9%)</w:t>
            </w:r>
          </w:p>
        </w:tc>
        <w:tc>
          <w:tcPr>
            <w:tcW w:w="1360" w:type="dxa"/>
            <w:vAlign w:val="bottom"/>
            <w:tcBorders>
              <w:bottom w:val="single" w:sz="8" w:color="auto"/>
            </w:tcBorders>
            <w:shd w:val="clear" w:color="auto" w:fill="F0F1F8"/>
          </w:tcPr>
          <w:p>
            <w:pPr>
              <w:jc w:val="right"/>
              <w:ind w:right="206"/>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shd w:val="clear" w:color="auto" w:fill="F0F1F8"/>
          </w:tcPr>
          <w:p>
            <w:pPr>
              <w:jc w:val="right"/>
              <w:spacing w:after="0"/>
              <w:rPr>
                <w:sz w:val="20"/>
                <w:szCs w:val="20"/>
                <w:color w:val="auto"/>
              </w:rPr>
            </w:pPr>
            <w:r>
              <w:rPr>
                <w:rFonts w:ascii="Arial" w:cs="Arial" w:eastAsia="Arial" w:hAnsi="Arial"/>
                <w:sz w:val="15"/>
                <w:szCs w:val="15"/>
                <w:color w:val="auto"/>
              </w:rPr>
              <w:t>(1.9%)</w:t>
            </w:r>
          </w:p>
        </w:tc>
        <w:tc>
          <w:tcPr>
            <w:tcW w:w="20" w:type="dxa"/>
            <w:vAlign w:val="bottom"/>
          </w:tcPr>
          <w:p>
            <w:pPr>
              <w:spacing w:after="0"/>
              <w:rPr>
                <w:sz w:val="18"/>
                <w:szCs w:val="18"/>
                <w:color w:val="auto"/>
              </w:rPr>
            </w:pPr>
          </w:p>
        </w:tc>
      </w:tr>
      <w:tr>
        <w:trPr>
          <w:trHeight w:val="208"/>
        </w:trPr>
        <w:tc>
          <w:tcPr>
            <w:tcW w:w="56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Organic operating revenue growth</w:t>
            </w:r>
          </w:p>
        </w:tc>
        <w:tc>
          <w:tcPr>
            <w:tcW w:w="1480" w:type="dxa"/>
            <w:vAlign w:val="bottom"/>
            <w:tcBorders>
              <w:bottom w:val="single" w:sz="8" w:color="auto"/>
            </w:tcBorders>
          </w:tcPr>
          <w:p>
            <w:pPr>
              <w:jc w:val="right"/>
              <w:ind w:right="286"/>
              <w:spacing w:after="0"/>
              <w:rPr>
                <w:sz w:val="20"/>
                <w:szCs w:val="20"/>
                <w:color w:val="auto"/>
              </w:rPr>
            </w:pPr>
            <w:r>
              <w:rPr>
                <w:rFonts w:ascii="Arial" w:cs="Arial" w:eastAsia="Arial" w:hAnsi="Arial"/>
                <w:sz w:val="15"/>
                <w:szCs w:val="15"/>
                <w:color w:val="auto"/>
              </w:rPr>
              <w:t>43.4%</w:t>
            </w:r>
          </w:p>
        </w:tc>
        <w:tc>
          <w:tcPr>
            <w:tcW w:w="1500" w:type="dxa"/>
            <w:vAlign w:val="bottom"/>
            <w:tcBorders>
              <w:bottom w:val="single" w:sz="8" w:color="auto"/>
            </w:tcBorders>
          </w:tcPr>
          <w:p>
            <w:pPr>
              <w:jc w:val="right"/>
              <w:ind w:right="326"/>
              <w:spacing w:after="0"/>
              <w:rPr>
                <w:sz w:val="20"/>
                <w:szCs w:val="20"/>
                <w:color w:val="auto"/>
              </w:rPr>
            </w:pPr>
            <w:r>
              <w:rPr>
                <w:rFonts w:ascii="Arial" w:cs="Arial" w:eastAsia="Arial" w:hAnsi="Arial"/>
                <w:sz w:val="15"/>
                <w:szCs w:val="15"/>
                <w:color w:val="auto"/>
              </w:rPr>
              <w:t>42.0%</w:t>
            </w:r>
          </w:p>
        </w:tc>
        <w:tc>
          <w:tcPr>
            <w:tcW w:w="136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150.6%</w:t>
            </w:r>
          </w:p>
        </w:tc>
        <w:tc>
          <w:tcPr>
            <w:tcW w:w="20" w:type="dxa"/>
            <w:vAlign w:val="bottom"/>
          </w:tcPr>
          <w:p>
            <w:pPr>
              <w:spacing w:after="0"/>
              <w:rPr>
                <w:sz w:val="18"/>
                <w:szCs w:val="18"/>
                <w:color w:val="auto"/>
              </w:rPr>
            </w:pPr>
          </w:p>
        </w:tc>
      </w:tr>
      <w:tr>
        <w:trPr>
          <w:trHeight w:val="360"/>
        </w:trPr>
        <w:tc>
          <w:tcPr>
            <w:tcW w:w="56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00" w:type="dxa"/>
            <w:vAlign w:val="bottom"/>
          </w:tcPr>
          <w:p>
            <w:pPr>
              <w:jc w:val="right"/>
              <w:ind w:right="326"/>
              <w:spacing w:after="0"/>
              <w:rPr>
                <w:sz w:val="20"/>
                <w:szCs w:val="20"/>
                <w:color w:val="auto"/>
              </w:rPr>
            </w:pPr>
            <w:r>
              <w:rPr>
                <w:rFonts w:ascii="Arial" w:cs="Arial" w:eastAsia="Arial" w:hAnsi="Arial"/>
                <w:sz w:val="14"/>
                <w:szCs w:val="14"/>
                <w:b w:val="1"/>
                <w:bCs w:val="1"/>
                <w:color w:val="auto"/>
              </w:rPr>
              <w:t>Recurring</w:t>
            </w:r>
          </w:p>
        </w:tc>
        <w:tc>
          <w:tcPr>
            <w:tcW w:w="1360" w:type="dxa"/>
            <w:vAlign w:val="bottom"/>
          </w:tcPr>
          <w:p>
            <w:pPr>
              <w:jc w:val="right"/>
              <w:ind w:right="206"/>
              <w:spacing w:after="0"/>
              <w:rPr>
                <w:sz w:val="20"/>
                <w:szCs w:val="20"/>
                <w:color w:val="auto"/>
              </w:rPr>
            </w:pPr>
            <w:r>
              <w:rPr>
                <w:rFonts w:ascii="Arial" w:cs="Arial" w:eastAsia="Arial" w:hAnsi="Arial"/>
                <w:sz w:val="14"/>
                <w:szCs w:val="14"/>
                <w:b w:val="1"/>
                <w:bCs w:val="1"/>
                <w:color w:val="auto"/>
              </w:rPr>
              <w:t>Asset-</w:t>
            </w:r>
          </w:p>
        </w:tc>
        <w:tc>
          <w:tcPr>
            <w:tcW w:w="1260" w:type="dxa"/>
            <w:vAlign w:val="bottom"/>
          </w:tcPr>
          <w:p>
            <w:pPr>
              <w:jc w:val="right"/>
              <w:ind w:right="26"/>
              <w:spacing w:after="0"/>
              <w:rPr>
                <w:sz w:val="20"/>
                <w:szCs w:val="20"/>
                <w:color w:val="auto"/>
              </w:rPr>
            </w:pPr>
            <w:r>
              <w:rPr>
                <w:rFonts w:ascii="Arial" w:cs="Arial" w:eastAsia="Arial" w:hAnsi="Arial"/>
                <w:sz w:val="14"/>
                <w:szCs w:val="14"/>
                <w:b w:val="1"/>
                <w:bCs w:val="1"/>
                <w:color w:val="auto"/>
              </w:rPr>
              <w:t>Non-Recurring</w:t>
            </w:r>
          </w:p>
        </w:tc>
        <w:tc>
          <w:tcPr>
            <w:tcW w:w="20" w:type="dxa"/>
            <w:vAlign w:val="bottom"/>
          </w:tcPr>
          <w:p>
            <w:pPr>
              <w:spacing w:after="0"/>
              <w:rPr>
                <w:sz w:val="24"/>
                <w:szCs w:val="24"/>
                <w:color w:val="auto"/>
              </w:rPr>
            </w:pPr>
          </w:p>
        </w:tc>
      </w:tr>
      <w:tr>
        <w:trPr>
          <w:trHeight w:val="161"/>
        </w:trPr>
        <w:tc>
          <w:tcPr>
            <w:tcW w:w="5640" w:type="dxa"/>
            <w:vAlign w:val="bottom"/>
          </w:tcPr>
          <w:p>
            <w:pPr>
              <w:spacing w:after="0"/>
              <w:rPr>
                <w:sz w:val="13"/>
                <w:szCs w:val="13"/>
                <w:color w:val="auto"/>
              </w:rPr>
            </w:pPr>
          </w:p>
        </w:tc>
        <w:tc>
          <w:tcPr>
            <w:tcW w:w="1480" w:type="dxa"/>
            <w:vAlign w:val="bottom"/>
          </w:tcPr>
          <w:p>
            <w:pPr>
              <w:jc w:val="right"/>
              <w:ind w:right="286"/>
              <w:spacing w:after="0"/>
              <w:rPr>
                <w:sz w:val="20"/>
                <w:szCs w:val="20"/>
                <w:color w:val="auto"/>
              </w:rPr>
            </w:pPr>
            <w:r>
              <w:rPr>
                <w:rFonts w:ascii="Arial" w:cs="Arial" w:eastAsia="Arial" w:hAnsi="Arial"/>
                <w:sz w:val="14"/>
                <w:szCs w:val="14"/>
                <w:b w:val="1"/>
                <w:bCs w:val="1"/>
                <w:color w:val="auto"/>
              </w:rPr>
              <w:t>Total</w:t>
            </w:r>
          </w:p>
        </w:tc>
        <w:tc>
          <w:tcPr>
            <w:tcW w:w="1500" w:type="dxa"/>
            <w:vAlign w:val="bottom"/>
          </w:tcPr>
          <w:p>
            <w:pPr>
              <w:jc w:val="right"/>
              <w:ind w:right="326"/>
              <w:spacing w:after="0"/>
              <w:rPr>
                <w:sz w:val="20"/>
                <w:szCs w:val="20"/>
                <w:color w:val="auto"/>
              </w:rPr>
            </w:pPr>
            <w:r>
              <w:rPr>
                <w:rFonts w:ascii="Arial" w:cs="Arial" w:eastAsia="Arial" w:hAnsi="Arial"/>
                <w:sz w:val="14"/>
                <w:szCs w:val="14"/>
                <w:b w:val="1"/>
                <w:bCs w:val="1"/>
                <w:color w:val="auto"/>
              </w:rPr>
              <w:t>Subscription</w:t>
            </w:r>
          </w:p>
        </w:tc>
        <w:tc>
          <w:tcPr>
            <w:tcW w:w="1360" w:type="dxa"/>
            <w:vAlign w:val="bottom"/>
          </w:tcPr>
          <w:p>
            <w:pPr>
              <w:jc w:val="right"/>
              <w:ind w:right="206"/>
              <w:spacing w:after="0"/>
              <w:rPr>
                <w:sz w:val="20"/>
                <w:szCs w:val="20"/>
                <w:color w:val="auto"/>
              </w:rPr>
            </w:pPr>
            <w:r>
              <w:rPr>
                <w:rFonts w:ascii="Arial" w:cs="Arial" w:eastAsia="Arial" w:hAnsi="Arial"/>
                <w:sz w:val="14"/>
                <w:szCs w:val="14"/>
                <w:b w:val="1"/>
                <w:bCs w:val="1"/>
                <w:color w:val="auto"/>
              </w:rPr>
              <w:t>Based Fees</w:t>
            </w:r>
          </w:p>
        </w:tc>
        <w:tc>
          <w:tcPr>
            <w:tcW w:w="1260" w:type="dxa"/>
            <w:vAlign w:val="bottom"/>
          </w:tcPr>
          <w:p>
            <w:pPr>
              <w:jc w:val="right"/>
              <w:ind w:right="26"/>
              <w:spacing w:after="0"/>
              <w:rPr>
                <w:sz w:val="20"/>
                <w:szCs w:val="20"/>
                <w:color w:val="auto"/>
              </w:rPr>
            </w:pPr>
            <w:r>
              <w:rPr>
                <w:rFonts w:ascii="Arial" w:cs="Arial" w:eastAsia="Arial" w:hAnsi="Arial"/>
                <w:sz w:val="14"/>
                <w:szCs w:val="14"/>
                <w:b w:val="1"/>
                <w:bCs w:val="1"/>
                <w:color w:val="auto"/>
              </w:rPr>
              <w:t>Revenues</w:t>
            </w:r>
          </w:p>
        </w:tc>
        <w:tc>
          <w:tcPr>
            <w:tcW w:w="20" w:type="dxa"/>
            <w:vAlign w:val="bottom"/>
          </w:tcPr>
          <w:p>
            <w:pPr>
              <w:spacing w:after="0"/>
              <w:rPr>
                <w:sz w:val="13"/>
                <w:szCs w:val="13"/>
                <w:color w:val="auto"/>
              </w:rPr>
            </w:pPr>
          </w:p>
        </w:tc>
      </w:tr>
      <w:tr>
        <w:trPr>
          <w:trHeight w:val="161"/>
        </w:trPr>
        <w:tc>
          <w:tcPr>
            <w:tcW w:w="5640" w:type="dxa"/>
            <w:vAlign w:val="bottom"/>
          </w:tcPr>
          <w:p>
            <w:pPr>
              <w:spacing w:after="0"/>
              <w:rPr>
                <w:sz w:val="13"/>
                <w:szCs w:val="13"/>
                <w:color w:val="auto"/>
              </w:rPr>
            </w:pPr>
          </w:p>
        </w:tc>
        <w:tc>
          <w:tcPr>
            <w:tcW w:w="1480" w:type="dxa"/>
            <w:vAlign w:val="bottom"/>
          </w:tcPr>
          <w:p>
            <w:pPr>
              <w:jc w:val="right"/>
              <w:ind w:right="286"/>
              <w:spacing w:after="0"/>
              <w:rPr>
                <w:sz w:val="20"/>
                <w:szCs w:val="20"/>
                <w:color w:val="auto"/>
              </w:rPr>
            </w:pPr>
            <w:r>
              <w:rPr>
                <w:rFonts w:ascii="Arial" w:cs="Arial" w:eastAsia="Arial" w:hAnsi="Arial"/>
                <w:sz w:val="14"/>
                <w:szCs w:val="14"/>
                <w:b w:val="1"/>
                <w:bCs w:val="1"/>
                <w:color w:val="auto"/>
              </w:rPr>
              <w:t>Change</w:t>
            </w:r>
          </w:p>
        </w:tc>
        <w:tc>
          <w:tcPr>
            <w:tcW w:w="1500" w:type="dxa"/>
            <w:vAlign w:val="bottom"/>
          </w:tcPr>
          <w:p>
            <w:pPr>
              <w:jc w:val="right"/>
              <w:ind w:right="326"/>
              <w:spacing w:after="0"/>
              <w:rPr>
                <w:sz w:val="20"/>
                <w:szCs w:val="20"/>
                <w:color w:val="auto"/>
              </w:rPr>
            </w:pPr>
            <w:r>
              <w:rPr>
                <w:rFonts w:ascii="Arial" w:cs="Arial" w:eastAsia="Arial" w:hAnsi="Arial"/>
                <w:sz w:val="14"/>
                <w:szCs w:val="14"/>
                <w:b w:val="1"/>
                <w:bCs w:val="1"/>
                <w:color w:val="auto"/>
              </w:rPr>
              <w:t>Change</w:t>
            </w:r>
          </w:p>
        </w:tc>
        <w:tc>
          <w:tcPr>
            <w:tcW w:w="1360" w:type="dxa"/>
            <w:vAlign w:val="bottom"/>
          </w:tcPr>
          <w:p>
            <w:pPr>
              <w:jc w:val="right"/>
              <w:ind w:right="206"/>
              <w:spacing w:after="0"/>
              <w:rPr>
                <w:sz w:val="20"/>
                <w:szCs w:val="20"/>
                <w:color w:val="auto"/>
              </w:rPr>
            </w:pPr>
            <w:r>
              <w:rPr>
                <w:rFonts w:ascii="Arial" w:cs="Arial" w:eastAsia="Arial" w:hAnsi="Arial"/>
                <w:sz w:val="14"/>
                <w:szCs w:val="14"/>
                <w:b w:val="1"/>
                <w:bCs w:val="1"/>
                <w:color w:val="auto"/>
              </w:rPr>
              <w:t>Change</w:t>
            </w:r>
          </w:p>
        </w:tc>
        <w:tc>
          <w:tcPr>
            <w:tcW w:w="1260" w:type="dxa"/>
            <w:vAlign w:val="bottom"/>
          </w:tcPr>
          <w:p>
            <w:pPr>
              <w:jc w:val="right"/>
              <w:ind w:right="26"/>
              <w:spacing w:after="0"/>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13"/>
                <w:szCs w:val="13"/>
                <w:color w:val="auto"/>
              </w:rPr>
            </w:pPr>
          </w:p>
        </w:tc>
      </w:tr>
      <w:tr>
        <w:trPr>
          <w:trHeight w:val="195"/>
        </w:trPr>
        <w:tc>
          <w:tcPr>
            <w:tcW w:w="5640" w:type="dxa"/>
            <w:vAlign w:val="bottom"/>
            <w:tcBorders>
              <w:bottom w:val="single" w:sz="8" w:color="16479F"/>
            </w:tcBorders>
          </w:tcPr>
          <w:p>
            <w:pPr>
              <w:ind w:left="60"/>
              <w:spacing w:after="0"/>
              <w:rPr>
                <w:sz w:val="20"/>
                <w:szCs w:val="20"/>
                <w:color w:val="auto"/>
              </w:rPr>
            </w:pPr>
            <w:r>
              <w:rPr>
                <w:rFonts w:ascii="Arial" w:cs="Arial" w:eastAsia="Arial" w:hAnsi="Arial"/>
                <w:sz w:val="14"/>
                <w:szCs w:val="14"/>
                <w:b w:val="1"/>
                <w:bCs w:val="1"/>
                <w:color w:val="auto"/>
              </w:rPr>
              <w:t>All Other – Private Assets</w:t>
            </w:r>
          </w:p>
        </w:tc>
        <w:tc>
          <w:tcPr>
            <w:tcW w:w="1480" w:type="dxa"/>
            <w:vAlign w:val="bottom"/>
            <w:tcBorders>
              <w:bottom w:val="single" w:sz="8" w:color="16479F"/>
            </w:tcBorders>
          </w:tcPr>
          <w:p>
            <w:pPr>
              <w:jc w:val="right"/>
              <w:ind w:right="286"/>
              <w:spacing w:after="0"/>
              <w:rPr>
                <w:sz w:val="20"/>
                <w:szCs w:val="20"/>
                <w:color w:val="auto"/>
              </w:rPr>
            </w:pPr>
            <w:r>
              <w:rPr>
                <w:rFonts w:ascii="Arial" w:cs="Arial" w:eastAsia="Arial" w:hAnsi="Arial"/>
                <w:sz w:val="14"/>
                <w:szCs w:val="14"/>
                <w:b w:val="1"/>
                <w:bCs w:val="1"/>
                <w:color w:val="auto"/>
              </w:rPr>
              <w:t>Percentage</w:t>
            </w:r>
          </w:p>
        </w:tc>
        <w:tc>
          <w:tcPr>
            <w:tcW w:w="1500" w:type="dxa"/>
            <w:vAlign w:val="bottom"/>
            <w:tcBorders>
              <w:bottom w:val="single" w:sz="8" w:color="16479F"/>
            </w:tcBorders>
          </w:tcPr>
          <w:p>
            <w:pPr>
              <w:jc w:val="right"/>
              <w:ind w:right="326"/>
              <w:spacing w:after="0"/>
              <w:rPr>
                <w:sz w:val="20"/>
                <w:szCs w:val="20"/>
                <w:color w:val="auto"/>
              </w:rPr>
            </w:pPr>
            <w:r>
              <w:rPr>
                <w:rFonts w:ascii="Arial" w:cs="Arial" w:eastAsia="Arial" w:hAnsi="Arial"/>
                <w:sz w:val="14"/>
                <w:szCs w:val="14"/>
                <w:b w:val="1"/>
                <w:bCs w:val="1"/>
                <w:color w:val="auto"/>
              </w:rPr>
              <w:t>Percentage</w:t>
            </w:r>
          </w:p>
        </w:tc>
        <w:tc>
          <w:tcPr>
            <w:tcW w:w="1360" w:type="dxa"/>
            <w:vAlign w:val="bottom"/>
            <w:tcBorders>
              <w:bottom w:val="single" w:sz="8" w:color="16479F"/>
            </w:tcBorders>
          </w:tcPr>
          <w:p>
            <w:pPr>
              <w:jc w:val="right"/>
              <w:ind w:right="206"/>
              <w:spacing w:after="0"/>
              <w:rPr>
                <w:sz w:val="20"/>
                <w:szCs w:val="20"/>
                <w:color w:val="auto"/>
              </w:rPr>
            </w:pPr>
            <w:r>
              <w:rPr>
                <w:rFonts w:ascii="Arial" w:cs="Arial" w:eastAsia="Arial" w:hAnsi="Arial"/>
                <w:sz w:val="14"/>
                <w:szCs w:val="14"/>
                <w:b w:val="1"/>
                <w:bCs w:val="1"/>
                <w:color w:val="auto"/>
              </w:rPr>
              <w:t>Percentage</w:t>
            </w:r>
          </w:p>
        </w:tc>
        <w:tc>
          <w:tcPr>
            <w:tcW w:w="1260" w:type="dxa"/>
            <w:vAlign w:val="bottom"/>
            <w:tcBorders>
              <w:bottom w:val="single" w:sz="8" w:color="16479F"/>
            </w:tcBorders>
          </w:tcPr>
          <w:p>
            <w:pPr>
              <w:jc w:val="right"/>
              <w:ind w:right="26"/>
              <w:spacing w:after="0"/>
              <w:rPr>
                <w:sz w:val="20"/>
                <w:szCs w:val="20"/>
                <w:color w:val="auto"/>
              </w:rPr>
            </w:pPr>
            <w:r>
              <w:rPr>
                <w:rFonts w:ascii="Arial" w:cs="Arial" w:eastAsia="Arial" w:hAnsi="Arial"/>
                <w:sz w:val="14"/>
                <w:szCs w:val="14"/>
                <w:b w:val="1"/>
                <w:bCs w:val="1"/>
                <w:color w:val="auto"/>
              </w:rPr>
              <w:t>Percentage</w:t>
            </w:r>
          </w:p>
        </w:tc>
        <w:tc>
          <w:tcPr>
            <w:tcW w:w="20" w:type="dxa"/>
            <w:vAlign w:val="bottom"/>
          </w:tcPr>
          <w:p>
            <w:pPr>
              <w:spacing w:after="0"/>
              <w:rPr>
                <w:sz w:val="16"/>
                <w:szCs w:val="16"/>
                <w:color w:val="auto"/>
              </w:rPr>
            </w:pPr>
          </w:p>
        </w:tc>
      </w:tr>
      <w:tr>
        <w:trPr>
          <w:trHeight w:val="213"/>
        </w:trPr>
        <w:tc>
          <w:tcPr>
            <w:tcW w:w="5640" w:type="dxa"/>
            <w:vAlign w:val="bottom"/>
            <w:shd w:val="clear" w:color="auto" w:fill="F0F1F8"/>
          </w:tcPr>
          <w:p>
            <w:pPr>
              <w:ind w:left="60"/>
              <w:spacing w:after="0"/>
              <w:rPr>
                <w:sz w:val="20"/>
                <w:szCs w:val="20"/>
                <w:color w:val="auto"/>
              </w:rPr>
            </w:pPr>
            <w:r>
              <w:rPr>
                <w:rFonts w:ascii="Arial" w:cs="Arial" w:eastAsia="Arial" w:hAnsi="Arial"/>
                <w:sz w:val="15"/>
                <w:szCs w:val="15"/>
                <w:color w:val="auto"/>
              </w:rPr>
              <w:t>Operating revenue growth</w:t>
            </w:r>
          </w:p>
        </w:tc>
        <w:tc>
          <w:tcPr>
            <w:tcW w:w="1480" w:type="dxa"/>
            <w:vAlign w:val="bottom"/>
            <w:shd w:val="clear" w:color="auto" w:fill="F0F1F8"/>
          </w:tcPr>
          <w:p>
            <w:pPr>
              <w:jc w:val="right"/>
              <w:ind w:right="286"/>
              <w:spacing w:after="0"/>
              <w:rPr>
                <w:sz w:val="20"/>
                <w:szCs w:val="20"/>
                <w:color w:val="auto"/>
              </w:rPr>
            </w:pPr>
            <w:r>
              <w:rPr>
                <w:rFonts w:ascii="Arial" w:cs="Arial" w:eastAsia="Arial" w:hAnsi="Arial"/>
                <w:sz w:val="15"/>
                <w:szCs w:val="15"/>
                <w:color w:val="auto"/>
              </w:rPr>
              <w:t>51.3%</w:t>
            </w:r>
          </w:p>
        </w:tc>
        <w:tc>
          <w:tcPr>
            <w:tcW w:w="1500" w:type="dxa"/>
            <w:vAlign w:val="bottom"/>
            <w:shd w:val="clear" w:color="auto" w:fill="F0F1F8"/>
          </w:tcPr>
          <w:p>
            <w:pPr>
              <w:jc w:val="right"/>
              <w:ind w:right="326"/>
              <w:spacing w:after="0"/>
              <w:rPr>
                <w:sz w:val="20"/>
                <w:szCs w:val="20"/>
                <w:color w:val="auto"/>
              </w:rPr>
            </w:pPr>
            <w:r>
              <w:rPr>
                <w:rFonts w:ascii="Arial" w:cs="Arial" w:eastAsia="Arial" w:hAnsi="Arial"/>
                <w:sz w:val="15"/>
                <w:szCs w:val="15"/>
                <w:color w:val="auto"/>
              </w:rPr>
              <w:t>54.5%</w:t>
            </w:r>
          </w:p>
        </w:tc>
        <w:tc>
          <w:tcPr>
            <w:tcW w:w="1360" w:type="dxa"/>
            <w:vAlign w:val="bottom"/>
            <w:shd w:val="clear" w:color="auto" w:fill="F0F1F8"/>
          </w:tcPr>
          <w:p>
            <w:pPr>
              <w:jc w:val="right"/>
              <w:ind w:right="206"/>
              <w:spacing w:after="0"/>
              <w:rPr>
                <w:sz w:val="20"/>
                <w:szCs w:val="20"/>
                <w:color w:val="auto"/>
              </w:rPr>
            </w:pPr>
            <w:r>
              <w:rPr>
                <w:rFonts w:ascii="Arial" w:cs="Arial" w:eastAsia="Arial" w:hAnsi="Arial"/>
                <w:sz w:val="15"/>
                <w:szCs w:val="15"/>
                <w:color w:val="auto"/>
              </w:rPr>
              <w:t>—%</w:t>
            </w:r>
          </w:p>
        </w:tc>
        <w:tc>
          <w:tcPr>
            <w:tcW w:w="1260" w:type="dxa"/>
            <w:vAlign w:val="bottom"/>
            <w:shd w:val="clear" w:color="auto" w:fill="F0F1F8"/>
          </w:tcPr>
          <w:p>
            <w:pPr>
              <w:jc w:val="right"/>
              <w:spacing w:after="0"/>
              <w:rPr>
                <w:sz w:val="20"/>
                <w:szCs w:val="20"/>
                <w:color w:val="auto"/>
              </w:rPr>
            </w:pPr>
            <w:r>
              <w:rPr>
                <w:rFonts w:ascii="Arial" w:cs="Arial" w:eastAsia="Arial" w:hAnsi="Arial"/>
                <w:sz w:val="15"/>
                <w:szCs w:val="15"/>
                <w:color w:val="auto"/>
              </w:rPr>
              <w:t>(23.9%)</w:t>
            </w:r>
          </w:p>
        </w:tc>
        <w:tc>
          <w:tcPr>
            <w:tcW w:w="20" w:type="dxa"/>
            <w:vAlign w:val="bottom"/>
          </w:tcPr>
          <w:p>
            <w:pPr>
              <w:spacing w:after="0"/>
              <w:rPr>
                <w:sz w:val="18"/>
                <w:szCs w:val="18"/>
                <w:color w:val="auto"/>
              </w:rPr>
            </w:pPr>
          </w:p>
        </w:tc>
      </w:tr>
      <w:tr>
        <w:trPr>
          <w:trHeight w:val="209"/>
        </w:trPr>
        <w:tc>
          <w:tcPr>
            <w:tcW w:w="5640" w:type="dxa"/>
            <w:vAlign w:val="bottom"/>
          </w:tcPr>
          <w:p>
            <w:pPr>
              <w:ind w:left="60"/>
              <w:spacing w:after="0"/>
              <w:rPr>
                <w:sz w:val="20"/>
                <w:szCs w:val="20"/>
                <w:color w:val="auto"/>
              </w:rPr>
            </w:pPr>
            <w:r>
              <w:rPr>
                <w:rFonts w:ascii="Arial" w:cs="Arial" w:eastAsia="Arial" w:hAnsi="Arial"/>
                <w:sz w:val="15"/>
                <w:szCs w:val="15"/>
                <w:color w:val="auto"/>
              </w:rPr>
              <w:t>Impact of acquisitions and divestitures</w:t>
            </w:r>
          </w:p>
        </w:tc>
        <w:tc>
          <w:tcPr>
            <w:tcW w:w="1480" w:type="dxa"/>
            <w:vAlign w:val="bottom"/>
          </w:tcPr>
          <w:p>
            <w:pPr>
              <w:jc w:val="right"/>
              <w:ind w:right="246"/>
              <w:spacing w:after="0"/>
              <w:rPr>
                <w:sz w:val="20"/>
                <w:szCs w:val="20"/>
                <w:color w:val="auto"/>
              </w:rPr>
            </w:pPr>
            <w:r>
              <w:rPr>
                <w:rFonts w:ascii="Arial" w:cs="Arial" w:eastAsia="Arial" w:hAnsi="Arial"/>
                <w:sz w:val="15"/>
                <w:szCs w:val="15"/>
                <w:color w:val="auto"/>
              </w:rPr>
              <w:t>(41.3%)</w:t>
            </w:r>
          </w:p>
        </w:tc>
        <w:tc>
          <w:tcPr>
            <w:tcW w:w="1500" w:type="dxa"/>
            <w:vAlign w:val="bottom"/>
          </w:tcPr>
          <w:p>
            <w:pPr>
              <w:jc w:val="right"/>
              <w:ind w:right="266"/>
              <w:spacing w:after="0"/>
              <w:rPr>
                <w:sz w:val="20"/>
                <w:szCs w:val="20"/>
                <w:color w:val="auto"/>
              </w:rPr>
            </w:pPr>
            <w:r>
              <w:rPr>
                <w:rFonts w:ascii="Arial" w:cs="Arial" w:eastAsia="Arial" w:hAnsi="Arial"/>
                <w:sz w:val="15"/>
                <w:szCs w:val="15"/>
                <w:color w:val="auto"/>
              </w:rPr>
              <w:t>(43.1%)</w:t>
            </w:r>
          </w:p>
        </w:tc>
        <w:tc>
          <w:tcPr>
            <w:tcW w:w="1360" w:type="dxa"/>
            <w:vAlign w:val="bottom"/>
          </w:tcPr>
          <w:p>
            <w:pPr>
              <w:jc w:val="right"/>
              <w:ind w:right="206"/>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r>
      <w:tr>
        <w:trPr>
          <w:trHeight w:val="214"/>
        </w:trPr>
        <w:tc>
          <w:tcPr>
            <w:tcW w:w="5640" w:type="dxa"/>
            <w:vAlign w:val="bottom"/>
            <w:shd w:val="clear" w:color="auto" w:fill="F0F1F8"/>
          </w:tcPr>
          <w:p>
            <w:pPr>
              <w:ind w:left="60"/>
              <w:spacing w:after="0"/>
              <w:rPr>
                <w:sz w:val="20"/>
                <w:szCs w:val="20"/>
                <w:color w:val="auto"/>
              </w:rPr>
            </w:pPr>
            <w:r>
              <w:rPr>
                <w:rFonts w:ascii="Arial" w:cs="Arial" w:eastAsia="Arial" w:hAnsi="Arial"/>
                <w:sz w:val="15"/>
                <w:szCs w:val="15"/>
                <w:color w:val="auto"/>
              </w:rPr>
              <w:t>Impact of foreign currency exchange rate fluctuations</w:t>
            </w:r>
          </w:p>
        </w:tc>
        <w:tc>
          <w:tcPr>
            <w:tcW w:w="1480" w:type="dxa"/>
            <w:vAlign w:val="bottom"/>
            <w:tcBorders>
              <w:bottom w:val="single" w:sz="8" w:color="auto"/>
            </w:tcBorders>
            <w:shd w:val="clear" w:color="auto" w:fill="F0F1F8"/>
          </w:tcPr>
          <w:p>
            <w:pPr>
              <w:jc w:val="right"/>
              <w:ind w:right="246"/>
              <w:spacing w:after="0"/>
              <w:rPr>
                <w:sz w:val="20"/>
                <w:szCs w:val="20"/>
                <w:color w:val="auto"/>
              </w:rPr>
            </w:pPr>
            <w:r>
              <w:rPr>
                <w:rFonts w:ascii="Arial" w:cs="Arial" w:eastAsia="Arial" w:hAnsi="Arial"/>
                <w:sz w:val="15"/>
                <w:szCs w:val="15"/>
                <w:color w:val="auto"/>
              </w:rPr>
              <w:t>(6.0%)</w:t>
            </w:r>
          </w:p>
        </w:tc>
        <w:tc>
          <w:tcPr>
            <w:tcW w:w="1500" w:type="dxa"/>
            <w:vAlign w:val="bottom"/>
            <w:tcBorders>
              <w:bottom w:val="single" w:sz="8" w:color="auto"/>
            </w:tcBorders>
            <w:shd w:val="clear" w:color="auto" w:fill="F0F1F8"/>
          </w:tcPr>
          <w:p>
            <w:pPr>
              <w:jc w:val="right"/>
              <w:ind w:right="266"/>
              <w:spacing w:after="0"/>
              <w:rPr>
                <w:sz w:val="20"/>
                <w:szCs w:val="20"/>
                <w:color w:val="auto"/>
              </w:rPr>
            </w:pPr>
            <w:r>
              <w:rPr>
                <w:rFonts w:ascii="Arial" w:cs="Arial" w:eastAsia="Arial" w:hAnsi="Arial"/>
                <w:sz w:val="15"/>
                <w:szCs w:val="15"/>
                <w:color w:val="auto"/>
              </w:rPr>
              <w:t>(6.0%)</w:t>
            </w:r>
          </w:p>
        </w:tc>
        <w:tc>
          <w:tcPr>
            <w:tcW w:w="1360" w:type="dxa"/>
            <w:vAlign w:val="bottom"/>
            <w:tcBorders>
              <w:bottom w:val="single" w:sz="8" w:color="auto"/>
            </w:tcBorders>
            <w:shd w:val="clear" w:color="auto" w:fill="F0F1F8"/>
          </w:tcPr>
          <w:p>
            <w:pPr>
              <w:jc w:val="right"/>
              <w:ind w:right="206"/>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shd w:val="clear" w:color="auto" w:fill="F0F1F8"/>
          </w:tcPr>
          <w:p>
            <w:pPr>
              <w:jc w:val="right"/>
              <w:spacing w:after="0"/>
              <w:rPr>
                <w:sz w:val="20"/>
                <w:szCs w:val="20"/>
                <w:color w:val="auto"/>
              </w:rPr>
            </w:pPr>
            <w:r>
              <w:rPr>
                <w:rFonts w:ascii="Arial" w:cs="Arial" w:eastAsia="Arial" w:hAnsi="Arial"/>
                <w:sz w:val="15"/>
                <w:szCs w:val="15"/>
                <w:color w:val="auto"/>
              </w:rPr>
              <w:t>(3.6%)</w:t>
            </w:r>
          </w:p>
        </w:tc>
        <w:tc>
          <w:tcPr>
            <w:tcW w:w="20" w:type="dxa"/>
            <w:vAlign w:val="bottom"/>
          </w:tcPr>
          <w:p>
            <w:pPr>
              <w:spacing w:after="0"/>
              <w:rPr>
                <w:sz w:val="18"/>
                <w:szCs w:val="18"/>
                <w:color w:val="auto"/>
              </w:rPr>
            </w:pPr>
          </w:p>
        </w:tc>
      </w:tr>
      <w:tr>
        <w:trPr>
          <w:trHeight w:val="208"/>
        </w:trPr>
        <w:tc>
          <w:tcPr>
            <w:tcW w:w="56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Organic operating revenue growth</w:t>
            </w:r>
          </w:p>
        </w:tc>
        <w:tc>
          <w:tcPr>
            <w:tcW w:w="1480" w:type="dxa"/>
            <w:vAlign w:val="bottom"/>
            <w:tcBorders>
              <w:bottom w:val="single" w:sz="8" w:color="auto"/>
            </w:tcBorders>
          </w:tcPr>
          <w:p>
            <w:pPr>
              <w:jc w:val="right"/>
              <w:ind w:right="286"/>
              <w:spacing w:after="0"/>
              <w:rPr>
                <w:sz w:val="20"/>
                <w:szCs w:val="20"/>
                <w:color w:val="auto"/>
              </w:rPr>
            </w:pPr>
            <w:r>
              <w:rPr>
                <w:rFonts w:ascii="Arial" w:cs="Arial" w:eastAsia="Arial" w:hAnsi="Arial"/>
                <w:sz w:val="15"/>
                <w:szCs w:val="15"/>
                <w:color w:val="auto"/>
              </w:rPr>
              <w:t>4.0%</w:t>
            </w:r>
          </w:p>
        </w:tc>
        <w:tc>
          <w:tcPr>
            <w:tcW w:w="1500" w:type="dxa"/>
            <w:vAlign w:val="bottom"/>
            <w:tcBorders>
              <w:bottom w:val="single" w:sz="8" w:color="auto"/>
            </w:tcBorders>
          </w:tcPr>
          <w:p>
            <w:pPr>
              <w:jc w:val="right"/>
              <w:ind w:right="326"/>
              <w:spacing w:after="0"/>
              <w:rPr>
                <w:sz w:val="20"/>
                <w:szCs w:val="20"/>
                <w:color w:val="auto"/>
              </w:rPr>
            </w:pPr>
            <w:r>
              <w:rPr>
                <w:rFonts w:ascii="Arial" w:cs="Arial" w:eastAsia="Arial" w:hAnsi="Arial"/>
                <w:sz w:val="15"/>
                <w:szCs w:val="15"/>
                <w:color w:val="auto"/>
              </w:rPr>
              <w:t>5.4%</w:t>
            </w:r>
          </w:p>
        </w:tc>
        <w:tc>
          <w:tcPr>
            <w:tcW w:w="136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(27.5%)</w:t>
            </w:r>
          </w:p>
        </w:tc>
        <w:tc>
          <w:tcPr>
            <w:tcW w:w="20" w:type="dxa"/>
            <w:vAlign w:val="bottom"/>
          </w:tcPr>
          <w:p>
            <w:pPr>
              <w:spacing w:after="0"/>
              <w:rPr>
                <w:sz w:val="18"/>
                <w:szCs w:val="18"/>
                <w:color w:val="auto"/>
              </w:rPr>
            </w:pPr>
          </w:p>
        </w:tc>
      </w:tr>
      <w:tr>
        <w:trPr>
          <w:trHeight w:val="303"/>
        </w:trPr>
        <w:tc>
          <w:tcPr>
            <w:tcW w:w="564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7144385</wp:posOffset>
            </wp:positionH>
            <wp:positionV relativeFrom="paragraph">
              <wp:posOffset>-13970</wp:posOffset>
            </wp:positionV>
            <wp:extent cx="1270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12" w:name="page113"/>
    <w:bookmarkEnd w:id="112"/>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00" w:type="dxa"/>
            <w:vAlign w:val="bottom"/>
            <w:tcBorders>
              <w:right w:val="single" w:sz="8" w:color="16479F"/>
            </w:tcBorders>
          </w:tcPr>
          <w:p>
            <w:pPr>
              <w:ind w:left="100"/>
              <w:spacing w:after="0"/>
              <w:rPr>
                <w:sz w:val="20"/>
                <w:szCs w:val="20"/>
                <w:color w:val="auto"/>
              </w:rPr>
            </w:pPr>
            <w:r>
              <w:rPr>
                <w:rFonts w:ascii="Arial" w:cs="Arial" w:eastAsia="Arial" w:hAnsi="Arial"/>
                <w:sz w:val="14"/>
                <w:szCs w:val="14"/>
                <w:b w:val="1"/>
                <w:bCs w:val="1"/>
                <w:color w:val="16479F"/>
              </w:rPr>
              <w:t>112</w:t>
            </w:r>
          </w:p>
        </w:tc>
        <w:tc>
          <w:tcPr>
            <w:tcW w:w="4940" w:type="dxa"/>
            <w:vAlign w:val="bottom"/>
          </w:tcPr>
          <w:p>
            <w:pPr>
              <w:ind w:left="100"/>
              <w:spacing w:after="0"/>
              <w:rPr>
                <w:sz w:val="20"/>
                <w:szCs w:val="20"/>
                <w:color w:val="auto"/>
              </w:rPr>
            </w:pPr>
            <w:r>
              <w:rPr>
                <w:rFonts w:ascii="Arial" w:cs="Arial" w:eastAsia="Arial" w:hAnsi="Arial"/>
                <w:sz w:val="14"/>
                <w:szCs w:val="14"/>
                <w:b w:val="1"/>
                <w:bCs w:val="1"/>
                <w:color w:val="16479F"/>
              </w:rPr>
              <w:t>MSCI  |  ANNEX B: SUPPLEMENTAL FINANCIAL INFORMATION</w:t>
            </w:r>
          </w:p>
        </w:tc>
        <w:tc>
          <w:tcPr>
            <w:tcW w:w="1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65"/>
        </w:trPr>
        <w:tc>
          <w:tcPr>
            <w:tcW w:w="700" w:type="dxa"/>
            <w:vAlign w:val="bottom"/>
            <w:tcBorders>
              <w:bottom w:val="single" w:sz="8" w:color="16479F"/>
              <w:right w:val="single" w:sz="8" w:color="16479F"/>
            </w:tcBorders>
          </w:tcPr>
          <w:p>
            <w:pPr>
              <w:spacing w:after="0"/>
              <w:rPr>
                <w:sz w:val="5"/>
                <w:szCs w:val="5"/>
                <w:color w:val="auto"/>
              </w:rPr>
            </w:pPr>
          </w:p>
        </w:tc>
        <w:tc>
          <w:tcPr>
            <w:tcW w:w="4940" w:type="dxa"/>
            <w:vAlign w:val="bottom"/>
            <w:tcBorders>
              <w:bottom w:val="single" w:sz="8" w:color="16479F"/>
            </w:tcBorders>
          </w:tcPr>
          <w:p>
            <w:pPr>
              <w:spacing w:after="0"/>
              <w:rPr>
                <w:sz w:val="5"/>
                <w:szCs w:val="5"/>
                <w:color w:val="auto"/>
              </w:rPr>
            </w:pPr>
          </w:p>
        </w:tc>
        <w:tc>
          <w:tcPr>
            <w:tcW w:w="1500" w:type="dxa"/>
            <w:vAlign w:val="bottom"/>
            <w:tcBorders>
              <w:bottom w:val="single" w:sz="8" w:color="16479F"/>
            </w:tcBorders>
          </w:tcPr>
          <w:p>
            <w:pPr>
              <w:spacing w:after="0"/>
              <w:rPr>
                <w:sz w:val="5"/>
                <w:szCs w:val="5"/>
                <w:color w:val="auto"/>
              </w:rPr>
            </w:pPr>
          </w:p>
        </w:tc>
        <w:tc>
          <w:tcPr>
            <w:tcW w:w="660" w:type="dxa"/>
            <w:vAlign w:val="bottom"/>
            <w:tcBorders>
              <w:bottom w:val="single" w:sz="8" w:color="16479F"/>
            </w:tcBorders>
          </w:tcPr>
          <w:p>
            <w:pPr>
              <w:spacing w:after="0"/>
              <w:rPr>
                <w:sz w:val="5"/>
                <w:szCs w:val="5"/>
                <w:color w:val="auto"/>
              </w:rPr>
            </w:pPr>
          </w:p>
        </w:tc>
        <w:tc>
          <w:tcPr>
            <w:tcW w:w="1060" w:type="dxa"/>
            <w:vAlign w:val="bottom"/>
            <w:tcBorders>
              <w:bottom w:val="single" w:sz="8" w:color="16479F"/>
            </w:tcBorders>
            <w:gridSpan w:val="2"/>
          </w:tcPr>
          <w:p>
            <w:pPr>
              <w:spacing w:after="0"/>
              <w:rPr>
                <w:sz w:val="5"/>
                <w:szCs w:val="5"/>
                <w:color w:val="auto"/>
              </w:rPr>
            </w:pPr>
          </w:p>
        </w:tc>
        <w:tc>
          <w:tcPr>
            <w:tcW w:w="1200" w:type="dxa"/>
            <w:vAlign w:val="bottom"/>
            <w:tcBorders>
              <w:bottom w:val="single" w:sz="8" w:color="16479F"/>
            </w:tcBorders>
          </w:tcPr>
          <w:p>
            <w:pPr>
              <w:spacing w:after="0"/>
              <w:rPr>
                <w:sz w:val="5"/>
                <w:szCs w:val="5"/>
                <w:color w:val="auto"/>
              </w:rPr>
            </w:pPr>
          </w:p>
        </w:tc>
        <w:tc>
          <w:tcPr>
            <w:tcW w:w="1180" w:type="dxa"/>
            <w:vAlign w:val="bottom"/>
            <w:tcBorders>
              <w:bottom w:val="single" w:sz="8" w:color="16479F"/>
            </w:tcBorders>
          </w:tcPr>
          <w:p>
            <w:pPr>
              <w:spacing w:after="0"/>
              <w:rPr>
                <w:sz w:val="5"/>
                <w:szCs w:val="5"/>
                <w:color w:val="auto"/>
              </w:rPr>
            </w:pPr>
          </w:p>
        </w:tc>
      </w:tr>
      <w:tr>
        <w:trPr>
          <w:trHeight w:val="374"/>
        </w:trPr>
        <w:tc>
          <w:tcPr>
            <w:tcW w:w="70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20" w:type="dxa"/>
            <w:vAlign w:val="bottom"/>
            <w:gridSpan w:val="3"/>
          </w:tcPr>
          <w:p>
            <w:pPr>
              <w:jc w:val="right"/>
              <w:ind w:right="444"/>
              <w:spacing w:after="0"/>
              <w:rPr>
                <w:sz w:val="20"/>
                <w:szCs w:val="20"/>
                <w:color w:val="auto"/>
              </w:rPr>
            </w:pPr>
            <w:r>
              <w:rPr>
                <w:rFonts w:ascii="Arial" w:cs="Arial" w:eastAsia="Arial" w:hAnsi="Arial"/>
                <w:sz w:val="15"/>
                <w:szCs w:val="15"/>
                <w:b w:val="1"/>
                <w:bCs w:val="1"/>
                <w:color w:val="auto"/>
              </w:rPr>
              <w:t>Recurring</w:t>
            </w:r>
          </w:p>
        </w:tc>
        <w:tc>
          <w:tcPr>
            <w:tcW w:w="1200" w:type="dxa"/>
            <w:vAlign w:val="bottom"/>
          </w:tcPr>
          <w:p>
            <w:pPr>
              <w:jc w:val="right"/>
              <w:ind w:right="184"/>
              <w:spacing w:after="0"/>
              <w:rPr>
                <w:sz w:val="20"/>
                <w:szCs w:val="20"/>
                <w:color w:val="auto"/>
              </w:rPr>
            </w:pPr>
            <w:r>
              <w:rPr>
                <w:rFonts w:ascii="Arial" w:cs="Arial" w:eastAsia="Arial" w:hAnsi="Arial"/>
                <w:sz w:val="15"/>
                <w:szCs w:val="15"/>
                <w:b w:val="1"/>
                <w:bCs w:val="1"/>
                <w:color w:val="auto"/>
              </w:rPr>
              <w:t>Asset-</w:t>
            </w: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Non-Recurring</w:t>
            </w:r>
          </w:p>
        </w:tc>
      </w:tr>
      <w:tr>
        <w:trPr>
          <w:trHeight w:val="161"/>
        </w:trPr>
        <w:tc>
          <w:tcPr>
            <w:tcW w:w="70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1500" w:type="dxa"/>
            <w:vAlign w:val="bottom"/>
          </w:tcPr>
          <w:p>
            <w:pPr>
              <w:jc w:val="right"/>
              <w:ind w:right="184"/>
              <w:spacing w:after="0" w:line="161" w:lineRule="exact"/>
              <w:rPr>
                <w:sz w:val="20"/>
                <w:szCs w:val="20"/>
                <w:color w:val="auto"/>
              </w:rPr>
            </w:pPr>
            <w:r>
              <w:rPr>
                <w:rFonts w:ascii="Arial" w:cs="Arial" w:eastAsia="Arial" w:hAnsi="Arial"/>
                <w:sz w:val="15"/>
                <w:szCs w:val="15"/>
                <w:b w:val="1"/>
                <w:bCs w:val="1"/>
                <w:color w:val="auto"/>
              </w:rPr>
              <w:t>Total</w:t>
            </w:r>
          </w:p>
        </w:tc>
        <w:tc>
          <w:tcPr>
            <w:tcW w:w="1720" w:type="dxa"/>
            <w:vAlign w:val="bottom"/>
            <w:gridSpan w:val="3"/>
          </w:tcPr>
          <w:p>
            <w:pPr>
              <w:jc w:val="right"/>
              <w:ind w:right="444"/>
              <w:spacing w:after="0" w:line="161" w:lineRule="exact"/>
              <w:rPr>
                <w:sz w:val="20"/>
                <w:szCs w:val="20"/>
                <w:color w:val="auto"/>
              </w:rPr>
            </w:pPr>
            <w:r>
              <w:rPr>
                <w:rFonts w:ascii="Arial" w:cs="Arial" w:eastAsia="Arial" w:hAnsi="Arial"/>
                <w:sz w:val="15"/>
                <w:szCs w:val="15"/>
                <w:b w:val="1"/>
                <w:bCs w:val="1"/>
                <w:color w:val="auto"/>
              </w:rPr>
              <w:t>Subscription</w:t>
            </w:r>
          </w:p>
        </w:tc>
        <w:tc>
          <w:tcPr>
            <w:tcW w:w="1200" w:type="dxa"/>
            <w:vAlign w:val="bottom"/>
          </w:tcPr>
          <w:p>
            <w:pPr>
              <w:jc w:val="right"/>
              <w:ind w:right="184"/>
              <w:spacing w:after="0" w:line="161" w:lineRule="exact"/>
              <w:rPr>
                <w:sz w:val="20"/>
                <w:szCs w:val="20"/>
                <w:color w:val="auto"/>
              </w:rPr>
            </w:pPr>
            <w:r>
              <w:rPr>
                <w:rFonts w:ascii="Arial" w:cs="Arial" w:eastAsia="Arial" w:hAnsi="Arial"/>
                <w:sz w:val="15"/>
                <w:szCs w:val="15"/>
                <w:b w:val="1"/>
                <w:bCs w:val="1"/>
                <w:color w:val="auto"/>
              </w:rPr>
              <w:t>Based Fees</w:t>
            </w:r>
          </w:p>
        </w:tc>
        <w:tc>
          <w:tcPr>
            <w:tcW w:w="1180" w:type="dxa"/>
            <w:vAlign w:val="bottom"/>
          </w:tcPr>
          <w:p>
            <w:pPr>
              <w:jc w:val="right"/>
              <w:spacing w:after="0" w:line="161" w:lineRule="exact"/>
              <w:rPr>
                <w:sz w:val="20"/>
                <w:szCs w:val="20"/>
                <w:color w:val="auto"/>
              </w:rPr>
            </w:pPr>
            <w:r>
              <w:rPr>
                <w:rFonts w:ascii="Arial" w:cs="Arial" w:eastAsia="Arial" w:hAnsi="Arial"/>
                <w:sz w:val="15"/>
                <w:szCs w:val="15"/>
                <w:b w:val="1"/>
                <w:bCs w:val="1"/>
                <w:color w:val="auto"/>
              </w:rPr>
              <w:t>Revenues</w:t>
            </w:r>
          </w:p>
        </w:tc>
      </w:tr>
      <w:tr>
        <w:trPr>
          <w:trHeight w:val="161"/>
        </w:trPr>
        <w:tc>
          <w:tcPr>
            <w:tcW w:w="70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1500" w:type="dxa"/>
            <w:vAlign w:val="bottom"/>
          </w:tcPr>
          <w:p>
            <w:pPr>
              <w:jc w:val="right"/>
              <w:ind w:right="184"/>
              <w:spacing w:after="0" w:line="161" w:lineRule="exact"/>
              <w:rPr>
                <w:sz w:val="20"/>
                <w:szCs w:val="20"/>
                <w:color w:val="auto"/>
              </w:rPr>
            </w:pPr>
            <w:r>
              <w:rPr>
                <w:rFonts w:ascii="Arial" w:cs="Arial" w:eastAsia="Arial" w:hAnsi="Arial"/>
                <w:sz w:val="15"/>
                <w:szCs w:val="15"/>
                <w:b w:val="1"/>
                <w:bCs w:val="1"/>
                <w:color w:val="auto"/>
              </w:rPr>
              <w:t>Change</w:t>
            </w:r>
          </w:p>
        </w:tc>
        <w:tc>
          <w:tcPr>
            <w:tcW w:w="1720" w:type="dxa"/>
            <w:vAlign w:val="bottom"/>
            <w:gridSpan w:val="3"/>
          </w:tcPr>
          <w:p>
            <w:pPr>
              <w:jc w:val="right"/>
              <w:ind w:right="444"/>
              <w:spacing w:after="0" w:line="161" w:lineRule="exact"/>
              <w:rPr>
                <w:sz w:val="20"/>
                <w:szCs w:val="20"/>
                <w:color w:val="auto"/>
              </w:rPr>
            </w:pPr>
            <w:r>
              <w:rPr>
                <w:rFonts w:ascii="Arial" w:cs="Arial" w:eastAsia="Arial" w:hAnsi="Arial"/>
                <w:sz w:val="15"/>
                <w:szCs w:val="15"/>
                <w:b w:val="1"/>
                <w:bCs w:val="1"/>
                <w:color w:val="auto"/>
              </w:rPr>
              <w:t>Change</w:t>
            </w:r>
          </w:p>
        </w:tc>
        <w:tc>
          <w:tcPr>
            <w:tcW w:w="1200" w:type="dxa"/>
            <w:vAlign w:val="bottom"/>
          </w:tcPr>
          <w:p>
            <w:pPr>
              <w:jc w:val="right"/>
              <w:ind w:right="184"/>
              <w:spacing w:after="0" w:line="161" w:lineRule="exact"/>
              <w:rPr>
                <w:sz w:val="20"/>
                <w:szCs w:val="20"/>
                <w:color w:val="auto"/>
              </w:rPr>
            </w:pPr>
            <w:r>
              <w:rPr>
                <w:rFonts w:ascii="Arial" w:cs="Arial" w:eastAsia="Arial" w:hAnsi="Arial"/>
                <w:sz w:val="15"/>
                <w:szCs w:val="15"/>
                <w:b w:val="1"/>
                <w:bCs w:val="1"/>
                <w:color w:val="auto"/>
              </w:rPr>
              <w:t>Change</w:t>
            </w:r>
          </w:p>
        </w:tc>
        <w:tc>
          <w:tcPr>
            <w:tcW w:w="1180" w:type="dxa"/>
            <w:vAlign w:val="bottom"/>
          </w:tcPr>
          <w:p>
            <w:pPr>
              <w:jc w:val="right"/>
              <w:spacing w:after="0" w:line="161" w:lineRule="exact"/>
              <w:rPr>
                <w:sz w:val="20"/>
                <w:szCs w:val="20"/>
                <w:color w:val="auto"/>
              </w:rPr>
            </w:pPr>
            <w:r>
              <w:rPr>
                <w:rFonts w:ascii="Arial" w:cs="Arial" w:eastAsia="Arial" w:hAnsi="Arial"/>
                <w:sz w:val="15"/>
                <w:szCs w:val="15"/>
                <w:b w:val="1"/>
                <w:bCs w:val="1"/>
                <w:color w:val="auto"/>
              </w:rPr>
              <w:t>Change</w:t>
            </w:r>
          </w:p>
        </w:tc>
      </w:tr>
      <w:tr>
        <w:trPr>
          <w:trHeight w:val="204"/>
        </w:trPr>
        <w:tc>
          <w:tcPr>
            <w:tcW w:w="5640" w:type="dxa"/>
            <w:vAlign w:val="bottom"/>
            <w:tcBorders>
              <w:bottom w:val="single" w:sz="8" w:color="16479F"/>
            </w:tcBorders>
            <w:gridSpan w:val="2"/>
          </w:tcPr>
          <w:p>
            <w:pPr>
              <w:ind w:left="60"/>
              <w:spacing w:after="0"/>
              <w:rPr>
                <w:sz w:val="20"/>
                <w:szCs w:val="20"/>
                <w:color w:val="auto"/>
              </w:rPr>
            </w:pPr>
            <w:r>
              <w:rPr>
                <w:rFonts w:ascii="Arial" w:cs="Arial" w:eastAsia="Arial" w:hAnsi="Arial"/>
                <w:sz w:val="15"/>
                <w:szCs w:val="15"/>
                <w:b w:val="1"/>
                <w:bCs w:val="1"/>
                <w:color w:val="auto"/>
              </w:rPr>
              <w:t>Consolidated</w:t>
            </w:r>
          </w:p>
        </w:tc>
        <w:tc>
          <w:tcPr>
            <w:tcW w:w="1500" w:type="dxa"/>
            <w:vAlign w:val="bottom"/>
            <w:tcBorders>
              <w:bottom w:val="single" w:sz="8" w:color="16479F"/>
            </w:tcBorders>
          </w:tcPr>
          <w:p>
            <w:pPr>
              <w:jc w:val="right"/>
              <w:ind w:right="184"/>
              <w:spacing w:after="0"/>
              <w:rPr>
                <w:sz w:val="20"/>
                <w:szCs w:val="20"/>
                <w:color w:val="auto"/>
              </w:rPr>
            </w:pPr>
            <w:r>
              <w:rPr>
                <w:rFonts w:ascii="Arial" w:cs="Arial" w:eastAsia="Arial" w:hAnsi="Arial"/>
                <w:sz w:val="15"/>
                <w:szCs w:val="15"/>
                <w:b w:val="1"/>
                <w:bCs w:val="1"/>
                <w:color w:val="auto"/>
              </w:rPr>
              <w:t>Percentage</w:t>
            </w:r>
          </w:p>
        </w:tc>
        <w:tc>
          <w:tcPr>
            <w:tcW w:w="1720" w:type="dxa"/>
            <w:vAlign w:val="bottom"/>
            <w:tcBorders>
              <w:bottom w:val="single" w:sz="8" w:color="16479F"/>
            </w:tcBorders>
            <w:gridSpan w:val="3"/>
          </w:tcPr>
          <w:p>
            <w:pPr>
              <w:jc w:val="right"/>
              <w:ind w:right="444"/>
              <w:spacing w:after="0"/>
              <w:rPr>
                <w:sz w:val="20"/>
                <w:szCs w:val="20"/>
                <w:color w:val="auto"/>
              </w:rPr>
            </w:pPr>
            <w:r>
              <w:rPr>
                <w:rFonts w:ascii="Arial" w:cs="Arial" w:eastAsia="Arial" w:hAnsi="Arial"/>
                <w:sz w:val="15"/>
                <w:szCs w:val="15"/>
                <w:b w:val="1"/>
                <w:bCs w:val="1"/>
                <w:color w:val="auto"/>
              </w:rPr>
              <w:t>Percentage</w:t>
            </w:r>
          </w:p>
        </w:tc>
        <w:tc>
          <w:tcPr>
            <w:tcW w:w="1200" w:type="dxa"/>
            <w:vAlign w:val="bottom"/>
            <w:tcBorders>
              <w:bottom w:val="single" w:sz="8" w:color="16479F"/>
            </w:tcBorders>
          </w:tcPr>
          <w:p>
            <w:pPr>
              <w:jc w:val="right"/>
              <w:ind w:right="184"/>
              <w:spacing w:after="0"/>
              <w:rPr>
                <w:sz w:val="20"/>
                <w:szCs w:val="20"/>
                <w:color w:val="auto"/>
              </w:rPr>
            </w:pPr>
            <w:r>
              <w:rPr>
                <w:rFonts w:ascii="Arial" w:cs="Arial" w:eastAsia="Arial" w:hAnsi="Arial"/>
                <w:sz w:val="15"/>
                <w:szCs w:val="15"/>
                <w:b w:val="1"/>
                <w:bCs w:val="1"/>
                <w:color w:val="auto"/>
              </w:rPr>
              <w:t>Percentage</w:t>
            </w:r>
          </w:p>
        </w:tc>
        <w:tc>
          <w:tcPr>
            <w:tcW w:w="1180" w:type="dxa"/>
            <w:vAlign w:val="bottom"/>
            <w:tcBorders>
              <w:bottom w:val="single" w:sz="8" w:color="16479F"/>
            </w:tcBorders>
          </w:tcPr>
          <w:p>
            <w:pPr>
              <w:jc w:val="right"/>
              <w:spacing w:after="0"/>
              <w:rPr>
                <w:sz w:val="20"/>
                <w:szCs w:val="20"/>
                <w:color w:val="auto"/>
              </w:rPr>
            </w:pPr>
            <w:r>
              <w:rPr>
                <w:rFonts w:ascii="Arial" w:cs="Arial" w:eastAsia="Arial" w:hAnsi="Arial"/>
                <w:sz w:val="15"/>
                <w:szCs w:val="15"/>
                <w:b w:val="1"/>
                <w:bCs w:val="1"/>
                <w:color w:val="auto"/>
              </w:rPr>
              <w:t>Percentage</w:t>
            </w:r>
          </w:p>
        </w:tc>
      </w:tr>
      <w:tr>
        <w:trPr>
          <w:trHeight w:val="212"/>
        </w:trPr>
        <w:tc>
          <w:tcPr>
            <w:tcW w:w="5640" w:type="dxa"/>
            <w:vAlign w:val="bottom"/>
            <w:gridSpan w:val="2"/>
            <w:shd w:val="clear" w:color="auto" w:fill="F0F1F8"/>
          </w:tcPr>
          <w:p>
            <w:pPr>
              <w:ind w:left="60"/>
              <w:spacing w:after="0"/>
              <w:rPr>
                <w:sz w:val="20"/>
                <w:szCs w:val="20"/>
                <w:color w:val="auto"/>
              </w:rPr>
            </w:pPr>
            <w:r>
              <w:rPr>
                <w:rFonts w:ascii="Arial" w:cs="Arial" w:eastAsia="Arial" w:hAnsi="Arial"/>
                <w:sz w:val="15"/>
                <w:szCs w:val="15"/>
                <w:color w:val="auto"/>
              </w:rPr>
              <w:t>Operating revenue growth</w:t>
            </w:r>
          </w:p>
        </w:tc>
        <w:tc>
          <w:tcPr>
            <w:tcW w:w="1500" w:type="dxa"/>
            <w:vAlign w:val="bottom"/>
            <w:shd w:val="clear" w:color="auto" w:fill="F0F1F8"/>
          </w:tcPr>
          <w:p>
            <w:pPr>
              <w:jc w:val="right"/>
              <w:ind w:right="304"/>
              <w:spacing w:after="0"/>
              <w:rPr>
                <w:sz w:val="20"/>
                <w:szCs w:val="20"/>
                <w:color w:val="auto"/>
              </w:rPr>
            </w:pPr>
            <w:r>
              <w:rPr>
                <w:rFonts w:ascii="Arial" w:cs="Arial" w:eastAsia="Arial" w:hAnsi="Arial"/>
                <w:sz w:val="15"/>
                <w:szCs w:val="15"/>
                <w:color w:val="auto"/>
              </w:rPr>
              <w:t>20.5%</w:t>
            </w:r>
          </w:p>
        </w:tc>
        <w:tc>
          <w:tcPr>
            <w:tcW w:w="1720" w:type="dxa"/>
            <w:vAlign w:val="bottom"/>
            <w:gridSpan w:val="3"/>
            <w:shd w:val="clear" w:color="auto" w:fill="F0F1F8"/>
          </w:tcPr>
          <w:p>
            <w:pPr>
              <w:jc w:val="right"/>
              <w:ind w:right="564"/>
              <w:spacing w:after="0"/>
              <w:rPr>
                <w:sz w:val="20"/>
                <w:szCs w:val="20"/>
                <w:color w:val="auto"/>
              </w:rPr>
            </w:pPr>
            <w:r>
              <w:rPr>
                <w:rFonts w:ascii="Arial" w:cs="Arial" w:eastAsia="Arial" w:hAnsi="Arial"/>
                <w:sz w:val="15"/>
                <w:szCs w:val="15"/>
                <w:color w:val="auto"/>
              </w:rPr>
              <w:t>14.3%</w:t>
            </w:r>
          </w:p>
        </w:tc>
        <w:tc>
          <w:tcPr>
            <w:tcW w:w="1200" w:type="dxa"/>
            <w:vAlign w:val="bottom"/>
            <w:shd w:val="clear" w:color="auto" w:fill="F0F1F8"/>
          </w:tcPr>
          <w:p>
            <w:pPr>
              <w:jc w:val="right"/>
              <w:ind w:right="284"/>
              <w:spacing w:after="0"/>
              <w:rPr>
                <w:sz w:val="20"/>
                <w:szCs w:val="20"/>
                <w:color w:val="auto"/>
              </w:rPr>
            </w:pPr>
            <w:r>
              <w:rPr>
                <w:rFonts w:ascii="Arial" w:cs="Arial" w:eastAsia="Arial" w:hAnsi="Arial"/>
                <w:sz w:val="15"/>
                <w:szCs w:val="15"/>
                <w:color w:val="auto"/>
              </w:rPr>
              <w:t>38.6%</w:t>
            </w:r>
          </w:p>
        </w:tc>
        <w:tc>
          <w:tcPr>
            <w:tcW w:w="1180" w:type="dxa"/>
            <w:vAlign w:val="bottom"/>
            <w:shd w:val="clear" w:color="auto" w:fill="F0F1F8"/>
          </w:tcPr>
          <w:p>
            <w:pPr>
              <w:jc w:val="right"/>
              <w:ind w:right="24"/>
              <w:spacing w:after="0"/>
              <w:rPr>
                <w:sz w:val="20"/>
                <w:szCs w:val="20"/>
                <w:color w:val="auto"/>
              </w:rPr>
            </w:pPr>
            <w:r>
              <w:rPr>
                <w:rFonts w:ascii="Arial" w:cs="Arial" w:eastAsia="Arial" w:hAnsi="Arial"/>
                <w:sz w:val="15"/>
                <w:szCs w:val="15"/>
                <w:color w:val="auto"/>
              </w:rPr>
              <w:t>33.9%</w:t>
            </w:r>
          </w:p>
        </w:tc>
      </w:tr>
      <w:tr>
        <w:trPr>
          <w:trHeight w:val="209"/>
        </w:trPr>
        <w:tc>
          <w:tcPr>
            <w:tcW w:w="5640" w:type="dxa"/>
            <w:vAlign w:val="bottom"/>
            <w:gridSpan w:val="2"/>
          </w:tcPr>
          <w:p>
            <w:pPr>
              <w:ind w:left="60"/>
              <w:spacing w:after="0"/>
              <w:rPr>
                <w:sz w:val="20"/>
                <w:szCs w:val="20"/>
                <w:color w:val="auto"/>
              </w:rPr>
            </w:pPr>
            <w:r>
              <w:rPr>
                <w:rFonts w:ascii="Arial" w:cs="Arial" w:eastAsia="Arial" w:hAnsi="Arial"/>
                <w:sz w:val="15"/>
                <w:szCs w:val="15"/>
                <w:color w:val="auto"/>
              </w:rPr>
              <w:t>Impact of acquisitions and divestitures</w:t>
            </w:r>
          </w:p>
        </w:tc>
        <w:tc>
          <w:tcPr>
            <w:tcW w:w="1500" w:type="dxa"/>
            <w:vAlign w:val="bottom"/>
          </w:tcPr>
          <w:p>
            <w:pPr>
              <w:jc w:val="right"/>
              <w:ind w:right="264"/>
              <w:spacing w:after="0"/>
              <w:rPr>
                <w:sz w:val="20"/>
                <w:szCs w:val="20"/>
                <w:color w:val="auto"/>
              </w:rPr>
            </w:pPr>
            <w:r>
              <w:rPr>
                <w:rFonts w:ascii="Arial" w:cs="Arial" w:eastAsia="Arial" w:hAnsi="Arial"/>
                <w:sz w:val="15"/>
                <w:szCs w:val="15"/>
                <w:color w:val="auto"/>
              </w:rPr>
              <w:t>(1.3%)</w:t>
            </w:r>
          </w:p>
        </w:tc>
        <w:tc>
          <w:tcPr>
            <w:tcW w:w="1720" w:type="dxa"/>
            <w:vAlign w:val="bottom"/>
            <w:gridSpan w:val="3"/>
          </w:tcPr>
          <w:p>
            <w:pPr>
              <w:jc w:val="right"/>
              <w:ind w:right="504"/>
              <w:spacing w:after="0"/>
              <w:rPr>
                <w:sz w:val="20"/>
                <w:szCs w:val="20"/>
                <w:color w:val="auto"/>
              </w:rPr>
            </w:pPr>
            <w:r>
              <w:rPr>
                <w:rFonts w:ascii="Arial" w:cs="Arial" w:eastAsia="Arial" w:hAnsi="Arial"/>
                <w:sz w:val="15"/>
                <w:szCs w:val="15"/>
                <w:color w:val="auto"/>
              </w:rPr>
              <w:t>(1.8%)</w:t>
            </w:r>
          </w:p>
        </w:tc>
        <w:tc>
          <w:tcPr>
            <w:tcW w:w="1200" w:type="dxa"/>
            <w:vAlign w:val="bottom"/>
          </w:tcPr>
          <w:p>
            <w:pPr>
              <w:jc w:val="right"/>
              <w:ind w:right="284"/>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214"/>
        </w:trPr>
        <w:tc>
          <w:tcPr>
            <w:tcW w:w="5640" w:type="dxa"/>
            <w:vAlign w:val="bottom"/>
            <w:gridSpan w:val="2"/>
            <w:shd w:val="clear" w:color="auto" w:fill="F0F1F8"/>
          </w:tcPr>
          <w:p>
            <w:pPr>
              <w:ind w:left="60"/>
              <w:spacing w:after="0"/>
              <w:rPr>
                <w:sz w:val="20"/>
                <w:szCs w:val="20"/>
                <w:color w:val="auto"/>
              </w:rPr>
            </w:pPr>
            <w:r>
              <w:rPr>
                <w:rFonts w:ascii="Arial" w:cs="Arial" w:eastAsia="Arial" w:hAnsi="Arial"/>
                <w:sz w:val="15"/>
                <w:szCs w:val="15"/>
                <w:color w:val="auto"/>
              </w:rPr>
              <w:t>Impact of foreign currency exchange rate fluctuations</w:t>
            </w:r>
          </w:p>
        </w:tc>
        <w:tc>
          <w:tcPr>
            <w:tcW w:w="1500" w:type="dxa"/>
            <w:vAlign w:val="bottom"/>
            <w:tcBorders>
              <w:bottom w:val="single" w:sz="8" w:color="auto"/>
            </w:tcBorders>
            <w:shd w:val="clear" w:color="auto" w:fill="F0F1F8"/>
          </w:tcPr>
          <w:p>
            <w:pPr>
              <w:jc w:val="right"/>
              <w:ind w:right="264"/>
              <w:spacing w:after="0"/>
              <w:rPr>
                <w:sz w:val="20"/>
                <w:szCs w:val="20"/>
                <w:color w:val="auto"/>
              </w:rPr>
            </w:pPr>
            <w:r>
              <w:rPr>
                <w:rFonts w:ascii="Arial" w:cs="Arial" w:eastAsia="Arial" w:hAnsi="Arial"/>
                <w:sz w:val="15"/>
                <w:szCs w:val="15"/>
                <w:color w:val="auto"/>
              </w:rPr>
              <w:t>(0.5%)</w:t>
            </w:r>
          </w:p>
        </w:tc>
        <w:tc>
          <w:tcPr>
            <w:tcW w:w="1720" w:type="dxa"/>
            <w:vAlign w:val="bottom"/>
            <w:tcBorders>
              <w:bottom w:val="single" w:sz="8" w:color="auto"/>
            </w:tcBorders>
            <w:gridSpan w:val="3"/>
            <w:shd w:val="clear" w:color="auto" w:fill="F0F1F8"/>
          </w:tcPr>
          <w:p>
            <w:pPr>
              <w:jc w:val="right"/>
              <w:ind w:right="504"/>
              <w:spacing w:after="0"/>
              <w:rPr>
                <w:sz w:val="20"/>
                <w:szCs w:val="20"/>
                <w:color w:val="auto"/>
              </w:rPr>
            </w:pPr>
            <w:r>
              <w:rPr>
                <w:rFonts w:ascii="Arial" w:cs="Arial" w:eastAsia="Arial" w:hAnsi="Arial"/>
                <w:sz w:val="15"/>
                <w:szCs w:val="15"/>
                <w:color w:val="auto"/>
              </w:rPr>
              <w:t>(0.7%)</w:t>
            </w:r>
          </w:p>
        </w:tc>
        <w:tc>
          <w:tcPr>
            <w:tcW w:w="1200" w:type="dxa"/>
            <w:vAlign w:val="bottom"/>
            <w:tcBorders>
              <w:bottom w:val="single" w:sz="8" w:color="auto"/>
            </w:tcBorders>
            <w:shd w:val="clear" w:color="auto" w:fill="F0F1F8"/>
          </w:tcPr>
          <w:p>
            <w:pPr>
              <w:jc w:val="right"/>
              <w:ind w:right="224"/>
              <w:spacing w:after="0"/>
              <w:rPr>
                <w:sz w:val="20"/>
                <w:szCs w:val="20"/>
                <w:color w:val="auto"/>
              </w:rPr>
            </w:pPr>
            <w:r>
              <w:rPr>
                <w:rFonts w:ascii="Arial" w:cs="Arial" w:eastAsia="Arial" w:hAnsi="Arial"/>
                <w:sz w:val="15"/>
                <w:szCs w:val="15"/>
                <w:color w:val="auto"/>
              </w:rPr>
              <w:t>(0.1%)</w:t>
            </w:r>
          </w:p>
        </w:tc>
        <w:tc>
          <w:tcPr>
            <w:tcW w:w="1180" w:type="dxa"/>
            <w:vAlign w:val="bottom"/>
            <w:tcBorders>
              <w:bottom w:val="single" w:sz="8" w:color="auto"/>
            </w:tcBorders>
            <w:shd w:val="clear" w:color="auto" w:fill="F0F1F8"/>
          </w:tcPr>
          <w:p>
            <w:pPr>
              <w:jc w:val="right"/>
              <w:spacing w:after="0"/>
              <w:rPr>
                <w:sz w:val="20"/>
                <w:szCs w:val="20"/>
                <w:color w:val="auto"/>
              </w:rPr>
            </w:pPr>
            <w:r>
              <w:rPr>
                <w:rFonts w:ascii="Arial" w:cs="Arial" w:eastAsia="Arial" w:hAnsi="Arial"/>
                <w:sz w:val="15"/>
                <w:szCs w:val="15"/>
                <w:color w:val="auto"/>
              </w:rPr>
              <w:t>(0.3%)</w:t>
            </w:r>
          </w:p>
        </w:tc>
      </w:tr>
      <w:tr>
        <w:trPr>
          <w:trHeight w:val="226"/>
        </w:trPr>
        <w:tc>
          <w:tcPr>
            <w:tcW w:w="564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color w:val="auto"/>
              </w:rPr>
              <w:t>Organic operating revenue growth</w:t>
            </w:r>
          </w:p>
        </w:tc>
        <w:tc>
          <w:tcPr>
            <w:tcW w:w="150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color w:val="auto"/>
              </w:rPr>
              <w:t>18.7%</w:t>
            </w:r>
          </w:p>
        </w:tc>
        <w:tc>
          <w:tcPr>
            <w:tcW w:w="1720" w:type="dxa"/>
            <w:vAlign w:val="bottom"/>
            <w:tcBorders>
              <w:bottom w:val="single" w:sz="8" w:color="auto"/>
            </w:tcBorders>
            <w:gridSpan w:val="3"/>
          </w:tcPr>
          <w:p>
            <w:pPr>
              <w:jc w:val="right"/>
              <w:ind w:right="564"/>
              <w:spacing w:after="0"/>
              <w:rPr>
                <w:sz w:val="20"/>
                <w:szCs w:val="20"/>
                <w:color w:val="auto"/>
              </w:rPr>
            </w:pPr>
            <w:r>
              <w:rPr>
                <w:rFonts w:ascii="Arial" w:cs="Arial" w:eastAsia="Arial" w:hAnsi="Arial"/>
                <w:sz w:val="15"/>
                <w:szCs w:val="15"/>
                <w:color w:val="auto"/>
              </w:rPr>
              <w:t>11.8%</w:t>
            </w:r>
          </w:p>
        </w:tc>
        <w:tc>
          <w:tcPr>
            <w:tcW w:w="120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color w:val="auto"/>
              </w:rPr>
              <w:t>38.5%</w:t>
            </w:r>
          </w:p>
        </w:tc>
        <w:tc>
          <w:tcPr>
            <w:tcW w:w="1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33.6%</w:t>
            </w:r>
          </w:p>
        </w:tc>
      </w:tr>
      <w:tr>
        <w:trPr>
          <w:trHeight w:val="372"/>
        </w:trPr>
        <w:tc>
          <w:tcPr>
            <w:tcW w:w="5640" w:type="dxa"/>
            <w:vAlign w:val="bottom"/>
            <w:gridSpan w:val="2"/>
          </w:tcPr>
          <w:p>
            <w:pPr>
              <w:spacing w:after="0"/>
              <w:rPr>
                <w:sz w:val="20"/>
                <w:szCs w:val="20"/>
                <w:color w:val="auto"/>
              </w:rPr>
            </w:pPr>
            <w:r>
              <w:rPr>
                <w:rFonts w:ascii="Arial" w:cs="Arial" w:eastAsia="Arial" w:hAnsi="Arial"/>
                <w:sz w:val="15"/>
                <w:szCs w:val="15"/>
                <w:color w:val="auto"/>
              </w:rPr>
              <w:t>Reconciliation of Adjusted EBITDA to Net Income (unaudited)</w:t>
            </w:r>
          </w:p>
        </w:tc>
        <w:tc>
          <w:tcPr>
            <w:tcW w:w="1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79"/>
        </w:trPr>
        <w:tc>
          <w:tcPr>
            <w:tcW w:w="70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bottom w:val="single" w:sz="8" w:color="16479F"/>
            </w:tcBorders>
          </w:tcPr>
          <w:p>
            <w:pPr>
              <w:spacing w:after="0"/>
              <w:rPr>
                <w:sz w:val="24"/>
                <w:szCs w:val="24"/>
                <w:color w:val="auto"/>
              </w:rPr>
            </w:pPr>
          </w:p>
        </w:tc>
        <w:tc>
          <w:tcPr>
            <w:tcW w:w="960" w:type="dxa"/>
            <w:vAlign w:val="bottom"/>
            <w:tcBorders>
              <w:bottom w:val="single" w:sz="8" w:color="16479F"/>
            </w:tcBorders>
          </w:tcPr>
          <w:p>
            <w:pPr>
              <w:spacing w:after="0"/>
              <w:rPr>
                <w:sz w:val="24"/>
                <w:szCs w:val="24"/>
                <w:color w:val="auto"/>
              </w:rPr>
            </w:pPr>
          </w:p>
        </w:tc>
        <w:tc>
          <w:tcPr>
            <w:tcW w:w="1200" w:type="dxa"/>
            <w:vAlign w:val="bottom"/>
            <w:tcBorders>
              <w:bottom w:val="single" w:sz="8" w:color="16479F"/>
            </w:tcBorders>
          </w:tcPr>
          <w:p>
            <w:pPr>
              <w:ind w:left="240"/>
              <w:spacing w:after="0"/>
              <w:rPr>
                <w:sz w:val="20"/>
                <w:szCs w:val="20"/>
                <w:color w:val="auto"/>
              </w:rPr>
            </w:pPr>
            <w:r>
              <w:rPr>
                <w:rFonts w:ascii="Arial" w:cs="Arial" w:eastAsia="Arial" w:hAnsi="Arial"/>
                <w:sz w:val="14"/>
                <w:szCs w:val="14"/>
                <w:b w:val="1"/>
                <w:bCs w:val="1"/>
                <w:color w:val="auto"/>
              </w:rPr>
              <w:t>Years Ended</w:t>
            </w:r>
          </w:p>
        </w:tc>
        <w:tc>
          <w:tcPr>
            <w:tcW w:w="1180" w:type="dxa"/>
            <w:vAlign w:val="bottom"/>
            <w:tcBorders>
              <w:bottom w:val="single" w:sz="8" w:color="16479F"/>
            </w:tcBorders>
          </w:tcPr>
          <w:p>
            <w:pPr>
              <w:spacing w:after="0"/>
              <w:rPr>
                <w:sz w:val="24"/>
                <w:szCs w:val="24"/>
                <w:color w:val="auto"/>
              </w:rPr>
            </w:pPr>
          </w:p>
        </w:tc>
      </w:tr>
      <w:tr>
        <w:trPr>
          <w:trHeight w:val="208"/>
        </w:trPr>
        <w:tc>
          <w:tcPr>
            <w:tcW w:w="5640" w:type="dxa"/>
            <w:vAlign w:val="bottom"/>
            <w:tcBorders>
              <w:bottom w:val="single" w:sz="8" w:color="16479F"/>
            </w:tcBorders>
            <w:gridSpan w:val="2"/>
          </w:tcPr>
          <w:p>
            <w:pPr>
              <w:ind w:left="60"/>
              <w:spacing w:after="0"/>
              <w:rPr>
                <w:sz w:val="20"/>
                <w:szCs w:val="20"/>
                <w:color w:val="auto"/>
              </w:rPr>
            </w:pPr>
            <w:r>
              <w:rPr>
                <w:rFonts w:ascii="Arial" w:cs="Arial" w:eastAsia="Arial" w:hAnsi="Arial"/>
                <w:sz w:val="14"/>
                <w:szCs w:val="14"/>
                <w:b w:val="1"/>
                <w:bCs w:val="1"/>
                <w:color w:val="auto"/>
              </w:rPr>
              <w:t>In Thousands (Except Percentages)</w:t>
            </w:r>
          </w:p>
        </w:tc>
        <w:tc>
          <w:tcPr>
            <w:tcW w:w="1500" w:type="dxa"/>
            <w:vAlign w:val="bottom"/>
            <w:tcBorders>
              <w:bottom w:val="single" w:sz="8" w:color="16479F"/>
            </w:tcBorders>
          </w:tcPr>
          <w:p>
            <w:pPr>
              <w:spacing w:after="0"/>
              <w:rPr>
                <w:sz w:val="18"/>
                <w:szCs w:val="18"/>
                <w:color w:val="auto"/>
              </w:rPr>
            </w:pPr>
          </w:p>
        </w:tc>
        <w:tc>
          <w:tcPr>
            <w:tcW w:w="660" w:type="dxa"/>
            <w:vAlign w:val="bottom"/>
            <w:tcBorders>
              <w:bottom w:val="single" w:sz="8" w:color="16479F"/>
            </w:tcBorders>
          </w:tcPr>
          <w:p>
            <w:pPr>
              <w:spacing w:after="0"/>
              <w:rPr>
                <w:sz w:val="18"/>
                <w:szCs w:val="18"/>
                <w:color w:val="auto"/>
              </w:rPr>
            </w:pPr>
          </w:p>
        </w:tc>
        <w:tc>
          <w:tcPr>
            <w:tcW w:w="1060" w:type="dxa"/>
            <w:vAlign w:val="bottom"/>
            <w:tcBorders>
              <w:bottom w:val="single" w:sz="8" w:color="16479F"/>
            </w:tcBorders>
            <w:gridSpan w:val="2"/>
          </w:tcPr>
          <w:p>
            <w:pPr>
              <w:jc w:val="right"/>
              <w:ind w:right="44"/>
              <w:spacing w:after="0"/>
              <w:rPr>
                <w:sz w:val="20"/>
                <w:szCs w:val="20"/>
                <w:color w:val="auto"/>
              </w:rPr>
            </w:pPr>
            <w:r>
              <w:rPr>
                <w:rFonts w:ascii="Arial" w:cs="Arial" w:eastAsia="Arial" w:hAnsi="Arial"/>
                <w:sz w:val="14"/>
                <w:szCs w:val="14"/>
                <w:b w:val="1"/>
                <w:bCs w:val="1"/>
                <w:color w:val="auto"/>
              </w:rPr>
              <w:t>Dec. 31, 2021</w:t>
            </w:r>
          </w:p>
        </w:tc>
        <w:tc>
          <w:tcPr>
            <w:tcW w:w="1200" w:type="dxa"/>
            <w:vAlign w:val="bottom"/>
            <w:tcBorders>
              <w:bottom w:val="single" w:sz="8" w:color="16479F"/>
            </w:tcBorders>
          </w:tcPr>
          <w:p>
            <w:pPr>
              <w:ind w:left="220"/>
              <w:spacing w:after="0"/>
              <w:rPr>
                <w:sz w:val="20"/>
                <w:szCs w:val="20"/>
                <w:color w:val="auto"/>
              </w:rPr>
            </w:pPr>
            <w:r>
              <w:rPr>
                <w:rFonts w:ascii="Arial" w:cs="Arial" w:eastAsia="Arial" w:hAnsi="Arial"/>
                <w:sz w:val="14"/>
                <w:szCs w:val="14"/>
                <w:b w:val="1"/>
                <w:bCs w:val="1"/>
                <w:color w:val="auto"/>
              </w:rPr>
              <w:t>Dec. 31, 2020</w:t>
            </w:r>
          </w:p>
        </w:tc>
        <w:tc>
          <w:tcPr>
            <w:tcW w:w="1180" w:type="dxa"/>
            <w:vAlign w:val="bottom"/>
            <w:tcBorders>
              <w:bottom w:val="single" w:sz="8" w:color="16479F"/>
            </w:tcBorders>
          </w:tcPr>
          <w:p>
            <w:pPr>
              <w:jc w:val="right"/>
              <w:spacing w:after="0"/>
              <w:rPr>
                <w:sz w:val="20"/>
                <w:szCs w:val="20"/>
                <w:color w:val="auto"/>
              </w:rPr>
            </w:pPr>
            <w:r>
              <w:rPr>
                <w:rFonts w:ascii="Arial" w:cs="Arial" w:eastAsia="Arial" w:hAnsi="Arial"/>
                <w:sz w:val="14"/>
                <w:szCs w:val="14"/>
                <w:b w:val="1"/>
                <w:bCs w:val="1"/>
                <w:color w:val="auto"/>
              </w:rPr>
              <w:t>Dec. 31, 2019</w:t>
            </w:r>
          </w:p>
        </w:tc>
      </w:tr>
      <w:tr>
        <w:trPr>
          <w:trHeight w:val="213"/>
        </w:trPr>
        <w:tc>
          <w:tcPr>
            <w:tcW w:w="5640" w:type="dxa"/>
            <w:vAlign w:val="bottom"/>
            <w:gridSpan w:val="2"/>
            <w:shd w:val="clear" w:color="auto" w:fill="F0F1F8"/>
          </w:tcPr>
          <w:p>
            <w:pPr>
              <w:ind w:left="60"/>
              <w:spacing w:after="0"/>
              <w:rPr>
                <w:sz w:val="20"/>
                <w:szCs w:val="20"/>
                <w:color w:val="auto"/>
              </w:rPr>
            </w:pPr>
            <w:r>
              <w:rPr>
                <w:rFonts w:ascii="Arial" w:cs="Arial" w:eastAsia="Arial" w:hAnsi="Arial"/>
                <w:sz w:val="15"/>
                <w:szCs w:val="15"/>
                <w:color w:val="auto"/>
              </w:rPr>
              <w:t>Index Adjusted EBITDA</w:t>
            </w:r>
          </w:p>
        </w:tc>
        <w:tc>
          <w:tcPr>
            <w:tcW w:w="1500" w:type="dxa"/>
            <w:vAlign w:val="bottom"/>
            <w:shd w:val="clear" w:color="auto" w:fill="F0F1F8"/>
          </w:tcPr>
          <w:p>
            <w:pPr>
              <w:spacing w:after="0"/>
              <w:rPr>
                <w:sz w:val="18"/>
                <w:szCs w:val="18"/>
                <w:color w:val="auto"/>
              </w:rPr>
            </w:pPr>
          </w:p>
        </w:tc>
        <w:tc>
          <w:tcPr>
            <w:tcW w:w="760" w:type="dxa"/>
            <w:vAlign w:val="bottom"/>
            <w:gridSpan w:val="2"/>
            <w:shd w:val="clear" w:color="auto" w:fill="F0F1F8"/>
          </w:tcPr>
          <w:p>
            <w:pPr>
              <w:jc w:val="right"/>
              <w:spacing w:after="0"/>
              <w:rPr>
                <w:sz w:val="20"/>
                <w:szCs w:val="20"/>
                <w:color w:val="auto"/>
              </w:rPr>
            </w:pPr>
            <w:r>
              <w:rPr>
                <w:rFonts w:ascii="Arial" w:cs="Arial" w:eastAsia="Arial" w:hAnsi="Arial"/>
                <w:sz w:val="15"/>
                <w:szCs w:val="15"/>
                <w:color w:val="auto"/>
              </w:rPr>
              <w:t>$</w:t>
            </w:r>
          </w:p>
        </w:tc>
        <w:tc>
          <w:tcPr>
            <w:tcW w:w="960" w:type="dxa"/>
            <w:vAlign w:val="bottom"/>
            <w:shd w:val="clear" w:color="auto" w:fill="F0F1F8"/>
          </w:tcPr>
          <w:p>
            <w:pPr>
              <w:jc w:val="right"/>
              <w:ind w:right="184"/>
              <w:spacing w:after="0"/>
              <w:rPr>
                <w:sz w:val="20"/>
                <w:szCs w:val="20"/>
                <w:color w:val="auto"/>
              </w:rPr>
            </w:pPr>
            <w:r>
              <w:rPr>
                <w:rFonts w:ascii="Arial" w:cs="Arial" w:eastAsia="Arial" w:hAnsi="Arial"/>
                <w:sz w:val="15"/>
                <w:szCs w:val="15"/>
                <w:color w:val="auto"/>
              </w:rPr>
              <w:t>951,312</w:t>
            </w:r>
          </w:p>
        </w:tc>
        <w:tc>
          <w:tcPr>
            <w:tcW w:w="1200" w:type="dxa"/>
            <w:vAlign w:val="bottom"/>
            <w:shd w:val="clear" w:color="auto" w:fill="F0F1F8"/>
          </w:tcPr>
          <w:p>
            <w:pPr>
              <w:jc w:val="right"/>
              <w:ind w:right="144"/>
              <w:spacing w:after="0"/>
              <w:rPr>
                <w:sz w:val="20"/>
                <w:szCs w:val="20"/>
                <w:color w:val="auto"/>
              </w:rPr>
            </w:pPr>
            <w:r>
              <w:rPr>
                <w:rFonts w:ascii="Arial" w:cs="Arial" w:eastAsia="Arial" w:hAnsi="Arial"/>
                <w:sz w:val="15"/>
                <w:szCs w:val="15"/>
                <w:color w:val="auto"/>
              </w:rPr>
              <w:t>$ 766,493</w:t>
            </w:r>
          </w:p>
        </w:tc>
        <w:tc>
          <w:tcPr>
            <w:tcW w:w="1180" w:type="dxa"/>
            <w:vAlign w:val="bottom"/>
            <w:shd w:val="clear" w:color="auto" w:fill="F0F1F8"/>
          </w:tcPr>
          <w:p>
            <w:pPr>
              <w:jc w:val="right"/>
              <w:ind w:right="64"/>
              <w:spacing w:after="0"/>
              <w:rPr>
                <w:sz w:val="20"/>
                <w:szCs w:val="20"/>
                <w:color w:val="auto"/>
              </w:rPr>
            </w:pPr>
            <w:r>
              <w:rPr>
                <w:rFonts w:ascii="Arial" w:cs="Arial" w:eastAsia="Arial" w:hAnsi="Arial"/>
                <w:sz w:val="15"/>
                <w:szCs w:val="15"/>
                <w:color w:val="auto"/>
              </w:rPr>
              <w:t>$670,188</w:t>
            </w:r>
          </w:p>
        </w:tc>
      </w:tr>
      <w:tr>
        <w:trPr>
          <w:trHeight w:val="209"/>
        </w:trPr>
        <w:tc>
          <w:tcPr>
            <w:tcW w:w="5640" w:type="dxa"/>
            <w:vAlign w:val="bottom"/>
            <w:gridSpan w:val="2"/>
          </w:tcPr>
          <w:p>
            <w:pPr>
              <w:ind w:left="60"/>
              <w:spacing w:after="0"/>
              <w:rPr>
                <w:sz w:val="20"/>
                <w:szCs w:val="20"/>
                <w:color w:val="auto"/>
              </w:rPr>
            </w:pPr>
            <w:r>
              <w:rPr>
                <w:rFonts w:ascii="Arial" w:cs="Arial" w:eastAsia="Arial" w:hAnsi="Arial"/>
                <w:sz w:val="15"/>
                <w:szCs w:val="15"/>
                <w:color w:val="auto"/>
              </w:rPr>
              <w:t>Analytics Adjusted EBITDA</w:t>
            </w:r>
          </w:p>
        </w:tc>
        <w:tc>
          <w:tcPr>
            <w:tcW w:w="1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184"/>
              <w:spacing w:after="0"/>
              <w:rPr>
                <w:sz w:val="20"/>
                <w:szCs w:val="20"/>
                <w:color w:val="auto"/>
              </w:rPr>
            </w:pPr>
            <w:r>
              <w:rPr>
                <w:rFonts w:ascii="Arial" w:cs="Arial" w:eastAsia="Arial" w:hAnsi="Arial"/>
                <w:sz w:val="15"/>
                <w:szCs w:val="15"/>
                <w:color w:val="auto"/>
              </w:rPr>
              <w:t>198,799</w:t>
            </w:r>
          </w:p>
        </w:tc>
        <w:tc>
          <w:tcPr>
            <w:tcW w:w="1200" w:type="dxa"/>
            <w:vAlign w:val="bottom"/>
          </w:tcPr>
          <w:p>
            <w:pPr>
              <w:jc w:val="right"/>
              <w:ind w:right="144"/>
              <w:spacing w:after="0"/>
              <w:rPr>
                <w:sz w:val="20"/>
                <w:szCs w:val="20"/>
                <w:color w:val="auto"/>
              </w:rPr>
            </w:pPr>
            <w:r>
              <w:rPr>
                <w:rFonts w:ascii="Arial" w:cs="Arial" w:eastAsia="Arial" w:hAnsi="Arial"/>
                <w:sz w:val="15"/>
                <w:szCs w:val="15"/>
                <w:color w:val="auto"/>
              </w:rPr>
              <w:t>172,924</w:t>
            </w:r>
          </w:p>
        </w:tc>
        <w:tc>
          <w:tcPr>
            <w:tcW w:w="1180" w:type="dxa"/>
            <w:vAlign w:val="bottom"/>
          </w:tcPr>
          <w:p>
            <w:pPr>
              <w:jc w:val="right"/>
              <w:ind w:right="64"/>
              <w:spacing w:after="0"/>
              <w:rPr>
                <w:sz w:val="20"/>
                <w:szCs w:val="20"/>
                <w:color w:val="auto"/>
              </w:rPr>
            </w:pPr>
            <w:r>
              <w:rPr>
                <w:rFonts w:ascii="Arial" w:cs="Arial" w:eastAsia="Arial" w:hAnsi="Arial"/>
                <w:sz w:val="15"/>
                <w:szCs w:val="15"/>
                <w:color w:val="auto"/>
              </w:rPr>
              <w:t>152,113</w:t>
            </w:r>
          </w:p>
        </w:tc>
      </w:tr>
      <w:tr>
        <w:trPr>
          <w:trHeight w:val="219"/>
        </w:trPr>
        <w:tc>
          <w:tcPr>
            <w:tcW w:w="5640" w:type="dxa"/>
            <w:vAlign w:val="bottom"/>
            <w:gridSpan w:val="2"/>
            <w:shd w:val="clear" w:color="auto" w:fill="F0F1F8"/>
          </w:tcPr>
          <w:p>
            <w:pPr>
              <w:ind w:left="60"/>
              <w:spacing w:after="0"/>
              <w:rPr>
                <w:sz w:val="20"/>
                <w:szCs w:val="20"/>
                <w:color w:val="auto"/>
              </w:rPr>
            </w:pPr>
            <w:r>
              <w:rPr>
                <w:rFonts w:ascii="Arial" w:cs="Arial" w:eastAsia="Arial" w:hAnsi="Arial"/>
                <w:sz w:val="15"/>
                <w:szCs w:val="15"/>
                <w:color w:val="auto"/>
              </w:rPr>
              <w:t>ESG and Climate Adjusted EBITDA</w:t>
            </w:r>
          </w:p>
        </w:tc>
        <w:tc>
          <w:tcPr>
            <w:tcW w:w="1500" w:type="dxa"/>
            <w:vAlign w:val="bottom"/>
            <w:shd w:val="clear" w:color="auto" w:fill="F0F1F8"/>
          </w:tcPr>
          <w:p>
            <w:pPr>
              <w:spacing w:after="0"/>
              <w:rPr>
                <w:sz w:val="19"/>
                <w:szCs w:val="19"/>
                <w:color w:val="auto"/>
              </w:rPr>
            </w:pPr>
          </w:p>
        </w:tc>
        <w:tc>
          <w:tcPr>
            <w:tcW w:w="660" w:type="dxa"/>
            <w:vAlign w:val="bottom"/>
            <w:shd w:val="clear" w:color="auto" w:fill="F0F1F8"/>
          </w:tcPr>
          <w:p>
            <w:pPr>
              <w:spacing w:after="0"/>
              <w:rPr>
                <w:sz w:val="19"/>
                <w:szCs w:val="19"/>
                <w:color w:val="auto"/>
              </w:rPr>
            </w:pPr>
          </w:p>
        </w:tc>
        <w:tc>
          <w:tcPr>
            <w:tcW w:w="100" w:type="dxa"/>
            <w:vAlign w:val="bottom"/>
            <w:shd w:val="clear" w:color="auto" w:fill="F0F1F8"/>
          </w:tcPr>
          <w:p>
            <w:pPr>
              <w:spacing w:after="0"/>
              <w:rPr>
                <w:sz w:val="19"/>
                <w:szCs w:val="19"/>
                <w:color w:val="auto"/>
              </w:rPr>
            </w:pPr>
          </w:p>
        </w:tc>
        <w:tc>
          <w:tcPr>
            <w:tcW w:w="960" w:type="dxa"/>
            <w:vAlign w:val="bottom"/>
            <w:shd w:val="clear" w:color="auto" w:fill="F0F1F8"/>
          </w:tcPr>
          <w:p>
            <w:pPr>
              <w:jc w:val="right"/>
              <w:ind w:right="204"/>
              <w:spacing w:after="0"/>
              <w:rPr>
                <w:sz w:val="20"/>
                <w:szCs w:val="20"/>
                <w:color w:val="auto"/>
              </w:rPr>
            </w:pPr>
            <w:r>
              <w:rPr>
                <w:rFonts w:ascii="Arial" w:cs="Arial" w:eastAsia="Arial" w:hAnsi="Arial"/>
                <w:sz w:val="15"/>
                <w:szCs w:val="15"/>
                <w:color w:val="auto"/>
              </w:rPr>
              <w:t>29,748</w:t>
            </w:r>
          </w:p>
        </w:tc>
        <w:tc>
          <w:tcPr>
            <w:tcW w:w="1200" w:type="dxa"/>
            <w:vAlign w:val="bottom"/>
            <w:shd w:val="clear" w:color="auto" w:fill="F0F1F8"/>
          </w:tcPr>
          <w:p>
            <w:pPr>
              <w:jc w:val="right"/>
              <w:ind w:right="144"/>
              <w:spacing w:after="0"/>
              <w:rPr>
                <w:sz w:val="20"/>
                <w:szCs w:val="20"/>
                <w:color w:val="auto"/>
              </w:rPr>
            </w:pPr>
            <w:r>
              <w:rPr>
                <w:rFonts w:ascii="Arial" w:cs="Arial" w:eastAsia="Arial" w:hAnsi="Arial"/>
                <w:sz w:val="15"/>
                <w:szCs w:val="15"/>
                <w:color w:val="auto"/>
              </w:rPr>
              <w:t>22,851</w:t>
            </w:r>
          </w:p>
        </w:tc>
        <w:tc>
          <w:tcPr>
            <w:tcW w:w="1180" w:type="dxa"/>
            <w:vAlign w:val="bottom"/>
            <w:shd w:val="clear" w:color="auto" w:fill="F0F1F8"/>
          </w:tcPr>
          <w:p>
            <w:pPr>
              <w:jc w:val="right"/>
              <w:ind w:right="64"/>
              <w:spacing w:after="0"/>
              <w:rPr>
                <w:sz w:val="20"/>
                <w:szCs w:val="20"/>
                <w:color w:val="auto"/>
              </w:rPr>
            </w:pPr>
            <w:r>
              <w:rPr>
                <w:rFonts w:ascii="Arial" w:cs="Arial" w:eastAsia="Arial" w:hAnsi="Arial"/>
                <w:sz w:val="15"/>
                <w:szCs w:val="15"/>
                <w:color w:val="auto"/>
              </w:rPr>
              <w:t>21,813</w:t>
            </w:r>
          </w:p>
        </w:tc>
      </w:tr>
      <w:tr>
        <w:trPr>
          <w:trHeight w:val="209"/>
        </w:trPr>
        <w:tc>
          <w:tcPr>
            <w:tcW w:w="5640" w:type="dxa"/>
            <w:vAlign w:val="bottom"/>
            <w:tcBorders>
              <w:bottom w:val="single" w:sz="8" w:color="F0F1F8"/>
            </w:tcBorders>
            <w:gridSpan w:val="2"/>
          </w:tcPr>
          <w:p>
            <w:pPr>
              <w:ind w:left="60"/>
              <w:spacing w:after="0"/>
              <w:rPr>
                <w:sz w:val="20"/>
                <w:szCs w:val="20"/>
                <w:color w:val="auto"/>
              </w:rPr>
            </w:pPr>
            <w:r>
              <w:rPr>
                <w:rFonts w:ascii="Arial" w:cs="Arial" w:eastAsia="Arial" w:hAnsi="Arial"/>
                <w:sz w:val="15"/>
                <w:szCs w:val="15"/>
                <w:color w:val="auto"/>
              </w:rPr>
              <w:t>All Other – Private Assets Adjusted EBITDA</w:t>
            </w:r>
          </w:p>
        </w:tc>
        <w:tc>
          <w:tcPr>
            <w:tcW w:w="1500" w:type="dxa"/>
            <w:vAlign w:val="bottom"/>
            <w:tcBorders>
              <w:bottom w:val="single" w:sz="8" w:color="F0F1F8"/>
            </w:tcBorders>
          </w:tcPr>
          <w:p>
            <w:pPr>
              <w:spacing w:after="0"/>
              <w:rPr>
                <w:sz w:val="18"/>
                <w:szCs w:val="18"/>
                <w:color w:val="auto"/>
              </w:rPr>
            </w:pPr>
          </w:p>
        </w:tc>
        <w:tc>
          <w:tcPr>
            <w:tcW w:w="660" w:type="dxa"/>
            <w:vAlign w:val="bottom"/>
            <w:tcBorders>
              <w:bottom w:val="single" w:sz="8" w:color="F0F1F8"/>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rPr>
              <w:t>16,931</w:t>
            </w:r>
          </w:p>
        </w:tc>
        <w:tc>
          <w:tcPr>
            <w:tcW w:w="12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9,242</w:t>
            </w:r>
          </w:p>
        </w:tc>
        <w:tc>
          <w:tcPr>
            <w:tcW w:w="11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6,385</w:t>
            </w:r>
          </w:p>
        </w:tc>
      </w:tr>
      <w:tr>
        <w:trPr>
          <w:trHeight w:val="212"/>
        </w:trPr>
        <w:tc>
          <w:tcPr>
            <w:tcW w:w="5640" w:type="dxa"/>
            <w:vAlign w:val="bottom"/>
            <w:gridSpan w:val="2"/>
            <w:shd w:val="clear" w:color="auto" w:fill="F0F1F8"/>
          </w:tcPr>
          <w:p>
            <w:pPr>
              <w:ind w:left="60"/>
              <w:spacing w:after="0"/>
              <w:rPr>
                <w:sz w:val="20"/>
                <w:szCs w:val="20"/>
                <w:color w:val="auto"/>
              </w:rPr>
            </w:pPr>
            <w:r>
              <w:rPr>
                <w:rFonts w:ascii="Arial" w:cs="Arial" w:eastAsia="Arial" w:hAnsi="Arial"/>
                <w:sz w:val="15"/>
                <w:szCs w:val="15"/>
                <w:b w:val="1"/>
                <w:bCs w:val="1"/>
                <w:color w:val="auto"/>
              </w:rPr>
              <w:t>Consolidated Adjusted EBITDA</w:t>
            </w:r>
          </w:p>
        </w:tc>
        <w:tc>
          <w:tcPr>
            <w:tcW w:w="1500" w:type="dxa"/>
            <w:vAlign w:val="bottom"/>
            <w:shd w:val="clear" w:color="auto" w:fill="F0F1F8"/>
          </w:tcPr>
          <w:p>
            <w:pPr>
              <w:spacing w:after="0"/>
              <w:rPr>
                <w:sz w:val="18"/>
                <w:szCs w:val="18"/>
                <w:color w:val="auto"/>
              </w:rPr>
            </w:pPr>
          </w:p>
        </w:tc>
        <w:tc>
          <w:tcPr>
            <w:tcW w:w="660" w:type="dxa"/>
            <w:vAlign w:val="bottom"/>
            <w:shd w:val="clear" w:color="auto" w:fill="F0F1F8"/>
          </w:tcPr>
          <w:p>
            <w:pPr>
              <w:spacing w:after="0"/>
              <w:rPr>
                <w:sz w:val="18"/>
                <w:szCs w:val="18"/>
                <w:color w:val="auto"/>
              </w:rPr>
            </w:pPr>
          </w:p>
        </w:tc>
        <w:tc>
          <w:tcPr>
            <w:tcW w:w="100" w:type="dxa"/>
            <w:vAlign w:val="bottom"/>
            <w:shd w:val="clear" w:color="auto" w:fill="F0F1F8"/>
          </w:tcPr>
          <w:p>
            <w:pPr>
              <w:spacing w:after="0"/>
              <w:rPr>
                <w:sz w:val="18"/>
                <w:szCs w:val="18"/>
                <w:color w:val="auto"/>
              </w:rPr>
            </w:pPr>
          </w:p>
        </w:tc>
        <w:tc>
          <w:tcPr>
            <w:tcW w:w="960" w:type="dxa"/>
            <w:vAlign w:val="bottom"/>
            <w:shd w:val="clear" w:color="auto" w:fill="F0F1F8"/>
          </w:tcPr>
          <w:p>
            <w:pPr>
              <w:jc w:val="right"/>
              <w:ind w:right="204"/>
              <w:spacing w:after="0"/>
              <w:rPr>
                <w:sz w:val="20"/>
                <w:szCs w:val="20"/>
                <w:color w:val="auto"/>
              </w:rPr>
            </w:pPr>
            <w:r>
              <w:rPr>
                <w:rFonts w:ascii="Arial" w:cs="Arial" w:eastAsia="Arial" w:hAnsi="Arial"/>
                <w:sz w:val="15"/>
                <w:szCs w:val="15"/>
                <w:b w:val="1"/>
                <w:bCs w:val="1"/>
                <w:color w:val="auto"/>
                <w:w w:val="98"/>
              </w:rPr>
              <w:t>1,196,790</w:t>
            </w:r>
          </w:p>
        </w:tc>
        <w:tc>
          <w:tcPr>
            <w:tcW w:w="1200" w:type="dxa"/>
            <w:vAlign w:val="bottom"/>
            <w:shd w:val="clear" w:color="auto" w:fill="F0F1F8"/>
          </w:tcPr>
          <w:p>
            <w:pPr>
              <w:jc w:val="right"/>
              <w:ind w:right="144"/>
              <w:spacing w:after="0"/>
              <w:rPr>
                <w:sz w:val="20"/>
                <w:szCs w:val="20"/>
                <w:color w:val="auto"/>
              </w:rPr>
            </w:pPr>
            <w:r>
              <w:rPr>
                <w:rFonts w:ascii="Arial" w:cs="Arial" w:eastAsia="Arial" w:hAnsi="Arial"/>
                <w:sz w:val="15"/>
                <w:szCs w:val="15"/>
                <w:b w:val="1"/>
                <w:bCs w:val="1"/>
                <w:color w:val="auto"/>
              </w:rPr>
              <w:t>971,510</w:t>
            </w:r>
          </w:p>
        </w:tc>
        <w:tc>
          <w:tcPr>
            <w:tcW w:w="1180" w:type="dxa"/>
            <w:vAlign w:val="bottom"/>
            <w:shd w:val="clear" w:color="auto" w:fill="F0F1F8"/>
          </w:tcPr>
          <w:p>
            <w:pPr>
              <w:jc w:val="right"/>
              <w:ind w:right="64"/>
              <w:spacing w:after="0"/>
              <w:rPr>
                <w:sz w:val="20"/>
                <w:szCs w:val="20"/>
                <w:color w:val="auto"/>
              </w:rPr>
            </w:pPr>
            <w:r>
              <w:rPr>
                <w:rFonts w:ascii="Arial" w:cs="Arial" w:eastAsia="Arial" w:hAnsi="Arial"/>
                <w:sz w:val="15"/>
                <w:szCs w:val="15"/>
                <w:b w:val="1"/>
                <w:bCs w:val="1"/>
                <w:color w:val="auto"/>
              </w:rPr>
              <w:t>850,499</w:t>
            </w:r>
          </w:p>
        </w:tc>
      </w:tr>
      <w:tr>
        <w:trPr>
          <w:trHeight w:val="209"/>
        </w:trPr>
        <w:tc>
          <w:tcPr>
            <w:tcW w:w="5640" w:type="dxa"/>
            <w:vAlign w:val="bottom"/>
            <w:gridSpan w:val="2"/>
          </w:tcPr>
          <w:p>
            <w:pPr>
              <w:ind w:left="60"/>
              <w:spacing w:after="0"/>
              <w:rPr>
                <w:sz w:val="20"/>
                <w:szCs w:val="20"/>
                <w:color w:val="auto"/>
              </w:rPr>
            </w:pPr>
            <w:r>
              <w:rPr>
                <w:rFonts w:ascii="Arial" w:cs="Arial" w:eastAsia="Arial" w:hAnsi="Arial"/>
                <w:sz w:val="15"/>
                <w:szCs w:val="15"/>
                <w:color w:val="auto"/>
              </w:rPr>
              <w:t>Amortization of intangible assets</w:t>
            </w:r>
          </w:p>
        </w:tc>
        <w:tc>
          <w:tcPr>
            <w:tcW w:w="1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204"/>
              <w:spacing w:after="0"/>
              <w:rPr>
                <w:sz w:val="20"/>
                <w:szCs w:val="20"/>
                <w:color w:val="auto"/>
              </w:rPr>
            </w:pPr>
            <w:r>
              <w:rPr>
                <w:rFonts w:ascii="Arial" w:cs="Arial" w:eastAsia="Arial" w:hAnsi="Arial"/>
                <w:sz w:val="15"/>
                <w:szCs w:val="15"/>
                <w:color w:val="auto"/>
              </w:rPr>
              <w:t>80,592</w:t>
            </w:r>
          </w:p>
        </w:tc>
        <w:tc>
          <w:tcPr>
            <w:tcW w:w="1200" w:type="dxa"/>
            <w:vAlign w:val="bottom"/>
          </w:tcPr>
          <w:p>
            <w:pPr>
              <w:jc w:val="right"/>
              <w:ind w:right="144"/>
              <w:spacing w:after="0"/>
              <w:rPr>
                <w:sz w:val="20"/>
                <w:szCs w:val="20"/>
                <w:color w:val="auto"/>
              </w:rPr>
            </w:pPr>
            <w:r>
              <w:rPr>
                <w:rFonts w:ascii="Arial" w:cs="Arial" w:eastAsia="Arial" w:hAnsi="Arial"/>
                <w:sz w:val="15"/>
                <w:szCs w:val="15"/>
                <w:color w:val="auto"/>
              </w:rPr>
              <w:t>56,941</w:t>
            </w:r>
          </w:p>
        </w:tc>
        <w:tc>
          <w:tcPr>
            <w:tcW w:w="1180" w:type="dxa"/>
            <w:vAlign w:val="bottom"/>
          </w:tcPr>
          <w:p>
            <w:pPr>
              <w:jc w:val="right"/>
              <w:ind w:right="64"/>
              <w:spacing w:after="0"/>
              <w:rPr>
                <w:sz w:val="20"/>
                <w:szCs w:val="20"/>
                <w:color w:val="auto"/>
              </w:rPr>
            </w:pPr>
            <w:r>
              <w:rPr>
                <w:rFonts w:ascii="Arial" w:cs="Arial" w:eastAsia="Arial" w:hAnsi="Arial"/>
                <w:sz w:val="15"/>
                <w:szCs w:val="15"/>
                <w:color w:val="auto"/>
              </w:rPr>
              <w:t>49,410</w:t>
            </w:r>
          </w:p>
        </w:tc>
      </w:tr>
      <w:tr>
        <w:trPr>
          <w:trHeight w:val="219"/>
        </w:trPr>
        <w:tc>
          <w:tcPr>
            <w:tcW w:w="5640" w:type="dxa"/>
            <w:vAlign w:val="bottom"/>
            <w:gridSpan w:val="2"/>
            <w:shd w:val="clear" w:color="auto" w:fill="F0F1F8"/>
          </w:tcPr>
          <w:p>
            <w:pPr>
              <w:ind w:left="60"/>
              <w:spacing w:after="0"/>
              <w:rPr>
                <w:sz w:val="20"/>
                <w:szCs w:val="20"/>
                <w:color w:val="auto"/>
              </w:rPr>
            </w:pPr>
            <w:r>
              <w:rPr>
                <w:rFonts w:ascii="Arial" w:cs="Arial" w:eastAsia="Arial" w:hAnsi="Arial"/>
                <w:sz w:val="15"/>
                <w:szCs w:val="15"/>
                <w:color w:val="auto"/>
              </w:rPr>
              <w:t>Depreciation and amortization of property, equipment and leasehold improvements</w:t>
            </w:r>
          </w:p>
        </w:tc>
        <w:tc>
          <w:tcPr>
            <w:tcW w:w="1500" w:type="dxa"/>
            <w:vAlign w:val="bottom"/>
            <w:shd w:val="clear" w:color="auto" w:fill="F0F1F8"/>
          </w:tcPr>
          <w:p>
            <w:pPr>
              <w:spacing w:after="0"/>
              <w:rPr>
                <w:sz w:val="19"/>
                <w:szCs w:val="19"/>
                <w:color w:val="auto"/>
              </w:rPr>
            </w:pPr>
          </w:p>
        </w:tc>
        <w:tc>
          <w:tcPr>
            <w:tcW w:w="660" w:type="dxa"/>
            <w:vAlign w:val="bottom"/>
            <w:shd w:val="clear" w:color="auto" w:fill="F0F1F8"/>
          </w:tcPr>
          <w:p>
            <w:pPr>
              <w:spacing w:after="0"/>
              <w:rPr>
                <w:sz w:val="19"/>
                <w:szCs w:val="19"/>
                <w:color w:val="auto"/>
              </w:rPr>
            </w:pPr>
          </w:p>
        </w:tc>
        <w:tc>
          <w:tcPr>
            <w:tcW w:w="100" w:type="dxa"/>
            <w:vAlign w:val="bottom"/>
            <w:shd w:val="clear" w:color="auto" w:fill="F0F1F8"/>
          </w:tcPr>
          <w:p>
            <w:pPr>
              <w:spacing w:after="0"/>
              <w:rPr>
                <w:sz w:val="19"/>
                <w:szCs w:val="19"/>
                <w:color w:val="auto"/>
              </w:rPr>
            </w:pPr>
          </w:p>
        </w:tc>
        <w:tc>
          <w:tcPr>
            <w:tcW w:w="960" w:type="dxa"/>
            <w:vAlign w:val="bottom"/>
            <w:shd w:val="clear" w:color="auto" w:fill="F0F1F8"/>
          </w:tcPr>
          <w:p>
            <w:pPr>
              <w:jc w:val="right"/>
              <w:ind w:right="204"/>
              <w:spacing w:after="0"/>
              <w:rPr>
                <w:sz w:val="20"/>
                <w:szCs w:val="20"/>
                <w:color w:val="auto"/>
              </w:rPr>
            </w:pPr>
            <w:r>
              <w:rPr>
                <w:rFonts w:ascii="Arial" w:cs="Arial" w:eastAsia="Arial" w:hAnsi="Arial"/>
                <w:sz w:val="15"/>
                <w:szCs w:val="15"/>
                <w:color w:val="auto"/>
              </w:rPr>
              <w:t>28,901</w:t>
            </w:r>
          </w:p>
        </w:tc>
        <w:tc>
          <w:tcPr>
            <w:tcW w:w="1200" w:type="dxa"/>
            <w:vAlign w:val="bottom"/>
            <w:shd w:val="clear" w:color="auto" w:fill="F0F1F8"/>
          </w:tcPr>
          <w:p>
            <w:pPr>
              <w:jc w:val="right"/>
              <w:ind w:right="144"/>
              <w:spacing w:after="0"/>
              <w:rPr>
                <w:sz w:val="20"/>
                <w:szCs w:val="20"/>
                <w:color w:val="auto"/>
              </w:rPr>
            </w:pPr>
            <w:r>
              <w:rPr>
                <w:rFonts w:ascii="Arial" w:cs="Arial" w:eastAsia="Arial" w:hAnsi="Arial"/>
                <w:sz w:val="15"/>
                <w:szCs w:val="15"/>
                <w:color w:val="auto"/>
              </w:rPr>
              <w:t>29,805</w:t>
            </w:r>
          </w:p>
        </w:tc>
        <w:tc>
          <w:tcPr>
            <w:tcW w:w="1180" w:type="dxa"/>
            <w:vAlign w:val="bottom"/>
            <w:shd w:val="clear" w:color="auto" w:fill="F0F1F8"/>
          </w:tcPr>
          <w:p>
            <w:pPr>
              <w:jc w:val="right"/>
              <w:ind w:right="64"/>
              <w:spacing w:after="0"/>
              <w:rPr>
                <w:sz w:val="20"/>
                <w:szCs w:val="20"/>
                <w:color w:val="auto"/>
              </w:rPr>
            </w:pPr>
            <w:r>
              <w:rPr>
                <w:rFonts w:ascii="Arial" w:cs="Arial" w:eastAsia="Arial" w:hAnsi="Arial"/>
                <w:sz w:val="15"/>
                <w:szCs w:val="15"/>
                <w:color w:val="auto"/>
              </w:rPr>
              <w:t>29,999</w:t>
            </w:r>
          </w:p>
        </w:tc>
      </w:tr>
      <w:tr>
        <w:trPr>
          <w:trHeight w:val="209"/>
        </w:trPr>
        <w:tc>
          <w:tcPr>
            <w:tcW w:w="5640" w:type="dxa"/>
            <w:vAlign w:val="bottom"/>
            <w:gridSpan w:val="2"/>
          </w:tcPr>
          <w:p>
            <w:pPr>
              <w:ind w:left="60"/>
              <w:spacing w:after="0"/>
              <w:rPr>
                <w:sz w:val="20"/>
                <w:szCs w:val="20"/>
                <w:color w:val="auto"/>
              </w:rPr>
            </w:pPr>
            <w:r>
              <w:rPr>
                <w:rFonts w:ascii="Arial" w:cs="Arial" w:eastAsia="Arial" w:hAnsi="Arial"/>
                <w:sz w:val="15"/>
                <w:szCs w:val="15"/>
                <w:color w:val="auto"/>
              </w:rPr>
              <w:t>Impairment related to sublease of leased property</w:t>
            </w:r>
          </w:p>
        </w:tc>
        <w:tc>
          <w:tcPr>
            <w:tcW w:w="1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204"/>
              <w:spacing w:after="0"/>
              <w:rPr>
                <w:sz w:val="20"/>
                <w:szCs w:val="20"/>
                <w:color w:val="auto"/>
              </w:rPr>
            </w:pPr>
            <w:r>
              <w:rPr>
                <w:rFonts w:ascii="Arial" w:cs="Arial" w:eastAsia="Arial" w:hAnsi="Arial"/>
                <w:sz w:val="15"/>
                <w:szCs w:val="15"/>
                <w:color w:val="auto"/>
              </w:rPr>
              <w:t>7,702</w:t>
            </w:r>
          </w:p>
        </w:tc>
        <w:tc>
          <w:tcPr>
            <w:tcW w:w="120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64"/>
              <w:spacing w:after="0"/>
              <w:rPr>
                <w:sz w:val="20"/>
                <w:szCs w:val="20"/>
                <w:color w:val="auto"/>
              </w:rPr>
            </w:pPr>
            <w:r>
              <w:rPr>
                <w:rFonts w:ascii="Arial" w:cs="Arial" w:eastAsia="Arial" w:hAnsi="Arial"/>
                <w:sz w:val="15"/>
                <w:szCs w:val="15"/>
                <w:color w:val="auto"/>
              </w:rPr>
              <w:t>—</w:t>
            </w:r>
          </w:p>
        </w:tc>
      </w:tr>
      <w:tr>
        <w:trPr>
          <w:trHeight w:val="259"/>
        </w:trPr>
        <w:tc>
          <w:tcPr>
            <w:tcW w:w="5640" w:type="dxa"/>
            <w:vAlign w:val="bottom"/>
            <w:gridSpan w:val="2"/>
            <w:shd w:val="clear" w:color="auto" w:fill="F0F1F8"/>
          </w:tcPr>
          <w:p>
            <w:pPr>
              <w:ind w:left="60"/>
              <w:spacing w:after="0" w:line="259" w:lineRule="exact"/>
              <w:rPr>
                <w:sz w:val="20"/>
                <w:szCs w:val="20"/>
                <w:color w:val="auto"/>
              </w:rPr>
            </w:pPr>
            <w:r>
              <w:rPr>
                <w:rFonts w:ascii="Arial" w:cs="Arial" w:eastAsia="Arial" w:hAnsi="Arial"/>
                <w:sz w:val="15"/>
                <w:szCs w:val="15"/>
                <w:color w:val="auto"/>
              </w:rPr>
              <w:t>Acquisition-related integration and transaction costs</w:t>
            </w:r>
            <w:r>
              <w:rPr>
                <w:rFonts w:ascii="Arial" w:cs="Arial" w:eastAsia="Arial" w:hAnsi="Arial"/>
                <w:sz w:val="25"/>
                <w:szCs w:val="25"/>
                <w:color w:val="auto"/>
                <w:vertAlign w:val="superscript"/>
              </w:rPr>
              <w:t>(1)</w:t>
            </w:r>
          </w:p>
        </w:tc>
        <w:tc>
          <w:tcPr>
            <w:tcW w:w="1500" w:type="dxa"/>
            <w:vAlign w:val="bottom"/>
            <w:shd w:val="clear" w:color="auto" w:fill="F0F1F8"/>
          </w:tcPr>
          <w:p>
            <w:pPr>
              <w:spacing w:after="0"/>
              <w:rPr>
                <w:sz w:val="22"/>
                <w:szCs w:val="22"/>
                <w:color w:val="auto"/>
              </w:rPr>
            </w:pPr>
          </w:p>
        </w:tc>
        <w:tc>
          <w:tcPr>
            <w:tcW w:w="660" w:type="dxa"/>
            <w:vAlign w:val="bottom"/>
            <w:shd w:val="clear" w:color="auto" w:fill="F0F1F8"/>
          </w:tcPr>
          <w:p>
            <w:pPr>
              <w:spacing w:after="0"/>
              <w:rPr>
                <w:sz w:val="22"/>
                <w:szCs w:val="22"/>
                <w:color w:val="auto"/>
              </w:rPr>
            </w:pPr>
          </w:p>
        </w:tc>
        <w:tc>
          <w:tcPr>
            <w:tcW w:w="100" w:type="dxa"/>
            <w:vAlign w:val="bottom"/>
            <w:shd w:val="clear" w:color="auto" w:fill="F0F1F8"/>
          </w:tcPr>
          <w:p>
            <w:pPr>
              <w:spacing w:after="0"/>
              <w:rPr>
                <w:sz w:val="22"/>
                <w:szCs w:val="22"/>
                <w:color w:val="auto"/>
              </w:rPr>
            </w:pPr>
          </w:p>
        </w:tc>
        <w:tc>
          <w:tcPr>
            <w:tcW w:w="960" w:type="dxa"/>
            <w:vAlign w:val="bottom"/>
            <w:shd w:val="clear" w:color="auto" w:fill="F0F1F8"/>
          </w:tcPr>
          <w:p>
            <w:pPr>
              <w:jc w:val="right"/>
              <w:ind w:right="204"/>
              <w:spacing w:after="0"/>
              <w:rPr>
                <w:sz w:val="20"/>
                <w:szCs w:val="20"/>
                <w:color w:val="auto"/>
              </w:rPr>
            </w:pPr>
            <w:r>
              <w:rPr>
                <w:rFonts w:ascii="Arial" w:cs="Arial" w:eastAsia="Arial" w:hAnsi="Arial"/>
                <w:sz w:val="15"/>
                <w:szCs w:val="15"/>
                <w:color w:val="auto"/>
              </w:rPr>
              <w:t>6,870</w:t>
            </w:r>
          </w:p>
        </w:tc>
        <w:tc>
          <w:tcPr>
            <w:tcW w:w="1200" w:type="dxa"/>
            <w:vAlign w:val="bottom"/>
            <w:shd w:val="clear" w:color="auto" w:fill="F0F1F8"/>
          </w:tcPr>
          <w:p>
            <w:pPr>
              <w:jc w:val="right"/>
              <w:ind w:right="144"/>
              <w:spacing w:after="0"/>
              <w:rPr>
                <w:sz w:val="20"/>
                <w:szCs w:val="20"/>
                <w:color w:val="auto"/>
              </w:rPr>
            </w:pPr>
            <w:r>
              <w:rPr>
                <w:rFonts w:ascii="Arial" w:cs="Arial" w:eastAsia="Arial" w:hAnsi="Arial"/>
                <w:sz w:val="15"/>
                <w:szCs w:val="15"/>
                <w:color w:val="auto"/>
              </w:rPr>
              <w:t>—</w:t>
            </w:r>
          </w:p>
        </w:tc>
        <w:tc>
          <w:tcPr>
            <w:tcW w:w="1180" w:type="dxa"/>
            <w:vAlign w:val="bottom"/>
            <w:shd w:val="clear" w:color="auto" w:fill="F0F1F8"/>
          </w:tcPr>
          <w:p>
            <w:pPr>
              <w:jc w:val="right"/>
              <w:ind w:right="64"/>
              <w:spacing w:after="0"/>
              <w:rPr>
                <w:sz w:val="20"/>
                <w:szCs w:val="20"/>
                <w:color w:val="auto"/>
              </w:rPr>
            </w:pPr>
            <w:r>
              <w:rPr>
                <w:rFonts w:ascii="Arial" w:cs="Arial" w:eastAsia="Arial" w:hAnsi="Arial"/>
                <w:sz w:val="15"/>
                <w:szCs w:val="15"/>
                <w:color w:val="auto"/>
              </w:rPr>
              <w:t>—</w:t>
            </w:r>
          </w:p>
        </w:tc>
      </w:tr>
      <w:tr>
        <w:trPr>
          <w:trHeight w:val="209"/>
        </w:trPr>
        <w:tc>
          <w:tcPr>
            <w:tcW w:w="5640" w:type="dxa"/>
            <w:vAlign w:val="bottom"/>
            <w:tcBorders>
              <w:bottom w:val="single" w:sz="8" w:color="F0F1F8"/>
            </w:tcBorders>
            <w:gridSpan w:val="2"/>
          </w:tcPr>
          <w:p>
            <w:pPr>
              <w:ind w:left="60"/>
              <w:spacing w:after="0"/>
              <w:rPr>
                <w:sz w:val="20"/>
                <w:szCs w:val="20"/>
                <w:color w:val="auto"/>
              </w:rPr>
            </w:pPr>
            <w:r>
              <w:rPr>
                <w:rFonts w:ascii="Arial" w:cs="Arial" w:eastAsia="Arial" w:hAnsi="Arial"/>
                <w:sz w:val="15"/>
                <w:szCs w:val="15"/>
                <w:color w:val="auto"/>
              </w:rPr>
              <w:t>Multi-Year PSU payroll tax expense</w:t>
            </w:r>
          </w:p>
        </w:tc>
        <w:tc>
          <w:tcPr>
            <w:tcW w:w="1500" w:type="dxa"/>
            <w:vAlign w:val="bottom"/>
            <w:tcBorders>
              <w:bottom w:val="single" w:sz="8" w:color="F0F1F8"/>
            </w:tcBorders>
          </w:tcPr>
          <w:p>
            <w:pPr>
              <w:spacing w:after="0"/>
              <w:rPr>
                <w:sz w:val="18"/>
                <w:szCs w:val="18"/>
                <w:color w:val="auto"/>
              </w:rPr>
            </w:pPr>
          </w:p>
        </w:tc>
        <w:tc>
          <w:tcPr>
            <w:tcW w:w="660" w:type="dxa"/>
            <w:vAlign w:val="bottom"/>
            <w:tcBorders>
              <w:bottom w:val="single" w:sz="8" w:color="F0F1F8"/>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15,389</w:t>
            </w:r>
          </w:p>
        </w:tc>
      </w:tr>
      <w:tr>
        <w:trPr>
          <w:trHeight w:val="212"/>
        </w:trPr>
        <w:tc>
          <w:tcPr>
            <w:tcW w:w="5640" w:type="dxa"/>
            <w:vAlign w:val="bottom"/>
            <w:gridSpan w:val="2"/>
            <w:shd w:val="clear" w:color="auto" w:fill="F0F1F8"/>
          </w:tcPr>
          <w:p>
            <w:pPr>
              <w:ind w:left="60"/>
              <w:spacing w:after="0"/>
              <w:rPr>
                <w:sz w:val="20"/>
                <w:szCs w:val="20"/>
                <w:color w:val="auto"/>
              </w:rPr>
            </w:pPr>
            <w:r>
              <w:rPr>
                <w:rFonts w:ascii="Arial" w:cs="Arial" w:eastAsia="Arial" w:hAnsi="Arial"/>
                <w:sz w:val="15"/>
                <w:szCs w:val="15"/>
                <w:b w:val="1"/>
                <w:bCs w:val="1"/>
                <w:color w:val="auto"/>
              </w:rPr>
              <w:t>Operating Income</w:t>
            </w:r>
          </w:p>
        </w:tc>
        <w:tc>
          <w:tcPr>
            <w:tcW w:w="1500" w:type="dxa"/>
            <w:vAlign w:val="bottom"/>
            <w:shd w:val="clear" w:color="auto" w:fill="F0F1F8"/>
          </w:tcPr>
          <w:p>
            <w:pPr>
              <w:spacing w:after="0"/>
              <w:rPr>
                <w:sz w:val="18"/>
                <w:szCs w:val="18"/>
                <w:color w:val="auto"/>
              </w:rPr>
            </w:pPr>
          </w:p>
        </w:tc>
        <w:tc>
          <w:tcPr>
            <w:tcW w:w="660" w:type="dxa"/>
            <w:vAlign w:val="bottom"/>
            <w:shd w:val="clear" w:color="auto" w:fill="F0F1F8"/>
          </w:tcPr>
          <w:p>
            <w:pPr>
              <w:spacing w:after="0"/>
              <w:rPr>
                <w:sz w:val="18"/>
                <w:szCs w:val="18"/>
                <w:color w:val="auto"/>
              </w:rPr>
            </w:pPr>
          </w:p>
        </w:tc>
        <w:tc>
          <w:tcPr>
            <w:tcW w:w="100" w:type="dxa"/>
            <w:vAlign w:val="bottom"/>
            <w:shd w:val="clear" w:color="auto" w:fill="F0F1F8"/>
          </w:tcPr>
          <w:p>
            <w:pPr>
              <w:spacing w:after="0"/>
              <w:rPr>
                <w:sz w:val="18"/>
                <w:szCs w:val="18"/>
                <w:color w:val="auto"/>
              </w:rPr>
            </w:pPr>
          </w:p>
        </w:tc>
        <w:tc>
          <w:tcPr>
            <w:tcW w:w="960" w:type="dxa"/>
            <w:vAlign w:val="bottom"/>
            <w:shd w:val="clear" w:color="auto" w:fill="F0F1F8"/>
          </w:tcPr>
          <w:p>
            <w:pPr>
              <w:jc w:val="right"/>
              <w:ind w:right="204"/>
              <w:spacing w:after="0"/>
              <w:rPr>
                <w:sz w:val="20"/>
                <w:szCs w:val="20"/>
                <w:color w:val="auto"/>
              </w:rPr>
            </w:pPr>
            <w:r>
              <w:rPr>
                <w:rFonts w:ascii="Arial" w:cs="Arial" w:eastAsia="Arial" w:hAnsi="Arial"/>
                <w:sz w:val="15"/>
                <w:szCs w:val="15"/>
                <w:b w:val="1"/>
                <w:bCs w:val="1"/>
                <w:color w:val="auto"/>
                <w:w w:val="98"/>
              </w:rPr>
              <w:t>1,072,725</w:t>
            </w:r>
          </w:p>
        </w:tc>
        <w:tc>
          <w:tcPr>
            <w:tcW w:w="1200" w:type="dxa"/>
            <w:vAlign w:val="bottom"/>
            <w:shd w:val="clear" w:color="auto" w:fill="F0F1F8"/>
          </w:tcPr>
          <w:p>
            <w:pPr>
              <w:jc w:val="right"/>
              <w:ind w:right="144"/>
              <w:spacing w:after="0"/>
              <w:rPr>
                <w:sz w:val="20"/>
                <w:szCs w:val="20"/>
                <w:color w:val="auto"/>
              </w:rPr>
            </w:pPr>
            <w:r>
              <w:rPr>
                <w:rFonts w:ascii="Arial" w:cs="Arial" w:eastAsia="Arial" w:hAnsi="Arial"/>
                <w:sz w:val="15"/>
                <w:szCs w:val="15"/>
                <w:b w:val="1"/>
                <w:bCs w:val="1"/>
                <w:color w:val="auto"/>
              </w:rPr>
              <w:t>884,764</w:t>
            </w:r>
          </w:p>
        </w:tc>
        <w:tc>
          <w:tcPr>
            <w:tcW w:w="1180" w:type="dxa"/>
            <w:vAlign w:val="bottom"/>
            <w:shd w:val="clear" w:color="auto" w:fill="F0F1F8"/>
          </w:tcPr>
          <w:p>
            <w:pPr>
              <w:jc w:val="right"/>
              <w:ind w:right="64"/>
              <w:spacing w:after="0"/>
              <w:rPr>
                <w:sz w:val="20"/>
                <w:szCs w:val="20"/>
                <w:color w:val="auto"/>
              </w:rPr>
            </w:pPr>
            <w:r>
              <w:rPr>
                <w:rFonts w:ascii="Arial" w:cs="Arial" w:eastAsia="Arial" w:hAnsi="Arial"/>
                <w:sz w:val="15"/>
                <w:szCs w:val="15"/>
                <w:b w:val="1"/>
                <w:bCs w:val="1"/>
                <w:color w:val="auto"/>
              </w:rPr>
              <w:t>755,701</w:t>
            </w:r>
          </w:p>
        </w:tc>
      </w:tr>
      <w:tr>
        <w:trPr>
          <w:trHeight w:val="209"/>
        </w:trPr>
        <w:tc>
          <w:tcPr>
            <w:tcW w:w="5640" w:type="dxa"/>
            <w:vAlign w:val="bottom"/>
            <w:gridSpan w:val="2"/>
          </w:tcPr>
          <w:p>
            <w:pPr>
              <w:ind w:left="60"/>
              <w:spacing w:after="0"/>
              <w:rPr>
                <w:sz w:val="20"/>
                <w:szCs w:val="20"/>
                <w:color w:val="auto"/>
              </w:rPr>
            </w:pPr>
            <w:r>
              <w:rPr>
                <w:rFonts w:ascii="Arial" w:cs="Arial" w:eastAsia="Arial" w:hAnsi="Arial"/>
                <w:sz w:val="15"/>
                <w:szCs w:val="15"/>
                <w:color w:val="auto"/>
              </w:rPr>
              <w:t>Other expense (income), net</w:t>
            </w:r>
          </w:p>
        </w:tc>
        <w:tc>
          <w:tcPr>
            <w:tcW w:w="1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184"/>
              <w:spacing w:after="0"/>
              <w:rPr>
                <w:sz w:val="20"/>
                <w:szCs w:val="20"/>
                <w:color w:val="auto"/>
              </w:rPr>
            </w:pPr>
            <w:r>
              <w:rPr>
                <w:rFonts w:ascii="Arial" w:cs="Arial" w:eastAsia="Arial" w:hAnsi="Arial"/>
                <w:sz w:val="15"/>
                <w:szCs w:val="15"/>
                <w:color w:val="auto"/>
              </w:rPr>
              <w:t>214,589</w:t>
            </w:r>
          </w:p>
        </w:tc>
        <w:tc>
          <w:tcPr>
            <w:tcW w:w="1200" w:type="dxa"/>
            <w:vAlign w:val="bottom"/>
          </w:tcPr>
          <w:p>
            <w:pPr>
              <w:jc w:val="right"/>
              <w:ind w:right="144"/>
              <w:spacing w:after="0"/>
              <w:rPr>
                <w:sz w:val="20"/>
                <w:szCs w:val="20"/>
                <w:color w:val="auto"/>
              </w:rPr>
            </w:pPr>
            <w:r>
              <w:rPr>
                <w:rFonts w:ascii="Arial" w:cs="Arial" w:eastAsia="Arial" w:hAnsi="Arial"/>
                <w:sz w:val="15"/>
                <w:szCs w:val="15"/>
                <w:color w:val="auto"/>
              </w:rPr>
              <w:t>198,539</w:t>
            </w:r>
          </w:p>
        </w:tc>
        <w:tc>
          <w:tcPr>
            <w:tcW w:w="1180" w:type="dxa"/>
            <w:vAlign w:val="bottom"/>
          </w:tcPr>
          <w:p>
            <w:pPr>
              <w:jc w:val="right"/>
              <w:ind w:right="64"/>
              <w:spacing w:after="0"/>
              <w:rPr>
                <w:sz w:val="20"/>
                <w:szCs w:val="20"/>
                <w:color w:val="auto"/>
              </w:rPr>
            </w:pPr>
            <w:r>
              <w:rPr>
                <w:rFonts w:ascii="Arial" w:cs="Arial" w:eastAsia="Arial" w:hAnsi="Arial"/>
                <w:sz w:val="15"/>
                <w:szCs w:val="15"/>
                <w:color w:val="auto"/>
              </w:rPr>
              <w:t>152,383</w:t>
            </w:r>
          </w:p>
        </w:tc>
      </w:tr>
      <w:tr>
        <w:trPr>
          <w:trHeight w:val="214"/>
        </w:trPr>
        <w:tc>
          <w:tcPr>
            <w:tcW w:w="5640" w:type="dxa"/>
            <w:vAlign w:val="bottom"/>
            <w:gridSpan w:val="2"/>
            <w:shd w:val="clear" w:color="auto" w:fill="F0F1F8"/>
          </w:tcPr>
          <w:p>
            <w:pPr>
              <w:ind w:left="60"/>
              <w:spacing w:after="0"/>
              <w:rPr>
                <w:sz w:val="20"/>
                <w:szCs w:val="20"/>
                <w:color w:val="auto"/>
              </w:rPr>
            </w:pPr>
            <w:r>
              <w:rPr>
                <w:rFonts w:ascii="Arial" w:cs="Arial" w:eastAsia="Arial" w:hAnsi="Arial"/>
                <w:sz w:val="15"/>
                <w:szCs w:val="15"/>
                <w:color w:val="auto"/>
              </w:rPr>
              <w:t>Provision for income taxes</w:t>
            </w:r>
          </w:p>
        </w:tc>
        <w:tc>
          <w:tcPr>
            <w:tcW w:w="1500" w:type="dxa"/>
            <w:vAlign w:val="bottom"/>
            <w:shd w:val="clear" w:color="auto" w:fill="F0F1F8"/>
          </w:tcPr>
          <w:p>
            <w:pPr>
              <w:spacing w:after="0"/>
              <w:rPr>
                <w:sz w:val="18"/>
                <w:szCs w:val="18"/>
                <w:color w:val="auto"/>
              </w:rPr>
            </w:pPr>
          </w:p>
        </w:tc>
        <w:tc>
          <w:tcPr>
            <w:tcW w:w="660" w:type="dxa"/>
            <w:vAlign w:val="bottom"/>
            <w:shd w:val="clear" w:color="auto" w:fill="F0F1F8"/>
          </w:tcPr>
          <w:p>
            <w:pPr>
              <w:spacing w:after="0"/>
              <w:rPr>
                <w:sz w:val="18"/>
                <w:szCs w:val="18"/>
                <w:color w:val="auto"/>
              </w:rPr>
            </w:pPr>
          </w:p>
        </w:tc>
        <w:tc>
          <w:tcPr>
            <w:tcW w:w="100" w:type="dxa"/>
            <w:vAlign w:val="bottom"/>
            <w:tcBorders>
              <w:bottom w:val="single" w:sz="8" w:color="auto"/>
            </w:tcBorders>
            <w:shd w:val="clear" w:color="auto" w:fill="F0F1F8"/>
          </w:tcPr>
          <w:p>
            <w:pPr>
              <w:spacing w:after="0"/>
              <w:rPr>
                <w:sz w:val="18"/>
                <w:szCs w:val="18"/>
                <w:color w:val="auto"/>
              </w:rPr>
            </w:pPr>
          </w:p>
        </w:tc>
        <w:tc>
          <w:tcPr>
            <w:tcW w:w="960" w:type="dxa"/>
            <w:vAlign w:val="bottom"/>
            <w:tcBorders>
              <w:bottom w:val="single" w:sz="8" w:color="auto"/>
            </w:tcBorders>
            <w:shd w:val="clear" w:color="auto" w:fill="F0F1F8"/>
          </w:tcPr>
          <w:p>
            <w:pPr>
              <w:jc w:val="right"/>
              <w:ind w:right="184"/>
              <w:spacing w:after="0"/>
              <w:rPr>
                <w:sz w:val="20"/>
                <w:szCs w:val="20"/>
                <w:color w:val="auto"/>
              </w:rPr>
            </w:pPr>
            <w:r>
              <w:rPr>
                <w:rFonts w:ascii="Arial" w:cs="Arial" w:eastAsia="Arial" w:hAnsi="Arial"/>
                <w:sz w:val="15"/>
                <w:szCs w:val="15"/>
                <w:color w:val="auto"/>
              </w:rPr>
              <w:t>132,153</w:t>
            </w:r>
          </w:p>
        </w:tc>
        <w:tc>
          <w:tcPr>
            <w:tcW w:w="1200" w:type="dxa"/>
            <w:vAlign w:val="bottom"/>
            <w:tcBorders>
              <w:bottom w:val="single" w:sz="8" w:color="auto"/>
            </w:tcBorders>
            <w:shd w:val="clear" w:color="auto" w:fill="F0F1F8"/>
          </w:tcPr>
          <w:p>
            <w:pPr>
              <w:jc w:val="right"/>
              <w:ind w:right="144"/>
              <w:spacing w:after="0"/>
              <w:rPr>
                <w:sz w:val="20"/>
                <w:szCs w:val="20"/>
                <w:color w:val="auto"/>
              </w:rPr>
            </w:pPr>
            <w:r>
              <w:rPr>
                <w:rFonts w:ascii="Arial" w:cs="Arial" w:eastAsia="Arial" w:hAnsi="Arial"/>
                <w:sz w:val="15"/>
                <w:szCs w:val="15"/>
                <w:color w:val="auto"/>
              </w:rPr>
              <w:t>84,403</w:t>
            </w:r>
          </w:p>
        </w:tc>
        <w:tc>
          <w:tcPr>
            <w:tcW w:w="1180" w:type="dxa"/>
            <w:vAlign w:val="bottom"/>
            <w:tcBorders>
              <w:bottom w:val="single" w:sz="8" w:color="auto"/>
            </w:tcBorders>
            <w:shd w:val="clear" w:color="auto" w:fill="F0F1F8"/>
          </w:tcPr>
          <w:p>
            <w:pPr>
              <w:jc w:val="right"/>
              <w:ind w:right="64"/>
              <w:spacing w:after="0"/>
              <w:rPr>
                <w:sz w:val="20"/>
                <w:szCs w:val="20"/>
                <w:color w:val="auto"/>
              </w:rPr>
            </w:pPr>
            <w:r>
              <w:rPr>
                <w:rFonts w:ascii="Arial" w:cs="Arial" w:eastAsia="Arial" w:hAnsi="Arial"/>
                <w:sz w:val="15"/>
                <w:szCs w:val="15"/>
                <w:color w:val="auto"/>
              </w:rPr>
              <w:t>39,670</w:t>
            </w:r>
          </w:p>
        </w:tc>
      </w:tr>
      <w:tr>
        <w:trPr>
          <w:trHeight w:val="252"/>
        </w:trPr>
        <w:tc>
          <w:tcPr>
            <w:tcW w:w="5640" w:type="dxa"/>
            <w:vAlign w:val="bottom"/>
            <w:gridSpan w:val="2"/>
          </w:tcPr>
          <w:p>
            <w:pPr>
              <w:ind w:left="60"/>
              <w:spacing w:after="0"/>
              <w:rPr>
                <w:sz w:val="20"/>
                <w:szCs w:val="20"/>
                <w:color w:val="auto"/>
              </w:rPr>
            </w:pPr>
            <w:r>
              <w:rPr>
                <w:rFonts w:ascii="Arial" w:cs="Arial" w:eastAsia="Arial" w:hAnsi="Arial"/>
                <w:sz w:val="15"/>
                <w:szCs w:val="15"/>
                <w:b w:val="1"/>
                <w:bCs w:val="1"/>
                <w:color w:val="auto"/>
              </w:rPr>
              <w:t>Net Income</w:t>
            </w:r>
          </w:p>
        </w:tc>
        <w:tc>
          <w:tcPr>
            <w:tcW w:w="150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960" w:type="dxa"/>
            <w:vAlign w:val="bottom"/>
          </w:tcPr>
          <w:p>
            <w:pPr>
              <w:jc w:val="right"/>
              <w:ind w:right="184"/>
              <w:spacing w:after="0"/>
              <w:rPr>
                <w:sz w:val="20"/>
                <w:szCs w:val="20"/>
                <w:color w:val="auto"/>
              </w:rPr>
            </w:pPr>
            <w:r>
              <w:rPr>
                <w:rFonts w:ascii="Arial" w:cs="Arial" w:eastAsia="Arial" w:hAnsi="Arial"/>
                <w:sz w:val="15"/>
                <w:szCs w:val="15"/>
                <w:b w:val="1"/>
                <w:bCs w:val="1"/>
                <w:color w:val="auto"/>
              </w:rPr>
              <w:t>725,983</w:t>
            </w:r>
          </w:p>
        </w:tc>
        <w:tc>
          <w:tcPr>
            <w:tcW w:w="1200" w:type="dxa"/>
            <w:vAlign w:val="bottom"/>
          </w:tcPr>
          <w:p>
            <w:pPr>
              <w:jc w:val="right"/>
              <w:ind w:right="144"/>
              <w:spacing w:after="0"/>
              <w:rPr>
                <w:sz w:val="20"/>
                <w:szCs w:val="20"/>
                <w:color w:val="auto"/>
              </w:rPr>
            </w:pPr>
            <w:r>
              <w:rPr>
                <w:rFonts w:ascii="Arial" w:cs="Arial" w:eastAsia="Arial" w:hAnsi="Arial"/>
                <w:sz w:val="15"/>
                <w:szCs w:val="15"/>
                <w:b w:val="1"/>
                <w:bCs w:val="1"/>
                <w:color w:val="auto"/>
              </w:rPr>
              <w:t>$ 601,822</w:t>
            </w:r>
          </w:p>
        </w:tc>
        <w:tc>
          <w:tcPr>
            <w:tcW w:w="1180" w:type="dxa"/>
            <w:vAlign w:val="bottom"/>
          </w:tcPr>
          <w:p>
            <w:pPr>
              <w:jc w:val="right"/>
              <w:ind w:right="64"/>
              <w:spacing w:after="0"/>
              <w:rPr>
                <w:sz w:val="20"/>
                <w:szCs w:val="20"/>
                <w:color w:val="auto"/>
              </w:rPr>
            </w:pPr>
            <w:r>
              <w:rPr>
                <w:rFonts w:ascii="Arial" w:cs="Arial" w:eastAsia="Arial" w:hAnsi="Arial"/>
                <w:sz w:val="15"/>
                <w:szCs w:val="15"/>
                <w:b w:val="1"/>
                <w:bCs w:val="1"/>
                <w:color w:val="auto"/>
              </w:rPr>
              <w:t>$563,648</w:t>
            </w:r>
          </w:p>
        </w:tc>
      </w:tr>
      <w:tr>
        <w:trPr>
          <w:trHeight w:val="194"/>
        </w:trPr>
        <w:tc>
          <w:tcPr>
            <w:tcW w:w="5640" w:type="dxa"/>
            <w:vAlign w:val="bottom"/>
            <w:tcBorders>
              <w:top w:val="single" w:sz="8" w:color="F0F1F8"/>
            </w:tcBorders>
            <w:gridSpan w:val="2"/>
            <w:shd w:val="clear" w:color="auto" w:fill="F0F1F8"/>
          </w:tcPr>
          <w:p>
            <w:pPr>
              <w:ind w:left="60"/>
              <w:spacing w:after="0"/>
              <w:rPr>
                <w:sz w:val="20"/>
                <w:szCs w:val="20"/>
                <w:color w:val="auto"/>
              </w:rPr>
            </w:pPr>
            <w:r>
              <w:rPr>
                <w:rFonts w:ascii="Arial" w:cs="Arial" w:eastAsia="Arial" w:hAnsi="Arial"/>
                <w:sz w:val="15"/>
                <w:szCs w:val="15"/>
                <w:b w:val="1"/>
                <w:bCs w:val="1"/>
                <w:color w:val="auto"/>
              </w:rPr>
              <w:t>Adjusted EBITDA Margin (%)</w:t>
            </w:r>
          </w:p>
        </w:tc>
        <w:tc>
          <w:tcPr>
            <w:tcW w:w="1500" w:type="dxa"/>
            <w:vAlign w:val="bottom"/>
            <w:tcBorders>
              <w:top w:val="single" w:sz="8" w:color="F0F1F8"/>
            </w:tcBorders>
            <w:shd w:val="clear" w:color="auto" w:fill="F0F1F8"/>
          </w:tcPr>
          <w:p>
            <w:pPr>
              <w:spacing w:after="0"/>
              <w:rPr>
                <w:sz w:val="16"/>
                <w:szCs w:val="16"/>
                <w:color w:val="auto"/>
              </w:rPr>
            </w:pPr>
          </w:p>
        </w:tc>
        <w:tc>
          <w:tcPr>
            <w:tcW w:w="660" w:type="dxa"/>
            <w:vAlign w:val="bottom"/>
            <w:tcBorders>
              <w:top w:val="single" w:sz="8" w:color="F0F1F8"/>
            </w:tcBorders>
            <w:shd w:val="clear" w:color="auto" w:fill="F0F1F8"/>
          </w:tcPr>
          <w:p>
            <w:pPr>
              <w:spacing w:after="0"/>
              <w:rPr>
                <w:sz w:val="16"/>
                <w:szCs w:val="16"/>
                <w:color w:val="auto"/>
              </w:rPr>
            </w:pPr>
          </w:p>
        </w:tc>
        <w:tc>
          <w:tcPr>
            <w:tcW w:w="100" w:type="dxa"/>
            <w:vAlign w:val="bottom"/>
            <w:tcBorders>
              <w:top w:val="single" w:sz="8" w:color="auto"/>
            </w:tcBorders>
            <w:shd w:val="clear" w:color="auto" w:fill="F0F1F8"/>
          </w:tcPr>
          <w:p>
            <w:pPr>
              <w:spacing w:after="0"/>
              <w:rPr>
                <w:sz w:val="16"/>
                <w:szCs w:val="16"/>
                <w:color w:val="auto"/>
              </w:rPr>
            </w:pPr>
          </w:p>
        </w:tc>
        <w:tc>
          <w:tcPr>
            <w:tcW w:w="960" w:type="dxa"/>
            <w:vAlign w:val="bottom"/>
            <w:tcBorders>
              <w:top w:val="single" w:sz="8" w:color="auto"/>
            </w:tcBorders>
            <w:shd w:val="clear" w:color="auto" w:fill="F0F1F8"/>
          </w:tcPr>
          <w:p>
            <w:pPr>
              <w:jc w:val="right"/>
              <w:ind w:right="64"/>
              <w:spacing w:after="0"/>
              <w:rPr>
                <w:sz w:val="20"/>
                <w:szCs w:val="20"/>
                <w:color w:val="auto"/>
              </w:rPr>
            </w:pPr>
            <w:r>
              <w:rPr>
                <w:rFonts w:ascii="Arial" w:cs="Arial" w:eastAsia="Arial" w:hAnsi="Arial"/>
                <w:sz w:val="15"/>
                <w:szCs w:val="15"/>
                <w:b w:val="1"/>
                <w:bCs w:val="1"/>
                <w:color w:val="auto"/>
              </w:rPr>
              <w:t>58.6%</w:t>
            </w:r>
          </w:p>
        </w:tc>
        <w:tc>
          <w:tcPr>
            <w:tcW w:w="1200" w:type="dxa"/>
            <w:vAlign w:val="bottom"/>
            <w:tcBorders>
              <w:top w:val="single" w:sz="8" w:color="auto"/>
            </w:tcBorders>
            <w:shd w:val="clear" w:color="auto" w:fill="F0F1F8"/>
          </w:tcPr>
          <w:p>
            <w:pPr>
              <w:jc w:val="right"/>
              <w:ind w:right="24"/>
              <w:spacing w:after="0"/>
              <w:rPr>
                <w:sz w:val="20"/>
                <w:szCs w:val="20"/>
                <w:color w:val="auto"/>
              </w:rPr>
            </w:pPr>
            <w:r>
              <w:rPr>
                <w:rFonts w:ascii="Arial" w:cs="Arial" w:eastAsia="Arial" w:hAnsi="Arial"/>
                <w:sz w:val="15"/>
                <w:szCs w:val="15"/>
                <w:b w:val="1"/>
                <w:bCs w:val="1"/>
                <w:color w:val="auto"/>
              </w:rPr>
              <w:t>57.3%</w:t>
            </w:r>
          </w:p>
        </w:tc>
        <w:tc>
          <w:tcPr>
            <w:tcW w:w="1180" w:type="dxa"/>
            <w:vAlign w:val="bottom"/>
            <w:tcBorders>
              <w:top w:val="single" w:sz="8" w:color="auto"/>
            </w:tcBorders>
            <w:shd w:val="clear" w:color="auto" w:fill="F0F1F8"/>
          </w:tcPr>
          <w:p>
            <w:pPr>
              <w:jc w:val="right"/>
              <w:spacing w:after="0"/>
              <w:rPr>
                <w:sz w:val="20"/>
                <w:szCs w:val="20"/>
                <w:color w:val="auto"/>
              </w:rPr>
            </w:pPr>
            <w:r>
              <w:rPr>
                <w:rFonts w:ascii="Arial" w:cs="Arial" w:eastAsia="Arial" w:hAnsi="Arial"/>
                <w:sz w:val="15"/>
                <w:szCs w:val="15"/>
                <w:b w:val="1"/>
                <w:bCs w:val="1"/>
                <w:color w:val="auto"/>
              </w:rPr>
              <w:t>54.6%</w:t>
            </w:r>
          </w:p>
        </w:tc>
      </w:tr>
      <w:tr>
        <w:trPr>
          <w:trHeight w:val="209"/>
        </w:trPr>
        <w:tc>
          <w:tcPr>
            <w:tcW w:w="564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Net Income Margin (%)</w:t>
            </w:r>
          </w:p>
        </w:tc>
        <w:tc>
          <w:tcPr>
            <w:tcW w:w="1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35.5%</w:t>
            </w: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35.5%</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36.2%</w:t>
            </w:r>
          </w:p>
        </w:tc>
      </w:tr>
    </w:tbl>
    <w:p>
      <w:pPr>
        <w:spacing w:after="0" w:line="85" w:lineRule="exact"/>
        <w:rPr>
          <w:sz w:val="20"/>
          <w:szCs w:val="20"/>
          <w:color w:val="auto"/>
        </w:rPr>
      </w:pPr>
    </w:p>
    <w:p>
      <w:pPr>
        <w:ind w:left="300" w:right="40" w:hanging="293"/>
        <w:spacing w:after="0" w:line="182" w:lineRule="auto"/>
        <w:tabs>
          <w:tab w:leader="none" w:pos="300" w:val="left"/>
        </w:tabs>
        <w:numPr>
          <w:ilvl w:val="0"/>
          <w:numId w:val="158"/>
        </w:numPr>
        <w:rPr>
          <w:rFonts w:ascii="Arial" w:cs="Arial" w:eastAsia="Arial" w:hAnsi="Arial"/>
          <w:sz w:val="24"/>
          <w:szCs w:val="24"/>
          <w:color w:val="auto"/>
          <w:vertAlign w:val="superscript"/>
        </w:rPr>
      </w:pPr>
      <w:r>
        <w:rPr>
          <w:rFonts w:ascii="Arial" w:cs="Arial" w:eastAsia="Arial" w:hAnsi="Arial"/>
          <w:sz w:val="14"/>
          <w:szCs w:val="14"/>
          <w:color w:val="auto"/>
        </w:rPr>
        <w:t>Incremental and non-recurring costs attributable to acquisitions directly related to the execution of the transaction and integration of the acquired business that have occurred no later than 12 months after the close of the transaction.</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Reconciliation of Net Income and Diluted EPS to Adjusted Net Income and Adjusted EPS (unaudited)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60" w:type="dxa"/>
            <w:vAlign w:val="bottom"/>
          </w:tcPr>
          <w:p>
            <w:pPr>
              <w:spacing w:after="0"/>
              <w:rPr>
                <w:sz w:val="16"/>
                <w:szCs w:val="16"/>
                <w:color w:val="auto"/>
              </w:rPr>
            </w:pPr>
          </w:p>
        </w:tc>
        <w:tc>
          <w:tcPr>
            <w:tcW w:w="140" w:type="dxa"/>
            <w:vAlign w:val="bottom"/>
            <w:tcBorders>
              <w:bottom w:val="single" w:sz="8" w:color="16479F"/>
            </w:tcBorders>
          </w:tcPr>
          <w:p>
            <w:pPr>
              <w:spacing w:after="0"/>
              <w:rPr>
                <w:sz w:val="16"/>
                <w:szCs w:val="16"/>
                <w:color w:val="auto"/>
              </w:rPr>
            </w:pPr>
          </w:p>
        </w:tc>
        <w:tc>
          <w:tcPr>
            <w:tcW w:w="900" w:type="dxa"/>
            <w:vAlign w:val="bottom"/>
            <w:tcBorders>
              <w:bottom w:val="single" w:sz="8" w:color="16479F"/>
            </w:tcBorders>
          </w:tcPr>
          <w:p>
            <w:pPr>
              <w:spacing w:after="0"/>
              <w:rPr>
                <w:sz w:val="16"/>
                <w:szCs w:val="16"/>
                <w:color w:val="auto"/>
              </w:rPr>
            </w:pPr>
          </w:p>
        </w:tc>
        <w:tc>
          <w:tcPr>
            <w:tcW w:w="1240" w:type="dxa"/>
            <w:vAlign w:val="bottom"/>
            <w:tcBorders>
              <w:bottom w:val="single" w:sz="8" w:color="16479F"/>
            </w:tcBorders>
          </w:tcPr>
          <w:p>
            <w:pPr>
              <w:jc w:val="right"/>
              <w:ind w:right="85"/>
              <w:spacing w:after="0"/>
              <w:rPr>
                <w:sz w:val="20"/>
                <w:szCs w:val="20"/>
                <w:color w:val="auto"/>
              </w:rPr>
            </w:pPr>
            <w:r>
              <w:rPr>
                <w:rFonts w:ascii="Arial" w:cs="Arial" w:eastAsia="Arial" w:hAnsi="Arial"/>
                <w:sz w:val="14"/>
                <w:szCs w:val="14"/>
                <w:b w:val="1"/>
                <w:bCs w:val="1"/>
                <w:color w:val="auto"/>
              </w:rPr>
              <w:t>Years Ended</w:t>
            </w:r>
          </w:p>
        </w:tc>
        <w:tc>
          <w:tcPr>
            <w:tcW w:w="1100" w:type="dxa"/>
            <w:vAlign w:val="bottom"/>
            <w:tcBorders>
              <w:bottom w:val="single" w:sz="8" w:color="16479F"/>
            </w:tcBorders>
          </w:tcPr>
          <w:p>
            <w:pPr>
              <w:spacing w:after="0"/>
              <w:rPr>
                <w:sz w:val="16"/>
                <w:szCs w:val="16"/>
                <w:color w:val="auto"/>
              </w:rPr>
            </w:pPr>
          </w:p>
        </w:tc>
        <w:tc>
          <w:tcPr>
            <w:tcW w:w="20" w:type="dxa"/>
            <w:vAlign w:val="bottom"/>
          </w:tcPr>
          <w:p>
            <w:pPr>
              <w:spacing w:after="0"/>
              <w:rPr>
                <w:sz w:val="16"/>
                <w:szCs w:val="16"/>
                <w:color w:val="auto"/>
              </w:rPr>
            </w:pPr>
          </w:p>
        </w:tc>
      </w:tr>
      <w:tr>
        <w:trPr>
          <w:trHeight w:val="208"/>
        </w:trPr>
        <w:tc>
          <w:tcPr>
            <w:tcW w:w="7860" w:type="dxa"/>
            <w:vAlign w:val="bottom"/>
            <w:tcBorders>
              <w:bottom w:val="single" w:sz="8" w:color="16479F"/>
            </w:tcBorders>
          </w:tcPr>
          <w:p>
            <w:pPr>
              <w:ind w:left="60"/>
              <w:spacing w:after="0"/>
              <w:rPr>
                <w:sz w:val="20"/>
                <w:szCs w:val="20"/>
                <w:color w:val="auto"/>
              </w:rPr>
            </w:pPr>
            <w:r>
              <w:rPr>
                <w:rFonts w:ascii="Arial" w:cs="Arial" w:eastAsia="Arial" w:hAnsi="Arial"/>
                <w:sz w:val="14"/>
                <w:szCs w:val="14"/>
                <w:b w:val="1"/>
                <w:bCs w:val="1"/>
                <w:color w:val="auto"/>
              </w:rPr>
              <w:t>In Thousands, Except Per Share Data</w:t>
            </w:r>
          </w:p>
        </w:tc>
        <w:tc>
          <w:tcPr>
            <w:tcW w:w="1040" w:type="dxa"/>
            <w:vAlign w:val="bottom"/>
            <w:tcBorders>
              <w:bottom w:val="single" w:sz="8" w:color="16479F"/>
            </w:tcBorders>
            <w:gridSpan w:val="2"/>
          </w:tcPr>
          <w:p>
            <w:pPr>
              <w:spacing w:after="0"/>
              <w:rPr>
                <w:sz w:val="20"/>
                <w:szCs w:val="20"/>
                <w:color w:val="auto"/>
              </w:rPr>
            </w:pPr>
            <w:r>
              <w:rPr>
                <w:rFonts w:ascii="Arial" w:cs="Arial" w:eastAsia="Arial" w:hAnsi="Arial"/>
                <w:sz w:val="14"/>
                <w:szCs w:val="14"/>
                <w:b w:val="1"/>
                <w:bCs w:val="1"/>
                <w:color w:val="auto"/>
              </w:rPr>
              <w:t>Dec. 31, 2021</w:t>
            </w:r>
          </w:p>
        </w:tc>
        <w:tc>
          <w:tcPr>
            <w:tcW w:w="1240" w:type="dxa"/>
            <w:vAlign w:val="bottom"/>
            <w:tcBorders>
              <w:bottom w:val="single" w:sz="8" w:color="16479F"/>
            </w:tcBorders>
          </w:tcPr>
          <w:p>
            <w:pPr>
              <w:jc w:val="right"/>
              <w:ind w:right="125"/>
              <w:spacing w:after="0"/>
              <w:rPr>
                <w:sz w:val="20"/>
                <w:szCs w:val="20"/>
                <w:color w:val="auto"/>
              </w:rPr>
            </w:pPr>
            <w:r>
              <w:rPr>
                <w:rFonts w:ascii="Arial" w:cs="Arial" w:eastAsia="Arial" w:hAnsi="Arial"/>
                <w:sz w:val="14"/>
                <w:szCs w:val="14"/>
                <w:b w:val="1"/>
                <w:bCs w:val="1"/>
                <w:color w:val="auto"/>
              </w:rPr>
              <w:t>Dec. 31, 2020</w:t>
            </w:r>
          </w:p>
        </w:tc>
        <w:tc>
          <w:tcPr>
            <w:tcW w:w="1100" w:type="dxa"/>
            <w:vAlign w:val="bottom"/>
            <w:tcBorders>
              <w:bottom w:val="single" w:sz="8" w:color="16479F"/>
            </w:tcBorders>
          </w:tcPr>
          <w:p>
            <w:pPr>
              <w:jc w:val="right"/>
              <w:spacing w:after="0"/>
              <w:rPr>
                <w:sz w:val="20"/>
                <w:szCs w:val="20"/>
                <w:color w:val="auto"/>
              </w:rPr>
            </w:pPr>
            <w:r>
              <w:rPr>
                <w:rFonts w:ascii="Arial" w:cs="Arial" w:eastAsia="Arial" w:hAnsi="Arial"/>
                <w:sz w:val="14"/>
                <w:szCs w:val="14"/>
                <w:b w:val="1"/>
                <w:bCs w:val="1"/>
                <w:color w:val="auto"/>
              </w:rPr>
              <w:t>Dec. 31, 2019</w:t>
            </w:r>
          </w:p>
        </w:tc>
        <w:tc>
          <w:tcPr>
            <w:tcW w:w="20" w:type="dxa"/>
            <w:vAlign w:val="bottom"/>
          </w:tcPr>
          <w:p>
            <w:pPr>
              <w:spacing w:after="0"/>
              <w:rPr>
                <w:sz w:val="18"/>
                <w:szCs w:val="18"/>
                <w:color w:val="auto"/>
              </w:rPr>
            </w:pPr>
          </w:p>
        </w:tc>
      </w:tr>
      <w:tr>
        <w:trPr>
          <w:trHeight w:val="213"/>
        </w:trPr>
        <w:tc>
          <w:tcPr>
            <w:tcW w:w="7860" w:type="dxa"/>
            <w:vAlign w:val="bottom"/>
            <w:shd w:val="clear" w:color="auto" w:fill="F0F1F8"/>
          </w:tcPr>
          <w:p>
            <w:pPr>
              <w:ind w:left="60"/>
              <w:spacing w:after="0"/>
              <w:rPr>
                <w:sz w:val="20"/>
                <w:szCs w:val="20"/>
                <w:color w:val="auto"/>
              </w:rPr>
            </w:pPr>
            <w:r>
              <w:rPr>
                <w:rFonts w:ascii="Arial" w:cs="Arial" w:eastAsia="Arial" w:hAnsi="Arial"/>
                <w:sz w:val="15"/>
                <w:szCs w:val="15"/>
                <w:color w:val="auto"/>
              </w:rPr>
              <w:t>Net Income</w:t>
            </w:r>
          </w:p>
        </w:tc>
        <w:tc>
          <w:tcPr>
            <w:tcW w:w="140" w:type="dxa"/>
            <w:vAlign w:val="bottom"/>
            <w:shd w:val="clear" w:color="auto" w:fill="F0F1F8"/>
          </w:tcPr>
          <w:p>
            <w:pPr>
              <w:spacing w:after="0"/>
              <w:rPr>
                <w:sz w:val="20"/>
                <w:szCs w:val="20"/>
                <w:color w:val="auto"/>
              </w:rPr>
            </w:pPr>
            <w:r>
              <w:rPr>
                <w:rFonts w:ascii="Arial" w:cs="Arial" w:eastAsia="Arial" w:hAnsi="Arial"/>
                <w:sz w:val="15"/>
                <w:szCs w:val="15"/>
                <w:color w:val="auto"/>
              </w:rPr>
              <w:t>$</w:t>
            </w:r>
          </w:p>
        </w:tc>
        <w:tc>
          <w:tcPr>
            <w:tcW w:w="900" w:type="dxa"/>
            <w:vAlign w:val="bottom"/>
            <w:shd w:val="clear" w:color="auto" w:fill="F0F1F8"/>
          </w:tcPr>
          <w:p>
            <w:pPr>
              <w:jc w:val="right"/>
              <w:ind w:right="224"/>
              <w:spacing w:after="0"/>
              <w:rPr>
                <w:sz w:val="20"/>
                <w:szCs w:val="20"/>
                <w:color w:val="auto"/>
              </w:rPr>
            </w:pPr>
            <w:r>
              <w:rPr>
                <w:rFonts w:ascii="Arial" w:cs="Arial" w:eastAsia="Arial" w:hAnsi="Arial"/>
                <w:sz w:val="15"/>
                <w:szCs w:val="15"/>
                <w:color w:val="auto"/>
              </w:rPr>
              <w:t>725,983</w:t>
            </w:r>
          </w:p>
        </w:tc>
        <w:tc>
          <w:tcPr>
            <w:tcW w:w="1240" w:type="dxa"/>
            <w:vAlign w:val="bottom"/>
            <w:shd w:val="clear" w:color="auto" w:fill="F0F1F8"/>
          </w:tcPr>
          <w:p>
            <w:pPr>
              <w:jc w:val="right"/>
              <w:ind w:right="225"/>
              <w:spacing w:after="0"/>
              <w:rPr>
                <w:sz w:val="20"/>
                <w:szCs w:val="20"/>
                <w:color w:val="auto"/>
              </w:rPr>
            </w:pPr>
            <w:r>
              <w:rPr>
                <w:rFonts w:ascii="Arial" w:cs="Arial" w:eastAsia="Arial" w:hAnsi="Arial"/>
                <w:sz w:val="15"/>
                <w:szCs w:val="15"/>
                <w:color w:val="auto"/>
              </w:rPr>
              <w:t>$601,822</w:t>
            </w:r>
          </w:p>
        </w:tc>
        <w:tc>
          <w:tcPr>
            <w:tcW w:w="1100" w:type="dxa"/>
            <w:vAlign w:val="bottom"/>
            <w:shd w:val="clear" w:color="auto" w:fill="F0F1F8"/>
          </w:tcPr>
          <w:p>
            <w:pPr>
              <w:jc w:val="right"/>
              <w:ind w:right="24"/>
              <w:spacing w:after="0"/>
              <w:rPr>
                <w:sz w:val="20"/>
                <w:szCs w:val="20"/>
                <w:color w:val="auto"/>
              </w:rPr>
            </w:pPr>
            <w:r>
              <w:rPr>
                <w:rFonts w:ascii="Arial" w:cs="Arial" w:eastAsia="Arial" w:hAnsi="Arial"/>
                <w:sz w:val="15"/>
                <w:szCs w:val="15"/>
                <w:color w:val="auto"/>
              </w:rPr>
              <w:t>$563,648</w:t>
            </w:r>
          </w:p>
        </w:tc>
        <w:tc>
          <w:tcPr>
            <w:tcW w:w="20" w:type="dxa"/>
            <w:vAlign w:val="bottom"/>
          </w:tcPr>
          <w:p>
            <w:pPr>
              <w:spacing w:after="0"/>
              <w:rPr>
                <w:sz w:val="18"/>
                <w:szCs w:val="18"/>
                <w:color w:val="auto"/>
              </w:rPr>
            </w:pPr>
          </w:p>
        </w:tc>
      </w:tr>
      <w:tr>
        <w:trPr>
          <w:trHeight w:val="209"/>
        </w:trPr>
        <w:tc>
          <w:tcPr>
            <w:tcW w:w="7860" w:type="dxa"/>
            <w:vAlign w:val="bottom"/>
          </w:tcPr>
          <w:p>
            <w:pPr>
              <w:ind w:left="60"/>
              <w:spacing w:after="0"/>
              <w:rPr>
                <w:sz w:val="20"/>
                <w:szCs w:val="20"/>
                <w:color w:val="auto"/>
              </w:rPr>
            </w:pPr>
            <w:r>
              <w:rPr>
                <w:rFonts w:ascii="Arial" w:cs="Arial" w:eastAsia="Arial" w:hAnsi="Arial"/>
                <w:sz w:val="15"/>
                <w:szCs w:val="15"/>
                <w:color w:val="auto"/>
              </w:rPr>
              <w:t>Plus: Amortization of acquired intangible assets and equity method investment basis difference</w:t>
            </w:r>
          </w:p>
        </w:tc>
        <w:tc>
          <w:tcPr>
            <w:tcW w:w="140" w:type="dxa"/>
            <w:vAlign w:val="bottom"/>
          </w:tcPr>
          <w:p>
            <w:pPr>
              <w:spacing w:after="0"/>
              <w:rPr>
                <w:sz w:val="18"/>
                <w:szCs w:val="18"/>
                <w:color w:val="auto"/>
              </w:rPr>
            </w:pPr>
          </w:p>
        </w:tc>
        <w:tc>
          <w:tcPr>
            <w:tcW w:w="900" w:type="dxa"/>
            <w:vAlign w:val="bottom"/>
          </w:tcPr>
          <w:p>
            <w:pPr>
              <w:jc w:val="right"/>
              <w:ind w:right="224"/>
              <w:spacing w:after="0"/>
              <w:rPr>
                <w:sz w:val="20"/>
                <w:szCs w:val="20"/>
                <w:color w:val="auto"/>
              </w:rPr>
            </w:pPr>
            <w:r>
              <w:rPr>
                <w:rFonts w:ascii="Arial" w:cs="Arial" w:eastAsia="Arial" w:hAnsi="Arial"/>
                <w:sz w:val="15"/>
                <w:szCs w:val="15"/>
                <w:color w:val="auto"/>
              </w:rPr>
              <w:t>47,001</w:t>
            </w:r>
          </w:p>
        </w:tc>
        <w:tc>
          <w:tcPr>
            <w:tcW w:w="1240" w:type="dxa"/>
            <w:vAlign w:val="bottom"/>
          </w:tcPr>
          <w:p>
            <w:pPr>
              <w:jc w:val="right"/>
              <w:ind w:right="225"/>
              <w:spacing w:after="0"/>
              <w:rPr>
                <w:sz w:val="20"/>
                <w:szCs w:val="20"/>
                <w:color w:val="auto"/>
              </w:rPr>
            </w:pPr>
            <w:r>
              <w:rPr>
                <w:rFonts w:ascii="Arial" w:cs="Arial" w:eastAsia="Arial" w:hAnsi="Arial"/>
                <w:sz w:val="15"/>
                <w:szCs w:val="15"/>
                <w:color w:val="auto"/>
              </w:rPr>
              <w:t>37,413</w:t>
            </w: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34,773</w:t>
            </w:r>
          </w:p>
        </w:tc>
        <w:tc>
          <w:tcPr>
            <w:tcW w:w="20" w:type="dxa"/>
            <w:vAlign w:val="bottom"/>
          </w:tcPr>
          <w:p>
            <w:pPr>
              <w:spacing w:after="0"/>
              <w:rPr>
                <w:sz w:val="18"/>
                <w:szCs w:val="18"/>
                <w:color w:val="auto"/>
              </w:rPr>
            </w:pPr>
          </w:p>
        </w:tc>
      </w:tr>
      <w:tr>
        <w:trPr>
          <w:trHeight w:val="219"/>
        </w:trPr>
        <w:tc>
          <w:tcPr>
            <w:tcW w:w="7860" w:type="dxa"/>
            <w:vAlign w:val="bottom"/>
            <w:shd w:val="clear" w:color="auto" w:fill="F0F1F8"/>
          </w:tcPr>
          <w:p>
            <w:pPr>
              <w:ind w:left="60"/>
              <w:spacing w:after="0"/>
              <w:rPr>
                <w:sz w:val="20"/>
                <w:szCs w:val="20"/>
                <w:color w:val="auto"/>
              </w:rPr>
            </w:pPr>
            <w:r>
              <w:rPr>
                <w:rFonts w:ascii="Arial" w:cs="Arial" w:eastAsia="Arial" w:hAnsi="Arial"/>
                <w:sz w:val="15"/>
                <w:szCs w:val="15"/>
                <w:color w:val="auto"/>
              </w:rPr>
              <w:t>Plus: Multi-Year PSU payroll tax expense</w:t>
            </w:r>
          </w:p>
        </w:tc>
        <w:tc>
          <w:tcPr>
            <w:tcW w:w="140" w:type="dxa"/>
            <w:vAlign w:val="bottom"/>
            <w:shd w:val="clear" w:color="auto" w:fill="F0F1F8"/>
          </w:tcPr>
          <w:p>
            <w:pPr>
              <w:spacing w:after="0"/>
              <w:rPr>
                <w:sz w:val="19"/>
                <w:szCs w:val="19"/>
                <w:color w:val="auto"/>
              </w:rPr>
            </w:pPr>
          </w:p>
        </w:tc>
        <w:tc>
          <w:tcPr>
            <w:tcW w:w="900" w:type="dxa"/>
            <w:vAlign w:val="bottom"/>
            <w:shd w:val="clear" w:color="auto" w:fill="F0F1F8"/>
          </w:tcPr>
          <w:p>
            <w:pPr>
              <w:jc w:val="right"/>
              <w:ind w:right="224"/>
              <w:spacing w:after="0"/>
              <w:rPr>
                <w:sz w:val="20"/>
                <w:szCs w:val="20"/>
                <w:color w:val="auto"/>
              </w:rPr>
            </w:pPr>
            <w:r>
              <w:rPr>
                <w:rFonts w:ascii="Arial" w:cs="Arial" w:eastAsia="Arial" w:hAnsi="Arial"/>
                <w:sz w:val="15"/>
                <w:szCs w:val="15"/>
                <w:color w:val="auto"/>
              </w:rPr>
              <w:t>—</w:t>
            </w:r>
          </w:p>
        </w:tc>
        <w:tc>
          <w:tcPr>
            <w:tcW w:w="1240" w:type="dxa"/>
            <w:vAlign w:val="bottom"/>
            <w:shd w:val="clear" w:color="auto" w:fill="F0F1F8"/>
          </w:tcPr>
          <w:p>
            <w:pPr>
              <w:jc w:val="right"/>
              <w:ind w:right="225"/>
              <w:spacing w:after="0"/>
              <w:rPr>
                <w:sz w:val="20"/>
                <w:szCs w:val="20"/>
                <w:color w:val="auto"/>
              </w:rPr>
            </w:pPr>
            <w:r>
              <w:rPr>
                <w:rFonts w:ascii="Arial" w:cs="Arial" w:eastAsia="Arial" w:hAnsi="Arial"/>
                <w:sz w:val="15"/>
                <w:szCs w:val="15"/>
                <w:color w:val="auto"/>
              </w:rPr>
              <w:t>—</w:t>
            </w:r>
          </w:p>
        </w:tc>
        <w:tc>
          <w:tcPr>
            <w:tcW w:w="1100" w:type="dxa"/>
            <w:vAlign w:val="bottom"/>
            <w:shd w:val="clear" w:color="auto" w:fill="F0F1F8"/>
          </w:tcPr>
          <w:p>
            <w:pPr>
              <w:jc w:val="right"/>
              <w:ind w:right="24"/>
              <w:spacing w:after="0"/>
              <w:rPr>
                <w:sz w:val="20"/>
                <w:szCs w:val="20"/>
                <w:color w:val="auto"/>
              </w:rPr>
            </w:pPr>
            <w:r>
              <w:rPr>
                <w:rFonts w:ascii="Arial" w:cs="Arial" w:eastAsia="Arial" w:hAnsi="Arial"/>
                <w:sz w:val="15"/>
                <w:szCs w:val="15"/>
                <w:color w:val="auto"/>
              </w:rPr>
              <w:t>15,389</w:t>
            </w:r>
          </w:p>
        </w:tc>
        <w:tc>
          <w:tcPr>
            <w:tcW w:w="20" w:type="dxa"/>
            <w:vAlign w:val="bottom"/>
          </w:tcPr>
          <w:p>
            <w:pPr>
              <w:spacing w:after="0"/>
              <w:rPr>
                <w:sz w:val="19"/>
                <w:szCs w:val="19"/>
                <w:color w:val="auto"/>
              </w:rPr>
            </w:pPr>
          </w:p>
        </w:tc>
      </w:tr>
      <w:tr>
        <w:trPr>
          <w:trHeight w:val="209"/>
        </w:trPr>
        <w:tc>
          <w:tcPr>
            <w:tcW w:w="7860" w:type="dxa"/>
            <w:vAlign w:val="bottom"/>
          </w:tcPr>
          <w:p>
            <w:pPr>
              <w:ind w:left="60"/>
              <w:spacing w:after="0"/>
              <w:rPr>
                <w:sz w:val="20"/>
                <w:szCs w:val="20"/>
                <w:color w:val="auto"/>
              </w:rPr>
            </w:pPr>
            <w:r>
              <w:rPr>
                <w:rFonts w:ascii="Arial" w:cs="Arial" w:eastAsia="Arial" w:hAnsi="Arial"/>
                <w:sz w:val="15"/>
                <w:szCs w:val="15"/>
                <w:color w:val="auto"/>
              </w:rPr>
              <w:t>Less: Discrete excess tax benefit related to Multi-Year PSU vesting</w:t>
            </w:r>
          </w:p>
        </w:tc>
        <w:tc>
          <w:tcPr>
            <w:tcW w:w="140" w:type="dxa"/>
            <w:vAlign w:val="bottom"/>
          </w:tcPr>
          <w:p>
            <w:pPr>
              <w:spacing w:after="0"/>
              <w:rPr>
                <w:sz w:val="18"/>
                <w:szCs w:val="18"/>
                <w:color w:val="auto"/>
              </w:rPr>
            </w:pPr>
          </w:p>
        </w:tc>
        <w:tc>
          <w:tcPr>
            <w:tcW w:w="900" w:type="dxa"/>
            <w:vAlign w:val="bottom"/>
          </w:tcPr>
          <w:p>
            <w:pPr>
              <w:jc w:val="right"/>
              <w:ind w:right="224"/>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225"/>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(66,581)</w:t>
            </w:r>
          </w:p>
        </w:tc>
        <w:tc>
          <w:tcPr>
            <w:tcW w:w="20" w:type="dxa"/>
            <w:vAlign w:val="bottom"/>
          </w:tcPr>
          <w:p>
            <w:pPr>
              <w:spacing w:after="0"/>
              <w:rPr>
                <w:sz w:val="18"/>
                <w:szCs w:val="18"/>
                <w:color w:val="auto"/>
              </w:rPr>
            </w:pPr>
          </w:p>
        </w:tc>
      </w:tr>
      <w:tr>
        <w:trPr>
          <w:trHeight w:val="219"/>
        </w:trPr>
        <w:tc>
          <w:tcPr>
            <w:tcW w:w="7860" w:type="dxa"/>
            <w:vAlign w:val="bottom"/>
            <w:shd w:val="clear" w:color="auto" w:fill="F0F1F8"/>
          </w:tcPr>
          <w:p>
            <w:pPr>
              <w:ind w:left="60"/>
              <w:spacing w:after="0"/>
              <w:rPr>
                <w:sz w:val="20"/>
                <w:szCs w:val="20"/>
                <w:color w:val="auto"/>
              </w:rPr>
            </w:pPr>
            <w:r>
              <w:rPr>
                <w:rFonts w:ascii="Arial" w:cs="Arial" w:eastAsia="Arial" w:hAnsi="Arial"/>
                <w:sz w:val="15"/>
                <w:szCs w:val="15"/>
                <w:color w:val="auto"/>
              </w:rPr>
              <w:t>Plus: Debt extinguishment costs associated with the 2024, 2025, 2026 and 2027 Senior Notes Redemptions</w:t>
            </w:r>
          </w:p>
        </w:tc>
        <w:tc>
          <w:tcPr>
            <w:tcW w:w="140" w:type="dxa"/>
            <w:vAlign w:val="bottom"/>
            <w:shd w:val="clear" w:color="auto" w:fill="F0F1F8"/>
          </w:tcPr>
          <w:p>
            <w:pPr>
              <w:spacing w:after="0"/>
              <w:rPr>
                <w:sz w:val="19"/>
                <w:szCs w:val="19"/>
                <w:color w:val="auto"/>
              </w:rPr>
            </w:pPr>
          </w:p>
        </w:tc>
        <w:tc>
          <w:tcPr>
            <w:tcW w:w="900" w:type="dxa"/>
            <w:vAlign w:val="bottom"/>
            <w:shd w:val="clear" w:color="auto" w:fill="F0F1F8"/>
          </w:tcPr>
          <w:p>
            <w:pPr>
              <w:jc w:val="right"/>
              <w:ind w:right="224"/>
              <w:spacing w:after="0"/>
              <w:rPr>
                <w:sz w:val="20"/>
                <w:szCs w:val="20"/>
                <w:color w:val="auto"/>
              </w:rPr>
            </w:pPr>
            <w:r>
              <w:rPr>
                <w:rFonts w:ascii="Arial" w:cs="Arial" w:eastAsia="Arial" w:hAnsi="Arial"/>
                <w:sz w:val="15"/>
                <w:szCs w:val="15"/>
                <w:color w:val="auto"/>
              </w:rPr>
              <w:t>59,104</w:t>
            </w:r>
          </w:p>
        </w:tc>
        <w:tc>
          <w:tcPr>
            <w:tcW w:w="1240" w:type="dxa"/>
            <w:vAlign w:val="bottom"/>
            <w:shd w:val="clear" w:color="auto" w:fill="F0F1F8"/>
          </w:tcPr>
          <w:p>
            <w:pPr>
              <w:jc w:val="right"/>
              <w:ind w:right="225"/>
              <w:spacing w:after="0"/>
              <w:rPr>
                <w:sz w:val="20"/>
                <w:szCs w:val="20"/>
                <w:color w:val="auto"/>
              </w:rPr>
            </w:pPr>
            <w:r>
              <w:rPr>
                <w:rFonts w:ascii="Arial" w:cs="Arial" w:eastAsia="Arial" w:hAnsi="Arial"/>
                <w:sz w:val="15"/>
                <w:szCs w:val="15"/>
                <w:color w:val="auto"/>
              </w:rPr>
              <w:t>44,930</w:t>
            </w:r>
          </w:p>
        </w:tc>
        <w:tc>
          <w:tcPr>
            <w:tcW w:w="1100" w:type="dxa"/>
            <w:vAlign w:val="bottom"/>
            <w:shd w:val="clear" w:color="auto" w:fill="F0F1F8"/>
          </w:tcPr>
          <w:p>
            <w:pPr>
              <w:jc w:val="right"/>
              <w:ind w:right="24"/>
              <w:spacing w:after="0"/>
              <w:rPr>
                <w:sz w:val="20"/>
                <w:szCs w:val="20"/>
                <w:color w:val="auto"/>
              </w:rPr>
            </w:pPr>
            <w:r>
              <w:rPr>
                <w:rFonts w:ascii="Arial" w:cs="Arial" w:eastAsia="Arial" w:hAnsi="Arial"/>
                <w:sz w:val="15"/>
                <w:szCs w:val="15"/>
                <w:color w:val="auto"/>
              </w:rPr>
              <w:t>16,794</w:t>
            </w:r>
          </w:p>
        </w:tc>
        <w:tc>
          <w:tcPr>
            <w:tcW w:w="20" w:type="dxa"/>
            <w:vAlign w:val="bottom"/>
          </w:tcPr>
          <w:p>
            <w:pPr>
              <w:spacing w:after="0"/>
              <w:rPr>
                <w:sz w:val="19"/>
                <w:szCs w:val="19"/>
                <w:color w:val="auto"/>
              </w:rPr>
            </w:pPr>
          </w:p>
        </w:tc>
      </w:tr>
      <w:tr>
        <w:trPr>
          <w:trHeight w:val="209"/>
        </w:trPr>
        <w:tc>
          <w:tcPr>
            <w:tcW w:w="7860" w:type="dxa"/>
            <w:vAlign w:val="bottom"/>
          </w:tcPr>
          <w:p>
            <w:pPr>
              <w:ind w:left="60"/>
              <w:spacing w:after="0"/>
              <w:rPr>
                <w:sz w:val="20"/>
                <w:szCs w:val="20"/>
                <w:color w:val="auto"/>
              </w:rPr>
            </w:pPr>
            <w:r>
              <w:rPr>
                <w:rFonts w:ascii="Arial" w:cs="Arial" w:eastAsia="Arial" w:hAnsi="Arial"/>
                <w:sz w:val="15"/>
                <w:szCs w:val="15"/>
                <w:color w:val="auto"/>
              </w:rPr>
              <w:t>Plus: Write-off of internally developed capitalized software</w:t>
            </w:r>
          </w:p>
        </w:tc>
        <w:tc>
          <w:tcPr>
            <w:tcW w:w="140" w:type="dxa"/>
            <w:vAlign w:val="bottom"/>
          </w:tcPr>
          <w:p>
            <w:pPr>
              <w:spacing w:after="0"/>
              <w:rPr>
                <w:sz w:val="18"/>
                <w:szCs w:val="18"/>
                <w:color w:val="auto"/>
              </w:rPr>
            </w:pPr>
          </w:p>
        </w:tc>
        <w:tc>
          <w:tcPr>
            <w:tcW w:w="900" w:type="dxa"/>
            <w:vAlign w:val="bottom"/>
          </w:tcPr>
          <w:p>
            <w:pPr>
              <w:jc w:val="right"/>
              <w:ind w:right="224"/>
              <w:spacing w:after="0"/>
              <w:rPr>
                <w:sz w:val="20"/>
                <w:szCs w:val="20"/>
                <w:color w:val="auto"/>
              </w:rPr>
            </w:pPr>
            <w:r>
              <w:rPr>
                <w:rFonts w:ascii="Arial" w:cs="Arial" w:eastAsia="Arial" w:hAnsi="Arial"/>
                <w:sz w:val="15"/>
                <w:szCs w:val="15"/>
                <w:color w:val="auto"/>
              </w:rPr>
              <w:t>16,013</w:t>
            </w:r>
          </w:p>
        </w:tc>
        <w:tc>
          <w:tcPr>
            <w:tcW w:w="1240" w:type="dxa"/>
            <w:vAlign w:val="bottom"/>
          </w:tcPr>
          <w:p>
            <w:pPr>
              <w:jc w:val="right"/>
              <w:ind w:right="225"/>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r>
      <w:tr>
        <w:trPr>
          <w:trHeight w:val="259"/>
        </w:trPr>
        <w:tc>
          <w:tcPr>
            <w:tcW w:w="7860" w:type="dxa"/>
            <w:vAlign w:val="bottom"/>
            <w:shd w:val="clear" w:color="auto" w:fill="F0F1F8"/>
          </w:tcPr>
          <w:p>
            <w:pPr>
              <w:ind w:left="60"/>
              <w:spacing w:after="0" w:line="259" w:lineRule="exact"/>
              <w:rPr>
                <w:sz w:val="20"/>
                <w:szCs w:val="20"/>
                <w:color w:val="auto"/>
              </w:rPr>
            </w:pPr>
            <w:r>
              <w:rPr>
                <w:rFonts w:ascii="Arial" w:cs="Arial" w:eastAsia="Arial" w:hAnsi="Arial"/>
                <w:sz w:val="15"/>
                <w:szCs w:val="15"/>
                <w:color w:val="auto"/>
              </w:rPr>
              <w:t>Plus: Impairment related to sublease of leased property</w:t>
            </w:r>
            <w:r>
              <w:rPr>
                <w:rFonts w:ascii="Arial" w:cs="Arial" w:eastAsia="Arial" w:hAnsi="Arial"/>
                <w:sz w:val="25"/>
                <w:szCs w:val="25"/>
                <w:color w:val="auto"/>
                <w:vertAlign w:val="superscript"/>
              </w:rPr>
              <w:t>(1)</w:t>
            </w:r>
          </w:p>
        </w:tc>
        <w:tc>
          <w:tcPr>
            <w:tcW w:w="140" w:type="dxa"/>
            <w:vAlign w:val="bottom"/>
            <w:shd w:val="clear" w:color="auto" w:fill="F0F1F8"/>
          </w:tcPr>
          <w:p>
            <w:pPr>
              <w:spacing w:after="0"/>
              <w:rPr>
                <w:sz w:val="22"/>
                <w:szCs w:val="22"/>
                <w:color w:val="auto"/>
              </w:rPr>
            </w:pPr>
          </w:p>
        </w:tc>
        <w:tc>
          <w:tcPr>
            <w:tcW w:w="900" w:type="dxa"/>
            <w:vAlign w:val="bottom"/>
            <w:shd w:val="clear" w:color="auto" w:fill="F0F1F8"/>
          </w:tcPr>
          <w:p>
            <w:pPr>
              <w:jc w:val="right"/>
              <w:ind w:right="224"/>
              <w:spacing w:after="0"/>
              <w:rPr>
                <w:sz w:val="20"/>
                <w:szCs w:val="20"/>
                <w:color w:val="auto"/>
              </w:rPr>
            </w:pPr>
            <w:r>
              <w:rPr>
                <w:rFonts w:ascii="Arial" w:cs="Arial" w:eastAsia="Arial" w:hAnsi="Arial"/>
                <w:sz w:val="15"/>
                <w:szCs w:val="15"/>
                <w:color w:val="auto"/>
              </w:rPr>
              <w:t>8,702</w:t>
            </w:r>
          </w:p>
        </w:tc>
        <w:tc>
          <w:tcPr>
            <w:tcW w:w="1240" w:type="dxa"/>
            <w:vAlign w:val="bottom"/>
            <w:shd w:val="clear" w:color="auto" w:fill="F0F1F8"/>
          </w:tcPr>
          <w:p>
            <w:pPr>
              <w:jc w:val="right"/>
              <w:ind w:right="225"/>
              <w:spacing w:after="0"/>
              <w:rPr>
                <w:sz w:val="20"/>
                <w:szCs w:val="20"/>
                <w:color w:val="auto"/>
              </w:rPr>
            </w:pPr>
            <w:r>
              <w:rPr>
                <w:rFonts w:ascii="Arial" w:cs="Arial" w:eastAsia="Arial" w:hAnsi="Arial"/>
                <w:sz w:val="15"/>
                <w:szCs w:val="15"/>
                <w:color w:val="auto"/>
              </w:rPr>
              <w:t>—</w:t>
            </w:r>
          </w:p>
        </w:tc>
        <w:tc>
          <w:tcPr>
            <w:tcW w:w="1100" w:type="dxa"/>
            <w:vAlign w:val="bottom"/>
            <w:shd w:val="clear" w:color="auto" w:fill="F0F1F8"/>
          </w:tcPr>
          <w:p>
            <w:pPr>
              <w:jc w:val="right"/>
              <w:ind w:right="24"/>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2"/>
                <w:szCs w:val="22"/>
                <w:color w:val="auto"/>
              </w:rPr>
            </w:pPr>
          </w:p>
        </w:tc>
      </w:tr>
      <w:tr>
        <w:trPr>
          <w:trHeight w:val="254"/>
        </w:trPr>
        <w:tc>
          <w:tcPr>
            <w:tcW w:w="7860" w:type="dxa"/>
            <w:vAlign w:val="bottom"/>
          </w:tcPr>
          <w:p>
            <w:pPr>
              <w:ind w:left="60"/>
              <w:spacing w:after="0" w:line="254" w:lineRule="exact"/>
              <w:rPr>
                <w:sz w:val="20"/>
                <w:szCs w:val="20"/>
                <w:color w:val="auto"/>
              </w:rPr>
            </w:pPr>
            <w:r>
              <w:rPr>
                <w:rFonts w:ascii="Arial" w:cs="Arial" w:eastAsia="Arial" w:hAnsi="Arial"/>
                <w:sz w:val="15"/>
                <w:szCs w:val="15"/>
                <w:color w:val="auto"/>
              </w:rPr>
              <w:t>Plus: Acquisition-related integration and transaction costs</w:t>
            </w:r>
            <w:r>
              <w:rPr>
                <w:rFonts w:ascii="Arial" w:cs="Arial" w:eastAsia="Arial" w:hAnsi="Arial"/>
                <w:sz w:val="25"/>
                <w:szCs w:val="25"/>
                <w:color w:val="auto"/>
                <w:vertAlign w:val="superscript"/>
              </w:rPr>
              <w:t>(2)(3)</w:t>
            </w:r>
          </w:p>
        </w:tc>
        <w:tc>
          <w:tcPr>
            <w:tcW w:w="140" w:type="dxa"/>
            <w:vAlign w:val="bottom"/>
          </w:tcPr>
          <w:p>
            <w:pPr>
              <w:spacing w:after="0"/>
              <w:rPr>
                <w:sz w:val="22"/>
                <w:szCs w:val="22"/>
                <w:color w:val="auto"/>
              </w:rPr>
            </w:pPr>
          </w:p>
        </w:tc>
        <w:tc>
          <w:tcPr>
            <w:tcW w:w="900" w:type="dxa"/>
            <w:vAlign w:val="bottom"/>
          </w:tcPr>
          <w:p>
            <w:pPr>
              <w:jc w:val="right"/>
              <w:ind w:right="224"/>
              <w:spacing w:after="0"/>
              <w:rPr>
                <w:sz w:val="20"/>
                <w:szCs w:val="20"/>
                <w:color w:val="auto"/>
              </w:rPr>
            </w:pPr>
            <w:r>
              <w:rPr>
                <w:rFonts w:ascii="Arial" w:cs="Arial" w:eastAsia="Arial" w:hAnsi="Arial"/>
                <w:sz w:val="15"/>
                <w:szCs w:val="15"/>
                <w:color w:val="auto"/>
              </w:rPr>
              <w:t>7,041</w:t>
            </w:r>
          </w:p>
        </w:tc>
        <w:tc>
          <w:tcPr>
            <w:tcW w:w="1240" w:type="dxa"/>
            <w:vAlign w:val="bottom"/>
          </w:tcPr>
          <w:p>
            <w:pPr>
              <w:jc w:val="right"/>
              <w:ind w:right="225"/>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2"/>
                <w:szCs w:val="22"/>
                <w:color w:val="auto"/>
              </w:rPr>
            </w:pPr>
          </w:p>
        </w:tc>
      </w:tr>
      <w:tr>
        <w:trPr>
          <w:trHeight w:val="214"/>
        </w:trPr>
        <w:tc>
          <w:tcPr>
            <w:tcW w:w="7860" w:type="dxa"/>
            <w:vAlign w:val="bottom"/>
            <w:shd w:val="clear" w:color="auto" w:fill="F0F1F8"/>
          </w:tcPr>
          <w:p>
            <w:pPr>
              <w:ind w:left="60"/>
              <w:spacing w:after="0"/>
              <w:rPr>
                <w:sz w:val="20"/>
                <w:szCs w:val="20"/>
                <w:color w:val="auto"/>
              </w:rPr>
            </w:pPr>
            <w:r>
              <w:rPr>
                <w:rFonts w:ascii="Arial" w:cs="Arial" w:eastAsia="Arial" w:hAnsi="Arial"/>
                <w:sz w:val="15"/>
                <w:szCs w:val="15"/>
                <w:color w:val="auto"/>
              </w:rPr>
              <w:t>Less: Gain from changes in ownership interest of equity method investee</w:t>
            </w:r>
          </w:p>
        </w:tc>
        <w:tc>
          <w:tcPr>
            <w:tcW w:w="140" w:type="dxa"/>
            <w:vAlign w:val="bottom"/>
            <w:shd w:val="clear" w:color="auto" w:fill="F0F1F8"/>
          </w:tcPr>
          <w:p>
            <w:pPr>
              <w:spacing w:after="0"/>
              <w:rPr>
                <w:sz w:val="18"/>
                <w:szCs w:val="18"/>
                <w:color w:val="auto"/>
              </w:rPr>
            </w:pPr>
          </w:p>
        </w:tc>
        <w:tc>
          <w:tcPr>
            <w:tcW w:w="900" w:type="dxa"/>
            <w:vAlign w:val="bottom"/>
            <w:shd w:val="clear" w:color="auto" w:fill="F0F1F8"/>
          </w:tcPr>
          <w:p>
            <w:pPr>
              <w:jc w:val="right"/>
              <w:ind w:right="164"/>
              <w:spacing w:after="0"/>
              <w:rPr>
                <w:sz w:val="20"/>
                <w:szCs w:val="20"/>
                <w:color w:val="auto"/>
              </w:rPr>
            </w:pPr>
            <w:r>
              <w:rPr>
                <w:rFonts w:ascii="Arial" w:cs="Arial" w:eastAsia="Arial" w:hAnsi="Arial"/>
                <w:sz w:val="15"/>
                <w:szCs w:val="15"/>
                <w:color w:val="auto"/>
              </w:rPr>
              <w:t>(6,972)</w:t>
            </w:r>
          </w:p>
        </w:tc>
        <w:tc>
          <w:tcPr>
            <w:tcW w:w="1240" w:type="dxa"/>
            <w:vAlign w:val="bottom"/>
            <w:shd w:val="clear" w:color="auto" w:fill="F0F1F8"/>
          </w:tcPr>
          <w:p>
            <w:pPr>
              <w:jc w:val="right"/>
              <w:ind w:right="225"/>
              <w:spacing w:after="0"/>
              <w:rPr>
                <w:sz w:val="20"/>
                <w:szCs w:val="20"/>
                <w:color w:val="auto"/>
              </w:rPr>
            </w:pPr>
            <w:r>
              <w:rPr>
                <w:rFonts w:ascii="Arial" w:cs="Arial" w:eastAsia="Arial" w:hAnsi="Arial"/>
                <w:sz w:val="15"/>
                <w:szCs w:val="15"/>
                <w:color w:val="auto"/>
              </w:rPr>
              <w:t>—</w:t>
            </w:r>
          </w:p>
        </w:tc>
        <w:tc>
          <w:tcPr>
            <w:tcW w:w="1100" w:type="dxa"/>
            <w:vAlign w:val="bottom"/>
            <w:shd w:val="clear" w:color="auto" w:fill="F0F1F8"/>
          </w:tcPr>
          <w:p>
            <w:pPr>
              <w:jc w:val="right"/>
              <w:ind w:right="24"/>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r>
      <w:tr>
        <w:trPr>
          <w:trHeight w:val="209"/>
        </w:trPr>
        <w:tc>
          <w:tcPr>
            <w:tcW w:w="7860" w:type="dxa"/>
            <w:vAlign w:val="bottom"/>
          </w:tcPr>
          <w:p>
            <w:pPr>
              <w:ind w:left="60"/>
              <w:spacing w:after="0"/>
              <w:rPr>
                <w:sz w:val="20"/>
                <w:szCs w:val="20"/>
                <w:color w:val="auto"/>
              </w:rPr>
            </w:pPr>
            <w:r>
              <w:rPr>
                <w:rFonts w:ascii="Arial" w:cs="Arial" w:eastAsia="Arial" w:hAnsi="Arial"/>
                <w:sz w:val="15"/>
                <w:szCs w:val="15"/>
                <w:color w:val="auto"/>
              </w:rPr>
              <w:t>Less: Tax Reform adjustments</w:t>
            </w:r>
          </w:p>
        </w:tc>
        <w:tc>
          <w:tcPr>
            <w:tcW w:w="140" w:type="dxa"/>
            <w:vAlign w:val="bottom"/>
          </w:tcPr>
          <w:p>
            <w:pPr>
              <w:spacing w:after="0"/>
              <w:rPr>
                <w:sz w:val="18"/>
                <w:szCs w:val="18"/>
                <w:color w:val="auto"/>
              </w:rPr>
            </w:pPr>
          </w:p>
        </w:tc>
        <w:tc>
          <w:tcPr>
            <w:tcW w:w="900" w:type="dxa"/>
            <w:vAlign w:val="bottom"/>
          </w:tcPr>
          <w:p>
            <w:pPr>
              <w:jc w:val="right"/>
              <w:ind w:right="224"/>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185"/>
              <w:spacing w:after="0"/>
              <w:rPr>
                <w:sz w:val="20"/>
                <w:szCs w:val="20"/>
                <w:color w:val="auto"/>
              </w:rPr>
            </w:pPr>
            <w:r>
              <w:rPr>
                <w:rFonts w:ascii="Arial" w:cs="Arial" w:eastAsia="Arial" w:hAnsi="Arial"/>
                <w:sz w:val="15"/>
                <w:szCs w:val="15"/>
                <w:color w:val="auto"/>
              </w:rPr>
              <w:t>(6,256)</w:t>
            </w: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r>
      <w:tr>
        <w:trPr>
          <w:trHeight w:val="214"/>
        </w:trPr>
        <w:tc>
          <w:tcPr>
            <w:tcW w:w="7860" w:type="dxa"/>
            <w:vAlign w:val="bottom"/>
            <w:shd w:val="clear" w:color="auto" w:fill="F0F1F8"/>
          </w:tcPr>
          <w:p>
            <w:pPr>
              <w:ind w:left="60"/>
              <w:spacing w:after="0"/>
              <w:rPr>
                <w:sz w:val="20"/>
                <w:szCs w:val="20"/>
                <w:color w:val="auto"/>
              </w:rPr>
            </w:pPr>
            <w:r>
              <w:rPr>
                <w:rFonts w:ascii="Arial" w:cs="Arial" w:eastAsia="Arial" w:hAnsi="Arial"/>
                <w:sz w:val="15"/>
                <w:szCs w:val="15"/>
                <w:color w:val="auto"/>
              </w:rPr>
              <w:t>Less: Income tax effect</w:t>
            </w:r>
          </w:p>
        </w:tc>
        <w:tc>
          <w:tcPr>
            <w:tcW w:w="140" w:type="dxa"/>
            <w:vAlign w:val="bottom"/>
            <w:tcBorders>
              <w:bottom w:val="single" w:sz="8" w:color="auto"/>
            </w:tcBorders>
            <w:shd w:val="clear" w:color="auto" w:fill="F0F1F8"/>
          </w:tcPr>
          <w:p>
            <w:pPr>
              <w:spacing w:after="0"/>
              <w:rPr>
                <w:sz w:val="18"/>
                <w:szCs w:val="18"/>
                <w:color w:val="auto"/>
              </w:rPr>
            </w:pPr>
          </w:p>
        </w:tc>
        <w:tc>
          <w:tcPr>
            <w:tcW w:w="900" w:type="dxa"/>
            <w:vAlign w:val="bottom"/>
            <w:tcBorders>
              <w:bottom w:val="single" w:sz="8" w:color="auto"/>
            </w:tcBorders>
            <w:shd w:val="clear" w:color="auto" w:fill="F0F1F8"/>
          </w:tcPr>
          <w:p>
            <w:pPr>
              <w:jc w:val="right"/>
              <w:ind w:right="164"/>
              <w:spacing w:after="0"/>
              <w:rPr>
                <w:sz w:val="20"/>
                <w:szCs w:val="20"/>
                <w:color w:val="auto"/>
              </w:rPr>
            </w:pPr>
            <w:r>
              <w:rPr>
                <w:rFonts w:ascii="Arial" w:cs="Arial" w:eastAsia="Arial" w:hAnsi="Arial"/>
                <w:sz w:val="15"/>
                <w:szCs w:val="15"/>
                <w:color w:val="auto"/>
              </w:rPr>
              <w:t>(26,462)</w:t>
            </w:r>
          </w:p>
        </w:tc>
        <w:tc>
          <w:tcPr>
            <w:tcW w:w="1240" w:type="dxa"/>
            <w:vAlign w:val="bottom"/>
            <w:tcBorders>
              <w:bottom w:val="single" w:sz="8" w:color="auto"/>
            </w:tcBorders>
            <w:shd w:val="clear" w:color="auto" w:fill="F0F1F8"/>
          </w:tcPr>
          <w:p>
            <w:pPr>
              <w:jc w:val="right"/>
              <w:ind w:right="185"/>
              <w:spacing w:after="0"/>
              <w:rPr>
                <w:sz w:val="20"/>
                <w:szCs w:val="20"/>
                <w:color w:val="auto"/>
              </w:rPr>
            </w:pPr>
            <w:r>
              <w:rPr>
                <w:rFonts w:ascii="Arial" w:cs="Arial" w:eastAsia="Arial" w:hAnsi="Arial"/>
                <w:sz w:val="15"/>
                <w:szCs w:val="15"/>
                <w:color w:val="auto"/>
              </w:rPr>
              <w:t>(16,490)</w:t>
            </w:r>
          </w:p>
        </w:tc>
        <w:tc>
          <w:tcPr>
            <w:tcW w:w="1100" w:type="dxa"/>
            <w:vAlign w:val="bottom"/>
            <w:tcBorders>
              <w:bottom w:val="single" w:sz="8" w:color="auto"/>
            </w:tcBorders>
            <w:shd w:val="clear" w:color="auto" w:fill="F0F1F8"/>
          </w:tcPr>
          <w:p>
            <w:pPr>
              <w:jc w:val="right"/>
              <w:spacing w:after="0"/>
              <w:rPr>
                <w:sz w:val="20"/>
                <w:szCs w:val="20"/>
                <w:color w:val="auto"/>
              </w:rPr>
            </w:pPr>
            <w:r>
              <w:rPr>
                <w:rFonts w:ascii="Arial" w:cs="Arial" w:eastAsia="Arial" w:hAnsi="Arial"/>
                <w:sz w:val="15"/>
                <w:szCs w:val="15"/>
                <w:color w:val="auto"/>
              </w:rPr>
              <w:t>(13,226)</w:t>
            </w:r>
          </w:p>
        </w:tc>
        <w:tc>
          <w:tcPr>
            <w:tcW w:w="20" w:type="dxa"/>
            <w:vAlign w:val="bottom"/>
          </w:tcPr>
          <w:p>
            <w:pPr>
              <w:spacing w:after="0"/>
              <w:rPr>
                <w:sz w:val="18"/>
                <w:szCs w:val="18"/>
                <w:color w:val="auto"/>
              </w:rPr>
            </w:pPr>
          </w:p>
        </w:tc>
      </w:tr>
      <w:tr>
        <w:trPr>
          <w:trHeight w:val="252"/>
        </w:trPr>
        <w:tc>
          <w:tcPr>
            <w:tcW w:w="786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Adjusted net income</w:t>
            </w:r>
          </w:p>
        </w:tc>
        <w:tc>
          <w:tcPr>
            <w:tcW w:w="1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rPr>
              <w:t>830,410</w:t>
            </w:r>
          </w:p>
        </w:tc>
        <w:tc>
          <w:tcPr>
            <w:tcW w:w="124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b w:val="1"/>
                <w:bCs w:val="1"/>
                <w:color w:val="auto"/>
              </w:rPr>
              <w:t>$661,419</w:t>
            </w: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$550,797</w:t>
            </w:r>
          </w:p>
        </w:tc>
        <w:tc>
          <w:tcPr>
            <w:tcW w:w="20" w:type="dxa"/>
            <w:vAlign w:val="bottom"/>
          </w:tcPr>
          <w:p>
            <w:pPr>
              <w:spacing w:after="0"/>
              <w:rPr>
                <w:sz w:val="21"/>
                <w:szCs w:val="21"/>
                <w:color w:val="auto"/>
              </w:rPr>
            </w:pPr>
          </w:p>
        </w:tc>
      </w:tr>
      <w:tr>
        <w:trPr>
          <w:trHeight w:val="97"/>
        </w:trPr>
        <w:tc>
          <w:tcPr>
            <w:tcW w:w="78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7144385</wp:posOffset>
            </wp:positionH>
            <wp:positionV relativeFrom="paragraph">
              <wp:posOffset>-13970</wp:posOffset>
            </wp:positionV>
            <wp:extent cx="1270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13" w:name="page114"/>
    <w:bookmarkEnd w:id="113"/>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780" w:type="dxa"/>
            <w:vAlign w:val="bottom"/>
          </w:tcPr>
          <w:p>
            <w:pPr>
              <w:spacing w:after="0"/>
              <w:rPr>
                <w:sz w:val="22"/>
                <w:szCs w:val="22"/>
                <w:color w:val="auto"/>
              </w:rPr>
            </w:pPr>
          </w:p>
        </w:tc>
        <w:tc>
          <w:tcPr>
            <w:tcW w:w="2820" w:type="dxa"/>
            <w:vAlign w:val="bottom"/>
            <w:tcBorders>
              <w:right w:val="single" w:sz="8" w:color="16479F"/>
            </w:tcBorders>
            <w:gridSpan w:val="2"/>
          </w:tcPr>
          <w:p>
            <w:pPr>
              <w:jc w:val="right"/>
              <w:ind w:right="84"/>
              <w:spacing w:after="0"/>
              <w:rPr>
                <w:sz w:val="20"/>
                <w:szCs w:val="20"/>
                <w:color w:val="auto"/>
              </w:rPr>
            </w:pPr>
            <w:r>
              <w:rPr>
                <w:rFonts w:ascii="Arial" w:cs="Arial" w:eastAsia="Arial" w:hAnsi="Arial"/>
                <w:sz w:val="14"/>
                <w:szCs w:val="14"/>
                <w:b w:val="1"/>
                <w:bCs w:val="1"/>
                <w:color w:val="16479F"/>
              </w:rPr>
              <w:t>2022 PROXY STATEMENT</w:t>
            </w:r>
          </w:p>
        </w:tc>
        <w:tc>
          <w:tcPr>
            <w:tcW w:w="640" w:type="dxa"/>
            <w:vAlign w:val="bottom"/>
          </w:tcPr>
          <w:p>
            <w:pPr>
              <w:jc w:val="right"/>
              <w:ind w:right="4"/>
              <w:spacing w:after="0"/>
              <w:rPr>
                <w:sz w:val="20"/>
                <w:szCs w:val="20"/>
                <w:color w:val="auto"/>
              </w:rPr>
            </w:pPr>
            <w:r>
              <w:rPr>
                <w:rFonts w:ascii="Arial" w:cs="Arial" w:eastAsia="Arial" w:hAnsi="Arial"/>
                <w:sz w:val="14"/>
                <w:szCs w:val="14"/>
                <w:b w:val="1"/>
                <w:bCs w:val="1"/>
                <w:color w:val="16479F"/>
              </w:rPr>
              <w:t>113</w:t>
            </w:r>
          </w:p>
        </w:tc>
      </w:tr>
      <w:tr>
        <w:trPr>
          <w:trHeight w:val="65"/>
        </w:trPr>
        <w:tc>
          <w:tcPr>
            <w:tcW w:w="7780" w:type="dxa"/>
            <w:vAlign w:val="bottom"/>
            <w:tcBorders>
              <w:bottom w:val="single" w:sz="8" w:color="16479F"/>
            </w:tcBorders>
          </w:tcPr>
          <w:p>
            <w:pPr>
              <w:spacing w:after="0"/>
              <w:rPr>
                <w:sz w:val="5"/>
                <w:szCs w:val="5"/>
                <w:color w:val="auto"/>
              </w:rPr>
            </w:pPr>
          </w:p>
        </w:tc>
        <w:tc>
          <w:tcPr>
            <w:tcW w:w="1140" w:type="dxa"/>
            <w:vAlign w:val="bottom"/>
            <w:tcBorders>
              <w:bottom w:val="single" w:sz="8" w:color="16479F"/>
            </w:tcBorders>
          </w:tcPr>
          <w:p>
            <w:pPr>
              <w:spacing w:after="0"/>
              <w:rPr>
                <w:sz w:val="5"/>
                <w:szCs w:val="5"/>
                <w:color w:val="auto"/>
              </w:rPr>
            </w:pPr>
          </w:p>
        </w:tc>
        <w:tc>
          <w:tcPr>
            <w:tcW w:w="1680" w:type="dxa"/>
            <w:vAlign w:val="bottom"/>
            <w:tcBorders>
              <w:bottom w:val="single" w:sz="8" w:color="16479F"/>
              <w:right w:val="single" w:sz="8" w:color="16479F"/>
            </w:tcBorders>
          </w:tcPr>
          <w:p>
            <w:pPr>
              <w:spacing w:after="0"/>
              <w:rPr>
                <w:sz w:val="5"/>
                <w:szCs w:val="5"/>
                <w:color w:val="auto"/>
              </w:rPr>
            </w:pPr>
          </w:p>
        </w:tc>
        <w:tc>
          <w:tcPr>
            <w:tcW w:w="640" w:type="dxa"/>
            <w:vAlign w:val="bottom"/>
            <w:tcBorders>
              <w:bottom w:val="single" w:sz="8" w:color="16479F"/>
            </w:tcBorders>
          </w:tcPr>
          <w:p>
            <w:pPr>
              <w:spacing w:after="0"/>
              <w:rPr>
                <w:sz w:val="5"/>
                <w:szCs w:val="5"/>
                <w:color w:val="auto"/>
              </w:rPr>
            </w:pPr>
          </w:p>
        </w:tc>
      </w:tr>
      <w:tr>
        <w:trPr>
          <w:trHeight w:val="390"/>
        </w:trPr>
        <w:tc>
          <w:tcPr>
            <w:tcW w:w="7780" w:type="dxa"/>
            <w:vAlign w:val="bottom"/>
          </w:tcPr>
          <w:p>
            <w:pPr>
              <w:spacing w:after="0"/>
              <w:rPr>
                <w:sz w:val="24"/>
                <w:szCs w:val="24"/>
                <w:color w:val="auto"/>
              </w:rPr>
            </w:pPr>
          </w:p>
        </w:tc>
        <w:tc>
          <w:tcPr>
            <w:tcW w:w="1140" w:type="dxa"/>
            <w:vAlign w:val="bottom"/>
            <w:tcBorders>
              <w:bottom w:val="single" w:sz="8" w:color="16479F"/>
            </w:tcBorders>
          </w:tcPr>
          <w:p>
            <w:pPr>
              <w:spacing w:after="0"/>
              <w:rPr>
                <w:sz w:val="24"/>
                <w:szCs w:val="24"/>
                <w:color w:val="auto"/>
              </w:rPr>
            </w:pPr>
          </w:p>
        </w:tc>
        <w:tc>
          <w:tcPr>
            <w:tcW w:w="1680" w:type="dxa"/>
            <w:vAlign w:val="bottom"/>
            <w:tcBorders>
              <w:bottom w:val="single" w:sz="8" w:color="16479F"/>
            </w:tcBorders>
          </w:tcPr>
          <w:p>
            <w:pPr>
              <w:ind w:left="140"/>
              <w:spacing w:after="0"/>
              <w:rPr>
                <w:sz w:val="20"/>
                <w:szCs w:val="20"/>
                <w:color w:val="auto"/>
              </w:rPr>
            </w:pPr>
            <w:r>
              <w:rPr>
                <w:rFonts w:ascii="Arial" w:cs="Arial" w:eastAsia="Arial" w:hAnsi="Arial"/>
                <w:sz w:val="15"/>
                <w:szCs w:val="15"/>
                <w:b w:val="1"/>
                <w:bCs w:val="1"/>
                <w:color w:val="auto"/>
              </w:rPr>
              <w:t>Years Ended</w:t>
            </w:r>
          </w:p>
        </w:tc>
        <w:tc>
          <w:tcPr>
            <w:tcW w:w="640" w:type="dxa"/>
            <w:vAlign w:val="bottom"/>
            <w:tcBorders>
              <w:bottom w:val="single" w:sz="8" w:color="16479F"/>
            </w:tcBorders>
          </w:tcPr>
          <w:p>
            <w:pPr>
              <w:spacing w:after="0"/>
              <w:rPr>
                <w:sz w:val="24"/>
                <w:szCs w:val="24"/>
                <w:color w:val="auto"/>
              </w:rPr>
            </w:pPr>
          </w:p>
        </w:tc>
      </w:tr>
      <w:tr>
        <w:trPr>
          <w:trHeight w:val="208"/>
        </w:trPr>
        <w:tc>
          <w:tcPr>
            <w:tcW w:w="7780" w:type="dxa"/>
            <w:vAlign w:val="bottom"/>
            <w:tcBorders>
              <w:bottom w:val="single" w:sz="8" w:color="16479F"/>
            </w:tcBorders>
          </w:tcPr>
          <w:p>
            <w:pPr>
              <w:ind w:left="60"/>
              <w:spacing w:after="0"/>
              <w:rPr>
                <w:sz w:val="20"/>
                <w:szCs w:val="20"/>
                <w:color w:val="auto"/>
              </w:rPr>
            </w:pPr>
            <w:r>
              <w:rPr>
                <w:rFonts w:ascii="Arial" w:cs="Arial" w:eastAsia="Arial" w:hAnsi="Arial"/>
                <w:sz w:val="15"/>
                <w:szCs w:val="15"/>
                <w:b w:val="1"/>
                <w:bCs w:val="1"/>
                <w:color w:val="auto"/>
              </w:rPr>
              <w:t>In Thousands, Except Per Share Data</w:t>
            </w:r>
          </w:p>
        </w:tc>
        <w:tc>
          <w:tcPr>
            <w:tcW w:w="1140" w:type="dxa"/>
            <w:vAlign w:val="bottom"/>
            <w:tcBorders>
              <w:bottom w:val="single" w:sz="8" w:color="16479F"/>
            </w:tcBorders>
          </w:tcPr>
          <w:p>
            <w:pPr>
              <w:jc w:val="right"/>
              <w:ind w:right="44"/>
              <w:spacing w:after="0"/>
              <w:rPr>
                <w:sz w:val="20"/>
                <w:szCs w:val="20"/>
                <w:color w:val="auto"/>
              </w:rPr>
            </w:pPr>
            <w:r>
              <w:rPr>
                <w:rFonts w:ascii="Arial" w:cs="Arial" w:eastAsia="Arial" w:hAnsi="Arial"/>
                <w:sz w:val="15"/>
                <w:szCs w:val="15"/>
                <w:b w:val="1"/>
                <w:bCs w:val="1"/>
                <w:color w:val="auto"/>
              </w:rPr>
              <w:t>Dec. 31, 2021</w:t>
            </w:r>
          </w:p>
        </w:tc>
        <w:tc>
          <w:tcPr>
            <w:tcW w:w="2320" w:type="dxa"/>
            <w:vAlign w:val="bottom"/>
            <w:tcBorders>
              <w:bottom w:val="single" w:sz="8" w:color="16479F"/>
            </w:tcBorders>
            <w:gridSpan w:val="2"/>
          </w:tcPr>
          <w:p>
            <w:pPr>
              <w:ind w:left="140"/>
              <w:spacing w:after="0"/>
              <w:rPr>
                <w:sz w:val="20"/>
                <w:szCs w:val="20"/>
                <w:color w:val="auto"/>
              </w:rPr>
            </w:pPr>
            <w:r>
              <w:rPr>
                <w:rFonts w:ascii="Arial" w:cs="Arial" w:eastAsia="Arial" w:hAnsi="Arial"/>
                <w:sz w:val="15"/>
                <w:szCs w:val="15"/>
                <w:b w:val="1"/>
                <w:bCs w:val="1"/>
                <w:color w:val="auto"/>
              </w:rPr>
              <w:t>Dec. 31, 2020   Dec. 31, 2019</w:t>
            </w:r>
          </w:p>
        </w:tc>
      </w:tr>
      <w:tr>
        <w:trPr>
          <w:trHeight w:val="212"/>
        </w:trPr>
        <w:tc>
          <w:tcPr>
            <w:tcW w:w="7780" w:type="dxa"/>
            <w:vAlign w:val="bottom"/>
            <w:shd w:val="clear" w:color="auto" w:fill="F0F1F8"/>
          </w:tcPr>
          <w:p>
            <w:pPr>
              <w:ind w:left="60"/>
              <w:spacing w:after="0"/>
              <w:rPr>
                <w:sz w:val="20"/>
                <w:szCs w:val="20"/>
                <w:color w:val="auto"/>
              </w:rPr>
            </w:pPr>
            <w:r>
              <w:rPr>
                <w:rFonts w:ascii="Arial" w:cs="Arial" w:eastAsia="Arial" w:hAnsi="Arial"/>
                <w:sz w:val="15"/>
                <w:szCs w:val="15"/>
                <w:color w:val="auto"/>
              </w:rPr>
              <w:t>Diluted EPS</w:t>
            </w:r>
          </w:p>
        </w:tc>
        <w:tc>
          <w:tcPr>
            <w:tcW w:w="1140" w:type="dxa"/>
            <w:vAlign w:val="bottom"/>
            <w:shd w:val="clear" w:color="auto" w:fill="F0F1F8"/>
          </w:tcPr>
          <w:p>
            <w:pPr>
              <w:jc w:val="right"/>
              <w:ind w:right="164"/>
              <w:spacing w:after="0"/>
              <w:rPr>
                <w:sz w:val="20"/>
                <w:szCs w:val="20"/>
                <w:color w:val="auto"/>
              </w:rPr>
            </w:pPr>
            <w:r>
              <w:rPr>
                <w:rFonts w:ascii="Arial" w:cs="Arial" w:eastAsia="Arial" w:hAnsi="Arial"/>
                <w:sz w:val="15"/>
                <w:szCs w:val="15"/>
                <w:color w:val="auto"/>
              </w:rPr>
              <w:t>$ 8.70</w:t>
            </w:r>
          </w:p>
        </w:tc>
        <w:tc>
          <w:tcPr>
            <w:tcW w:w="1680" w:type="dxa"/>
            <w:vAlign w:val="bottom"/>
            <w:tcBorders>
              <w:right w:val="single" w:sz="8" w:color="F0F1F8"/>
            </w:tcBorders>
            <w:shd w:val="clear" w:color="auto" w:fill="F0F1F8"/>
          </w:tcPr>
          <w:p>
            <w:pPr>
              <w:jc w:val="right"/>
              <w:ind w:right="624"/>
              <w:spacing w:after="0"/>
              <w:rPr>
                <w:sz w:val="20"/>
                <w:szCs w:val="20"/>
                <w:color w:val="auto"/>
              </w:rPr>
            </w:pPr>
            <w:r>
              <w:rPr>
                <w:rFonts w:ascii="Arial" w:cs="Arial" w:eastAsia="Arial" w:hAnsi="Arial"/>
                <w:sz w:val="15"/>
                <w:szCs w:val="15"/>
                <w:color w:val="auto"/>
              </w:rPr>
              <w:t>$ 7.12</w:t>
            </w:r>
          </w:p>
        </w:tc>
        <w:tc>
          <w:tcPr>
            <w:tcW w:w="640" w:type="dxa"/>
            <w:vAlign w:val="bottom"/>
            <w:shd w:val="clear" w:color="auto" w:fill="F0F1F8"/>
          </w:tcPr>
          <w:p>
            <w:pPr>
              <w:jc w:val="right"/>
              <w:ind w:right="24"/>
              <w:spacing w:after="0"/>
              <w:rPr>
                <w:sz w:val="20"/>
                <w:szCs w:val="20"/>
                <w:color w:val="auto"/>
              </w:rPr>
            </w:pPr>
            <w:r>
              <w:rPr>
                <w:rFonts w:ascii="Arial" w:cs="Arial" w:eastAsia="Arial" w:hAnsi="Arial"/>
                <w:sz w:val="15"/>
                <w:szCs w:val="15"/>
                <w:color w:val="auto"/>
              </w:rPr>
              <w:t>$ 6.59</w:t>
            </w:r>
          </w:p>
        </w:tc>
      </w:tr>
      <w:tr>
        <w:trPr>
          <w:trHeight w:val="209"/>
        </w:trPr>
        <w:tc>
          <w:tcPr>
            <w:tcW w:w="7780" w:type="dxa"/>
            <w:vAlign w:val="bottom"/>
          </w:tcPr>
          <w:p>
            <w:pPr>
              <w:ind w:left="60"/>
              <w:spacing w:after="0"/>
              <w:rPr>
                <w:sz w:val="20"/>
                <w:szCs w:val="20"/>
                <w:color w:val="auto"/>
              </w:rPr>
            </w:pPr>
            <w:r>
              <w:rPr>
                <w:rFonts w:ascii="Arial" w:cs="Arial" w:eastAsia="Arial" w:hAnsi="Arial"/>
                <w:sz w:val="15"/>
                <w:szCs w:val="15"/>
                <w:color w:val="auto"/>
              </w:rPr>
              <w:t>Plus: Amortization of acquired intangible assets and equity method investment basis difference</w:t>
            </w:r>
          </w:p>
        </w:tc>
        <w:tc>
          <w:tcPr>
            <w:tcW w:w="1140" w:type="dxa"/>
            <w:vAlign w:val="bottom"/>
          </w:tcPr>
          <w:p>
            <w:pPr>
              <w:jc w:val="right"/>
              <w:ind w:right="164"/>
              <w:spacing w:after="0"/>
              <w:rPr>
                <w:sz w:val="20"/>
                <w:szCs w:val="20"/>
                <w:color w:val="auto"/>
              </w:rPr>
            </w:pPr>
            <w:r>
              <w:rPr>
                <w:rFonts w:ascii="Arial" w:cs="Arial" w:eastAsia="Arial" w:hAnsi="Arial"/>
                <w:sz w:val="15"/>
                <w:szCs w:val="15"/>
                <w:color w:val="auto"/>
              </w:rPr>
              <w:t>0.56</w:t>
            </w:r>
          </w:p>
        </w:tc>
        <w:tc>
          <w:tcPr>
            <w:tcW w:w="1680" w:type="dxa"/>
            <w:vAlign w:val="bottom"/>
          </w:tcPr>
          <w:p>
            <w:pPr>
              <w:jc w:val="right"/>
              <w:ind w:right="624"/>
              <w:spacing w:after="0"/>
              <w:rPr>
                <w:sz w:val="20"/>
                <w:szCs w:val="20"/>
                <w:color w:val="auto"/>
              </w:rPr>
            </w:pPr>
            <w:r>
              <w:rPr>
                <w:rFonts w:ascii="Arial" w:cs="Arial" w:eastAsia="Arial" w:hAnsi="Arial"/>
                <w:sz w:val="15"/>
                <w:szCs w:val="15"/>
                <w:color w:val="auto"/>
              </w:rPr>
              <w:t>0.44</w:t>
            </w: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0.41</w:t>
            </w:r>
          </w:p>
        </w:tc>
      </w:tr>
      <w:tr>
        <w:trPr>
          <w:trHeight w:val="219"/>
        </w:trPr>
        <w:tc>
          <w:tcPr>
            <w:tcW w:w="7780" w:type="dxa"/>
            <w:vAlign w:val="bottom"/>
            <w:shd w:val="clear" w:color="auto" w:fill="F0F1F8"/>
          </w:tcPr>
          <w:p>
            <w:pPr>
              <w:ind w:left="60"/>
              <w:spacing w:after="0"/>
              <w:rPr>
                <w:sz w:val="20"/>
                <w:szCs w:val="20"/>
                <w:color w:val="auto"/>
              </w:rPr>
            </w:pPr>
            <w:r>
              <w:rPr>
                <w:rFonts w:ascii="Arial" w:cs="Arial" w:eastAsia="Arial" w:hAnsi="Arial"/>
                <w:sz w:val="15"/>
                <w:szCs w:val="15"/>
                <w:color w:val="auto"/>
              </w:rPr>
              <w:t>Plus: Multi-Year PSU payroll tax expense</w:t>
            </w:r>
          </w:p>
        </w:tc>
        <w:tc>
          <w:tcPr>
            <w:tcW w:w="1140" w:type="dxa"/>
            <w:vAlign w:val="bottom"/>
            <w:shd w:val="clear" w:color="auto" w:fill="F0F1F8"/>
          </w:tcPr>
          <w:p>
            <w:pPr>
              <w:jc w:val="right"/>
              <w:ind w:right="164"/>
              <w:spacing w:after="0"/>
              <w:rPr>
                <w:sz w:val="20"/>
                <w:szCs w:val="20"/>
                <w:color w:val="auto"/>
              </w:rPr>
            </w:pPr>
            <w:r>
              <w:rPr>
                <w:rFonts w:ascii="Arial" w:cs="Arial" w:eastAsia="Arial" w:hAnsi="Arial"/>
                <w:sz w:val="15"/>
                <w:szCs w:val="15"/>
                <w:color w:val="auto"/>
              </w:rPr>
              <w:t>—</w:t>
            </w:r>
          </w:p>
        </w:tc>
        <w:tc>
          <w:tcPr>
            <w:tcW w:w="1680" w:type="dxa"/>
            <w:vAlign w:val="bottom"/>
            <w:tcBorders>
              <w:right w:val="single" w:sz="8" w:color="F0F1F8"/>
            </w:tcBorders>
            <w:shd w:val="clear" w:color="auto" w:fill="F0F1F8"/>
          </w:tcPr>
          <w:p>
            <w:pPr>
              <w:jc w:val="right"/>
              <w:ind w:right="624"/>
              <w:spacing w:after="0"/>
              <w:rPr>
                <w:sz w:val="20"/>
                <w:szCs w:val="20"/>
                <w:color w:val="auto"/>
              </w:rPr>
            </w:pPr>
            <w:r>
              <w:rPr>
                <w:rFonts w:ascii="Arial" w:cs="Arial" w:eastAsia="Arial" w:hAnsi="Arial"/>
                <w:sz w:val="15"/>
                <w:szCs w:val="15"/>
                <w:color w:val="auto"/>
              </w:rPr>
              <w:t>—</w:t>
            </w:r>
          </w:p>
        </w:tc>
        <w:tc>
          <w:tcPr>
            <w:tcW w:w="640" w:type="dxa"/>
            <w:vAlign w:val="bottom"/>
            <w:shd w:val="clear" w:color="auto" w:fill="F0F1F8"/>
          </w:tcPr>
          <w:p>
            <w:pPr>
              <w:jc w:val="right"/>
              <w:ind w:right="24"/>
              <w:spacing w:after="0"/>
              <w:rPr>
                <w:sz w:val="20"/>
                <w:szCs w:val="20"/>
                <w:color w:val="auto"/>
              </w:rPr>
            </w:pPr>
            <w:r>
              <w:rPr>
                <w:rFonts w:ascii="Arial" w:cs="Arial" w:eastAsia="Arial" w:hAnsi="Arial"/>
                <w:sz w:val="15"/>
                <w:szCs w:val="15"/>
                <w:color w:val="auto"/>
              </w:rPr>
              <w:t>0.18</w:t>
            </w:r>
          </w:p>
        </w:tc>
      </w:tr>
      <w:tr>
        <w:trPr>
          <w:trHeight w:val="209"/>
        </w:trPr>
        <w:tc>
          <w:tcPr>
            <w:tcW w:w="7780" w:type="dxa"/>
            <w:vAlign w:val="bottom"/>
          </w:tcPr>
          <w:p>
            <w:pPr>
              <w:ind w:left="60"/>
              <w:spacing w:after="0"/>
              <w:rPr>
                <w:sz w:val="20"/>
                <w:szCs w:val="20"/>
                <w:color w:val="auto"/>
              </w:rPr>
            </w:pPr>
            <w:r>
              <w:rPr>
                <w:rFonts w:ascii="Arial" w:cs="Arial" w:eastAsia="Arial" w:hAnsi="Arial"/>
                <w:sz w:val="15"/>
                <w:szCs w:val="15"/>
                <w:color w:val="auto"/>
              </w:rPr>
              <w:t>Less: Discrete excess tax benefit related to Multi-Year PSU vesting</w:t>
            </w:r>
          </w:p>
        </w:tc>
        <w:tc>
          <w:tcPr>
            <w:tcW w:w="114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680" w:type="dxa"/>
            <w:vAlign w:val="bottom"/>
          </w:tcPr>
          <w:p>
            <w:pPr>
              <w:jc w:val="right"/>
              <w:ind w:right="624"/>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(0.78)</w:t>
            </w:r>
          </w:p>
        </w:tc>
      </w:tr>
      <w:tr>
        <w:trPr>
          <w:trHeight w:val="219"/>
        </w:trPr>
        <w:tc>
          <w:tcPr>
            <w:tcW w:w="7780" w:type="dxa"/>
            <w:vAlign w:val="bottom"/>
            <w:shd w:val="clear" w:color="auto" w:fill="F0F1F8"/>
          </w:tcPr>
          <w:p>
            <w:pPr>
              <w:ind w:left="60"/>
              <w:spacing w:after="0"/>
              <w:rPr>
                <w:sz w:val="20"/>
                <w:szCs w:val="20"/>
                <w:color w:val="auto"/>
              </w:rPr>
            </w:pPr>
            <w:r>
              <w:rPr>
                <w:rFonts w:ascii="Arial" w:cs="Arial" w:eastAsia="Arial" w:hAnsi="Arial"/>
                <w:sz w:val="15"/>
                <w:szCs w:val="15"/>
                <w:color w:val="auto"/>
              </w:rPr>
              <w:t>Plus: Debt extinguishment costs associated with the 2024, 2025, 2026 and 2027 Senior Notes Redemptions</w:t>
            </w:r>
          </w:p>
        </w:tc>
        <w:tc>
          <w:tcPr>
            <w:tcW w:w="1140" w:type="dxa"/>
            <w:vAlign w:val="bottom"/>
            <w:shd w:val="clear" w:color="auto" w:fill="F0F1F8"/>
          </w:tcPr>
          <w:p>
            <w:pPr>
              <w:jc w:val="right"/>
              <w:ind w:right="164"/>
              <w:spacing w:after="0"/>
              <w:rPr>
                <w:sz w:val="20"/>
                <w:szCs w:val="20"/>
                <w:color w:val="auto"/>
              </w:rPr>
            </w:pPr>
            <w:r>
              <w:rPr>
                <w:rFonts w:ascii="Arial" w:cs="Arial" w:eastAsia="Arial" w:hAnsi="Arial"/>
                <w:sz w:val="15"/>
                <w:szCs w:val="15"/>
                <w:color w:val="auto"/>
              </w:rPr>
              <w:t>0.71</w:t>
            </w:r>
          </w:p>
        </w:tc>
        <w:tc>
          <w:tcPr>
            <w:tcW w:w="1680" w:type="dxa"/>
            <w:vAlign w:val="bottom"/>
            <w:tcBorders>
              <w:right w:val="single" w:sz="8" w:color="F0F1F8"/>
            </w:tcBorders>
            <w:shd w:val="clear" w:color="auto" w:fill="F0F1F8"/>
          </w:tcPr>
          <w:p>
            <w:pPr>
              <w:jc w:val="right"/>
              <w:ind w:right="624"/>
              <w:spacing w:after="0"/>
              <w:rPr>
                <w:sz w:val="20"/>
                <w:szCs w:val="20"/>
                <w:color w:val="auto"/>
              </w:rPr>
            </w:pPr>
            <w:r>
              <w:rPr>
                <w:rFonts w:ascii="Arial" w:cs="Arial" w:eastAsia="Arial" w:hAnsi="Arial"/>
                <w:sz w:val="15"/>
                <w:szCs w:val="15"/>
                <w:color w:val="auto"/>
              </w:rPr>
              <w:t>0.53</w:t>
            </w:r>
          </w:p>
        </w:tc>
        <w:tc>
          <w:tcPr>
            <w:tcW w:w="640" w:type="dxa"/>
            <w:vAlign w:val="bottom"/>
            <w:shd w:val="clear" w:color="auto" w:fill="F0F1F8"/>
          </w:tcPr>
          <w:p>
            <w:pPr>
              <w:jc w:val="right"/>
              <w:ind w:right="24"/>
              <w:spacing w:after="0"/>
              <w:rPr>
                <w:sz w:val="20"/>
                <w:szCs w:val="20"/>
                <w:color w:val="auto"/>
              </w:rPr>
            </w:pPr>
            <w:r>
              <w:rPr>
                <w:rFonts w:ascii="Arial" w:cs="Arial" w:eastAsia="Arial" w:hAnsi="Arial"/>
                <w:sz w:val="15"/>
                <w:szCs w:val="15"/>
                <w:color w:val="auto"/>
              </w:rPr>
              <w:t>0.20</w:t>
            </w:r>
          </w:p>
        </w:tc>
      </w:tr>
      <w:tr>
        <w:trPr>
          <w:trHeight w:val="209"/>
        </w:trPr>
        <w:tc>
          <w:tcPr>
            <w:tcW w:w="7780" w:type="dxa"/>
            <w:vAlign w:val="bottom"/>
          </w:tcPr>
          <w:p>
            <w:pPr>
              <w:ind w:left="60"/>
              <w:spacing w:after="0"/>
              <w:rPr>
                <w:sz w:val="20"/>
                <w:szCs w:val="20"/>
                <w:color w:val="auto"/>
              </w:rPr>
            </w:pPr>
            <w:r>
              <w:rPr>
                <w:rFonts w:ascii="Arial" w:cs="Arial" w:eastAsia="Arial" w:hAnsi="Arial"/>
                <w:sz w:val="15"/>
                <w:szCs w:val="15"/>
                <w:color w:val="auto"/>
              </w:rPr>
              <w:t>Plus: Write-off of internally developed capitalized software</w:t>
            </w:r>
          </w:p>
        </w:tc>
        <w:tc>
          <w:tcPr>
            <w:tcW w:w="1140" w:type="dxa"/>
            <w:vAlign w:val="bottom"/>
          </w:tcPr>
          <w:p>
            <w:pPr>
              <w:jc w:val="right"/>
              <w:ind w:right="164"/>
              <w:spacing w:after="0"/>
              <w:rPr>
                <w:sz w:val="20"/>
                <w:szCs w:val="20"/>
                <w:color w:val="auto"/>
              </w:rPr>
            </w:pPr>
            <w:r>
              <w:rPr>
                <w:rFonts w:ascii="Arial" w:cs="Arial" w:eastAsia="Arial" w:hAnsi="Arial"/>
                <w:sz w:val="15"/>
                <w:szCs w:val="15"/>
                <w:color w:val="auto"/>
              </w:rPr>
              <w:t>0.19</w:t>
            </w:r>
          </w:p>
        </w:tc>
        <w:tc>
          <w:tcPr>
            <w:tcW w:w="1680" w:type="dxa"/>
            <w:vAlign w:val="bottom"/>
          </w:tcPr>
          <w:p>
            <w:pPr>
              <w:jc w:val="right"/>
              <w:ind w:right="624"/>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259"/>
        </w:trPr>
        <w:tc>
          <w:tcPr>
            <w:tcW w:w="7780" w:type="dxa"/>
            <w:vAlign w:val="bottom"/>
            <w:shd w:val="clear" w:color="auto" w:fill="F0F1F8"/>
          </w:tcPr>
          <w:p>
            <w:pPr>
              <w:ind w:left="60"/>
              <w:spacing w:after="0" w:line="259" w:lineRule="exact"/>
              <w:rPr>
                <w:sz w:val="20"/>
                <w:szCs w:val="20"/>
                <w:color w:val="auto"/>
              </w:rPr>
            </w:pPr>
            <w:r>
              <w:rPr>
                <w:rFonts w:ascii="Arial" w:cs="Arial" w:eastAsia="Arial" w:hAnsi="Arial"/>
                <w:sz w:val="15"/>
                <w:szCs w:val="15"/>
                <w:color w:val="auto"/>
              </w:rPr>
              <w:t>Plus: Impairment related to sublease of leased property</w:t>
            </w:r>
            <w:r>
              <w:rPr>
                <w:rFonts w:ascii="Arial" w:cs="Arial" w:eastAsia="Arial" w:hAnsi="Arial"/>
                <w:sz w:val="25"/>
                <w:szCs w:val="25"/>
                <w:color w:val="auto"/>
                <w:vertAlign w:val="superscript"/>
              </w:rPr>
              <w:t>(1)</w:t>
            </w:r>
          </w:p>
        </w:tc>
        <w:tc>
          <w:tcPr>
            <w:tcW w:w="1140" w:type="dxa"/>
            <w:vAlign w:val="bottom"/>
            <w:shd w:val="clear" w:color="auto" w:fill="F0F1F8"/>
          </w:tcPr>
          <w:p>
            <w:pPr>
              <w:jc w:val="right"/>
              <w:ind w:right="164"/>
              <w:spacing w:after="0"/>
              <w:rPr>
                <w:sz w:val="20"/>
                <w:szCs w:val="20"/>
                <w:color w:val="auto"/>
              </w:rPr>
            </w:pPr>
            <w:r>
              <w:rPr>
                <w:rFonts w:ascii="Arial" w:cs="Arial" w:eastAsia="Arial" w:hAnsi="Arial"/>
                <w:sz w:val="15"/>
                <w:szCs w:val="15"/>
                <w:color w:val="auto"/>
              </w:rPr>
              <w:t>0.10</w:t>
            </w:r>
          </w:p>
        </w:tc>
        <w:tc>
          <w:tcPr>
            <w:tcW w:w="1680" w:type="dxa"/>
            <w:vAlign w:val="bottom"/>
            <w:tcBorders>
              <w:right w:val="single" w:sz="8" w:color="F0F1F8"/>
            </w:tcBorders>
            <w:shd w:val="clear" w:color="auto" w:fill="F0F1F8"/>
          </w:tcPr>
          <w:p>
            <w:pPr>
              <w:jc w:val="right"/>
              <w:ind w:right="624"/>
              <w:spacing w:after="0"/>
              <w:rPr>
                <w:sz w:val="20"/>
                <w:szCs w:val="20"/>
                <w:color w:val="auto"/>
              </w:rPr>
            </w:pPr>
            <w:r>
              <w:rPr>
                <w:rFonts w:ascii="Arial" w:cs="Arial" w:eastAsia="Arial" w:hAnsi="Arial"/>
                <w:sz w:val="15"/>
                <w:szCs w:val="15"/>
                <w:color w:val="auto"/>
              </w:rPr>
              <w:t>—</w:t>
            </w:r>
          </w:p>
        </w:tc>
        <w:tc>
          <w:tcPr>
            <w:tcW w:w="640" w:type="dxa"/>
            <w:vAlign w:val="bottom"/>
            <w:shd w:val="clear" w:color="auto" w:fill="F0F1F8"/>
          </w:tcPr>
          <w:p>
            <w:pPr>
              <w:jc w:val="right"/>
              <w:ind w:right="24"/>
              <w:spacing w:after="0"/>
              <w:rPr>
                <w:sz w:val="20"/>
                <w:szCs w:val="20"/>
                <w:color w:val="auto"/>
              </w:rPr>
            </w:pPr>
            <w:r>
              <w:rPr>
                <w:rFonts w:ascii="Arial" w:cs="Arial" w:eastAsia="Arial" w:hAnsi="Arial"/>
                <w:sz w:val="15"/>
                <w:szCs w:val="15"/>
                <w:color w:val="auto"/>
              </w:rPr>
              <w:t>—</w:t>
            </w:r>
          </w:p>
        </w:tc>
      </w:tr>
      <w:tr>
        <w:trPr>
          <w:trHeight w:val="254"/>
        </w:trPr>
        <w:tc>
          <w:tcPr>
            <w:tcW w:w="7780" w:type="dxa"/>
            <w:vAlign w:val="bottom"/>
          </w:tcPr>
          <w:p>
            <w:pPr>
              <w:ind w:left="60"/>
              <w:spacing w:after="0" w:line="254" w:lineRule="exact"/>
              <w:rPr>
                <w:sz w:val="20"/>
                <w:szCs w:val="20"/>
                <w:color w:val="auto"/>
              </w:rPr>
            </w:pPr>
            <w:r>
              <w:rPr>
                <w:rFonts w:ascii="Arial" w:cs="Arial" w:eastAsia="Arial" w:hAnsi="Arial"/>
                <w:sz w:val="15"/>
                <w:szCs w:val="15"/>
                <w:color w:val="auto"/>
              </w:rPr>
              <w:t>Plus: Acquisition-related integration and transaction costs</w:t>
            </w:r>
            <w:r>
              <w:rPr>
                <w:rFonts w:ascii="Arial" w:cs="Arial" w:eastAsia="Arial" w:hAnsi="Arial"/>
                <w:sz w:val="25"/>
                <w:szCs w:val="25"/>
                <w:color w:val="auto"/>
                <w:vertAlign w:val="superscript"/>
              </w:rPr>
              <w:t>(2)(3)</w:t>
            </w:r>
          </w:p>
        </w:tc>
        <w:tc>
          <w:tcPr>
            <w:tcW w:w="1140" w:type="dxa"/>
            <w:vAlign w:val="bottom"/>
          </w:tcPr>
          <w:p>
            <w:pPr>
              <w:jc w:val="right"/>
              <w:ind w:right="164"/>
              <w:spacing w:after="0"/>
              <w:rPr>
                <w:sz w:val="20"/>
                <w:szCs w:val="20"/>
                <w:color w:val="auto"/>
              </w:rPr>
            </w:pPr>
            <w:r>
              <w:rPr>
                <w:rFonts w:ascii="Arial" w:cs="Arial" w:eastAsia="Arial" w:hAnsi="Arial"/>
                <w:sz w:val="15"/>
                <w:szCs w:val="15"/>
                <w:color w:val="auto"/>
              </w:rPr>
              <w:t>0.08</w:t>
            </w:r>
          </w:p>
        </w:tc>
        <w:tc>
          <w:tcPr>
            <w:tcW w:w="1680" w:type="dxa"/>
            <w:vAlign w:val="bottom"/>
          </w:tcPr>
          <w:p>
            <w:pPr>
              <w:jc w:val="right"/>
              <w:ind w:right="624"/>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214"/>
        </w:trPr>
        <w:tc>
          <w:tcPr>
            <w:tcW w:w="7780" w:type="dxa"/>
            <w:vAlign w:val="bottom"/>
            <w:shd w:val="clear" w:color="auto" w:fill="F0F1F8"/>
          </w:tcPr>
          <w:p>
            <w:pPr>
              <w:ind w:left="60"/>
              <w:spacing w:after="0"/>
              <w:rPr>
                <w:sz w:val="20"/>
                <w:szCs w:val="20"/>
                <w:color w:val="auto"/>
              </w:rPr>
            </w:pPr>
            <w:r>
              <w:rPr>
                <w:rFonts w:ascii="Arial" w:cs="Arial" w:eastAsia="Arial" w:hAnsi="Arial"/>
                <w:sz w:val="15"/>
                <w:szCs w:val="15"/>
                <w:color w:val="auto"/>
              </w:rPr>
              <w:t>Less: Gain from changes in ownership interest of equity method investee</w:t>
            </w:r>
          </w:p>
        </w:tc>
        <w:tc>
          <w:tcPr>
            <w:tcW w:w="1140" w:type="dxa"/>
            <w:vAlign w:val="bottom"/>
            <w:shd w:val="clear" w:color="auto" w:fill="F0F1F8"/>
          </w:tcPr>
          <w:p>
            <w:pPr>
              <w:jc w:val="right"/>
              <w:ind w:right="104"/>
              <w:spacing w:after="0"/>
              <w:rPr>
                <w:sz w:val="20"/>
                <w:szCs w:val="20"/>
                <w:color w:val="auto"/>
              </w:rPr>
            </w:pPr>
            <w:r>
              <w:rPr>
                <w:rFonts w:ascii="Arial" w:cs="Arial" w:eastAsia="Arial" w:hAnsi="Arial"/>
                <w:sz w:val="15"/>
                <w:szCs w:val="15"/>
                <w:color w:val="auto"/>
              </w:rPr>
              <w:t>(0.08)</w:t>
            </w:r>
          </w:p>
        </w:tc>
        <w:tc>
          <w:tcPr>
            <w:tcW w:w="1680" w:type="dxa"/>
            <w:vAlign w:val="bottom"/>
            <w:tcBorders>
              <w:right w:val="single" w:sz="8" w:color="F0F1F8"/>
            </w:tcBorders>
            <w:shd w:val="clear" w:color="auto" w:fill="F0F1F8"/>
          </w:tcPr>
          <w:p>
            <w:pPr>
              <w:jc w:val="right"/>
              <w:ind w:right="624"/>
              <w:spacing w:after="0"/>
              <w:rPr>
                <w:sz w:val="20"/>
                <w:szCs w:val="20"/>
                <w:color w:val="auto"/>
              </w:rPr>
            </w:pPr>
            <w:r>
              <w:rPr>
                <w:rFonts w:ascii="Arial" w:cs="Arial" w:eastAsia="Arial" w:hAnsi="Arial"/>
                <w:sz w:val="15"/>
                <w:szCs w:val="15"/>
                <w:color w:val="auto"/>
              </w:rPr>
              <w:t>—</w:t>
            </w:r>
          </w:p>
        </w:tc>
        <w:tc>
          <w:tcPr>
            <w:tcW w:w="640" w:type="dxa"/>
            <w:vAlign w:val="bottom"/>
            <w:shd w:val="clear" w:color="auto" w:fill="F0F1F8"/>
          </w:tcPr>
          <w:p>
            <w:pPr>
              <w:jc w:val="right"/>
              <w:ind w:right="24"/>
              <w:spacing w:after="0"/>
              <w:rPr>
                <w:sz w:val="20"/>
                <w:szCs w:val="20"/>
                <w:color w:val="auto"/>
              </w:rPr>
            </w:pPr>
            <w:r>
              <w:rPr>
                <w:rFonts w:ascii="Arial" w:cs="Arial" w:eastAsia="Arial" w:hAnsi="Arial"/>
                <w:sz w:val="15"/>
                <w:szCs w:val="15"/>
                <w:color w:val="auto"/>
              </w:rPr>
              <w:t>—</w:t>
            </w:r>
          </w:p>
        </w:tc>
      </w:tr>
      <w:tr>
        <w:trPr>
          <w:trHeight w:val="209"/>
        </w:trPr>
        <w:tc>
          <w:tcPr>
            <w:tcW w:w="7780" w:type="dxa"/>
            <w:vAlign w:val="bottom"/>
          </w:tcPr>
          <w:p>
            <w:pPr>
              <w:ind w:left="60"/>
              <w:spacing w:after="0"/>
              <w:rPr>
                <w:sz w:val="20"/>
                <w:szCs w:val="20"/>
                <w:color w:val="auto"/>
              </w:rPr>
            </w:pPr>
            <w:r>
              <w:rPr>
                <w:rFonts w:ascii="Arial" w:cs="Arial" w:eastAsia="Arial" w:hAnsi="Arial"/>
                <w:sz w:val="15"/>
                <w:szCs w:val="15"/>
                <w:color w:val="auto"/>
              </w:rPr>
              <w:t>Plus: Tax Reform adjustments</w:t>
            </w:r>
          </w:p>
        </w:tc>
        <w:tc>
          <w:tcPr>
            <w:tcW w:w="114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680" w:type="dxa"/>
            <w:vAlign w:val="bottom"/>
          </w:tcPr>
          <w:p>
            <w:pPr>
              <w:jc w:val="right"/>
              <w:ind w:right="564"/>
              <w:spacing w:after="0"/>
              <w:rPr>
                <w:sz w:val="20"/>
                <w:szCs w:val="20"/>
                <w:color w:val="auto"/>
              </w:rPr>
            </w:pPr>
            <w:r>
              <w:rPr>
                <w:rFonts w:ascii="Arial" w:cs="Arial" w:eastAsia="Arial" w:hAnsi="Arial"/>
                <w:sz w:val="15"/>
                <w:szCs w:val="15"/>
                <w:color w:val="auto"/>
              </w:rPr>
              <w:t>(0.07)</w:t>
            </w: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214"/>
        </w:trPr>
        <w:tc>
          <w:tcPr>
            <w:tcW w:w="7780" w:type="dxa"/>
            <w:vAlign w:val="bottom"/>
            <w:shd w:val="clear" w:color="auto" w:fill="F0F1F8"/>
          </w:tcPr>
          <w:p>
            <w:pPr>
              <w:ind w:left="60"/>
              <w:spacing w:after="0"/>
              <w:rPr>
                <w:sz w:val="20"/>
                <w:szCs w:val="20"/>
                <w:color w:val="auto"/>
              </w:rPr>
            </w:pPr>
            <w:r>
              <w:rPr>
                <w:rFonts w:ascii="Arial" w:cs="Arial" w:eastAsia="Arial" w:hAnsi="Arial"/>
                <w:sz w:val="15"/>
                <w:szCs w:val="15"/>
                <w:color w:val="auto"/>
              </w:rPr>
              <w:t>Less: Income tax effect</w:t>
            </w:r>
          </w:p>
        </w:tc>
        <w:tc>
          <w:tcPr>
            <w:tcW w:w="1140" w:type="dxa"/>
            <w:vAlign w:val="bottom"/>
            <w:tcBorders>
              <w:bottom w:val="single" w:sz="8" w:color="auto"/>
            </w:tcBorders>
            <w:shd w:val="clear" w:color="auto" w:fill="F0F1F8"/>
          </w:tcPr>
          <w:p>
            <w:pPr>
              <w:jc w:val="right"/>
              <w:ind w:right="104"/>
              <w:spacing w:after="0"/>
              <w:rPr>
                <w:sz w:val="20"/>
                <w:szCs w:val="20"/>
                <w:color w:val="auto"/>
              </w:rPr>
            </w:pPr>
            <w:r>
              <w:rPr>
                <w:rFonts w:ascii="Arial" w:cs="Arial" w:eastAsia="Arial" w:hAnsi="Arial"/>
                <w:sz w:val="15"/>
                <w:szCs w:val="15"/>
                <w:color w:val="auto"/>
              </w:rPr>
              <w:t>(0.31)</w:t>
            </w:r>
          </w:p>
        </w:tc>
        <w:tc>
          <w:tcPr>
            <w:tcW w:w="1680" w:type="dxa"/>
            <w:vAlign w:val="bottom"/>
            <w:tcBorders>
              <w:bottom w:val="single" w:sz="8" w:color="auto"/>
              <w:right w:val="single" w:sz="8" w:color="F0F1F8"/>
            </w:tcBorders>
            <w:shd w:val="clear" w:color="auto" w:fill="F0F1F8"/>
          </w:tcPr>
          <w:p>
            <w:pPr>
              <w:jc w:val="right"/>
              <w:ind w:right="564"/>
              <w:spacing w:after="0"/>
              <w:rPr>
                <w:sz w:val="20"/>
                <w:szCs w:val="20"/>
                <w:color w:val="auto"/>
              </w:rPr>
            </w:pPr>
            <w:r>
              <w:rPr>
                <w:rFonts w:ascii="Arial" w:cs="Arial" w:eastAsia="Arial" w:hAnsi="Arial"/>
                <w:sz w:val="15"/>
                <w:szCs w:val="15"/>
                <w:color w:val="auto"/>
              </w:rPr>
              <w:t>(0.19)</w:t>
            </w:r>
          </w:p>
        </w:tc>
        <w:tc>
          <w:tcPr>
            <w:tcW w:w="640" w:type="dxa"/>
            <w:vAlign w:val="bottom"/>
            <w:tcBorders>
              <w:bottom w:val="single" w:sz="8" w:color="auto"/>
            </w:tcBorders>
            <w:shd w:val="clear" w:color="auto" w:fill="F0F1F8"/>
          </w:tcPr>
          <w:p>
            <w:pPr>
              <w:jc w:val="right"/>
              <w:spacing w:after="0"/>
              <w:rPr>
                <w:sz w:val="20"/>
                <w:szCs w:val="20"/>
                <w:color w:val="auto"/>
              </w:rPr>
            </w:pPr>
            <w:r>
              <w:rPr>
                <w:rFonts w:ascii="Arial" w:cs="Arial" w:eastAsia="Arial" w:hAnsi="Arial"/>
                <w:sz w:val="15"/>
                <w:szCs w:val="15"/>
                <w:color w:val="auto"/>
              </w:rPr>
              <w:t>(0.16)</w:t>
            </w:r>
          </w:p>
        </w:tc>
      </w:tr>
      <w:tr>
        <w:trPr>
          <w:trHeight w:val="252"/>
        </w:trPr>
        <w:tc>
          <w:tcPr>
            <w:tcW w:w="778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Adjusted EPS</w:t>
            </w:r>
          </w:p>
        </w:tc>
        <w:tc>
          <w:tcPr>
            <w:tcW w:w="114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rPr>
              <w:t>$ 9.95</w:t>
            </w:r>
          </w:p>
        </w:tc>
        <w:tc>
          <w:tcPr>
            <w:tcW w:w="1680" w:type="dxa"/>
            <w:vAlign w:val="bottom"/>
            <w:tcBorders>
              <w:bottom w:val="single" w:sz="8" w:color="auto"/>
            </w:tcBorders>
          </w:tcPr>
          <w:p>
            <w:pPr>
              <w:jc w:val="right"/>
              <w:ind w:right="624"/>
              <w:spacing w:after="0"/>
              <w:rPr>
                <w:sz w:val="20"/>
                <w:szCs w:val="20"/>
                <w:color w:val="auto"/>
              </w:rPr>
            </w:pPr>
            <w:r>
              <w:rPr>
                <w:rFonts w:ascii="Arial" w:cs="Arial" w:eastAsia="Arial" w:hAnsi="Arial"/>
                <w:sz w:val="15"/>
                <w:szCs w:val="15"/>
                <w:b w:val="1"/>
                <w:bCs w:val="1"/>
                <w:color w:val="auto"/>
              </w:rPr>
              <w:t>$ 7.83</w:t>
            </w:r>
          </w:p>
        </w:tc>
        <w:tc>
          <w:tcPr>
            <w:tcW w:w="6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$ 6.44</w:t>
            </w:r>
          </w:p>
        </w:tc>
      </w:tr>
    </w:tbl>
    <w:p>
      <w:pPr>
        <w:spacing w:after="0" w:line="85" w:lineRule="exact"/>
        <w:rPr>
          <w:sz w:val="20"/>
          <w:szCs w:val="20"/>
          <w:color w:val="auto"/>
        </w:rPr>
      </w:pPr>
    </w:p>
    <w:p>
      <w:pPr>
        <w:ind w:left="300" w:right="500" w:hanging="293"/>
        <w:spacing w:after="0" w:line="182" w:lineRule="auto"/>
        <w:tabs>
          <w:tab w:leader="none" w:pos="300" w:val="left"/>
        </w:tabs>
        <w:numPr>
          <w:ilvl w:val="0"/>
          <w:numId w:val="159"/>
        </w:numPr>
        <w:rPr>
          <w:rFonts w:ascii="Arial" w:cs="Arial" w:eastAsia="Arial" w:hAnsi="Arial"/>
          <w:sz w:val="24"/>
          <w:szCs w:val="24"/>
          <w:color w:val="auto"/>
          <w:vertAlign w:val="superscript"/>
        </w:rPr>
      </w:pPr>
      <w:r>
        <w:rPr>
          <w:rFonts w:ascii="Arial" w:cs="Arial" w:eastAsia="Arial" w:hAnsi="Arial"/>
          <w:sz w:val="14"/>
          <w:szCs w:val="14"/>
          <w:color w:val="auto"/>
        </w:rPr>
        <w:t>Right-of-use impairment of $7.7 million related to sublease of leased property is presented within “General and administrative” expenses and the write-off of leasehold improvements of $1.0 million is presented within “Depreciation and amortization of property, equipment and leasehold improvements” expenses.</w:t>
      </w:r>
    </w:p>
    <w:p>
      <w:pPr>
        <w:spacing w:after="0" w:line="43" w:lineRule="exact"/>
        <w:rPr>
          <w:rFonts w:ascii="Arial" w:cs="Arial" w:eastAsia="Arial" w:hAnsi="Arial"/>
          <w:sz w:val="24"/>
          <w:szCs w:val="24"/>
          <w:color w:val="auto"/>
          <w:vertAlign w:val="superscript"/>
        </w:rPr>
      </w:pPr>
    </w:p>
    <w:p>
      <w:pPr>
        <w:ind w:left="300" w:right="600" w:hanging="293"/>
        <w:spacing w:after="0" w:line="182" w:lineRule="auto"/>
        <w:tabs>
          <w:tab w:leader="none" w:pos="300" w:val="left"/>
        </w:tabs>
        <w:numPr>
          <w:ilvl w:val="0"/>
          <w:numId w:val="159"/>
        </w:numPr>
        <w:rPr>
          <w:rFonts w:ascii="Arial" w:cs="Arial" w:eastAsia="Arial" w:hAnsi="Arial"/>
          <w:sz w:val="24"/>
          <w:szCs w:val="24"/>
          <w:color w:val="auto"/>
          <w:vertAlign w:val="superscript"/>
        </w:rPr>
      </w:pPr>
      <w:r>
        <w:rPr>
          <w:rFonts w:ascii="Arial" w:cs="Arial" w:eastAsia="Arial" w:hAnsi="Arial"/>
          <w:sz w:val="14"/>
          <w:szCs w:val="14"/>
          <w:color w:val="auto"/>
        </w:rPr>
        <w:t>Acquisition-related integration and transaction costs of $1.4 million are presented within “General and administrative” expenses and $0.2 million are presented within “Depreciation and amortization of property, equipment and leasehold improvements” expenses.</w:t>
      </w:r>
    </w:p>
    <w:p>
      <w:pPr>
        <w:spacing w:after="0" w:line="43" w:lineRule="exact"/>
        <w:rPr>
          <w:rFonts w:ascii="Arial" w:cs="Arial" w:eastAsia="Arial" w:hAnsi="Arial"/>
          <w:sz w:val="24"/>
          <w:szCs w:val="24"/>
          <w:color w:val="auto"/>
          <w:vertAlign w:val="superscript"/>
        </w:rPr>
      </w:pPr>
    </w:p>
    <w:p>
      <w:pPr>
        <w:ind w:left="300" w:right="40" w:hanging="293"/>
        <w:spacing w:after="0" w:line="182" w:lineRule="auto"/>
        <w:tabs>
          <w:tab w:leader="none" w:pos="300" w:val="left"/>
        </w:tabs>
        <w:numPr>
          <w:ilvl w:val="0"/>
          <w:numId w:val="159"/>
        </w:numPr>
        <w:rPr>
          <w:rFonts w:ascii="Arial" w:cs="Arial" w:eastAsia="Arial" w:hAnsi="Arial"/>
          <w:sz w:val="24"/>
          <w:szCs w:val="24"/>
          <w:color w:val="auto"/>
          <w:vertAlign w:val="superscript"/>
        </w:rPr>
      </w:pPr>
      <w:r>
        <w:rPr>
          <w:rFonts w:ascii="Arial" w:cs="Arial" w:eastAsia="Arial" w:hAnsi="Arial"/>
          <w:sz w:val="14"/>
          <w:szCs w:val="14"/>
          <w:color w:val="auto"/>
        </w:rPr>
        <w:t>Incremental and non-recurring costs attributable to acquisitions directly related to the execution of the transaction and integration of the acquired business that have occurred no later than 12 months after the close of the transaction.</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720" w:type="dxa"/>
            <w:vAlign w:val="bottom"/>
          </w:tcPr>
          <w:p>
            <w:pPr>
              <w:spacing w:after="0"/>
              <w:rPr>
                <w:sz w:val="20"/>
                <w:szCs w:val="20"/>
                <w:color w:val="auto"/>
              </w:rPr>
            </w:pPr>
            <w:r>
              <w:rPr>
                <w:rFonts w:ascii="Arial" w:cs="Arial" w:eastAsia="Arial" w:hAnsi="Arial"/>
                <w:sz w:val="15"/>
                <w:szCs w:val="15"/>
                <w:color w:val="auto"/>
              </w:rPr>
              <w:t>Reconciliation of Adjusted EBITDA Expenses to Operating Expenses (unaudited)</w:t>
            </w: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380"/>
        </w:trPr>
        <w:tc>
          <w:tcPr>
            <w:tcW w:w="8720" w:type="dxa"/>
            <w:vAlign w:val="bottom"/>
          </w:tcPr>
          <w:p>
            <w:pPr>
              <w:spacing w:after="0"/>
              <w:rPr>
                <w:sz w:val="24"/>
                <w:szCs w:val="24"/>
                <w:color w:val="auto"/>
              </w:rPr>
            </w:pPr>
          </w:p>
        </w:tc>
        <w:tc>
          <w:tcPr>
            <w:tcW w:w="2520" w:type="dxa"/>
            <w:vAlign w:val="bottom"/>
            <w:tcBorders>
              <w:bottom w:val="single" w:sz="8" w:color="16479F"/>
            </w:tcBorders>
            <w:gridSpan w:val="2"/>
          </w:tcPr>
          <w:p>
            <w:pPr>
              <w:jc w:val="right"/>
              <w:ind w:right="724"/>
              <w:spacing w:after="0"/>
              <w:rPr>
                <w:sz w:val="20"/>
                <w:szCs w:val="20"/>
                <w:color w:val="auto"/>
              </w:rPr>
            </w:pPr>
            <w:r>
              <w:rPr>
                <w:rFonts w:ascii="Arial" w:cs="Arial" w:eastAsia="Arial" w:hAnsi="Arial"/>
                <w:sz w:val="15"/>
                <w:szCs w:val="15"/>
                <w:b w:val="1"/>
                <w:bCs w:val="1"/>
                <w:color w:val="auto"/>
              </w:rPr>
              <w:t>Years Ended</w:t>
            </w:r>
          </w:p>
        </w:tc>
      </w:tr>
      <w:tr>
        <w:trPr>
          <w:trHeight w:val="208"/>
        </w:trPr>
        <w:tc>
          <w:tcPr>
            <w:tcW w:w="8720" w:type="dxa"/>
            <w:vAlign w:val="bottom"/>
            <w:tcBorders>
              <w:bottom w:val="single" w:sz="8" w:color="16479F"/>
            </w:tcBorders>
          </w:tcPr>
          <w:p>
            <w:pPr>
              <w:ind w:left="60"/>
              <w:spacing w:after="0"/>
              <w:rPr>
                <w:sz w:val="20"/>
                <w:szCs w:val="20"/>
                <w:color w:val="auto"/>
              </w:rPr>
            </w:pPr>
            <w:r>
              <w:rPr>
                <w:rFonts w:ascii="Arial" w:cs="Arial" w:eastAsia="Arial" w:hAnsi="Arial"/>
                <w:sz w:val="15"/>
                <w:szCs w:val="15"/>
                <w:b w:val="1"/>
                <w:bCs w:val="1"/>
                <w:color w:val="auto"/>
              </w:rPr>
              <w:t>In Thousands</w:t>
            </w:r>
          </w:p>
        </w:tc>
        <w:tc>
          <w:tcPr>
            <w:tcW w:w="1280" w:type="dxa"/>
            <w:vAlign w:val="bottom"/>
            <w:tcBorders>
              <w:bottom w:val="single" w:sz="8" w:color="16479F"/>
            </w:tcBorders>
          </w:tcPr>
          <w:p>
            <w:pPr>
              <w:jc w:val="right"/>
              <w:ind w:right="104"/>
              <w:spacing w:after="0"/>
              <w:rPr>
                <w:sz w:val="20"/>
                <w:szCs w:val="20"/>
                <w:color w:val="auto"/>
              </w:rPr>
            </w:pPr>
            <w:r>
              <w:rPr>
                <w:rFonts w:ascii="Arial" w:cs="Arial" w:eastAsia="Arial" w:hAnsi="Arial"/>
                <w:sz w:val="15"/>
                <w:szCs w:val="15"/>
                <w:b w:val="1"/>
                <w:bCs w:val="1"/>
                <w:color w:val="auto"/>
              </w:rPr>
              <w:t>Dec. 31, 2021</w:t>
            </w:r>
          </w:p>
        </w:tc>
        <w:tc>
          <w:tcPr>
            <w:tcW w:w="1240" w:type="dxa"/>
            <w:vAlign w:val="bottom"/>
            <w:tcBorders>
              <w:bottom w:val="single" w:sz="8" w:color="16479F"/>
            </w:tcBorders>
          </w:tcPr>
          <w:p>
            <w:pPr>
              <w:jc w:val="right"/>
              <w:ind w:right="24"/>
              <w:spacing w:after="0"/>
              <w:rPr>
                <w:sz w:val="20"/>
                <w:szCs w:val="20"/>
                <w:color w:val="auto"/>
              </w:rPr>
            </w:pPr>
            <w:r>
              <w:rPr>
                <w:rFonts w:ascii="Arial" w:cs="Arial" w:eastAsia="Arial" w:hAnsi="Arial"/>
                <w:sz w:val="15"/>
                <w:szCs w:val="15"/>
                <w:b w:val="1"/>
                <w:bCs w:val="1"/>
                <w:color w:val="auto"/>
              </w:rPr>
              <w:t>Dec. 31, 2020</w:t>
            </w:r>
          </w:p>
        </w:tc>
      </w:tr>
      <w:tr>
        <w:trPr>
          <w:trHeight w:val="212"/>
        </w:trPr>
        <w:tc>
          <w:tcPr>
            <w:tcW w:w="8720" w:type="dxa"/>
            <w:vAlign w:val="bottom"/>
            <w:shd w:val="clear" w:color="auto" w:fill="F0F1F8"/>
          </w:tcPr>
          <w:p>
            <w:pPr>
              <w:ind w:left="60"/>
              <w:spacing w:after="0"/>
              <w:rPr>
                <w:sz w:val="20"/>
                <w:szCs w:val="20"/>
                <w:color w:val="auto"/>
              </w:rPr>
            </w:pPr>
            <w:r>
              <w:rPr>
                <w:rFonts w:ascii="Arial" w:cs="Arial" w:eastAsia="Arial" w:hAnsi="Arial"/>
                <w:sz w:val="15"/>
                <w:szCs w:val="15"/>
                <w:color w:val="auto"/>
              </w:rPr>
              <w:t>Index adjusted EBITDA expenses</w:t>
            </w:r>
          </w:p>
        </w:tc>
        <w:tc>
          <w:tcPr>
            <w:tcW w:w="1280" w:type="dxa"/>
            <w:vAlign w:val="bottom"/>
            <w:shd w:val="clear" w:color="auto" w:fill="F0F1F8"/>
          </w:tcPr>
          <w:p>
            <w:pPr>
              <w:jc w:val="right"/>
              <w:ind w:right="104"/>
              <w:spacing w:after="0"/>
              <w:rPr>
                <w:sz w:val="20"/>
                <w:szCs w:val="20"/>
                <w:color w:val="auto"/>
              </w:rPr>
            </w:pPr>
            <w:r>
              <w:rPr>
                <w:rFonts w:ascii="Arial" w:cs="Arial" w:eastAsia="Arial" w:hAnsi="Arial"/>
                <w:sz w:val="15"/>
                <w:szCs w:val="15"/>
                <w:color w:val="auto"/>
              </w:rPr>
              <w:t>$300,452</w:t>
            </w:r>
          </w:p>
        </w:tc>
        <w:tc>
          <w:tcPr>
            <w:tcW w:w="1240" w:type="dxa"/>
            <w:vAlign w:val="bottom"/>
            <w:shd w:val="clear" w:color="auto" w:fill="F0F1F8"/>
          </w:tcPr>
          <w:p>
            <w:pPr>
              <w:jc w:val="right"/>
              <w:ind w:right="24"/>
              <w:spacing w:after="0"/>
              <w:rPr>
                <w:sz w:val="20"/>
                <w:szCs w:val="20"/>
                <w:color w:val="auto"/>
              </w:rPr>
            </w:pPr>
            <w:r>
              <w:rPr>
                <w:rFonts w:ascii="Arial" w:cs="Arial" w:eastAsia="Arial" w:hAnsi="Arial"/>
                <w:sz w:val="15"/>
                <w:szCs w:val="15"/>
                <w:color w:val="auto"/>
              </w:rPr>
              <w:t>$250,002</w:t>
            </w:r>
          </w:p>
        </w:tc>
      </w:tr>
      <w:tr>
        <w:trPr>
          <w:trHeight w:val="209"/>
        </w:trPr>
        <w:tc>
          <w:tcPr>
            <w:tcW w:w="8720" w:type="dxa"/>
            <w:vAlign w:val="bottom"/>
          </w:tcPr>
          <w:p>
            <w:pPr>
              <w:ind w:left="60"/>
              <w:spacing w:after="0"/>
              <w:rPr>
                <w:sz w:val="20"/>
                <w:szCs w:val="20"/>
                <w:color w:val="auto"/>
              </w:rPr>
            </w:pPr>
            <w:r>
              <w:rPr>
                <w:rFonts w:ascii="Arial" w:cs="Arial" w:eastAsia="Arial" w:hAnsi="Arial"/>
                <w:sz w:val="15"/>
                <w:szCs w:val="15"/>
                <w:color w:val="auto"/>
              </w:rPr>
              <w:t>Analytics adjusted EBITDA expenses</w:t>
            </w:r>
          </w:p>
        </w:tc>
        <w:tc>
          <w:tcPr>
            <w:tcW w:w="1280" w:type="dxa"/>
            <w:vAlign w:val="bottom"/>
          </w:tcPr>
          <w:p>
            <w:pPr>
              <w:jc w:val="right"/>
              <w:ind w:right="104"/>
              <w:spacing w:after="0"/>
              <w:rPr>
                <w:sz w:val="20"/>
                <w:szCs w:val="20"/>
                <w:color w:val="auto"/>
              </w:rPr>
            </w:pPr>
            <w:r>
              <w:rPr>
                <w:rFonts w:ascii="Arial" w:cs="Arial" w:eastAsia="Arial" w:hAnsi="Arial"/>
                <w:sz w:val="15"/>
                <w:szCs w:val="15"/>
                <w:color w:val="auto"/>
              </w:rPr>
              <w:t>345,500</w:t>
            </w:r>
          </w:p>
        </w:tc>
        <w:tc>
          <w:tcPr>
            <w:tcW w:w="1240" w:type="dxa"/>
            <w:vAlign w:val="bottom"/>
          </w:tcPr>
          <w:p>
            <w:pPr>
              <w:jc w:val="right"/>
              <w:ind w:right="24"/>
              <w:spacing w:after="0"/>
              <w:rPr>
                <w:sz w:val="20"/>
                <w:szCs w:val="20"/>
                <w:color w:val="auto"/>
              </w:rPr>
            </w:pPr>
            <w:r>
              <w:rPr>
                <w:rFonts w:ascii="Arial" w:cs="Arial" w:eastAsia="Arial" w:hAnsi="Arial"/>
                <w:sz w:val="15"/>
                <w:szCs w:val="15"/>
                <w:color w:val="auto"/>
              </w:rPr>
              <w:t>340,884</w:t>
            </w:r>
          </w:p>
        </w:tc>
      </w:tr>
      <w:tr>
        <w:trPr>
          <w:trHeight w:val="219"/>
        </w:trPr>
        <w:tc>
          <w:tcPr>
            <w:tcW w:w="8720" w:type="dxa"/>
            <w:vAlign w:val="bottom"/>
            <w:shd w:val="clear" w:color="auto" w:fill="F0F1F8"/>
          </w:tcPr>
          <w:p>
            <w:pPr>
              <w:ind w:left="60"/>
              <w:spacing w:after="0"/>
              <w:rPr>
                <w:sz w:val="20"/>
                <w:szCs w:val="20"/>
                <w:color w:val="auto"/>
              </w:rPr>
            </w:pPr>
            <w:r>
              <w:rPr>
                <w:rFonts w:ascii="Arial" w:cs="Arial" w:eastAsia="Arial" w:hAnsi="Arial"/>
                <w:sz w:val="15"/>
                <w:szCs w:val="15"/>
                <w:color w:val="auto"/>
              </w:rPr>
              <w:t>ESG and Climate adjusted EBITDA expenses</w:t>
            </w:r>
          </w:p>
        </w:tc>
        <w:tc>
          <w:tcPr>
            <w:tcW w:w="1280" w:type="dxa"/>
            <w:vAlign w:val="bottom"/>
            <w:shd w:val="clear" w:color="auto" w:fill="F0F1F8"/>
          </w:tcPr>
          <w:p>
            <w:pPr>
              <w:jc w:val="right"/>
              <w:ind w:right="104"/>
              <w:spacing w:after="0"/>
              <w:rPr>
                <w:sz w:val="20"/>
                <w:szCs w:val="20"/>
                <w:color w:val="auto"/>
              </w:rPr>
            </w:pPr>
            <w:r>
              <w:rPr>
                <w:rFonts w:ascii="Arial" w:cs="Arial" w:eastAsia="Arial" w:hAnsi="Arial"/>
                <w:sz w:val="15"/>
                <w:szCs w:val="15"/>
                <w:color w:val="auto"/>
              </w:rPr>
              <w:t>136,444</w:t>
            </w:r>
          </w:p>
        </w:tc>
        <w:tc>
          <w:tcPr>
            <w:tcW w:w="1240" w:type="dxa"/>
            <w:vAlign w:val="bottom"/>
            <w:shd w:val="clear" w:color="auto" w:fill="F0F1F8"/>
          </w:tcPr>
          <w:p>
            <w:pPr>
              <w:jc w:val="right"/>
              <w:ind w:right="24"/>
              <w:spacing w:after="0"/>
              <w:rPr>
                <w:sz w:val="20"/>
                <w:szCs w:val="20"/>
                <w:color w:val="auto"/>
              </w:rPr>
            </w:pPr>
            <w:r>
              <w:rPr>
                <w:rFonts w:ascii="Arial" w:cs="Arial" w:eastAsia="Arial" w:hAnsi="Arial"/>
                <w:sz w:val="15"/>
                <w:szCs w:val="15"/>
                <w:color w:val="auto"/>
              </w:rPr>
              <w:t>88,513</w:t>
            </w:r>
          </w:p>
        </w:tc>
      </w:tr>
      <w:tr>
        <w:trPr>
          <w:trHeight w:val="209"/>
        </w:trPr>
        <w:tc>
          <w:tcPr>
            <w:tcW w:w="8720" w:type="dxa"/>
            <w:vAlign w:val="bottom"/>
            <w:tcBorders>
              <w:bottom w:val="single" w:sz="8" w:color="F0F1F8"/>
            </w:tcBorders>
          </w:tcPr>
          <w:p>
            <w:pPr>
              <w:ind w:left="60"/>
              <w:spacing w:after="0"/>
              <w:rPr>
                <w:sz w:val="20"/>
                <w:szCs w:val="20"/>
                <w:color w:val="auto"/>
              </w:rPr>
            </w:pPr>
            <w:r>
              <w:rPr>
                <w:rFonts w:ascii="Arial" w:cs="Arial" w:eastAsia="Arial" w:hAnsi="Arial"/>
                <w:sz w:val="15"/>
                <w:szCs w:val="15"/>
                <w:color w:val="auto"/>
              </w:rPr>
              <w:t>All Other – Private Assets adjusted EBITDA expenses</w:t>
            </w:r>
          </w:p>
        </w:tc>
        <w:tc>
          <w:tcPr>
            <w:tcW w:w="12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64,358</w:t>
            </w:r>
          </w:p>
        </w:tc>
        <w:tc>
          <w:tcPr>
            <w:tcW w:w="12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44,481</w:t>
            </w:r>
          </w:p>
        </w:tc>
      </w:tr>
      <w:tr>
        <w:trPr>
          <w:trHeight w:val="208"/>
        </w:trPr>
        <w:tc>
          <w:tcPr>
            <w:tcW w:w="8720" w:type="dxa"/>
            <w:vAlign w:val="bottom"/>
            <w:shd w:val="clear" w:color="auto" w:fill="F0F1F8"/>
          </w:tcPr>
          <w:p>
            <w:pPr>
              <w:ind w:left="60"/>
              <w:spacing w:after="0"/>
              <w:rPr>
                <w:sz w:val="20"/>
                <w:szCs w:val="20"/>
                <w:color w:val="auto"/>
              </w:rPr>
            </w:pPr>
            <w:r>
              <w:rPr>
                <w:rFonts w:ascii="Arial" w:cs="Arial" w:eastAsia="Arial" w:hAnsi="Arial"/>
                <w:sz w:val="15"/>
                <w:szCs w:val="15"/>
                <w:b w:val="1"/>
                <w:bCs w:val="1"/>
                <w:color w:val="auto"/>
              </w:rPr>
              <w:t>Consolidated adjusted EBITDA expenses</w:t>
            </w:r>
          </w:p>
        </w:tc>
        <w:tc>
          <w:tcPr>
            <w:tcW w:w="1280" w:type="dxa"/>
            <w:vAlign w:val="bottom"/>
            <w:tcBorders>
              <w:bottom w:val="single" w:sz="8" w:color="auto"/>
            </w:tcBorders>
            <w:shd w:val="clear" w:color="auto" w:fill="F0F1F8"/>
          </w:tcPr>
          <w:p>
            <w:pPr>
              <w:jc w:val="right"/>
              <w:ind w:right="104"/>
              <w:spacing w:after="0"/>
              <w:rPr>
                <w:sz w:val="20"/>
                <w:szCs w:val="20"/>
                <w:color w:val="auto"/>
              </w:rPr>
            </w:pPr>
            <w:r>
              <w:rPr>
                <w:rFonts w:ascii="Arial" w:cs="Arial" w:eastAsia="Arial" w:hAnsi="Arial"/>
                <w:sz w:val="15"/>
                <w:szCs w:val="15"/>
                <w:b w:val="1"/>
                <w:bCs w:val="1"/>
                <w:color w:val="auto"/>
              </w:rPr>
              <w:t>846,754</w:t>
            </w:r>
          </w:p>
        </w:tc>
        <w:tc>
          <w:tcPr>
            <w:tcW w:w="1240" w:type="dxa"/>
            <w:vAlign w:val="bottom"/>
            <w:tcBorders>
              <w:bottom w:val="single" w:sz="8" w:color="auto"/>
            </w:tcBorders>
            <w:shd w:val="clear" w:color="auto" w:fill="F0F1F8"/>
          </w:tcPr>
          <w:p>
            <w:pPr>
              <w:jc w:val="right"/>
              <w:ind w:right="24"/>
              <w:spacing w:after="0"/>
              <w:rPr>
                <w:sz w:val="20"/>
                <w:szCs w:val="20"/>
                <w:color w:val="auto"/>
              </w:rPr>
            </w:pPr>
            <w:r>
              <w:rPr>
                <w:rFonts w:ascii="Arial" w:cs="Arial" w:eastAsia="Arial" w:hAnsi="Arial"/>
                <w:sz w:val="15"/>
                <w:szCs w:val="15"/>
                <w:b w:val="1"/>
                <w:bCs w:val="1"/>
                <w:color w:val="auto"/>
              </w:rPr>
              <w:t>723,880</w:t>
            </w:r>
          </w:p>
        </w:tc>
      </w:tr>
      <w:tr>
        <w:trPr>
          <w:trHeight w:val="208"/>
        </w:trPr>
        <w:tc>
          <w:tcPr>
            <w:tcW w:w="8720" w:type="dxa"/>
            <w:vAlign w:val="bottom"/>
          </w:tcPr>
          <w:p>
            <w:pPr>
              <w:ind w:left="60"/>
              <w:spacing w:after="0"/>
              <w:rPr>
                <w:sz w:val="20"/>
                <w:szCs w:val="20"/>
                <w:color w:val="auto"/>
              </w:rPr>
            </w:pPr>
            <w:r>
              <w:rPr>
                <w:rFonts w:ascii="Arial" w:cs="Arial" w:eastAsia="Arial" w:hAnsi="Arial"/>
                <w:sz w:val="15"/>
                <w:szCs w:val="15"/>
                <w:color w:val="auto"/>
              </w:rPr>
              <w:t>Amortization of intangible assets</w:t>
            </w:r>
          </w:p>
        </w:tc>
        <w:tc>
          <w:tcPr>
            <w:tcW w:w="1280" w:type="dxa"/>
            <w:vAlign w:val="bottom"/>
          </w:tcPr>
          <w:p>
            <w:pPr>
              <w:jc w:val="right"/>
              <w:ind w:right="104"/>
              <w:spacing w:after="0"/>
              <w:rPr>
                <w:sz w:val="20"/>
                <w:szCs w:val="20"/>
                <w:color w:val="auto"/>
              </w:rPr>
            </w:pPr>
            <w:r>
              <w:rPr>
                <w:rFonts w:ascii="Arial" w:cs="Arial" w:eastAsia="Arial" w:hAnsi="Arial"/>
                <w:sz w:val="15"/>
                <w:szCs w:val="15"/>
                <w:color w:val="auto"/>
              </w:rPr>
              <w:t>80,592</w:t>
            </w:r>
          </w:p>
        </w:tc>
        <w:tc>
          <w:tcPr>
            <w:tcW w:w="1240" w:type="dxa"/>
            <w:vAlign w:val="bottom"/>
          </w:tcPr>
          <w:p>
            <w:pPr>
              <w:jc w:val="right"/>
              <w:ind w:right="24"/>
              <w:spacing w:after="0"/>
              <w:rPr>
                <w:sz w:val="20"/>
                <w:szCs w:val="20"/>
                <w:color w:val="auto"/>
              </w:rPr>
            </w:pPr>
            <w:r>
              <w:rPr>
                <w:rFonts w:ascii="Arial" w:cs="Arial" w:eastAsia="Arial" w:hAnsi="Arial"/>
                <w:sz w:val="15"/>
                <w:szCs w:val="15"/>
                <w:color w:val="auto"/>
              </w:rPr>
              <w:t>56,941</w:t>
            </w:r>
          </w:p>
        </w:tc>
      </w:tr>
      <w:tr>
        <w:trPr>
          <w:trHeight w:val="219"/>
        </w:trPr>
        <w:tc>
          <w:tcPr>
            <w:tcW w:w="8720" w:type="dxa"/>
            <w:vAlign w:val="bottom"/>
            <w:shd w:val="clear" w:color="auto" w:fill="F0F1F8"/>
          </w:tcPr>
          <w:p>
            <w:pPr>
              <w:ind w:left="60"/>
              <w:spacing w:after="0"/>
              <w:rPr>
                <w:sz w:val="20"/>
                <w:szCs w:val="20"/>
                <w:color w:val="auto"/>
              </w:rPr>
            </w:pPr>
            <w:r>
              <w:rPr>
                <w:rFonts w:ascii="Arial" w:cs="Arial" w:eastAsia="Arial" w:hAnsi="Arial"/>
                <w:sz w:val="15"/>
                <w:szCs w:val="15"/>
                <w:color w:val="auto"/>
              </w:rPr>
              <w:t>Depreciation and amortization of property, equipment and leasehold improvements</w:t>
            </w:r>
          </w:p>
        </w:tc>
        <w:tc>
          <w:tcPr>
            <w:tcW w:w="1280" w:type="dxa"/>
            <w:vAlign w:val="bottom"/>
            <w:shd w:val="clear" w:color="auto" w:fill="F0F1F8"/>
          </w:tcPr>
          <w:p>
            <w:pPr>
              <w:jc w:val="right"/>
              <w:ind w:right="104"/>
              <w:spacing w:after="0"/>
              <w:rPr>
                <w:sz w:val="20"/>
                <w:szCs w:val="20"/>
                <w:color w:val="auto"/>
              </w:rPr>
            </w:pPr>
            <w:r>
              <w:rPr>
                <w:rFonts w:ascii="Arial" w:cs="Arial" w:eastAsia="Arial" w:hAnsi="Arial"/>
                <w:sz w:val="15"/>
                <w:szCs w:val="15"/>
                <w:color w:val="auto"/>
              </w:rPr>
              <w:t>28,901</w:t>
            </w:r>
          </w:p>
        </w:tc>
        <w:tc>
          <w:tcPr>
            <w:tcW w:w="1240" w:type="dxa"/>
            <w:vAlign w:val="bottom"/>
            <w:shd w:val="clear" w:color="auto" w:fill="F0F1F8"/>
          </w:tcPr>
          <w:p>
            <w:pPr>
              <w:jc w:val="right"/>
              <w:ind w:right="24"/>
              <w:spacing w:after="0"/>
              <w:rPr>
                <w:sz w:val="20"/>
                <w:szCs w:val="20"/>
                <w:color w:val="auto"/>
              </w:rPr>
            </w:pPr>
            <w:r>
              <w:rPr>
                <w:rFonts w:ascii="Arial" w:cs="Arial" w:eastAsia="Arial" w:hAnsi="Arial"/>
                <w:sz w:val="15"/>
                <w:szCs w:val="15"/>
                <w:color w:val="auto"/>
              </w:rPr>
              <w:t>29,805</w:t>
            </w:r>
          </w:p>
        </w:tc>
      </w:tr>
      <w:tr>
        <w:trPr>
          <w:trHeight w:val="209"/>
        </w:trPr>
        <w:tc>
          <w:tcPr>
            <w:tcW w:w="8720" w:type="dxa"/>
            <w:vAlign w:val="bottom"/>
          </w:tcPr>
          <w:p>
            <w:pPr>
              <w:ind w:left="60"/>
              <w:spacing w:after="0"/>
              <w:rPr>
                <w:sz w:val="20"/>
                <w:szCs w:val="20"/>
                <w:color w:val="auto"/>
              </w:rPr>
            </w:pPr>
            <w:r>
              <w:rPr>
                <w:rFonts w:ascii="Arial" w:cs="Arial" w:eastAsia="Arial" w:hAnsi="Arial"/>
                <w:sz w:val="15"/>
                <w:szCs w:val="15"/>
                <w:color w:val="auto"/>
              </w:rPr>
              <w:t>Impairment related to sublease of leased property</w:t>
            </w:r>
          </w:p>
        </w:tc>
        <w:tc>
          <w:tcPr>
            <w:tcW w:w="1280" w:type="dxa"/>
            <w:vAlign w:val="bottom"/>
          </w:tcPr>
          <w:p>
            <w:pPr>
              <w:jc w:val="right"/>
              <w:ind w:right="104"/>
              <w:spacing w:after="0"/>
              <w:rPr>
                <w:sz w:val="20"/>
                <w:szCs w:val="20"/>
                <w:color w:val="auto"/>
              </w:rPr>
            </w:pPr>
            <w:r>
              <w:rPr>
                <w:rFonts w:ascii="Arial" w:cs="Arial" w:eastAsia="Arial" w:hAnsi="Arial"/>
                <w:sz w:val="15"/>
                <w:szCs w:val="15"/>
                <w:color w:val="auto"/>
              </w:rPr>
              <w:t>7,702</w:t>
            </w:r>
          </w:p>
        </w:tc>
        <w:tc>
          <w:tcPr>
            <w:tcW w:w="124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259"/>
        </w:trPr>
        <w:tc>
          <w:tcPr>
            <w:tcW w:w="8720" w:type="dxa"/>
            <w:vAlign w:val="bottom"/>
            <w:tcBorders>
              <w:bottom w:val="single" w:sz="8" w:color="auto"/>
            </w:tcBorders>
            <w:shd w:val="clear" w:color="auto" w:fill="F0F1F8"/>
          </w:tcPr>
          <w:p>
            <w:pPr>
              <w:ind w:left="60"/>
              <w:spacing w:after="0" w:line="259" w:lineRule="exact"/>
              <w:rPr>
                <w:sz w:val="20"/>
                <w:szCs w:val="20"/>
                <w:color w:val="auto"/>
              </w:rPr>
            </w:pPr>
            <w:r>
              <w:rPr>
                <w:rFonts w:ascii="Arial" w:cs="Arial" w:eastAsia="Arial" w:hAnsi="Arial"/>
                <w:sz w:val="15"/>
                <w:szCs w:val="15"/>
                <w:color w:val="auto"/>
              </w:rPr>
              <w:t>Acquisition-related integration and transaction costs</w:t>
            </w:r>
            <w:r>
              <w:rPr>
                <w:rFonts w:ascii="Arial" w:cs="Arial" w:eastAsia="Arial" w:hAnsi="Arial"/>
                <w:sz w:val="25"/>
                <w:szCs w:val="25"/>
                <w:color w:val="auto"/>
                <w:vertAlign w:val="superscript"/>
              </w:rPr>
              <w:t>(1)</w:t>
            </w:r>
          </w:p>
        </w:tc>
        <w:tc>
          <w:tcPr>
            <w:tcW w:w="1280" w:type="dxa"/>
            <w:vAlign w:val="bottom"/>
            <w:tcBorders>
              <w:bottom w:val="single" w:sz="8" w:color="auto"/>
            </w:tcBorders>
            <w:shd w:val="clear" w:color="auto" w:fill="F0F1F8"/>
          </w:tcPr>
          <w:p>
            <w:pPr>
              <w:jc w:val="right"/>
              <w:ind w:right="104"/>
              <w:spacing w:after="0"/>
              <w:rPr>
                <w:sz w:val="20"/>
                <w:szCs w:val="20"/>
                <w:color w:val="auto"/>
              </w:rPr>
            </w:pPr>
            <w:r>
              <w:rPr>
                <w:rFonts w:ascii="Arial" w:cs="Arial" w:eastAsia="Arial" w:hAnsi="Arial"/>
                <w:sz w:val="15"/>
                <w:szCs w:val="15"/>
                <w:color w:val="auto"/>
              </w:rPr>
              <w:t>6,870</w:t>
            </w:r>
          </w:p>
        </w:tc>
        <w:tc>
          <w:tcPr>
            <w:tcW w:w="1240" w:type="dxa"/>
            <w:vAlign w:val="bottom"/>
            <w:tcBorders>
              <w:bottom w:val="single" w:sz="8" w:color="auto"/>
            </w:tcBorders>
            <w:shd w:val="clear" w:color="auto" w:fill="F0F1F8"/>
          </w:tcPr>
          <w:p>
            <w:pPr>
              <w:jc w:val="right"/>
              <w:ind w:right="24"/>
              <w:spacing w:after="0"/>
              <w:rPr>
                <w:sz w:val="20"/>
                <w:szCs w:val="20"/>
                <w:color w:val="auto"/>
              </w:rPr>
            </w:pPr>
            <w:r>
              <w:rPr>
                <w:rFonts w:ascii="Arial" w:cs="Arial" w:eastAsia="Arial" w:hAnsi="Arial"/>
                <w:sz w:val="15"/>
                <w:szCs w:val="15"/>
                <w:color w:val="auto"/>
              </w:rPr>
              <w:t>—</w:t>
            </w:r>
          </w:p>
        </w:tc>
      </w:tr>
      <w:tr>
        <w:trPr>
          <w:trHeight w:val="248"/>
        </w:trPr>
        <w:tc>
          <w:tcPr>
            <w:tcW w:w="872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Total Operating Expenses</w:t>
            </w:r>
          </w:p>
        </w:tc>
        <w:tc>
          <w:tcPr>
            <w:tcW w:w="12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$970,819</w:t>
            </w:r>
          </w:p>
        </w:tc>
        <w:tc>
          <w:tcPr>
            <w:tcW w:w="12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$810,626</w:t>
            </w:r>
          </w:p>
        </w:tc>
      </w:tr>
    </w:tbl>
    <w:p>
      <w:pPr>
        <w:spacing w:after="0" w:line="85" w:lineRule="exact"/>
        <w:rPr>
          <w:sz w:val="20"/>
          <w:szCs w:val="20"/>
          <w:color w:val="auto"/>
        </w:rPr>
      </w:pPr>
    </w:p>
    <w:p>
      <w:pPr>
        <w:ind w:left="300" w:right="40" w:hanging="293"/>
        <w:spacing w:after="0" w:line="182" w:lineRule="auto"/>
        <w:tabs>
          <w:tab w:leader="none" w:pos="300" w:val="left"/>
        </w:tabs>
        <w:numPr>
          <w:ilvl w:val="0"/>
          <w:numId w:val="160"/>
        </w:numPr>
        <w:rPr>
          <w:rFonts w:ascii="Arial" w:cs="Arial" w:eastAsia="Arial" w:hAnsi="Arial"/>
          <w:sz w:val="24"/>
          <w:szCs w:val="24"/>
          <w:color w:val="auto"/>
          <w:vertAlign w:val="superscript"/>
        </w:rPr>
      </w:pPr>
      <w:r>
        <w:rPr>
          <w:rFonts w:ascii="Arial" w:cs="Arial" w:eastAsia="Arial" w:hAnsi="Arial"/>
          <w:sz w:val="14"/>
          <w:szCs w:val="14"/>
          <w:color w:val="auto"/>
        </w:rPr>
        <w:t>Incremental and non-recurring costs attributable to acquisitions directly related to the execution of the transaction and integration of the acquired business that have occurred no later than 12 months after the close of the transaction.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180" w:type="dxa"/>
            <w:vAlign w:val="bottom"/>
          </w:tcPr>
          <w:p>
            <w:pPr>
              <w:spacing w:after="0"/>
              <w:rPr>
                <w:sz w:val="20"/>
                <w:szCs w:val="20"/>
                <w:color w:val="auto"/>
              </w:rPr>
            </w:pPr>
            <w:r>
              <w:rPr>
                <w:rFonts w:ascii="Arial" w:cs="Arial" w:eastAsia="Arial" w:hAnsi="Arial"/>
                <w:sz w:val="15"/>
                <w:szCs w:val="15"/>
                <w:color w:val="auto"/>
              </w:rPr>
              <w:t>Reconciliation of Net Cash Provided by Operating Activities to Free Cash Flow (unaudited)</w:t>
            </w:r>
          </w:p>
        </w:tc>
        <w:tc>
          <w:tcPr>
            <w:tcW w:w="14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80"/>
        </w:trPr>
        <w:tc>
          <w:tcPr>
            <w:tcW w:w="7180" w:type="dxa"/>
            <w:vAlign w:val="bottom"/>
          </w:tcPr>
          <w:p>
            <w:pPr>
              <w:spacing w:after="0"/>
              <w:rPr>
                <w:sz w:val="24"/>
                <w:szCs w:val="24"/>
                <w:color w:val="auto"/>
              </w:rPr>
            </w:pPr>
          </w:p>
        </w:tc>
        <w:tc>
          <w:tcPr>
            <w:tcW w:w="1400" w:type="dxa"/>
            <w:vAlign w:val="bottom"/>
            <w:tcBorders>
              <w:bottom w:val="single" w:sz="8" w:color="16479F"/>
            </w:tcBorders>
          </w:tcPr>
          <w:p>
            <w:pPr>
              <w:spacing w:after="0"/>
              <w:rPr>
                <w:sz w:val="24"/>
                <w:szCs w:val="24"/>
                <w:color w:val="auto"/>
              </w:rPr>
            </w:pPr>
          </w:p>
        </w:tc>
        <w:tc>
          <w:tcPr>
            <w:tcW w:w="1440" w:type="dxa"/>
            <w:vAlign w:val="bottom"/>
            <w:tcBorders>
              <w:bottom w:val="single" w:sz="8" w:color="16479F"/>
            </w:tcBorders>
          </w:tcPr>
          <w:p>
            <w:pPr>
              <w:jc w:val="right"/>
              <w:ind w:right="284"/>
              <w:spacing w:after="0"/>
              <w:rPr>
                <w:sz w:val="20"/>
                <w:szCs w:val="20"/>
                <w:color w:val="auto"/>
              </w:rPr>
            </w:pPr>
            <w:r>
              <w:rPr>
                <w:rFonts w:ascii="Arial" w:cs="Arial" w:eastAsia="Arial" w:hAnsi="Arial"/>
                <w:sz w:val="15"/>
                <w:szCs w:val="15"/>
                <w:b w:val="1"/>
                <w:bCs w:val="1"/>
                <w:color w:val="auto"/>
              </w:rPr>
              <w:t>Years Ended</w:t>
            </w:r>
          </w:p>
        </w:tc>
        <w:tc>
          <w:tcPr>
            <w:tcW w:w="1220" w:type="dxa"/>
            <w:vAlign w:val="bottom"/>
            <w:tcBorders>
              <w:bottom w:val="single" w:sz="8" w:color="16479F"/>
            </w:tcBorders>
          </w:tcPr>
          <w:p>
            <w:pPr>
              <w:spacing w:after="0"/>
              <w:rPr>
                <w:sz w:val="24"/>
                <w:szCs w:val="24"/>
                <w:color w:val="auto"/>
              </w:rPr>
            </w:pPr>
          </w:p>
        </w:tc>
        <w:tc>
          <w:tcPr>
            <w:tcW w:w="20" w:type="dxa"/>
            <w:vAlign w:val="bottom"/>
          </w:tcPr>
          <w:p>
            <w:pPr>
              <w:spacing w:after="0"/>
              <w:rPr>
                <w:sz w:val="24"/>
                <w:szCs w:val="24"/>
                <w:color w:val="auto"/>
              </w:rPr>
            </w:pPr>
          </w:p>
        </w:tc>
      </w:tr>
      <w:tr>
        <w:trPr>
          <w:trHeight w:val="208"/>
        </w:trPr>
        <w:tc>
          <w:tcPr>
            <w:tcW w:w="7180" w:type="dxa"/>
            <w:vAlign w:val="bottom"/>
            <w:tcBorders>
              <w:bottom w:val="single" w:sz="8" w:color="16479F"/>
            </w:tcBorders>
          </w:tcPr>
          <w:p>
            <w:pPr>
              <w:ind w:left="60"/>
              <w:spacing w:after="0"/>
              <w:rPr>
                <w:sz w:val="20"/>
                <w:szCs w:val="20"/>
                <w:color w:val="auto"/>
              </w:rPr>
            </w:pPr>
            <w:r>
              <w:rPr>
                <w:rFonts w:ascii="Arial" w:cs="Arial" w:eastAsia="Arial" w:hAnsi="Arial"/>
                <w:sz w:val="15"/>
                <w:szCs w:val="15"/>
                <w:b w:val="1"/>
                <w:bCs w:val="1"/>
                <w:color w:val="auto"/>
              </w:rPr>
              <w:t>In Thousands</w:t>
            </w:r>
          </w:p>
        </w:tc>
        <w:tc>
          <w:tcPr>
            <w:tcW w:w="1400" w:type="dxa"/>
            <w:vAlign w:val="bottom"/>
            <w:tcBorders>
              <w:bottom w:val="single" w:sz="8" w:color="16479F"/>
            </w:tcBorders>
          </w:tcPr>
          <w:p>
            <w:pPr>
              <w:jc w:val="right"/>
              <w:ind w:right="124"/>
              <w:spacing w:after="0"/>
              <w:rPr>
                <w:sz w:val="20"/>
                <w:szCs w:val="20"/>
                <w:color w:val="auto"/>
              </w:rPr>
            </w:pPr>
            <w:r>
              <w:rPr>
                <w:rFonts w:ascii="Arial" w:cs="Arial" w:eastAsia="Arial" w:hAnsi="Arial"/>
                <w:sz w:val="15"/>
                <w:szCs w:val="15"/>
                <w:b w:val="1"/>
                <w:bCs w:val="1"/>
                <w:color w:val="auto"/>
              </w:rPr>
              <w:t>Dec. 31, 2021</w:t>
            </w:r>
          </w:p>
        </w:tc>
        <w:tc>
          <w:tcPr>
            <w:tcW w:w="1440" w:type="dxa"/>
            <w:vAlign w:val="bottom"/>
            <w:tcBorders>
              <w:bottom w:val="single" w:sz="8" w:color="16479F"/>
            </w:tcBorders>
          </w:tcPr>
          <w:p>
            <w:pPr>
              <w:jc w:val="right"/>
              <w:ind w:right="144"/>
              <w:spacing w:after="0"/>
              <w:rPr>
                <w:sz w:val="20"/>
                <w:szCs w:val="20"/>
                <w:color w:val="auto"/>
              </w:rPr>
            </w:pPr>
            <w:r>
              <w:rPr>
                <w:rFonts w:ascii="Arial" w:cs="Arial" w:eastAsia="Arial" w:hAnsi="Arial"/>
                <w:sz w:val="15"/>
                <w:szCs w:val="15"/>
                <w:b w:val="1"/>
                <w:bCs w:val="1"/>
                <w:color w:val="auto"/>
              </w:rPr>
              <w:t>Dec. 31, 2020</w:t>
            </w:r>
          </w:p>
        </w:tc>
        <w:tc>
          <w:tcPr>
            <w:tcW w:w="1220" w:type="dxa"/>
            <w:vAlign w:val="bottom"/>
            <w:tcBorders>
              <w:bottom w:val="single" w:sz="8" w:color="16479F"/>
            </w:tcBorders>
          </w:tcPr>
          <w:p>
            <w:pPr>
              <w:jc w:val="right"/>
              <w:spacing w:after="0"/>
              <w:rPr>
                <w:sz w:val="20"/>
                <w:szCs w:val="20"/>
                <w:color w:val="auto"/>
              </w:rPr>
            </w:pPr>
            <w:r>
              <w:rPr>
                <w:rFonts w:ascii="Arial" w:cs="Arial" w:eastAsia="Arial" w:hAnsi="Arial"/>
                <w:sz w:val="15"/>
                <w:szCs w:val="15"/>
                <w:b w:val="1"/>
                <w:bCs w:val="1"/>
                <w:color w:val="auto"/>
              </w:rPr>
              <w:t>Dec. 31, 2019</w:t>
            </w:r>
          </w:p>
        </w:tc>
        <w:tc>
          <w:tcPr>
            <w:tcW w:w="20" w:type="dxa"/>
            <w:vAlign w:val="bottom"/>
          </w:tcPr>
          <w:p>
            <w:pPr>
              <w:spacing w:after="0"/>
              <w:rPr>
                <w:sz w:val="18"/>
                <w:szCs w:val="18"/>
                <w:color w:val="auto"/>
              </w:rPr>
            </w:pPr>
          </w:p>
        </w:tc>
      </w:tr>
      <w:tr>
        <w:trPr>
          <w:trHeight w:val="212"/>
        </w:trPr>
        <w:tc>
          <w:tcPr>
            <w:tcW w:w="7180" w:type="dxa"/>
            <w:vAlign w:val="bottom"/>
            <w:shd w:val="clear" w:color="auto" w:fill="F0F1F8"/>
          </w:tcPr>
          <w:p>
            <w:pPr>
              <w:ind w:left="60"/>
              <w:spacing w:after="0"/>
              <w:rPr>
                <w:sz w:val="20"/>
                <w:szCs w:val="20"/>
                <w:color w:val="auto"/>
              </w:rPr>
            </w:pPr>
            <w:r>
              <w:rPr>
                <w:rFonts w:ascii="Arial" w:cs="Arial" w:eastAsia="Arial" w:hAnsi="Arial"/>
                <w:sz w:val="15"/>
                <w:szCs w:val="15"/>
                <w:color w:val="auto"/>
              </w:rPr>
              <w:t>Net cash provided by operating activities</w:t>
            </w:r>
          </w:p>
        </w:tc>
        <w:tc>
          <w:tcPr>
            <w:tcW w:w="1400" w:type="dxa"/>
            <w:vAlign w:val="bottom"/>
            <w:shd w:val="clear" w:color="auto" w:fill="F0F1F8"/>
          </w:tcPr>
          <w:p>
            <w:pPr>
              <w:jc w:val="right"/>
              <w:ind w:right="224"/>
              <w:spacing w:after="0"/>
              <w:rPr>
                <w:sz w:val="20"/>
                <w:szCs w:val="20"/>
                <w:color w:val="auto"/>
              </w:rPr>
            </w:pPr>
            <w:r>
              <w:rPr>
                <w:rFonts w:ascii="Arial" w:cs="Arial" w:eastAsia="Arial" w:hAnsi="Arial"/>
                <w:sz w:val="15"/>
                <w:szCs w:val="15"/>
                <w:color w:val="auto"/>
              </w:rPr>
              <w:t>$936,069</w:t>
            </w:r>
          </w:p>
        </w:tc>
        <w:tc>
          <w:tcPr>
            <w:tcW w:w="1440" w:type="dxa"/>
            <w:vAlign w:val="bottom"/>
            <w:shd w:val="clear" w:color="auto" w:fill="F0F1F8"/>
          </w:tcPr>
          <w:p>
            <w:pPr>
              <w:jc w:val="right"/>
              <w:ind w:right="244"/>
              <w:spacing w:after="0"/>
              <w:rPr>
                <w:sz w:val="20"/>
                <w:szCs w:val="20"/>
                <w:color w:val="auto"/>
              </w:rPr>
            </w:pPr>
            <w:r>
              <w:rPr>
                <w:rFonts w:ascii="Arial" w:cs="Arial" w:eastAsia="Arial" w:hAnsi="Arial"/>
                <w:sz w:val="15"/>
                <w:szCs w:val="15"/>
                <w:color w:val="auto"/>
              </w:rPr>
              <w:t>$811,109</w:t>
            </w:r>
          </w:p>
        </w:tc>
        <w:tc>
          <w:tcPr>
            <w:tcW w:w="1220" w:type="dxa"/>
            <w:vAlign w:val="bottom"/>
            <w:shd w:val="clear" w:color="auto" w:fill="F0F1F8"/>
          </w:tcPr>
          <w:p>
            <w:pPr>
              <w:jc w:val="right"/>
              <w:ind w:right="24"/>
              <w:spacing w:after="0"/>
              <w:rPr>
                <w:sz w:val="20"/>
                <w:szCs w:val="20"/>
                <w:color w:val="auto"/>
              </w:rPr>
            </w:pPr>
            <w:r>
              <w:rPr>
                <w:rFonts w:ascii="Arial" w:cs="Arial" w:eastAsia="Arial" w:hAnsi="Arial"/>
                <w:sz w:val="15"/>
                <w:szCs w:val="15"/>
                <w:color w:val="auto"/>
              </w:rPr>
              <w:t>$709,523</w:t>
            </w:r>
          </w:p>
        </w:tc>
        <w:tc>
          <w:tcPr>
            <w:tcW w:w="20" w:type="dxa"/>
            <w:vAlign w:val="bottom"/>
          </w:tcPr>
          <w:p>
            <w:pPr>
              <w:spacing w:after="0"/>
              <w:rPr>
                <w:sz w:val="18"/>
                <w:szCs w:val="18"/>
                <w:color w:val="auto"/>
              </w:rPr>
            </w:pPr>
          </w:p>
        </w:tc>
      </w:tr>
      <w:tr>
        <w:trPr>
          <w:trHeight w:val="209"/>
        </w:trPr>
        <w:tc>
          <w:tcPr>
            <w:tcW w:w="7180" w:type="dxa"/>
            <w:vAlign w:val="bottom"/>
          </w:tcPr>
          <w:p>
            <w:pPr>
              <w:ind w:left="60"/>
              <w:spacing w:after="0"/>
              <w:rPr>
                <w:sz w:val="20"/>
                <w:szCs w:val="20"/>
                <w:color w:val="auto"/>
              </w:rPr>
            </w:pPr>
            <w:r>
              <w:rPr>
                <w:rFonts w:ascii="Arial" w:cs="Arial" w:eastAsia="Arial" w:hAnsi="Arial"/>
                <w:sz w:val="15"/>
                <w:szCs w:val="15"/>
                <w:color w:val="auto"/>
              </w:rPr>
              <w:t>Capital expenditures</w:t>
            </w:r>
          </w:p>
        </w:tc>
        <w:tc>
          <w:tcPr>
            <w:tcW w:w="1400" w:type="dxa"/>
            <w:vAlign w:val="bottom"/>
          </w:tcPr>
          <w:p>
            <w:pPr>
              <w:jc w:val="right"/>
              <w:ind w:right="164"/>
              <w:spacing w:after="0"/>
              <w:rPr>
                <w:sz w:val="20"/>
                <w:szCs w:val="20"/>
                <w:color w:val="auto"/>
              </w:rPr>
            </w:pPr>
            <w:r>
              <w:rPr>
                <w:rFonts w:ascii="Arial" w:cs="Arial" w:eastAsia="Arial" w:hAnsi="Arial"/>
                <w:sz w:val="15"/>
                <w:szCs w:val="15"/>
                <w:color w:val="auto"/>
              </w:rPr>
              <w:t>(13,509)</w:t>
            </w:r>
          </w:p>
        </w:tc>
        <w:tc>
          <w:tcPr>
            <w:tcW w:w="1440" w:type="dxa"/>
            <w:vAlign w:val="bottom"/>
          </w:tcPr>
          <w:p>
            <w:pPr>
              <w:jc w:val="right"/>
              <w:ind w:right="184"/>
              <w:spacing w:after="0"/>
              <w:rPr>
                <w:sz w:val="20"/>
                <w:szCs w:val="20"/>
                <w:color w:val="auto"/>
              </w:rPr>
            </w:pPr>
            <w:r>
              <w:rPr>
                <w:rFonts w:ascii="Arial" w:cs="Arial" w:eastAsia="Arial" w:hAnsi="Arial"/>
                <w:sz w:val="15"/>
                <w:szCs w:val="15"/>
                <w:color w:val="auto"/>
              </w:rPr>
              <w:t>(21,826)</w:t>
            </w:r>
          </w:p>
        </w:tc>
        <w:tc>
          <w:tcPr>
            <w:tcW w:w="1220" w:type="dxa"/>
            <w:vAlign w:val="bottom"/>
          </w:tcPr>
          <w:p>
            <w:pPr>
              <w:jc w:val="right"/>
              <w:spacing w:after="0"/>
              <w:rPr>
                <w:sz w:val="20"/>
                <w:szCs w:val="20"/>
                <w:color w:val="auto"/>
              </w:rPr>
            </w:pPr>
            <w:r>
              <w:rPr>
                <w:rFonts w:ascii="Arial" w:cs="Arial" w:eastAsia="Arial" w:hAnsi="Arial"/>
                <w:sz w:val="15"/>
                <w:szCs w:val="15"/>
                <w:color w:val="auto"/>
              </w:rPr>
              <w:t>(29,116)</w:t>
            </w:r>
          </w:p>
        </w:tc>
        <w:tc>
          <w:tcPr>
            <w:tcW w:w="20" w:type="dxa"/>
            <w:vAlign w:val="bottom"/>
          </w:tcPr>
          <w:p>
            <w:pPr>
              <w:spacing w:after="0"/>
              <w:rPr>
                <w:sz w:val="18"/>
                <w:szCs w:val="18"/>
                <w:color w:val="auto"/>
              </w:rPr>
            </w:pPr>
          </w:p>
        </w:tc>
      </w:tr>
      <w:tr>
        <w:trPr>
          <w:trHeight w:val="214"/>
        </w:trPr>
        <w:tc>
          <w:tcPr>
            <w:tcW w:w="7180" w:type="dxa"/>
            <w:vAlign w:val="bottom"/>
            <w:shd w:val="clear" w:color="auto" w:fill="F0F1F8"/>
          </w:tcPr>
          <w:p>
            <w:pPr>
              <w:ind w:left="60"/>
              <w:spacing w:after="0"/>
              <w:rPr>
                <w:sz w:val="20"/>
                <w:szCs w:val="20"/>
                <w:color w:val="auto"/>
              </w:rPr>
            </w:pPr>
            <w:r>
              <w:rPr>
                <w:rFonts w:ascii="Arial" w:cs="Arial" w:eastAsia="Arial" w:hAnsi="Arial"/>
                <w:sz w:val="15"/>
                <w:szCs w:val="15"/>
                <w:color w:val="auto"/>
              </w:rPr>
              <w:t>Capitalized software development costs</w:t>
            </w:r>
          </w:p>
        </w:tc>
        <w:tc>
          <w:tcPr>
            <w:tcW w:w="1400" w:type="dxa"/>
            <w:vAlign w:val="bottom"/>
            <w:tcBorders>
              <w:bottom w:val="single" w:sz="8" w:color="auto"/>
            </w:tcBorders>
            <w:shd w:val="clear" w:color="auto" w:fill="F0F1F8"/>
          </w:tcPr>
          <w:p>
            <w:pPr>
              <w:jc w:val="right"/>
              <w:ind w:right="164"/>
              <w:spacing w:after="0"/>
              <w:rPr>
                <w:sz w:val="20"/>
                <w:szCs w:val="20"/>
                <w:color w:val="auto"/>
              </w:rPr>
            </w:pPr>
            <w:r>
              <w:rPr>
                <w:rFonts w:ascii="Arial" w:cs="Arial" w:eastAsia="Arial" w:hAnsi="Arial"/>
                <w:sz w:val="15"/>
                <w:szCs w:val="15"/>
                <w:color w:val="auto"/>
              </w:rPr>
              <w:t>(39,285)</w:t>
            </w:r>
          </w:p>
        </w:tc>
        <w:tc>
          <w:tcPr>
            <w:tcW w:w="1440" w:type="dxa"/>
            <w:vAlign w:val="bottom"/>
            <w:tcBorders>
              <w:bottom w:val="single" w:sz="8" w:color="auto"/>
            </w:tcBorders>
            <w:shd w:val="clear" w:color="auto" w:fill="F0F1F8"/>
          </w:tcPr>
          <w:p>
            <w:pPr>
              <w:jc w:val="right"/>
              <w:ind w:right="184"/>
              <w:spacing w:after="0"/>
              <w:rPr>
                <w:sz w:val="20"/>
                <w:szCs w:val="20"/>
                <w:color w:val="auto"/>
              </w:rPr>
            </w:pPr>
            <w:r>
              <w:rPr>
                <w:rFonts w:ascii="Arial" w:cs="Arial" w:eastAsia="Arial" w:hAnsi="Arial"/>
                <w:sz w:val="15"/>
                <w:szCs w:val="15"/>
                <w:color w:val="auto"/>
              </w:rPr>
              <w:t>(29,149)</w:t>
            </w:r>
          </w:p>
        </w:tc>
        <w:tc>
          <w:tcPr>
            <w:tcW w:w="1220" w:type="dxa"/>
            <w:vAlign w:val="bottom"/>
            <w:tcBorders>
              <w:bottom w:val="single" w:sz="8" w:color="auto"/>
            </w:tcBorders>
            <w:shd w:val="clear" w:color="auto" w:fill="F0F1F8"/>
          </w:tcPr>
          <w:p>
            <w:pPr>
              <w:jc w:val="right"/>
              <w:spacing w:after="0"/>
              <w:rPr>
                <w:sz w:val="20"/>
                <w:szCs w:val="20"/>
                <w:color w:val="auto"/>
              </w:rPr>
            </w:pPr>
            <w:r>
              <w:rPr>
                <w:rFonts w:ascii="Arial" w:cs="Arial" w:eastAsia="Arial" w:hAnsi="Arial"/>
                <w:sz w:val="15"/>
                <w:szCs w:val="15"/>
                <w:color w:val="auto"/>
              </w:rPr>
              <w:t>(24,654)</w:t>
            </w:r>
          </w:p>
        </w:tc>
        <w:tc>
          <w:tcPr>
            <w:tcW w:w="20" w:type="dxa"/>
            <w:vAlign w:val="bottom"/>
          </w:tcPr>
          <w:p>
            <w:pPr>
              <w:spacing w:after="0"/>
              <w:rPr>
                <w:sz w:val="18"/>
                <w:szCs w:val="18"/>
                <w:color w:val="auto"/>
              </w:rPr>
            </w:pPr>
          </w:p>
        </w:tc>
      </w:tr>
      <w:tr>
        <w:trPr>
          <w:trHeight w:val="208"/>
        </w:trPr>
        <w:tc>
          <w:tcPr>
            <w:tcW w:w="7180" w:type="dxa"/>
            <w:vAlign w:val="bottom"/>
            <w:tcBorders>
              <w:bottom w:val="single" w:sz="8" w:color="F0F1F8"/>
            </w:tcBorders>
          </w:tcPr>
          <w:p>
            <w:pPr>
              <w:ind w:left="60"/>
              <w:spacing w:after="0"/>
              <w:rPr>
                <w:sz w:val="20"/>
                <w:szCs w:val="20"/>
                <w:color w:val="auto"/>
              </w:rPr>
            </w:pPr>
            <w:r>
              <w:rPr>
                <w:rFonts w:ascii="Arial" w:cs="Arial" w:eastAsia="Arial" w:hAnsi="Arial"/>
                <w:sz w:val="15"/>
                <w:szCs w:val="15"/>
                <w:color w:val="auto"/>
              </w:rPr>
              <w:t>Capex</w:t>
            </w:r>
          </w:p>
        </w:tc>
        <w:tc>
          <w:tcPr>
            <w:tcW w:w="140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(52,794)</w:t>
            </w:r>
          </w:p>
        </w:tc>
        <w:tc>
          <w:tcPr>
            <w:tcW w:w="14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rPr>
              <w:t>(50,975)</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(53,770)</w:t>
            </w:r>
          </w:p>
        </w:tc>
        <w:tc>
          <w:tcPr>
            <w:tcW w:w="20" w:type="dxa"/>
            <w:vAlign w:val="bottom"/>
          </w:tcPr>
          <w:p>
            <w:pPr>
              <w:spacing w:after="0"/>
              <w:rPr>
                <w:sz w:val="18"/>
                <w:szCs w:val="18"/>
                <w:color w:val="auto"/>
              </w:rPr>
            </w:pPr>
          </w:p>
        </w:tc>
      </w:tr>
      <w:tr>
        <w:trPr>
          <w:trHeight w:val="257"/>
        </w:trPr>
        <w:tc>
          <w:tcPr>
            <w:tcW w:w="7180" w:type="dxa"/>
            <w:vAlign w:val="bottom"/>
            <w:tcBorders>
              <w:bottom w:val="single" w:sz="8" w:color="F0F1F8"/>
            </w:tcBorders>
            <w:shd w:val="clear" w:color="auto" w:fill="F0F1F8"/>
          </w:tcPr>
          <w:p>
            <w:pPr>
              <w:ind w:left="60"/>
              <w:spacing w:after="0"/>
              <w:rPr>
                <w:sz w:val="20"/>
                <w:szCs w:val="20"/>
                <w:color w:val="auto"/>
              </w:rPr>
            </w:pPr>
            <w:r>
              <w:rPr>
                <w:rFonts w:ascii="Arial" w:cs="Arial" w:eastAsia="Arial" w:hAnsi="Arial"/>
                <w:sz w:val="15"/>
                <w:szCs w:val="15"/>
                <w:b w:val="1"/>
                <w:bCs w:val="1"/>
                <w:color w:val="auto"/>
              </w:rPr>
              <w:t>Free cash flow</w:t>
            </w:r>
          </w:p>
        </w:tc>
        <w:tc>
          <w:tcPr>
            <w:tcW w:w="1400" w:type="dxa"/>
            <w:vAlign w:val="bottom"/>
            <w:tcBorders>
              <w:bottom w:val="single" w:sz="8" w:color="auto"/>
            </w:tcBorders>
            <w:shd w:val="clear" w:color="auto" w:fill="F0F1F8"/>
          </w:tcPr>
          <w:p>
            <w:pPr>
              <w:jc w:val="right"/>
              <w:ind w:right="224"/>
              <w:spacing w:after="0"/>
              <w:rPr>
                <w:sz w:val="20"/>
                <w:szCs w:val="20"/>
                <w:color w:val="auto"/>
              </w:rPr>
            </w:pPr>
            <w:r>
              <w:rPr>
                <w:rFonts w:ascii="Arial" w:cs="Arial" w:eastAsia="Arial" w:hAnsi="Arial"/>
                <w:sz w:val="15"/>
                <w:szCs w:val="15"/>
                <w:b w:val="1"/>
                <w:bCs w:val="1"/>
                <w:color w:val="auto"/>
              </w:rPr>
              <w:t>$883,275</w:t>
            </w:r>
          </w:p>
        </w:tc>
        <w:tc>
          <w:tcPr>
            <w:tcW w:w="1440" w:type="dxa"/>
            <w:vAlign w:val="bottom"/>
            <w:tcBorders>
              <w:bottom w:val="single" w:sz="8" w:color="auto"/>
            </w:tcBorders>
            <w:shd w:val="clear" w:color="auto" w:fill="F0F1F8"/>
          </w:tcPr>
          <w:p>
            <w:pPr>
              <w:jc w:val="right"/>
              <w:ind w:right="244"/>
              <w:spacing w:after="0"/>
              <w:rPr>
                <w:sz w:val="20"/>
                <w:szCs w:val="20"/>
                <w:color w:val="auto"/>
              </w:rPr>
            </w:pPr>
            <w:r>
              <w:rPr>
                <w:rFonts w:ascii="Arial" w:cs="Arial" w:eastAsia="Arial" w:hAnsi="Arial"/>
                <w:sz w:val="15"/>
                <w:szCs w:val="15"/>
                <w:b w:val="1"/>
                <w:bCs w:val="1"/>
                <w:color w:val="auto"/>
              </w:rPr>
              <w:t>$760,134</w:t>
            </w:r>
          </w:p>
        </w:tc>
        <w:tc>
          <w:tcPr>
            <w:tcW w:w="1220" w:type="dxa"/>
            <w:vAlign w:val="bottom"/>
            <w:tcBorders>
              <w:bottom w:val="single" w:sz="8" w:color="auto"/>
            </w:tcBorders>
            <w:shd w:val="clear" w:color="auto" w:fill="F0F1F8"/>
          </w:tcPr>
          <w:p>
            <w:pPr>
              <w:jc w:val="right"/>
              <w:ind w:right="24"/>
              <w:spacing w:after="0"/>
              <w:rPr>
                <w:sz w:val="20"/>
                <w:szCs w:val="20"/>
                <w:color w:val="auto"/>
              </w:rPr>
            </w:pPr>
            <w:r>
              <w:rPr>
                <w:rFonts w:ascii="Arial" w:cs="Arial" w:eastAsia="Arial" w:hAnsi="Arial"/>
                <w:sz w:val="15"/>
                <w:szCs w:val="15"/>
                <w:b w:val="1"/>
                <w:bCs w:val="1"/>
                <w:color w:val="auto"/>
              </w:rPr>
              <w:t>$655,753</w:t>
            </w:r>
          </w:p>
        </w:tc>
        <w:tc>
          <w:tcPr>
            <w:tcW w:w="20" w:type="dxa"/>
            <w:vAlign w:val="bottom"/>
          </w:tcPr>
          <w:p>
            <w:pPr>
              <w:spacing w:after="0"/>
              <w:rPr>
                <w:sz w:val="21"/>
                <w:szCs w:val="21"/>
                <w:color w:val="auto"/>
              </w:rPr>
            </w:pPr>
          </w:p>
        </w:tc>
      </w:tr>
      <w:tr>
        <w:trPr>
          <w:trHeight w:val="97"/>
        </w:trPr>
        <w:tc>
          <w:tcPr>
            <w:tcW w:w="7180" w:type="dxa"/>
            <w:vAlign w:val="bottom"/>
            <w:tcBorders>
              <w:top w:val="single" w:sz="8" w:color="auto"/>
              <w:bottom w:val="single" w:sz="8" w:color="808080"/>
            </w:tcBorders>
          </w:tcPr>
          <w:p>
            <w:pPr>
              <w:spacing w:after="0"/>
              <w:rPr>
                <w:sz w:val="8"/>
                <w:szCs w:val="8"/>
                <w:color w:val="auto"/>
              </w:rPr>
            </w:pPr>
          </w:p>
        </w:tc>
        <w:tc>
          <w:tcPr>
            <w:tcW w:w="1400" w:type="dxa"/>
            <w:vAlign w:val="bottom"/>
            <w:tcBorders>
              <w:top w:val="single" w:sz="8" w:color="auto"/>
              <w:bottom w:val="single" w:sz="8" w:color="808080"/>
            </w:tcBorders>
          </w:tcPr>
          <w:p>
            <w:pPr>
              <w:spacing w:after="0"/>
              <w:rPr>
                <w:sz w:val="8"/>
                <w:szCs w:val="8"/>
                <w:color w:val="auto"/>
              </w:rPr>
            </w:pPr>
          </w:p>
        </w:tc>
        <w:tc>
          <w:tcPr>
            <w:tcW w:w="1440" w:type="dxa"/>
            <w:vAlign w:val="bottom"/>
            <w:tcBorders>
              <w:top w:val="single" w:sz="8" w:color="auto"/>
              <w:bottom w:val="single" w:sz="8" w:color="808080"/>
            </w:tcBorders>
          </w:tcPr>
          <w:p>
            <w:pPr>
              <w:spacing w:after="0"/>
              <w:rPr>
                <w:sz w:val="8"/>
                <w:szCs w:val="8"/>
                <w:color w:val="auto"/>
              </w:rPr>
            </w:pPr>
          </w:p>
        </w:tc>
        <w:tc>
          <w:tcPr>
            <w:tcW w:w="1220" w:type="dxa"/>
            <w:vAlign w:val="bottom"/>
            <w:tcBorders>
              <w:top w:val="single" w:sz="8" w:color="auto"/>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7144385</wp:posOffset>
            </wp:positionH>
            <wp:positionV relativeFrom="paragraph">
              <wp:posOffset>-13970</wp:posOffset>
            </wp:positionV>
            <wp:extent cx="1270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14" w:name="page115"/>
    <w:bookmarkEnd w:id="114"/>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00" w:type="dxa"/>
            <w:vAlign w:val="bottom"/>
            <w:tcBorders>
              <w:right w:val="single" w:sz="8" w:color="16479F"/>
            </w:tcBorders>
          </w:tcPr>
          <w:p>
            <w:pPr>
              <w:jc w:val="right"/>
              <w:ind w:right="289"/>
              <w:spacing w:after="0"/>
              <w:rPr>
                <w:sz w:val="20"/>
                <w:szCs w:val="20"/>
                <w:color w:val="auto"/>
              </w:rPr>
            </w:pPr>
            <w:r>
              <w:rPr>
                <w:rFonts w:ascii="Arial" w:cs="Arial" w:eastAsia="Arial" w:hAnsi="Arial"/>
                <w:sz w:val="14"/>
                <w:szCs w:val="14"/>
                <w:b w:val="1"/>
                <w:bCs w:val="1"/>
                <w:color w:val="16479F"/>
              </w:rPr>
              <w:t>114</w:t>
            </w:r>
          </w:p>
        </w:tc>
        <w:tc>
          <w:tcPr>
            <w:tcW w:w="10540" w:type="dxa"/>
            <w:vAlign w:val="bottom"/>
          </w:tcPr>
          <w:p>
            <w:pPr>
              <w:ind w:left="100"/>
              <w:spacing w:after="0"/>
              <w:rPr>
                <w:sz w:val="20"/>
                <w:szCs w:val="20"/>
                <w:color w:val="auto"/>
              </w:rPr>
            </w:pPr>
            <w:r>
              <w:rPr>
                <w:rFonts w:ascii="Arial" w:cs="Arial" w:eastAsia="Arial" w:hAnsi="Arial"/>
                <w:sz w:val="14"/>
                <w:szCs w:val="14"/>
                <w:b w:val="1"/>
                <w:bCs w:val="1"/>
                <w:color w:val="16479F"/>
              </w:rPr>
              <w:t>MSCI  |  ANNEX B: SUPPLEMENTAL FINANCIAL INFORMATION</w:t>
            </w:r>
          </w:p>
        </w:tc>
      </w:tr>
      <w:tr>
        <w:trPr>
          <w:trHeight w:val="65"/>
        </w:trPr>
        <w:tc>
          <w:tcPr>
            <w:tcW w:w="700" w:type="dxa"/>
            <w:vAlign w:val="bottom"/>
            <w:tcBorders>
              <w:bottom w:val="single" w:sz="8" w:color="16479F"/>
              <w:right w:val="single" w:sz="8" w:color="16479F"/>
            </w:tcBorders>
          </w:tcPr>
          <w:p>
            <w:pPr>
              <w:spacing w:after="0"/>
              <w:rPr>
                <w:sz w:val="5"/>
                <w:szCs w:val="5"/>
                <w:color w:val="auto"/>
              </w:rPr>
            </w:pPr>
          </w:p>
        </w:tc>
        <w:tc>
          <w:tcPr>
            <w:tcW w:w="10540" w:type="dxa"/>
            <w:vAlign w:val="bottom"/>
            <w:tcBorders>
              <w:bottom w:val="single" w:sz="8" w:color="16479F"/>
            </w:tcBorders>
          </w:tcPr>
          <w:p>
            <w:pPr>
              <w:spacing w:after="0"/>
              <w:rPr>
                <w:sz w:val="5"/>
                <w:szCs w:val="5"/>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32"/>
          <w:szCs w:val="32"/>
          <w:b w:val="1"/>
          <w:bCs w:val="1"/>
          <w:color w:val="16479F"/>
        </w:rPr>
        <w:t>Notes Regarding the Use of Non-GAAP Financial Measures</w:t>
      </w:r>
    </w:p>
    <w:p>
      <w:pPr>
        <w:spacing w:after="0" w:line="254" w:lineRule="exact"/>
        <w:rPr>
          <w:sz w:val="20"/>
          <w:szCs w:val="20"/>
          <w:color w:val="auto"/>
        </w:rPr>
      </w:pPr>
    </w:p>
    <w:p>
      <w:pPr>
        <w:ind w:right="80"/>
        <w:spacing w:after="0" w:line="230" w:lineRule="auto"/>
        <w:rPr>
          <w:sz w:val="20"/>
          <w:szCs w:val="20"/>
          <w:color w:val="auto"/>
        </w:rPr>
      </w:pPr>
      <w:r>
        <w:rPr>
          <w:rFonts w:ascii="Arial" w:cs="Arial" w:eastAsia="Arial" w:hAnsi="Arial"/>
          <w:sz w:val="15"/>
          <w:szCs w:val="15"/>
          <w:color w:val="auto"/>
        </w:rPr>
        <w:t>MSCI has presented supplemental non-GAAP financial measures as part of this Proxy Statement. A reconciliation is provided that reconciles each non-GAAP financial measure with the most comparable GAAP measure. The non-GAAP financial measures presented in this Proxy Statement should not be considered as alternative measures for the most directly comparable GAAP financial measures. The non-GAAP financial measures presented in this Proxy Statement are used by management to monitor the financial performance of the business, inform business decision making and forecast future results.</w:t>
      </w:r>
    </w:p>
    <w:p>
      <w:pPr>
        <w:spacing w:after="0" w:line="196" w:lineRule="exact"/>
        <w:rPr>
          <w:sz w:val="20"/>
          <w:szCs w:val="20"/>
          <w:color w:val="auto"/>
        </w:rPr>
      </w:pPr>
    </w:p>
    <w:p>
      <w:pPr>
        <w:ind w:right="120"/>
        <w:spacing w:after="0" w:line="233" w:lineRule="auto"/>
        <w:rPr>
          <w:sz w:val="20"/>
          <w:szCs w:val="20"/>
          <w:color w:val="auto"/>
        </w:rPr>
      </w:pPr>
      <w:r>
        <w:rPr>
          <w:rFonts w:ascii="Arial" w:cs="Arial" w:eastAsia="Arial" w:hAnsi="Arial"/>
          <w:sz w:val="15"/>
          <w:szCs w:val="15"/>
          <w:color w:val="auto"/>
        </w:rPr>
        <w:t>“Adjusted EBITDA” is defined as net income before (1) provision for income taxes, (2) other expense (income), net, (3) depreciation and amortization of property, equipment and leasehold improvements, (4) amortization of intangible assets and, at times, (5) certain other transactions or adjustments, including impairment related to sublease of leased property and certain non-recurring acquisition-related integration and transaction costs.</w:t>
      </w:r>
    </w:p>
    <w:p>
      <w:pPr>
        <w:spacing w:after="0" w:line="194" w:lineRule="exact"/>
        <w:rPr>
          <w:sz w:val="20"/>
          <w:szCs w:val="20"/>
          <w:color w:val="auto"/>
        </w:rPr>
      </w:pPr>
    </w:p>
    <w:p>
      <w:pPr>
        <w:ind w:right="140"/>
        <w:spacing w:after="0" w:line="233" w:lineRule="auto"/>
        <w:rPr>
          <w:sz w:val="20"/>
          <w:szCs w:val="20"/>
          <w:color w:val="auto"/>
        </w:rPr>
      </w:pPr>
      <w:r>
        <w:rPr>
          <w:rFonts w:ascii="Arial" w:cs="Arial" w:eastAsia="Arial" w:hAnsi="Arial"/>
          <w:sz w:val="15"/>
          <w:szCs w:val="15"/>
          <w:color w:val="auto"/>
        </w:rPr>
        <w:t>“Adjusted EBITDA expenses” is defined as operating expenses less depreciation and amortization of property, equipment and leasehold improvements and amortization of intangible assets and, at times, certain other transactions or adjustments, including impairment related to sublease of leased property and certain non-recurring acquisition-related integration and transaction costs.</w:t>
      </w:r>
    </w:p>
    <w:p>
      <w:pPr>
        <w:spacing w:after="0" w:line="194" w:lineRule="exact"/>
        <w:rPr>
          <w:sz w:val="20"/>
          <w:szCs w:val="20"/>
          <w:color w:val="auto"/>
        </w:rPr>
      </w:pPr>
    </w:p>
    <w:p>
      <w:pPr>
        <w:ind w:right="60"/>
        <w:spacing w:after="0" w:line="228" w:lineRule="auto"/>
        <w:rPr>
          <w:sz w:val="20"/>
          <w:szCs w:val="20"/>
          <w:color w:val="auto"/>
        </w:rPr>
      </w:pPr>
      <w:r>
        <w:rPr>
          <w:rFonts w:ascii="Arial" w:cs="Arial" w:eastAsia="Arial" w:hAnsi="Arial"/>
          <w:sz w:val="15"/>
          <w:szCs w:val="15"/>
          <w:color w:val="auto"/>
        </w:rPr>
        <w:t>“Adjusted net income” and “adjusted EPS” are defined as net income and diluted EPS, respectively, before the after-tax impact of: the amortization of acquired intangible assets, including the amortization of the basis difference between the cost of the equity method investment and MSCI’s share of the net assets of the investee at historical carrying value, the impact related to costs associated with debt extinguishment, the impact related to certain non-recurring acquisition-related integration and transaction costs, the impact from impairment related to sublease of leased property, the impact related to gain from changes in ownership interest of equity method investee, and, at times, certain other transactions or adjustments. We also exclude the tax impact of adjustments for the Tax Cuts and Jobs Act that was enacted on December 22, 2017 (“Tax Reform”), except for certain amounts associated with active tax planning implemented as a result of Tax Reform.</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“Capex” is defined as capital expenditures plus capitalized software development costs.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“Free cash flow” is defined as net cash provided by operating activities, less Capex.</w:t>
      </w:r>
    </w:p>
    <w:p>
      <w:pPr>
        <w:spacing w:after="0" w:line="202" w:lineRule="exact"/>
        <w:rPr>
          <w:sz w:val="20"/>
          <w:szCs w:val="20"/>
          <w:color w:val="auto"/>
        </w:rPr>
      </w:pPr>
    </w:p>
    <w:p>
      <w:pPr>
        <w:ind w:right="220"/>
        <w:spacing w:after="0" w:line="237" w:lineRule="auto"/>
        <w:rPr>
          <w:sz w:val="20"/>
          <w:szCs w:val="20"/>
          <w:color w:val="auto"/>
        </w:rPr>
      </w:pPr>
      <w:r>
        <w:rPr>
          <w:rFonts w:ascii="Arial" w:cs="Arial" w:eastAsia="Arial" w:hAnsi="Arial"/>
          <w:sz w:val="15"/>
          <w:szCs w:val="15"/>
          <w:color w:val="auto"/>
        </w:rPr>
        <w:t>“Organic operating revenue growth” is defined as operating revenue growth compared to the prior year period excluding the impact of acquired businesses, divested businesses and foreign currency exchange rate fluctuations.</w:t>
      </w:r>
    </w:p>
    <w:p>
      <w:pPr>
        <w:spacing w:after="0" w:line="195" w:lineRule="exact"/>
        <w:rPr>
          <w:sz w:val="20"/>
          <w:szCs w:val="20"/>
          <w:color w:val="auto"/>
        </w:rPr>
      </w:pPr>
    </w:p>
    <w:p>
      <w:pPr>
        <w:ind w:right="60"/>
        <w:spacing w:after="0" w:line="237" w:lineRule="auto"/>
        <w:rPr>
          <w:sz w:val="20"/>
          <w:szCs w:val="20"/>
          <w:color w:val="auto"/>
        </w:rPr>
      </w:pPr>
      <w:r>
        <w:rPr>
          <w:rFonts w:ascii="Arial" w:cs="Arial" w:eastAsia="Arial" w:hAnsi="Arial"/>
          <w:sz w:val="15"/>
          <w:szCs w:val="15"/>
          <w:color w:val="auto"/>
        </w:rPr>
        <w:t>Asset-based fees adjusted for the impact of foreign currency exchange rate fluctuations does not adjust for the impact from foreign currency exchange rate fluctuations on the underlying assets under management.</w:t>
      </w:r>
    </w:p>
    <w:p>
      <w:pPr>
        <w:spacing w:after="0" w:line="195" w:lineRule="exact"/>
        <w:rPr>
          <w:sz w:val="20"/>
          <w:szCs w:val="20"/>
          <w:color w:val="auto"/>
        </w:rPr>
      </w:pPr>
    </w:p>
    <w:p>
      <w:pPr>
        <w:jc w:val="both"/>
        <w:ind w:right="20"/>
        <w:spacing w:after="0" w:line="233" w:lineRule="auto"/>
        <w:rPr>
          <w:sz w:val="20"/>
          <w:szCs w:val="20"/>
          <w:color w:val="auto"/>
        </w:rPr>
      </w:pPr>
      <w:r>
        <w:rPr>
          <w:rFonts w:ascii="Arial" w:cs="Arial" w:eastAsia="Arial" w:hAnsi="Arial"/>
          <w:sz w:val="15"/>
          <w:szCs w:val="15"/>
          <w:color w:val="auto"/>
        </w:rPr>
        <w:t>We believe adjusted EBITDA and adjusted EBITDA expenses are meaningful measures of the operating performance of MSCI because they adjust for significant one-time, unusual or non-recurring items as well as eliminate the accounting effects of certain capital spending and acquisitions that do not directly affect what management considers to be our ongoing operating performance in the period.</w:t>
      </w:r>
    </w:p>
    <w:p>
      <w:pPr>
        <w:spacing w:after="0" w:line="194" w:lineRule="exact"/>
        <w:rPr>
          <w:sz w:val="20"/>
          <w:szCs w:val="20"/>
          <w:color w:val="auto"/>
        </w:rPr>
      </w:pPr>
    </w:p>
    <w:p>
      <w:pPr>
        <w:ind w:right="200"/>
        <w:spacing w:after="0" w:line="229" w:lineRule="auto"/>
        <w:rPr>
          <w:sz w:val="20"/>
          <w:szCs w:val="20"/>
          <w:color w:val="auto"/>
        </w:rPr>
      </w:pPr>
      <w:r>
        <w:rPr>
          <w:rFonts w:ascii="Arial" w:cs="Arial" w:eastAsia="Arial" w:hAnsi="Arial"/>
          <w:sz w:val="15"/>
          <w:szCs w:val="15"/>
          <w:color w:val="auto"/>
        </w:rPr>
        <w:t>We believe adjusted net income and adjusted EPS are meaningful measures of the performance of MSCI because they adjust for the after-tax impact of significant one-time, unusual or non-recurring items as well as eliminate the impact of any transactions that do not directly affect what management considers to be our ongoing operating performance in the period. We also exclude the after-tax impact of the amortization of acquired intangible assets and amortization of the basis difference between the cost of the equity method investment and MSCI’s share of the net assets of the investee at historical carrying value, as these non-cash amounts are significantly impacted by the timing and size of each acquisition and therefore not meaningful to the ongoing operating performance in the period.</w:t>
      </w:r>
    </w:p>
    <w:p>
      <w:pPr>
        <w:spacing w:after="0" w:line="195" w:lineRule="exact"/>
        <w:rPr>
          <w:sz w:val="20"/>
          <w:szCs w:val="20"/>
          <w:color w:val="auto"/>
        </w:rPr>
      </w:pPr>
    </w:p>
    <w:p>
      <w:pPr>
        <w:ind w:right="40"/>
        <w:spacing w:after="0" w:line="233" w:lineRule="auto"/>
        <w:rPr>
          <w:sz w:val="20"/>
          <w:szCs w:val="20"/>
          <w:color w:val="auto"/>
        </w:rPr>
      </w:pPr>
      <w:r>
        <w:rPr>
          <w:rFonts w:ascii="Arial" w:cs="Arial" w:eastAsia="Arial" w:hAnsi="Arial"/>
          <w:sz w:val="15"/>
          <w:szCs w:val="15"/>
          <w:color w:val="auto"/>
        </w:rPr>
        <w:t>We believe that free cash flow is useful to investors because it relates the operating cash flow of MSCI to the capital that is spent to continue and improve business operations, such as investment in MSCI’s existing products. Further, free cash flow indicates our ability to strengthen MSCI’s balance sheet, repay our debt obligations, pay cash dividends and repurchase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55245</wp:posOffset>
            </wp:positionV>
            <wp:extent cx="7154545" cy="209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00" w:type="dxa"/>
            <w:vAlign w:val="bottom"/>
            <w:tcBorders>
              <w:right w:val="single" w:sz="8" w:color="16479F"/>
            </w:tcBorders>
          </w:tcPr>
          <w:p>
            <w:pPr>
              <w:ind w:left="8700"/>
              <w:spacing w:after="0"/>
              <w:rPr>
                <w:sz w:val="20"/>
                <w:szCs w:val="20"/>
                <w:color w:val="auto"/>
              </w:rPr>
            </w:pPr>
            <w:r>
              <w:rPr>
                <w:rFonts w:ascii="Arial" w:cs="Arial" w:eastAsia="Arial" w:hAnsi="Arial"/>
                <w:sz w:val="14"/>
                <w:szCs w:val="14"/>
                <w:b w:val="1"/>
                <w:bCs w:val="1"/>
                <w:color w:val="16479F"/>
              </w:rPr>
              <w:t>2022 PROXY STATEMENT</w:t>
            </w:r>
          </w:p>
        </w:tc>
        <w:tc>
          <w:tcPr>
            <w:tcW w:w="640" w:type="dxa"/>
            <w:vAlign w:val="bottom"/>
          </w:tcPr>
          <w:p>
            <w:pPr>
              <w:jc w:val="right"/>
              <w:ind w:right="9"/>
              <w:spacing w:after="0"/>
              <w:rPr>
                <w:sz w:val="20"/>
                <w:szCs w:val="20"/>
                <w:color w:val="auto"/>
              </w:rPr>
            </w:pPr>
            <w:r>
              <w:rPr>
                <w:rFonts w:ascii="Arial" w:cs="Arial" w:eastAsia="Arial" w:hAnsi="Arial"/>
                <w:sz w:val="14"/>
                <w:szCs w:val="14"/>
                <w:b w:val="1"/>
                <w:bCs w:val="1"/>
                <w:color w:val="16479F"/>
              </w:rPr>
              <w:t>115</w:t>
            </w:r>
          </w:p>
        </w:tc>
      </w:tr>
      <w:tr>
        <w:trPr>
          <w:trHeight w:val="65"/>
        </w:trPr>
        <w:tc>
          <w:tcPr>
            <w:tcW w:w="10600" w:type="dxa"/>
            <w:vAlign w:val="bottom"/>
            <w:tcBorders>
              <w:bottom w:val="single" w:sz="8" w:color="16479F"/>
              <w:right w:val="single" w:sz="8" w:color="16479F"/>
            </w:tcBorders>
          </w:tcPr>
          <w:p>
            <w:pPr>
              <w:spacing w:after="0"/>
              <w:rPr>
                <w:sz w:val="5"/>
                <w:szCs w:val="5"/>
                <w:color w:val="auto"/>
              </w:rPr>
            </w:pPr>
          </w:p>
        </w:tc>
        <w:tc>
          <w:tcPr>
            <w:tcW w:w="640" w:type="dxa"/>
            <w:vAlign w:val="bottom"/>
            <w:tcBorders>
              <w:bottom w:val="single" w:sz="8" w:color="16479F"/>
            </w:tcBorders>
          </w:tcPr>
          <w:p>
            <w:pPr>
              <w:spacing w:after="0"/>
              <w:rPr>
                <w:sz w:val="5"/>
                <w:szCs w:val="5"/>
                <w:color w:val="auto"/>
              </w:rPr>
            </w:pPr>
          </w:p>
        </w:tc>
      </w:tr>
    </w:tbl>
    <w:p>
      <w:pPr>
        <w:spacing w:after="0" w:line="211" w:lineRule="exact"/>
        <w:rPr>
          <w:sz w:val="20"/>
          <w:szCs w:val="20"/>
          <w:color w:val="auto"/>
        </w:rPr>
      </w:pPr>
    </w:p>
    <w:p>
      <w:pPr>
        <w:ind w:right="400"/>
        <w:spacing w:after="0" w:line="233" w:lineRule="auto"/>
        <w:rPr>
          <w:sz w:val="20"/>
          <w:szCs w:val="20"/>
          <w:color w:val="auto"/>
        </w:rPr>
      </w:pPr>
      <w:r>
        <w:rPr>
          <w:rFonts w:ascii="Arial" w:cs="Arial" w:eastAsia="Arial" w:hAnsi="Arial"/>
          <w:sz w:val="15"/>
          <w:szCs w:val="15"/>
          <w:color w:val="auto"/>
        </w:rPr>
        <w:t>We believe organic operating revenue growth is a meaningful measure of the operating performance of MSCI because it adjusts for the impact of foreign currency exchange rate fluctuations and excludes the impact of operating revenues attributable to acquired and divested businesses for the comparable prior year period, providing insight into our ongoing operating performance for the period(s) presented.</w:t>
      </w:r>
    </w:p>
    <w:p>
      <w:pPr>
        <w:spacing w:after="0" w:line="194" w:lineRule="exact"/>
        <w:rPr>
          <w:sz w:val="20"/>
          <w:szCs w:val="20"/>
          <w:color w:val="auto"/>
        </w:rPr>
      </w:pPr>
    </w:p>
    <w:p>
      <w:pPr>
        <w:ind w:right="100"/>
        <w:spacing w:after="0" w:line="237" w:lineRule="auto"/>
        <w:rPr>
          <w:sz w:val="20"/>
          <w:szCs w:val="20"/>
          <w:color w:val="auto"/>
        </w:rPr>
      </w:pPr>
      <w:r>
        <w:rPr>
          <w:rFonts w:ascii="Arial" w:cs="Arial" w:eastAsia="Arial" w:hAnsi="Arial"/>
          <w:sz w:val="15"/>
          <w:szCs w:val="15"/>
          <w:color w:val="auto"/>
        </w:rPr>
        <w:t>We believe that the non-GAAP financial measures presented in this Proxy Statement facilitate meaningful period-to-period comparisons and provide a baseline for the evaluation of future results.</w:t>
      </w:r>
    </w:p>
    <w:p>
      <w:pPr>
        <w:spacing w:after="0" w:line="195" w:lineRule="exact"/>
        <w:rPr>
          <w:sz w:val="20"/>
          <w:szCs w:val="20"/>
          <w:color w:val="auto"/>
        </w:rPr>
      </w:pPr>
    </w:p>
    <w:p>
      <w:pPr>
        <w:ind w:right="40"/>
        <w:spacing w:after="0"/>
        <w:rPr>
          <w:sz w:val="20"/>
          <w:szCs w:val="20"/>
          <w:color w:val="auto"/>
        </w:rPr>
      </w:pPr>
      <w:r>
        <w:rPr>
          <w:rFonts w:ascii="Arial" w:cs="Arial" w:eastAsia="Arial" w:hAnsi="Arial"/>
          <w:sz w:val="15"/>
          <w:szCs w:val="15"/>
          <w:color w:val="auto"/>
        </w:rPr>
        <w:t>Adjusted EBITDA expenses, adjusted EBITDA, adjusted net income, adjusted EPS, Capex, free cash flow and organic operating revenue growth are not defined in the same manner by all companies and may not be comparable to similarly-titled non-GAAP financial measures of other companies. These measures can differ significantly from company to company depending on, among other things, long-term strategic decisions regarding capital structure, the tax jurisdictions in which companies operate and capital investments. Accordingly, the Company’s computation of these measures may not be comparable to similarly titled measures computed by other companies.</w:t>
      </w:r>
    </w:p>
    <w:p>
      <w:pPr>
        <w:spacing w:after="0" w:line="295" w:lineRule="exact"/>
        <w:rPr>
          <w:sz w:val="20"/>
          <w:szCs w:val="20"/>
          <w:color w:val="auto"/>
        </w:rPr>
      </w:pPr>
    </w:p>
    <w:p>
      <w:pPr>
        <w:spacing w:after="0"/>
        <w:rPr>
          <w:sz w:val="20"/>
          <w:szCs w:val="20"/>
          <w:color w:val="auto"/>
        </w:rPr>
      </w:pPr>
      <w:r>
        <w:rPr>
          <w:rFonts w:ascii="Arial" w:cs="Arial" w:eastAsia="Arial" w:hAnsi="Arial"/>
          <w:sz w:val="32"/>
          <w:szCs w:val="32"/>
          <w:b w:val="1"/>
          <w:bCs w:val="1"/>
          <w:color w:val="16479F"/>
        </w:rPr>
        <w:t>Supplemental Information Regarding Retention Rate and Run Rate</w:t>
      </w:r>
    </w:p>
    <w:p>
      <w:pPr>
        <w:spacing w:after="0" w:line="222"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Retention Rate</w:t>
      </w:r>
    </w:p>
    <w:p>
      <w:pPr>
        <w:spacing w:after="0" w:line="244" w:lineRule="exact"/>
        <w:rPr>
          <w:sz w:val="20"/>
          <w:szCs w:val="20"/>
          <w:color w:val="auto"/>
        </w:rPr>
      </w:pPr>
    </w:p>
    <w:p>
      <w:pPr>
        <w:ind w:right="220"/>
        <w:spacing w:after="0" w:line="233" w:lineRule="auto"/>
        <w:rPr>
          <w:sz w:val="20"/>
          <w:szCs w:val="20"/>
          <w:color w:val="auto"/>
        </w:rPr>
      </w:pPr>
      <w:r>
        <w:rPr>
          <w:rFonts w:ascii="Arial" w:cs="Arial" w:eastAsia="Arial" w:hAnsi="Arial"/>
          <w:sz w:val="15"/>
          <w:szCs w:val="15"/>
          <w:color w:val="auto"/>
        </w:rPr>
        <w:t>Retention Rate is an important metric because subscription cancellations decrease our Run Rate and ultimately our future operating revenues over time. The annual Retention Rate represents the retained subscription Run Rate (subscription Run Rate at the beginning of the fiscal year less actual cancels during the year) as a percentage of the subscription Run Rate at the beginning of the fiscal year.</w:t>
      </w:r>
    </w:p>
    <w:p>
      <w:pPr>
        <w:spacing w:after="0" w:line="194" w:lineRule="exact"/>
        <w:rPr>
          <w:sz w:val="20"/>
          <w:szCs w:val="20"/>
          <w:color w:val="auto"/>
        </w:rPr>
      </w:pPr>
    </w:p>
    <w:p>
      <w:pPr>
        <w:spacing w:after="0" w:line="229" w:lineRule="auto"/>
        <w:rPr>
          <w:sz w:val="20"/>
          <w:szCs w:val="20"/>
          <w:color w:val="auto"/>
        </w:rPr>
      </w:pPr>
      <w:r>
        <w:rPr>
          <w:rFonts w:ascii="Arial" w:cs="Arial" w:eastAsia="Arial" w:hAnsi="Arial"/>
          <w:sz w:val="15"/>
          <w:szCs w:val="15"/>
          <w:color w:val="auto"/>
        </w:rPr>
        <w:t>The Retention Rate for a non-annual period is calculated by annualizing the cancellations for which we have received a notice of termination or for which we believe there is an intention not to renew or discontinue the subscription during the non-annual period, and we believe that such notice or intention evidences the client’s final decision to terminate or not renew the applicable agreement, even though such notice is not effective until a later date. This annualized cancellation figure is then divided by the subscription Run Rate at the beginning of the fiscal year to calculate a cancellation rate. This cancellation rate is then subtracted from 100% to derive the annualized Retention Rate for the period.</w:t>
      </w:r>
    </w:p>
    <w:p>
      <w:pPr>
        <w:spacing w:after="0" w:line="195" w:lineRule="exact"/>
        <w:rPr>
          <w:sz w:val="20"/>
          <w:szCs w:val="20"/>
          <w:color w:val="auto"/>
        </w:rPr>
      </w:pPr>
    </w:p>
    <w:p>
      <w:pPr>
        <w:ind w:right="20"/>
        <w:spacing w:after="0" w:line="227" w:lineRule="auto"/>
        <w:rPr>
          <w:sz w:val="20"/>
          <w:szCs w:val="20"/>
          <w:color w:val="auto"/>
        </w:rPr>
      </w:pPr>
      <w:r>
        <w:rPr>
          <w:rFonts w:ascii="Arial" w:cs="Arial" w:eastAsia="Arial" w:hAnsi="Arial"/>
          <w:sz w:val="15"/>
          <w:szCs w:val="15"/>
          <w:color w:val="auto"/>
        </w:rPr>
        <w:t>Retention Rate is computed by operating segment on a product/service-by-product/service basis. In general, if a client reduces the number of products or services to which it subscribes within a segment, or switches between products or services within a segment, we treat it as a cancellation for purposes of calculating our Retention Rate except in the case of a product or service switch that management considers to be a replacement product or service. In those replacement cases, only the net change to the client subscription, if a decrease, is reported as a cancel. In the Analytics and the ESG and Climate operating segments, substantially all product or service switches are treated as replacement products or services and netted in this manner, while in our Index and Real Estate operating segments, product or service switches that are treated as replacement products or services and receive netting treatment occur only in certain limited instances. In addition, we treat any reduction in fees resulting from a down-sell of the same product or service as a cancellation to the extent of the reduction. We do not calculate Retention Rate for that portion of our Run Rate attributable to assets in index-linked investment products or futures and options contracts, in each case, linked to our indexes.</w:t>
      </w:r>
    </w:p>
    <w:p>
      <w:pPr>
        <w:spacing w:after="0" w:line="163"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Run Rate</w:t>
      </w:r>
    </w:p>
    <w:p>
      <w:pPr>
        <w:spacing w:after="0" w:line="244" w:lineRule="exact"/>
        <w:rPr>
          <w:sz w:val="20"/>
          <w:szCs w:val="20"/>
          <w:color w:val="auto"/>
        </w:rPr>
      </w:pPr>
    </w:p>
    <w:p>
      <w:pPr>
        <w:ind w:right="220"/>
        <w:spacing w:after="0" w:line="233" w:lineRule="auto"/>
        <w:rPr>
          <w:sz w:val="20"/>
          <w:szCs w:val="20"/>
          <w:color w:val="auto"/>
        </w:rPr>
      </w:pPr>
      <w:r>
        <w:rPr>
          <w:rFonts w:ascii="Arial" w:cs="Arial" w:eastAsia="Arial" w:hAnsi="Arial"/>
          <w:sz w:val="15"/>
          <w:szCs w:val="15"/>
          <w:color w:val="auto"/>
        </w:rPr>
        <w:t>Run Rate is a key operating metric and is important because an increase or decrease in our Run Rate ultimately impacts our future operating revenues over time. At the end of any period, we generally have subscription and investment product license agreements in place for a large portion of total revenues for the following 12 months. We measure the fees related to these agreements and refer to this as “Run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55245</wp:posOffset>
            </wp:positionV>
            <wp:extent cx="7154545" cy="209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00" w:type="dxa"/>
            <w:vAlign w:val="bottom"/>
            <w:tcBorders>
              <w:right w:val="single" w:sz="8" w:color="16479F"/>
            </w:tcBorders>
          </w:tcPr>
          <w:p>
            <w:pPr>
              <w:jc w:val="right"/>
              <w:ind w:right="289"/>
              <w:spacing w:after="0"/>
              <w:rPr>
                <w:sz w:val="20"/>
                <w:szCs w:val="20"/>
                <w:color w:val="auto"/>
              </w:rPr>
            </w:pPr>
            <w:r>
              <w:rPr>
                <w:rFonts w:ascii="Arial" w:cs="Arial" w:eastAsia="Arial" w:hAnsi="Arial"/>
                <w:sz w:val="14"/>
                <w:szCs w:val="14"/>
                <w:b w:val="1"/>
                <w:bCs w:val="1"/>
                <w:color w:val="16479F"/>
              </w:rPr>
              <w:t>116</w:t>
            </w:r>
          </w:p>
        </w:tc>
        <w:tc>
          <w:tcPr>
            <w:tcW w:w="10540" w:type="dxa"/>
            <w:vAlign w:val="bottom"/>
          </w:tcPr>
          <w:p>
            <w:pPr>
              <w:ind w:left="100"/>
              <w:spacing w:after="0"/>
              <w:rPr>
                <w:sz w:val="20"/>
                <w:szCs w:val="20"/>
                <w:color w:val="auto"/>
              </w:rPr>
            </w:pPr>
            <w:r>
              <w:rPr>
                <w:rFonts w:ascii="Arial" w:cs="Arial" w:eastAsia="Arial" w:hAnsi="Arial"/>
                <w:sz w:val="14"/>
                <w:szCs w:val="14"/>
                <w:b w:val="1"/>
                <w:bCs w:val="1"/>
                <w:color w:val="16479F"/>
              </w:rPr>
              <w:t>MSCI  |  ANNEX B: SUPPLEMENTAL FINANCIAL INFORMATION</w:t>
            </w:r>
          </w:p>
        </w:tc>
      </w:tr>
      <w:tr>
        <w:trPr>
          <w:trHeight w:val="65"/>
        </w:trPr>
        <w:tc>
          <w:tcPr>
            <w:tcW w:w="700" w:type="dxa"/>
            <w:vAlign w:val="bottom"/>
            <w:tcBorders>
              <w:bottom w:val="single" w:sz="8" w:color="16479F"/>
              <w:right w:val="single" w:sz="8" w:color="16479F"/>
            </w:tcBorders>
          </w:tcPr>
          <w:p>
            <w:pPr>
              <w:spacing w:after="0"/>
              <w:rPr>
                <w:sz w:val="5"/>
                <w:szCs w:val="5"/>
                <w:color w:val="auto"/>
              </w:rPr>
            </w:pPr>
          </w:p>
        </w:tc>
        <w:tc>
          <w:tcPr>
            <w:tcW w:w="10540" w:type="dxa"/>
            <w:vAlign w:val="bottom"/>
            <w:tcBorders>
              <w:bottom w:val="single" w:sz="8" w:color="16479F"/>
            </w:tcBorders>
          </w:tcPr>
          <w:p>
            <w:pPr>
              <w:spacing w:after="0"/>
              <w:rPr>
                <w:sz w:val="5"/>
                <w:szCs w:val="5"/>
                <w:color w:val="auto"/>
              </w:rPr>
            </w:pPr>
          </w:p>
        </w:tc>
      </w:tr>
    </w:tbl>
    <w:p>
      <w:pPr>
        <w:spacing w:after="0" w:line="211" w:lineRule="exact"/>
        <w:rPr>
          <w:sz w:val="20"/>
          <w:szCs w:val="20"/>
          <w:color w:val="auto"/>
        </w:rPr>
      </w:pPr>
    </w:p>
    <w:p>
      <w:pPr>
        <w:ind w:right="80"/>
        <w:spacing w:after="0" w:line="226" w:lineRule="auto"/>
        <w:rPr>
          <w:sz w:val="20"/>
          <w:szCs w:val="20"/>
          <w:color w:val="auto"/>
        </w:rPr>
      </w:pPr>
      <w:r>
        <w:rPr>
          <w:rFonts w:ascii="Arial" w:cs="Arial" w:eastAsia="Arial" w:hAnsi="Arial"/>
          <w:sz w:val="15"/>
          <w:szCs w:val="15"/>
          <w:color w:val="auto"/>
        </w:rPr>
        <w:t>Run Rate estimates at a particular point in time the annualized value of the recurring revenues under our client license agreements (“Client Contracts”) for the next 12 months, assuming all Client Contracts that come up for renewal, or reach the end of the committed subscription period, are renewed and assuming then-current currency exchange rates, subject to the adjustments and exclusions described below. For any Client Contract where fees are linked to an investment product’s assets or trading volume/fees, the Run Rate calculation reflects, for ETFs, the market value on the last trading day of the period, for futures and options, the most recent quarterly volumes and/or reported exchange fees, and for other non-ETF products, the most recent client-reported assets. Run Rate does not include fees associated with “one-time” and other non-recurring transactions. In addition, we add to Run Rate the annualized fee value of recurring new sales, whether to existing or new clients, when we execute Client Contracts, even though the license start date, and associated revenue recognition, may not be effective until a later date. We remove from Run Rate the annualized fee value associated with products or services under any Client Contract with respect to which we have received a notice of termination, non-renewal or an indication the client does not intend to continue their subscription during the period and have determined that such notice evidences the client’s final decision to terminate or not renew the applicable products or services, even though such notice is not effective until a later date.</w:t>
      </w:r>
    </w:p>
    <w:p>
      <w:pPr>
        <w:spacing w:after="0" w:line="197" w:lineRule="exact"/>
        <w:rPr>
          <w:sz w:val="20"/>
          <w:szCs w:val="20"/>
          <w:color w:val="auto"/>
        </w:rPr>
      </w:pPr>
    </w:p>
    <w:p>
      <w:pPr>
        <w:ind w:right="220"/>
        <w:spacing w:after="0" w:line="237" w:lineRule="auto"/>
        <w:rPr>
          <w:sz w:val="20"/>
          <w:szCs w:val="20"/>
          <w:color w:val="auto"/>
        </w:rPr>
      </w:pPr>
      <w:r>
        <w:rPr>
          <w:rFonts w:ascii="Arial" w:cs="Arial" w:eastAsia="Arial" w:hAnsi="Arial"/>
          <w:sz w:val="15"/>
          <w:szCs w:val="15"/>
          <w:color w:val="auto"/>
        </w:rPr>
        <w:t>Changes in our recurring revenues typically lag changes in Run Rate. The actual amount of recurring revenues we will realize over the following 12 months will differ from Run Rate for numerous reasons, including:</w:t>
      </w:r>
    </w:p>
    <w:p>
      <w:pPr>
        <w:spacing w:after="0" w:line="195" w:lineRule="exact"/>
        <w:rPr>
          <w:sz w:val="20"/>
          <w:szCs w:val="20"/>
          <w:color w:val="auto"/>
        </w:rPr>
      </w:pPr>
    </w:p>
    <w:p>
      <w:pPr>
        <w:ind w:left="240" w:hanging="233"/>
        <w:spacing w:after="0"/>
        <w:tabs>
          <w:tab w:leader="none" w:pos="240" w:val="left"/>
        </w:tabs>
        <w:numPr>
          <w:ilvl w:val="0"/>
          <w:numId w:val="161"/>
        </w:numPr>
        <w:rPr>
          <w:rFonts w:ascii="Arial" w:cs="Arial" w:eastAsia="Arial" w:hAnsi="Arial"/>
          <w:sz w:val="15"/>
          <w:szCs w:val="15"/>
          <w:color w:val="16479F"/>
        </w:rPr>
      </w:pPr>
      <w:r>
        <w:rPr>
          <w:rFonts w:ascii="Arial" w:cs="Arial" w:eastAsia="Arial" w:hAnsi="Arial"/>
          <w:sz w:val="15"/>
          <w:szCs w:val="15"/>
          <w:color w:val="auto"/>
        </w:rPr>
        <w:t>fluctuations in revenues associated with new recurring sales;</w:t>
      </w:r>
    </w:p>
    <w:p>
      <w:pPr>
        <w:spacing w:after="0" w:line="68" w:lineRule="exact"/>
        <w:rPr>
          <w:rFonts w:ascii="Arial" w:cs="Arial" w:eastAsia="Arial" w:hAnsi="Arial"/>
          <w:sz w:val="15"/>
          <w:szCs w:val="15"/>
          <w:color w:val="16479F"/>
        </w:rPr>
      </w:pPr>
    </w:p>
    <w:p>
      <w:pPr>
        <w:ind w:left="240" w:hanging="233"/>
        <w:spacing w:after="0"/>
        <w:tabs>
          <w:tab w:leader="none" w:pos="240" w:val="left"/>
        </w:tabs>
        <w:numPr>
          <w:ilvl w:val="0"/>
          <w:numId w:val="161"/>
        </w:numPr>
        <w:rPr>
          <w:rFonts w:ascii="Arial" w:cs="Arial" w:eastAsia="Arial" w:hAnsi="Arial"/>
          <w:sz w:val="15"/>
          <w:szCs w:val="15"/>
          <w:color w:val="16479F"/>
        </w:rPr>
      </w:pPr>
      <w:r>
        <w:rPr>
          <w:rFonts w:ascii="Arial" w:cs="Arial" w:eastAsia="Arial" w:hAnsi="Arial"/>
          <w:sz w:val="15"/>
          <w:szCs w:val="15"/>
          <w:color w:val="auto"/>
        </w:rPr>
        <w:t>modifications, cancellations and non-renewals of existing Client Contracts, subject to specified notice requirements;</w:t>
      </w:r>
    </w:p>
    <w:p>
      <w:pPr>
        <w:spacing w:after="0" w:line="68" w:lineRule="exact"/>
        <w:rPr>
          <w:rFonts w:ascii="Arial" w:cs="Arial" w:eastAsia="Arial" w:hAnsi="Arial"/>
          <w:sz w:val="15"/>
          <w:szCs w:val="15"/>
          <w:color w:val="16479F"/>
        </w:rPr>
      </w:pPr>
    </w:p>
    <w:p>
      <w:pPr>
        <w:ind w:left="240" w:right="440" w:hanging="233"/>
        <w:spacing w:after="0" w:line="237" w:lineRule="auto"/>
        <w:tabs>
          <w:tab w:leader="none" w:pos="240" w:val="left"/>
        </w:tabs>
        <w:numPr>
          <w:ilvl w:val="0"/>
          <w:numId w:val="161"/>
        </w:numPr>
        <w:rPr>
          <w:rFonts w:ascii="Arial" w:cs="Arial" w:eastAsia="Arial" w:hAnsi="Arial"/>
          <w:sz w:val="15"/>
          <w:szCs w:val="15"/>
          <w:color w:val="16479F"/>
        </w:rPr>
      </w:pPr>
      <w:r>
        <w:rPr>
          <w:rFonts w:ascii="Arial" w:cs="Arial" w:eastAsia="Arial" w:hAnsi="Arial"/>
          <w:sz w:val="15"/>
          <w:szCs w:val="15"/>
          <w:color w:val="auto"/>
        </w:rPr>
        <w:t>differences between the recurring license start date and the date the Client Contract is executed due to, for example, contracts with onboarding periods or fee waiver periods;</w:t>
      </w:r>
    </w:p>
    <w:p>
      <w:pPr>
        <w:spacing w:after="0" w:line="61" w:lineRule="exact"/>
        <w:rPr>
          <w:rFonts w:ascii="Arial" w:cs="Arial" w:eastAsia="Arial" w:hAnsi="Arial"/>
          <w:sz w:val="15"/>
          <w:szCs w:val="15"/>
          <w:color w:val="16479F"/>
        </w:rPr>
      </w:pPr>
    </w:p>
    <w:p>
      <w:pPr>
        <w:ind w:left="240" w:right="60" w:hanging="233"/>
        <w:spacing w:after="0" w:line="237" w:lineRule="auto"/>
        <w:tabs>
          <w:tab w:leader="none" w:pos="240" w:val="left"/>
        </w:tabs>
        <w:numPr>
          <w:ilvl w:val="0"/>
          <w:numId w:val="161"/>
        </w:numPr>
        <w:rPr>
          <w:rFonts w:ascii="Arial" w:cs="Arial" w:eastAsia="Arial" w:hAnsi="Arial"/>
          <w:sz w:val="15"/>
          <w:szCs w:val="15"/>
          <w:color w:val="16479F"/>
        </w:rPr>
      </w:pPr>
      <w:r>
        <w:rPr>
          <w:rFonts w:ascii="Arial" w:cs="Arial" w:eastAsia="Arial" w:hAnsi="Arial"/>
          <w:sz w:val="15"/>
          <w:szCs w:val="15"/>
          <w:color w:val="auto"/>
        </w:rPr>
        <w:t>fluctuations in asset-based fees, which may result from changes in certain investment products’ total expense ratios, market movements, including foreign currency exchange rates, or from investment inflows into and outflows from investment products linked to our indexes;</w:t>
      </w:r>
    </w:p>
    <w:p>
      <w:pPr>
        <w:spacing w:after="0" w:line="61" w:lineRule="exact"/>
        <w:rPr>
          <w:rFonts w:ascii="Arial" w:cs="Arial" w:eastAsia="Arial" w:hAnsi="Arial"/>
          <w:sz w:val="15"/>
          <w:szCs w:val="15"/>
          <w:color w:val="16479F"/>
        </w:rPr>
      </w:pPr>
    </w:p>
    <w:p>
      <w:pPr>
        <w:ind w:left="240" w:hanging="233"/>
        <w:spacing w:after="0"/>
        <w:tabs>
          <w:tab w:leader="none" w:pos="240" w:val="left"/>
        </w:tabs>
        <w:numPr>
          <w:ilvl w:val="0"/>
          <w:numId w:val="161"/>
        </w:numPr>
        <w:rPr>
          <w:rFonts w:ascii="Arial" w:cs="Arial" w:eastAsia="Arial" w:hAnsi="Arial"/>
          <w:sz w:val="15"/>
          <w:szCs w:val="15"/>
          <w:color w:val="16479F"/>
        </w:rPr>
      </w:pPr>
      <w:r>
        <w:rPr>
          <w:rFonts w:ascii="Arial" w:cs="Arial" w:eastAsia="Arial" w:hAnsi="Arial"/>
          <w:sz w:val="15"/>
          <w:szCs w:val="15"/>
          <w:color w:val="auto"/>
        </w:rPr>
        <w:t>fluctuations in fees based on trading volumes of futures and options contracts linked to our indexes;</w:t>
      </w:r>
    </w:p>
    <w:p>
      <w:pPr>
        <w:spacing w:after="0" w:line="68" w:lineRule="exact"/>
        <w:rPr>
          <w:rFonts w:ascii="Arial" w:cs="Arial" w:eastAsia="Arial" w:hAnsi="Arial"/>
          <w:sz w:val="15"/>
          <w:szCs w:val="15"/>
          <w:color w:val="16479F"/>
        </w:rPr>
      </w:pPr>
    </w:p>
    <w:p>
      <w:pPr>
        <w:ind w:left="240" w:hanging="233"/>
        <w:spacing w:after="0"/>
        <w:tabs>
          <w:tab w:leader="none" w:pos="240" w:val="left"/>
        </w:tabs>
        <w:numPr>
          <w:ilvl w:val="0"/>
          <w:numId w:val="161"/>
        </w:numPr>
        <w:rPr>
          <w:rFonts w:ascii="Arial" w:cs="Arial" w:eastAsia="Arial" w:hAnsi="Arial"/>
          <w:sz w:val="15"/>
          <w:szCs w:val="15"/>
          <w:color w:val="16479F"/>
        </w:rPr>
      </w:pPr>
      <w:r>
        <w:rPr>
          <w:rFonts w:ascii="Arial" w:cs="Arial" w:eastAsia="Arial" w:hAnsi="Arial"/>
          <w:sz w:val="15"/>
          <w:szCs w:val="15"/>
          <w:color w:val="auto"/>
        </w:rPr>
        <w:t>fluctuations in the number of hedge funds for which we provide investment information and risk analysis to hedge fund investors;</w:t>
      </w:r>
    </w:p>
    <w:p>
      <w:pPr>
        <w:spacing w:after="0" w:line="68" w:lineRule="exact"/>
        <w:rPr>
          <w:rFonts w:ascii="Arial" w:cs="Arial" w:eastAsia="Arial" w:hAnsi="Arial"/>
          <w:sz w:val="15"/>
          <w:szCs w:val="15"/>
          <w:color w:val="16479F"/>
        </w:rPr>
      </w:pPr>
    </w:p>
    <w:p>
      <w:pPr>
        <w:ind w:left="240" w:hanging="233"/>
        <w:spacing w:after="0"/>
        <w:tabs>
          <w:tab w:leader="none" w:pos="240" w:val="left"/>
        </w:tabs>
        <w:numPr>
          <w:ilvl w:val="0"/>
          <w:numId w:val="161"/>
        </w:numPr>
        <w:rPr>
          <w:rFonts w:ascii="Arial" w:cs="Arial" w:eastAsia="Arial" w:hAnsi="Arial"/>
          <w:sz w:val="15"/>
          <w:szCs w:val="15"/>
          <w:color w:val="16479F"/>
        </w:rPr>
      </w:pPr>
      <w:r>
        <w:rPr>
          <w:rFonts w:ascii="Arial" w:cs="Arial" w:eastAsia="Arial" w:hAnsi="Arial"/>
          <w:sz w:val="15"/>
          <w:szCs w:val="15"/>
          <w:color w:val="auto"/>
        </w:rPr>
        <w:t>price changes or discounts;</w:t>
      </w:r>
    </w:p>
    <w:p>
      <w:pPr>
        <w:spacing w:after="0" w:line="68" w:lineRule="exact"/>
        <w:rPr>
          <w:rFonts w:ascii="Arial" w:cs="Arial" w:eastAsia="Arial" w:hAnsi="Arial"/>
          <w:sz w:val="15"/>
          <w:szCs w:val="15"/>
          <w:color w:val="16479F"/>
        </w:rPr>
      </w:pPr>
    </w:p>
    <w:p>
      <w:pPr>
        <w:ind w:left="240" w:right="480" w:hanging="233"/>
        <w:spacing w:after="0" w:line="237" w:lineRule="auto"/>
        <w:tabs>
          <w:tab w:leader="none" w:pos="240" w:val="left"/>
        </w:tabs>
        <w:numPr>
          <w:ilvl w:val="0"/>
          <w:numId w:val="161"/>
        </w:numPr>
        <w:rPr>
          <w:rFonts w:ascii="Arial" w:cs="Arial" w:eastAsia="Arial" w:hAnsi="Arial"/>
          <w:sz w:val="15"/>
          <w:szCs w:val="15"/>
          <w:color w:val="16479F"/>
        </w:rPr>
      </w:pPr>
      <w:r>
        <w:rPr>
          <w:rFonts w:ascii="Arial" w:cs="Arial" w:eastAsia="Arial" w:hAnsi="Arial"/>
          <w:sz w:val="15"/>
          <w:szCs w:val="15"/>
          <w:color w:val="auto"/>
        </w:rPr>
        <w:t>revenue recognition differences under U.S. GAAP, including those related to the timing of implementation and report deliveries for certain of our products and services;</w:t>
      </w:r>
    </w:p>
    <w:p>
      <w:pPr>
        <w:spacing w:after="0" w:line="61" w:lineRule="exact"/>
        <w:rPr>
          <w:rFonts w:ascii="Arial" w:cs="Arial" w:eastAsia="Arial" w:hAnsi="Arial"/>
          <w:sz w:val="15"/>
          <w:szCs w:val="15"/>
          <w:color w:val="16479F"/>
        </w:rPr>
      </w:pPr>
    </w:p>
    <w:p>
      <w:pPr>
        <w:ind w:left="240" w:hanging="233"/>
        <w:spacing w:after="0"/>
        <w:tabs>
          <w:tab w:leader="none" w:pos="240" w:val="left"/>
        </w:tabs>
        <w:numPr>
          <w:ilvl w:val="0"/>
          <w:numId w:val="161"/>
        </w:numPr>
        <w:rPr>
          <w:rFonts w:ascii="Arial" w:cs="Arial" w:eastAsia="Arial" w:hAnsi="Arial"/>
          <w:sz w:val="15"/>
          <w:szCs w:val="15"/>
          <w:color w:val="16479F"/>
        </w:rPr>
      </w:pPr>
      <w:r>
        <w:rPr>
          <w:rFonts w:ascii="Arial" w:cs="Arial" w:eastAsia="Arial" w:hAnsi="Arial"/>
          <w:sz w:val="15"/>
          <w:szCs w:val="15"/>
          <w:color w:val="auto"/>
        </w:rPr>
        <w:t>fluctuations in foreign currency exchange rates; and</w:t>
      </w:r>
    </w:p>
    <w:p>
      <w:pPr>
        <w:spacing w:after="0" w:line="68" w:lineRule="exact"/>
        <w:rPr>
          <w:rFonts w:ascii="Arial" w:cs="Arial" w:eastAsia="Arial" w:hAnsi="Arial"/>
          <w:sz w:val="15"/>
          <w:szCs w:val="15"/>
          <w:color w:val="16479F"/>
        </w:rPr>
      </w:pPr>
    </w:p>
    <w:p>
      <w:pPr>
        <w:ind w:left="240" w:hanging="233"/>
        <w:spacing w:after="0"/>
        <w:tabs>
          <w:tab w:leader="none" w:pos="240" w:val="left"/>
        </w:tabs>
        <w:numPr>
          <w:ilvl w:val="0"/>
          <w:numId w:val="161"/>
        </w:numPr>
        <w:rPr>
          <w:rFonts w:ascii="Arial" w:cs="Arial" w:eastAsia="Arial" w:hAnsi="Arial"/>
          <w:sz w:val="15"/>
          <w:szCs w:val="15"/>
          <w:color w:val="16479F"/>
        </w:rPr>
      </w:pPr>
      <w:r>
        <w:rPr>
          <w:rFonts w:ascii="Arial" w:cs="Arial" w:eastAsia="Arial" w:hAnsi="Arial"/>
          <w:sz w:val="15"/>
          <w:szCs w:val="15"/>
          <w:color w:val="auto"/>
        </w:rPr>
        <w:t>the impact of acquisitions and divestitures.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60325</wp:posOffset>
            </wp:positionV>
            <wp:extent cx="7154545" cy="209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149860</wp:posOffset>
            </wp:positionV>
            <wp:extent cx="6291580" cy="82130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291580" cy="8213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220" w:right="3419"/>
        <w:spacing w:after="0" w:line="277" w:lineRule="auto"/>
        <w:rPr>
          <w:sz w:val="20"/>
          <w:szCs w:val="20"/>
          <w:color w:val="auto"/>
        </w:rPr>
      </w:pPr>
      <w:r>
        <w:rPr>
          <w:rFonts w:ascii="Arial" w:cs="Arial" w:eastAsia="Arial" w:hAnsi="Arial"/>
          <w:sz w:val="53"/>
          <w:szCs w:val="53"/>
          <w:b w:val="1"/>
          <w:bCs w:val="1"/>
          <w:color w:val="FFFFFF"/>
        </w:rPr>
        <w:t>Our Principles of Sustainable Investing</w:t>
      </w:r>
    </w:p>
    <w:p>
      <w:pPr>
        <w:spacing w:after="0" w:line="51" w:lineRule="exact"/>
        <w:rPr>
          <w:sz w:val="20"/>
          <w:szCs w:val="20"/>
          <w:color w:val="auto"/>
        </w:rPr>
      </w:pPr>
    </w:p>
    <w:p>
      <w:pPr>
        <w:ind w:left="1220" w:right="2159"/>
        <w:spacing w:after="0" w:line="260" w:lineRule="auto"/>
        <w:rPr>
          <w:sz w:val="20"/>
          <w:szCs w:val="20"/>
          <w:color w:val="auto"/>
        </w:rPr>
      </w:pPr>
      <w:r>
        <w:rPr>
          <w:rFonts w:ascii="Arial" w:cs="Arial" w:eastAsia="Arial" w:hAnsi="Arial"/>
          <w:sz w:val="21"/>
          <w:szCs w:val="21"/>
          <w:b w:val="1"/>
          <w:bCs w:val="1"/>
          <w:color w:val="FFFFFF"/>
        </w:rPr>
        <w:t>At MSCI, we believe ESG &amp; climate factors will significantly impact financial assets and the risk and return of investments, which will lead to a large-scale re-allocation of capital over the coming years.</w:t>
      </w:r>
    </w:p>
    <w:p>
      <w:pPr>
        <w:spacing w:after="0" w:line="181" w:lineRule="exact"/>
        <w:rPr>
          <w:sz w:val="20"/>
          <w:szCs w:val="20"/>
          <w:color w:val="auto"/>
        </w:rPr>
      </w:pPr>
    </w:p>
    <w:p>
      <w:pPr>
        <w:ind w:left="1220" w:right="2179"/>
        <w:spacing w:after="0" w:line="230" w:lineRule="auto"/>
        <w:rPr>
          <w:sz w:val="20"/>
          <w:szCs w:val="20"/>
          <w:color w:val="auto"/>
        </w:rPr>
      </w:pPr>
      <w:r>
        <w:rPr>
          <w:rFonts w:ascii="Arial" w:cs="Arial" w:eastAsia="Arial" w:hAnsi="Arial"/>
          <w:sz w:val="15"/>
          <w:szCs w:val="15"/>
          <w:color w:val="FFFFFF"/>
        </w:rPr>
        <w:t>Given the significant and increasing impact that we expect ESG to exert on assets and the allocation of capital, MSCI urges all investors to integrate ESG considerations throughout their investment processes: to identify new investment opportunities, manage emerging risks and achieve long-term, sustainable investment performance.</w:t>
      </w:r>
    </w:p>
    <w:p>
      <w:pPr>
        <w:spacing w:after="0" w:line="196" w:lineRule="exact"/>
        <w:rPr>
          <w:sz w:val="20"/>
          <w:szCs w:val="20"/>
          <w:color w:val="auto"/>
        </w:rPr>
      </w:pPr>
    </w:p>
    <w:p>
      <w:pPr>
        <w:ind w:left="1220" w:right="2499"/>
        <w:spacing w:after="0" w:line="237" w:lineRule="auto"/>
        <w:rPr>
          <w:sz w:val="20"/>
          <w:szCs w:val="20"/>
          <w:color w:val="auto"/>
        </w:rPr>
      </w:pPr>
      <w:r>
        <w:rPr>
          <w:rFonts w:ascii="Arial" w:cs="Arial" w:eastAsia="Arial" w:hAnsi="Arial"/>
          <w:sz w:val="15"/>
          <w:szCs w:val="15"/>
          <w:color w:val="FFFFFF"/>
        </w:rPr>
        <w:t>The MSCI Principles of Sustainable Investing set forth our views on the core principles and best practices for ESG integration.</w:t>
      </w:r>
    </w:p>
    <w:p>
      <w:pPr>
        <w:spacing w:after="0" w:line="195" w:lineRule="exact"/>
        <w:rPr>
          <w:sz w:val="20"/>
          <w:szCs w:val="20"/>
          <w:color w:val="auto"/>
        </w:rPr>
      </w:pPr>
    </w:p>
    <w:p>
      <w:pPr>
        <w:ind w:left="1220"/>
        <w:spacing w:after="0"/>
        <w:rPr>
          <w:sz w:val="20"/>
          <w:szCs w:val="20"/>
          <w:color w:val="auto"/>
        </w:rPr>
      </w:pPr>
      <w:r>
        <w:rPr>
          <w:rFonts w:ascii="Arial" w:cs="Arial" w:eastAsia="Arial" w:hAnsi="Arial"/>
          <w:sz w:val="15"/>
          <w:szCs w:val="15"/>
          <w:color w:val="FFFFFF"/>
        </w:rPr>
        <w:t xml:space="preserve">To learn more visit </w:t>
      </w:r>
      <w:r>
        <w:rPr>
          <w:rFonts w:ascii="Arial" w:cs="Arial" w:eastAsia="Arial" w:hAnsi="Arial"/>
          <w:sz w:val="15"/>
          <w:szCs w:val="15"/>
          <w:color w:val="00B5AA"/>
        </w:rPr>
        <w:t>msci.com/esg-investing</w:t>
      </w:r>
    </w:p>
    <w:p>
      <w:pPr>
        <w:spacing w:after="0" w:line="202" w:lineRule="exact"/>
        <w:rPr>
          <w:sz w:val="20"/>
          <w:szCs w:val="20"/>
          <w:color w:val="auto"/>
        </w:rPr>
      </w:pPr>
    </w:p>
    <w:p>
      <w:pPr>
        <w:ind w:left="1220" w:right="2419"/>
        <w:spacing w:after="0" w:line="237" w:lineRule="auto"/>
        <w:rPr>
          <w:sz w:val="20"/>
          <w:szCs w:val="20"/>
          <w:color w:val="auto"/>
        </w:rPr>
      </w:pPr>
      <w:r>
        <w:rPr>
          <w:rFonts w:ascii="Arial" w:cs="Arial" w:eastAsia="Arial" w:hAnsi="Arial"/>
          <w:sz w:val="15"/>
          <w:szCs w:val="15"/>
          <w:color w:val="FFFFFF"/>
        </w:rPr>
        <w:t>Information and reports on our website will not be deemed a part of, or otherwise incorporated by reference in, this Proxy Statement or any other report we file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20"/>
        <w:spacing w:after="0"/>
        <w:rPr>
          <w:sz w:val="20"/>
          <w:szCs w:val="20"/>
          <w:color w:val="auto"/>
        </w:rPr>
      </w:pPr>
      <w:r>
        <w:rPr>
          <w:rFonts w:ascii="Arial" w:cs="Arial" w:eastAsia="Arial" w:hAnsi="Arial"/>
          <w:sz w:val="32"/>
          <w:szCs w:val="32"/>
          <w:b w:val="1"/>
          <w:bCs w:val="1"/>
          <w:color w:val="16479F"/>
        </w:rPr>
        <w:t>Explore MSCI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4106545</wp:posOffset>
            </wp:positionV>
            <wp:extent cx="7154545" cy="209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18" w:name="page119"/>
    <w:bookmarkEnd w:id="118"/>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149860</wp:posOffset>
            </wp:positionV>
            <wp:extent cx="7154545" cy="825817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4545" cy="825817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19" w:name="page120"/>
    <w:bookmarkEnd w:id="119"/>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3362960</wp:posOffset>
            </wp:positionH>
            <wp:positionV relativeFrom="paragraph">
              <wp:posOffset>149860</wp:posOffset>
            </wp:positionV>
            <wp:extent cx="2040255" cy="48450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040255" cy="48450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280"/>
        <w:spacing w:after="0"/>
        <w:rPr>
          <w:sz w:val="20"/>
          <w:szCs w:val="20"/>
          <w:color w:val="auto"/>
        </w:rPr>
      </w:pPr>
      <w:r>
        <w:rPr>
          <w:rFonts w:ascii="Arial" w:cs="Arial" w:eastAsia="Arial" w:hAnsi="Arial"/>
          <w:sz w:val="9"/>
          <w:szCs w:val="9"/>
          <w:i w:val="1"/>
          <w:iCs w:val="1"/>
          <w:color w:val="auto"/>
        </w:rPr>
        <w:t>MSCI INC.</w:t>
      </w:r>
    </w:p>
    <w:p>
      <w:pPr>
        <w:ind w:left="280"/>
        <w:spacing w:after="0" w:line="217" w:lineRule="auto"/>
        <w:rPr>
          <w:sz w:val="20"/>
          <w:szCs w:val="20"/>
          <w:color w:val="auto"/>
        </w:rPr>
      </w:pPr>
      <w:r>
        <w:rPr>
          <w:rFonts w:ascii="Arial" w:cs="Arial" w:eastAsia="Arial" w:hAnsi="Arial"/>
          <w:sz w:val="9"/>
          <w:szCs w:val="9"/>
          <w:i w:val="1"/>
          <w:iCs w:val="1"/>
          <w:color w:val="auto"/>
        </w:rPr>
        <w:t>C/O BROADRIDGE</w:t>
      </w:r>
    </w:p>
    <w:p>
      <w:pPr>
        <w:ind w:left="280"/>
        <w:spacing w:after="0" w:line="217" w:lineRule="auto"/>
        <w:rPr>
          <w:sz w:val="20"/>
          <w:szCs w:val="20"/>
          <w:color w:val="auto"/>
        </w:rPr>
      </w:pPr>
      <w:r>
        <w:rPr>
          <w:rFonts w:ascii="Arial" w:cs="Arial" w:eastAsia="Arial" w:hAnsi="Arial"/>
          <w:sz w:val="9"/>
          <w:szCs w:val="9"/>
          <w:i w:val="1"/>
          <w:iCs w:val="1"/>
          <w:color w:val="auto"/>
        </w:rPr>
        <w:t>P.O. BOX 1342</w:t>
      </w:r>
    </w:p>
    <w:p>
      <w:pPr>
        <w:ind w:left="280"/>
        <w:spacing w:after="0"/>
        <w:rPr>
          <w:sz w:val="20"/>
          <w:szCs w:val="20"/>
          <w:color w:val="auto"/>
        </w:rPr>
      </w:pPr>
      <w:r>
        <w:rPr>
          <w:rFonts w:ascii="Arial" w:cs="Arial" w:eastAsia="Arial" w:hAnsi="Arial"/>
          <w:sz w:val="9"/>
          <w:szCs w:val="9"/>
          <w:i w:val="1"/>
          <w:iCs w:val="1"/>
          <w:color w:val="auto"/>
        </w:rPr>
        <w:t>BRENTWOOD, NY 11717</w:t>
      </w:r>
    </w:p>
    <w:p>
      <w:pPr>
        <w:spacing w:after="0" w:line="129" w:lineRule="exact"/>
        <w:rPr>
          <w:sz w:val="20"/>
          <w:szCs w:val="20"/>
          <w:color w:val="auto"/>
        </w:rPr>
      </w:pPr>
    </w:p>
    <w:p>
      <w:pPr>
        <w:ind w:left="5300"/>
        <w:spacing w:after="0"/>
        <w:rPr>
          <w:sz w:val="20"/>
          <w:szCs w:val="20"/>
          <w:color w:val="auto"/>
        </w:rPr>
      </w:pPr>
      <w:r>
        <w:rPr>
          <w:rFonts w:ascii="Arial" w:cs="Arial" w:eastAsia="Arial" w:hAnsi="Arial"/>
          <w:sz w:val="11"/>
          <w:szCs w:val="11"/>
          <w:b w:val="1"/>
          <w:bCs w:val="1"/>
          <w:color w:val="auto"/>
        </w:rPr>
        <w:t>VOTE BY INTERNET</w:t>
      </w:r>
    </w:p>
    <w:p>
      <w:pPr>
        <w:spacing w:after="0" w:line="21" w:lineRule="exact"/>
        <w:rPr>
          <w:sz w:val="20"/>
          <w:szCs w:val="20"/>
          <w:color w:val="auto"/>
        </w:rPr>
      </w:pPr>
    </w:p>
    <w:p>
      <w:pPr>
        <w:ind w:left="5300"/>
        <w:spacing w:after="0"/>
        <w:rPr>
          <w:sz w:val="20"/>
          <w:szCs w:val="20"/>
          <w:color w:val="auto"/>
        </w:rPr>
      </w:pPr>
      <w:r>
        <w:rPr>
          <w:rFonts w:ascii="Arial" w:cs="Arial" w:eastAsia="Arial" w:hAnsi="Arial"/>
          <w:sz w:val="11"/>
          <w:szCs w:val="11"/>
          <w:i w:val="1"/>
          <w:iCs w:val="1"/>
          <w:color w:val="auto"/>
        </w:rPr>
        <w:t xml:space="preserve">Before The Meeting </w:t>
      </w:r>
      <w:r>
        <w:rPr>
          <w:rFonts w:ascii="Arial" w:cs="Arial" w:eastAsia="Arial" w:hAnsi="Arial"/>
          <w:sz w:val="11"/>
          <w:szCs w:val="11"/>
          <w:color w:val="auto"/>
        </w:rPr>
        <w:t>- Go to</w:t>
      </w:r>
      <w:r>
        <w:rPr>
          <w:rFonts w:ascii="Arial" w:cs="Arial" w:eastAsia="Arial" w:hAnsi="Arial"/>
          <w:sz w:val="11"/>
          <w:szCs w:val="11"/>
          <w:i w:val="1"/>
          <w:iCs w:val="1"/>
          <w:color w:val="auto"/>
        </w:rPr>
        <w:t xml:space="preserve"> </w:t>
      </w:r>
      <w:r>
        <w:rPr>
          <w:rFonts w:ascii="Arial" w:cs="Arial" w:eastAsia="Arial" w:hAnsi="Arial"/>
          <w:sz w:val="11"/>
          <w:szCs w:val="11"/>
          <w:b w:val="1"/>
          <w:bCs w:val="1"/>
          <w:u w:val="single" w:color="auto"/>
          <w:color w:val="auto"/>
        </w:rPr>
        <w:t>www.proxyvote.com</w:t>
      </w:r>
      <w:r>
        <w:rPr>
          <w:rFonts w:ascii="Arial" w:cs="Arial" w:eastAsia="Arial" w:hAnsi="Arial"/>
          <w:sz w:val="11"/>
          <w:szCs w:val="11"/>
          <w:i w:val="1"/>
          <w:iCs w:val="1"/>
          <w:color w:val="auto"/>
        </w:rPr>
        <w:t xml:space="preserve"> </w:t>
      </w:r>
      <w:r>
        <w:rPr>
          <w:rFonts w:ascii="Arial" w:cs="Arial" w:eastAsia="Arial" w:hAnsi="Arial"/>
          <w:sz w:val="11"/>
          <w:szCs w:val="11"/>
          <w:b w:val="1"/>
          <w:bCs w:val="1"/>
          <w:color w:val="auto"/>
        </w:rPr>
        <w:t>or scan the QR Barcode above</w:t>
      </w:r>
    </w:p>
    <w:p>
      <w:pPr>
        <w:spacing w:after="0" w:line="142" w:lineRule="exact"/>
        <w:rPr>
          <w:sz w:val="20"/>
          <w:szCs w:val="20"/>
          <w:color w:val="auto"/>
        </w:rPr>
      </w:pPr>
    </w:p>
    <w:p>
      <w:pPr>
        <w:ind w:left="5300"/>
        <w:spacing w:after="0"/>
        <w:rPr>
          <w:sz w:val="20"/>
          <w:szCs w:val="20"/>
          <w:color w:val="auto"/>
        </w:rPr>
      </w:pPr>
      <w:r>
        <w:rPr>
          <w:rFonts w:ascii="Arial" w:cs="Arial" w:eastAsia="Arial" w:hAnsi="Arial"/>
          <w:sz w:val="11"/>
          <w:szCs w:val="11"/>
          <w:color w:val="auto"/>
        </w:rPr>
        <w:t>Use the Internet to transmit your voting instructions and for electronic delivery of information up until</w:t>
      </w:r>
    </w:p>
    <w:p>
      <w:pPr>
        <w:spacing w:after="0" w:line="7" w:lineRule="exact"/>
        <w:rPr>
          <w:sz w:val="20"/>
          <w:szCs w:val="20"/>
          <w:color w:val="auto"/>
        </w:rPr>
      </w:pPr>
    </w:p>
    <w:p>
      <w:pPr>
        <w:ind w:left="5300"/>
        <w:spacing w:after="0"/>
        <w:rPr>
          <w:sz w:val="20"/>
          <w:szCs w:val="20"/>
          <w:color w:val="auto"/>
        </w:rPr>
      </w:pPr>
      <w:r>
        <w:rPr>
          <w:rFonts w:ascii="Arial" w:cs="Arial" w:eastAsia="Arial" w:hAnsi="Arial"/>
          <w:sz w:val="11"/>
          <w:szCs w:val="11"/>
          <w:color w:val="auto"/>
        </w:rPr>
        <w:t>11:59 p.m. Eastern Time on April 25, 2022. Have your proxy card in hand when you access the website</w:t>
      </w:r>
    </w:p>
    <w:p>
      <w:pPr>
        <w:spacing w:after="0" w:line="7" w:lineRule="exact"/>
        <w:rPr>
          <w:sz w:val="20"/>
          <w:szCs w:val="20"/>
          <w:color w:val="auto"/>
        </w:rPr>
      </w:pPr>
    </w:p>
    <w:p>
      <w:pPr>
        <w:ind w:left="5300"/>
        <w:spacing w:after="0"/>
        <w:rPr>
          <w:sz w:val="20"/>
          <w:szCs w:val="20"/>
          <w:color w:val="auto"/>
        </w:rPr>
      </w:pPr>
      <w:r>
        <w:rPr>
          <w:rFonts w:ascii="Arial" w:cs="Arial" w:eastAsia="Arial" w:hAnsi="Arial"/>
          <w:sz w:val="11"/>
          <w:szCs w:val="11"/>
          <w:color w:val="auto"/>
        </w:rPr>
        <w:t>and follow the instructions to obtain your records and to create an electronic voting instruction form.</w:t>
      </w:r>
    </w:p>
    <w:p>
      <w:pPr>
        <w:spacing w:after="0" w:line="127" w:lineRule="exact"/>
        <w:rPr>
          <w:sz w:val="20"/>
          <w:szCs w:val="20"/>
          <w:color w:val="auto"/>
        </w:rPr>
      </w:pPr>
    </w:p>
    <w:p>
      <w:pPr>
        <w:ind w:left="5300"/>
        <w:spacing w:after="0"/>
        <w:rPr>
          <w:sz w:val="20"/>
          <w:szCs w:val="20"/>
          <w:color w:val="auto"/>
        </w:rPr>
      </w:pPr>
      <w:r>
        <w:rPr>
          <w:rFonts w:ascii="Arial" w:cs="Arial" w:eastAsia="Arial" w:hAnsi="Arial"/>
          <w:sz w:val="11"/>
          <w:szCs w:val="11"/>
          <w:i w:val="1"/>
          <w:iCs w:val="1"/>
          <w:color w:val="auto"/>
        </w:rPr>
        <w:t xml:space="preserve">During The Meeting </w:t>
      </w:r>
      <w:r>
        <w:rPr>
          <w:rFonts w:ascii="Arial" w:cs="Arial" w:eastAsia="Arial" w:hAnsi="Arial"/>
          <w:sz w:val="11"/>
          <w:szCs w:val="11"/>
          <w:color w:val="auto"/>
        </w:rPr>
        <w:t>- Go to</w:t>
      </w:r>
      <w:r>
        <w:rPr>
          <w:rFonts w:ascii="Arial" w:cs="Arial" w:eastAsia="Arial" w:hAnsi="Arial"/>
          <w:sz w:val="11"/>
          <w:szCs w:val="11"/>
          <w:i w:val="1"/>
          <w:iCs w:val="1"/>
          <w:color w:val="auto"/>
        </w:rPr>
        <w:t xml:space="preserve"> </w:t>
      </w:r>
      <w:r>
        <w:rPr>
          <w:rFonts w:ascii="Arial" w:cs="Arial" w:eastAsia="Arial" w:hAnsi="Arial"/>
          <w:sz w:val="11"/>
          <w:szCs w:val="11"/>
          <w:b w:val="1"/>
          <w:bCs w:val="1"/>
          <w:u w:val="single" w:color="auto"/>
          <w:color w:val="auto"/>
        </w:rPr>
        <w:t>www.virtualshareholdermeeting.com/MSCI2022</w:t>
      </w:r>
    </w:p>
    <w:p>
      <w:pPr>
        <w:spacing w:after="0" w:line="155" w:lineRule="exact"/>
        <w:rPr>
          <w:sz w:val="20"/>
          <w:szCs w:val="20"/>
          <w:color w:val="auto"/>
        </w:rPr>
      </w:pPr>
    </w:p>
    <w:p>
      <w:pPr>
        <w:ind w:left="5300"/>
        <w:spacing w:after="0"/>
        <w:rPr>
          <w:sz w:val="20"/>
          <w:szCs w:val="20"/>
          <w:color w:val="auto"/>
        </w:rPr>
      </w:pPr>
      <w:r>
        <w:rPr>
          <w:rFonts w:ascii="Arial" w:cs="Arial" w:eastAsia="Arial" w:hAnsi="Arial"/>
          <w:sz w:val="11"/>
          <w:szCs w:val="11"/>
          <w:color w:val="auto"/>
        </w:rPr>
        <w:t>You may attend the meeting via the Internet and vote during the meeting. Have the information that is</w:t>
      </w:r>
    </w:p>
    <w:p>
      <w:pPr>
        <w:spacing w:after="0" w:line="7" w:lineRule="exact"/>
        <w:rPr>
          <w:sz w:val="20"/>
          <w:szCs w:val="20"/>
          <w:color w:val="auto"/>
        </w:rPr>
      </w:pPr>
    </w:p>
    <w:p>
      <w:pPr>
        <w:ind w:left="5300"/>
        <w:spacing w:after="0"/>
        <w:rPr>
          <w:sz w:val="20"/>
          <w:szCs w:val="20"/>
          <w:color w:val="auto"/>
        </w:rPr>
      </w:pPr>
      <w:r>
        <w:rPr>
          <w:rFonts w:ascii="Arial" w:cs="Arial" w:eastAsia="Arial" w:hAnsi="Arial"/>
          <w:sz w:val="11"/>
          <w:szCs w:val="11"/>
          <w:color w:val="auto"/>
        </w:rPr>
        <w:t>printed in the box marked by the arrow available and follow the instructions.</w:t>
      </w:r>
    </w:p>
    <w:p>
      <w:pPr>
        <w:spacing w:after="0" w:line="127" w:lineRule="exact"/>
        <w:rPr>
          <w:sz w:val="20"/>
          <w:szCs w:val="20"/>
          <w:color w:val="auto"/>
        </w:rPr>
      </w:pPr>
    </w:p>
    <w:p>
      <w:pPr>
        <w:ind w:left="5300"/>
        <w:spacing w:after="0"/>
        <w:rPr>
          <w:sz w:val="20"/>
          <w:szCs w:val="20"/>
          <w:color w:val="auto"/>
        </w:rPr>
      </w:pPr>
      <w:r>
        <w:rPr>
          <w:rFonts w:ascii="Arial" w:cs="Arial" w:eastAsia="Arial" w:hAnsi="Arial"/>
          <w:sz w:val="11"/>
          <w:szCs w:val="11"/>
          <w:b w:val="1"/>
          <w:bCs w:val="1"/>
          <w:color w:val="auto"/>
        </w:rPr>
        <w:t>VOTE BY PHONE - 1-800-690-6903</w:t>
      </w:r>
    </w:p>
    <w:p>
      <w:pPr>
        <w:spacing w:after="0" w:line="21" w:lineRule="exact"/>
        <w:rPr>
          <w:sz w:val="20"/>
          <w:szCs w:val="20"/>
          <w:color w:val="auto"/>
        </w:rPr>
      </w:pPr>
    </w:p>
    <w:p>
      <w:pPr>
        <w:ind w:left="5300"/>
        <w:spacing w:after="0"/>
        <w:rPr>
          <w:sz w:val="20"/>
          <w:szCs w:val="20"/>
          <w:color w:val="auto"/>
        </w:rPr>
      </w:pPr>
      <w:r>
        <w:rPr>
          <w:rFonts w:ascii="Arial" w:cs="Arial" w:eastAsia="Arial" w:hAnsi="Arial"/>
          <w:sz w:val="11"/>
          <w:szCs w:val="11"/>
          <w:color w:val="auto"/>
        </w:rPr>
        <w:t>Use any touch-tone telephone to transmit your voting instructions up until 11:59 p.m. Eastern Time on</w:t>
      </w:r>
    </w:p>
    <w:p>
      <w:pPr>
        <w:spacing w:after="0" w:line="7" w:lineRule="exact"/>
        <w:rPr>
          <w:sz w:val="20"/>
          <w:szCs w:val="20"/>
          <w:color w:val="auto"/>
        </w:rPr>
      </w:pPr>
    </w:p>
    <w:p>
      <w:pPr>
        <w:ind w:left="5300"/>
        <w:spacing w:after="0"/>
        <w:rPr>
          <w:sz w:val="20"/>
          <w:szCs w:val="20"/>
          <w:color w:val="auto"/>
        </w:rPr>
      </w:pPr>
      <w:r>
        <w:rPr>
          <w:rFonts w:ascii="Arial" w:cs="Arial" w:eastAsia="Arial" w:hAnsi="Arial"/>
          <w:sz w:val="11"/>
          <w:szCs w:val="11"/>
          <w:color w:val="auto"/>
        </w:rPr>
        <w:t>April 25, 2022. Have your proxy card in hand when you call and then follow the instructions.</w:t>
      </w:r>
    </w:p>
    <w:p>
      <w:pPr>
        <w:spacing w:after="0" w:line="127" w:lineRule="exact"/>
        <w:rPr>
          <w:sz w:val="20"/>
          <w:szCs w:val="20"/>
          <w:color w:val="auto"/>
        </w:rPr>
      </w:pPr>
    </w:p>
    <w:p>
      <w:pPr>
        <w:ind w:left="5300"/>
        <w:spacing w:after="0"/>
        <w:rPr>
          <w:sz w:val="20"/>
          <w:szCs w:val="20"/>
          <w:color w:val="auto"/>
        </w:rPr>
      </w:pPr>
      <w:r>
        <w:rPr>
          <w:rFonts w:ascii="Arial" w:cs="Arial" w:eastAsia="Arial" w:hAnsi="Arial"/>
          <w:sz w:val="11"/>
          <w:szCs w:val="11"/>
          <w:b w:val="1"/>
          <w:bCs w:val="1"/>
          <w:color w:val="auto"/>
        </w:rPr>
        <w:t>VOTE BY MAIL</w:t>
      </w:r>
    </w:p>
    <w:p>
      <w:pPr>
        <w:spacing w:after="0" w:line="21" w:lineRule="exact"/>
        <w:rPr>
          <w:sz w:val="20"/>
          <w:szCs w:val="20"/>
          <w:color w:val="auto"/>
        </w:rPr>
      </w:pPr>
    </w:p>
    <w:p>
      <w:pPr>
        <w:ind w:left="5300"/>
        <w:spacing w:after="0"/>
        <w:rPr>
          <w:sz w:val="20"/>
          <w:szCs w:val="20"/>
          <w:color w:val="auto"/>
        </w:rPr>
      </w:pPr>
      <w:r>
        <w:rPr>
          <w:rFonts w:ascii="Arial" w:cs="Arial" w:eastAsia="Arial" w:hAnsi="Arial"/>
          <w:sz w:val="11"/>
          <w:szCs w:val="11"/>
          <w:color w:val="auto"/>
        </w:rPr>
        <w:t>Mark, sign and date your proxy card and return it in the postage-paid envelope we have provided or</w:t>
      </w:r>
    </w:p>
    <w:p>
      <w:pPr>
        <w:spacing w:after="0" w:line="7" w:lineRule="exact"/>
        <w:rPr>
          <w:sz w:val="20"/>
          <w:szCs w:val="20"/>
          <w:color w:val="auto"/>
        </w:rPr>
      </w:pPr>
    </w:p>
    <w:p>
      <w:pPr>
        <w:ind w:left="5300"/>
        <w:spacing w:after="0"/>
        <w:rPr>
          <w:sz w:val="20"/>
          <w:szCs w:val="20"/>
          <w:color w:val="auto"/>
        </w:rPr>
      </w:pPr>
      <w:r>
        <w:rPr>
          <w:rFonts w:ascii="Arial" w:cs="Arial" w:eastAsia="Arial" w:hAnsi="Arial"/>
          <w:sz w:val="11"/>
          <w:szCs w:val="11"/>
          <w:color w:val="auto"/>
        </w:rPr>
        <w:t>return it to Vote Processing, c/o Broadridge, 51 Mercedes Way, Edgewood, NY 11717.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40" w:type="dxa"/>
            <w:vAlign w:val="bottom"/>
            <w:gridSpan w:val="7"/>
          </w:tcPr>
          <w:p>
            <w:pPr>
              <w:spacing w:after="0"/>
              <w:rPr>
                <w:sz w:val="20"/>
                <w:szCs w:val="20"/>
                <w:color w:val="auto"/>
              </w:rPr>
            </w:pPr>
            <w:r>
              <w:rPr>
                <w:rFonts w:ascii="Arial" w:cs="Arial" w:eastAsia="Arial" w:hAnsi="Arial"/>
                <w:sz w:val="12"/>
                <w:szCs w:val="12"/>
                <w:color w:val="auto"/>
              </w:rPr>
              <w:t>TO VOTE, MARK BLOCKS BELOW IN BLUE OR BLACK INK AS FOLLOWS:</w:t>
            </w: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60" w:type="dxa"/>
            <w:vAlign w:val="bottom"/>
            <w:vMerge w:val="restart"/>
          </w:tcPr>
          <w:p>
            <w:pPr>
              <w:ind w:left="180"/>
              <w:spacing w:after="0"/>
              <w:rPr>
                <w:sz w:val="20"/>
                <w:szCs w:val="20"/>
                <w:color w:val="auto"/>
              </w:rPr>
            </w:pPr>
            <w:r>
              <w:rPr>
                <w:rFonts w:ascii="Arial" w:cs="Arial" w:eastAsia="Arial" w:hAnsi="Arial"/>
                <w:sz w:val="12"/>
                <w:szCs w:val="12"/>
                <w:color w:val="auto"/>
              </w:rPr>
              <w:t>D66835-P67779</w:t>
            </w:r>
          </w:p>
        </w:tc>
        <w:tc>
          <w:tcPr>
            <w:tcW w:w="2680" w:type="dxa"/>
            <w:vAlign w:val="bottom"/>
            <w:gridSpan w:val="10"/>
            <w:vMerge w:val="restart"/>
          </w:tcPr>
          <w:p>
            <w:pPr>
              <w:jc w:val="center"/>
              <w:spacing w:after="0"/>
              <w:rPr>
                <w:sz w:val="20"/>
                <w:szCs w:val="20"/>
                <w:color w:val="auto"/>
              </w:rPr>
            </w:pPr>
            <w:r>
              <w:rPr>
                <w:rFonts w:ascii="Arial" w:cs="Arial" w:eastAsia="Arial" w:hAnsi="Arial"/>
                <w:sz w:val="12"/>
                <w:szCs w:val="12"/>
                <w:color w:val="auto"/>
              </w:rPr>
              <w:t>KEEP THIS PORTION FOR YOUR RECORDS</w:t>
            </w:r>
          </w:p>
        </w:tc>
        <w:tc>
          <w:tcPr>
            <w:tcW w:w="0" w:type="dxa"/>
            <w:vAlign w:val="bottom"/>
          </w:tcPr>
          <w:p>
            <w:pPr>
              <w:spacing w:after="0"/>
              <w:rPr>
                <w:sz w:val="1"/>
                <w:szCs w:val="1"/>
                <w:color w:val="auto"/>
              </w:rPr>
            </w:pPr>
          </w:p>
        </w:tc>
      </w:tr>
      <w:tr>
        <w:trPr>
          <w:trHeight w:val="132"/>
        </w:trPr>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60" w:type="dxa"/>
            <w:vAlign w:val="bottom"/>
            <w:vMerge w:val="continue"/>
          </w:tcPr>
          <w:p>
            <w:pPr>
              <w:spacing w:after="0"/>
              <w:rPr>
                <w:sz w:val="11"/>
                <w:szCs w:val="11"/>
                <w:color w:val="auto"/>
              </w:rPr>
            </w:pPr>
          </w:p>
        </w:tc>
        <w:tc>
          <w:tcPr>
            <w:tcW w:w="26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660" w:type="dxa"/>
            <w:vAlign w:val="bottom"/>
            <w:gridSpan w:val="8"/>
          </w:tcPr>
          <w:p>
            <w:pPr>
              <w:ind w:left="36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2680" w:type="dxa"/>
            <w:vAlign w:val="bottom"/>
            <w:gridSpan w:val="10"/>
          </w:tcPr>
          <w:p>
            <w:pPr>
              <w:jc w:val="center"/>
              <w:spacing w:after="0"/>
              <w:rPr>
                <w:sz w:val="20"/>
                <w:szCs w:val="20"/>
                <w:color w:val="auto"/>
              </w:rPr>
            </w:pPr>
            <w:r>
              <w:rPr>
                <w:rFonts w:ascii="Arial" w:cs="Arial" w:eastAsia="Arial" w:hAnsi="Arial"/>
                <w:sz w:val="12"/>
                <w:szCs w:val="12"/>
                <w:color w:val="auto"/>
              </w:rPr>
              <w:t>DETACH AND RETURN THIS PORTION ONLY</w:t>
            </w:r>
          </w:p>
        </w:tc>
        <w:tc>
          <w:tcPr>
            <w:tcW w:w="0" w:type="dxa"/>
            <w:vAlign w:val="bottom"/>
          </w:tcPr>
          <w:p>
            <w:pPr>
              <w:spacing w:after="0"/>
              <w:rPr>
                <w:sz w:val="1"/>
                <w:szCs w:val="1"/>
                <w:color w:val="auto"/>
              </w:rPr>
            </w:pPr>
          </w:p>
        </w:tc>
      </w:tr>
      <w:tr>
        <w:trPr>
          <w:trHeight w:val="55"/>
        </w:trPr>
        <w:tc>
          <w:tcPr>
            <w:tcW w:w="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4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40" w:type="dxa"/>
            <w:vAlign w:val="bottom"/>
            <w:tcBorders>
              <w:right w:val="single" w:sz="8" w:color="auto"/>
            </w:tcBorders>
          </w:tcPr>
          <w:p>
            <w:pPr>
              <w:spacing w:after="0"/>
              <w:rPr>
                <w:sz w:val="16"/>
                <w:szCs w:val="16"/>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MSCI INC.</w:t>
            </w:r>
          </w:p>
        </w:tc>
        <w:tc>
          <w:tcPr>
            <w:tcW w:w="2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tcPr>
          <w:p>
            <w:pPr>
              <w:spacing w:after="0"/>
              <w:rPr>
                <w:sz w:val="21"/>
                <w:szCs w:val="21"/>
                <w:color w:val="auto"/>
              </w:rPr>
            </w:pPr>
          </w:p>
        </w:tc>
        <w:tc>
          <w:tcPr>
            <w:tcW w:w="4400" w:type="dxa"/>
            <w:vAlign w:val="bottom"/>
            <w:gridSpan w:val="6"/>
          </w:tcPr>
          <w:p>
            <w:pPr>
              <w:ind w:left="260"/>
              <w:spacing w:after="0"/>
              <w:rPr>
                <w:sz w:val="20"/>
                <w:szCs w:val="20"/>
                <w:color w:val="auto"/>
              </w:rPr>
            </w:pPr>
            <w:r>
              <w:rPr>
                <w:rFonts w:ascii="Arial" w:cs="Arial" w:eastAsia="Arial" w:hAnsi="Arial"/>
                <w:sz w:val="12"/>
                <w:szCs w:val="12"/>
                <w:b w:val="1"/>
                <w:bCs w:val="1"/>
                <w:color w:val="auto"/>
              </w:rPr>
              <w:t>The Board of Directors recommends you vote FOR the following:</w:t>
            </w:r>
          </w:p>
        </w:tc>
        <w:tc>
          <w:tcPr>
            <w:tcW w:w="5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8"/>
        </w:trPr>
        <w:tc>
          <w:tcPr>
            <w:tcW w:w="40" w:type="dxa"/>
            <w:vAlign w:val="bottom"/>
            <w:tcBorders>
              <w:right w:val="single" w:sz="8" w:color="auto"/>
            </w:tcBorders>
          </w:tcPr>
          <w:p>
            <w:pPr>
              <w:spacing w:after="0"/>
              <w:rPr>
                <w:sz w:val="8"/>
                <w:szCs w:val="8"/>
                <w:color w:val="auto"/>
              </w:rPr>
            </w:pPr>
          </w:p>
        </w:tc>
        <w:tc>
          <w:tcPr>
            <w:tcW w:w="2880" w:type="dxa"/>
            <w:vAlign w:val="bottom"/>
            <w:gridSpan w:val="3"/>
            <w:vMerge w:val="restart"/>
          </w:tcPr>
          <w:p>
            <w:pPr>
              <w:ind w:left="260"/>
              <w:spacing w:after="0"/>
              <w:rPr>
                <w:sz w:val="20"/>
                <w:szCs w:val="20"/>
                <w:color w:val="auto"/>
              </w:rPr>
            </w:pPr>
            <w:r>
              <w:rPr>
                <w:rFonts w:ascii="Arial" w:cs="Arial" w:eastAsia="Arial" w:hAnsi="Arial"/>
                <w:sz w:val="12"/>
                <w:szCs w:val="12"/>
                <w:color w:val="auto"/>
              </w:rPr>
              <w:t>1.   Election of Directors</w:t>
            </w: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40" w:type="dxa"/>
            <w:vAlign w:val="bottom"/>
            <w:tcBorders>
              <w:right w:val="single" w:sz="8" w:color="auto"/>
            </w:tcBorders>
          </w:tcPr>
          <w:p>
            <w:pPr>
              <w:spacing w:after="0"/>
              <w:rPr>
                <w:sz w:val="14"/>
                <w:szCs w:val="14"/>
                <w:color w:val="auto"/>
              </w:rPr>
            </w:pPr>
          </w:p>
        </w:tc>
        <w:tc>
          <w:tcPr>
            <w:tcW w:w="28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40" w:type="dxa"/>
            <w:vAlign w:val="bottom"/>
            <w:tcBorders>
              <w:right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2600" w:type="dxa"/>
            <w:vAlign w:val="bottom"/>
            <w:gridSpan w:val="2"/>
          </w:tcPr>
          <w:p>
            <w:pPr>
              <w:ind w:left="300"/>
              <w:spacing w:after="0"/>
              <w:rPr>
                <w:sz w:val="20"/>
                <w:szCs w:val="20"/>
                <w:color w:val="auto"/>
              </w:rPr>
            </w:pPr>
            <w:r>
              <w:rPr>
                <w:rFonts w:ascii="Arial" w:cs="Arial" w:eastAsia="Arial" w:hAnsi="Arial"/>
                <w:sz w:val="12"/>
                <w:szCs w:val="12"/>
                <w:b w:val="1"/>
                <w:bCs w:val="1"/>
                <w:color w:val="auto"/>
              </w:rPr>
              <w:t>Nominees:</w:t>
            </w:r>
          </w:p>
        </w:tc>
        <w:tc>
          <w:tcPr>
            <w:tcW w:w="800" w:type="dxa"/>
            <w:vAlign w:val="bottom"/>
          </w:tcPr>
          <w:p>
            <w:pPr>
              <w:spacing w:after="0"/>
              <w:rPr>
                <w:sz w:val="23"/>
                <w:szCs w:val="23"/>
                <w:color w:val="auto"/>
              </w:rPr>
            </w:pPr>
          </w:p>
        </w:tc>
        <w:tc>
          <w:tcPr>
            <w:tcW w:w="720" w:type="dxa"/>
            <w:vAlign w:val="bottom"/>
            <w:gridSpan w:val="2"/>
          </w:tcPr>
          <w:p>
            <w:pPr>
              <w:ind w:left="480"/>
              <w:spacing w:after="0"/>
              <w:rPr>
                <w:sz w:val="20"/>
                <w:szCs w:val="20"/>
                <w:color w:val="auto"/>
              </w:rPr>
            </w:pPr>
            <w:r>
              <w:rPr>
                <w:rFonts w:ascii="Arial" w:cs="Arial" w:eastAsia="Arial" w:hAnsi="Arial"/>
                <w:sz w:val="12"/>
                <w:szCs w:val="12"/>
                <w:b w:val="1"/>
                <w:bCs w:val="1"/>
                <w:color w:val="auto"/>
              </w:rPr>
              <w:t>For</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Against</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Abstain</w:t>
            </w: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7"/>
        </w:trPr>
        <w:tc>
          <w:tcPr>
            <w:tcW w:w="4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ind w:left="300"/>
              <w:spacing w:after="0"/>
              <w:rPr>
                <w:sz w:val="20"/>
                <w:szCs w:val="20"/>
                <w:color w:val="auto"/>
              </w:rPr>
            </w:pPr>
            <w:r>
              <w:rPr>
                <w:rFonts w:ascii="Arial" w:cs="Arial" w:eastAsia="Arial" w:hAnsi="Arial"/>
                <w:sz w:val="12"/>
                <w:szCs w:val="12"/>
                <w:color w:val="auto"/>
              </w:rPr>
              <w:t>1a.</w:t>
            </w:r>
          </w:p>
        </w:tc>
        <w:tc>
          <w:tcPr>
            <w:tcW w:w="2080" w:type="dxa"/>
            <w:vAlign w:val="bottom"/>
          </w:tcPr>
          <w:p>
            <w:pPr>
              <w:ind w:left="100"/>
              <w:spacing w:after="0"/>
              <w:rPr>
                <w:sz w:val="20"/>
                <w:szCs w:val="20"/>
                <w:color w:val="auto"/>
              </w:rPr>
            </w:pPr>
            <w:r>
              <w:rPr>
                <w:rFonts w:ascii="Arial" w:cs="Arial" w:eastAsia="Arial" w:hAnsi="Arial"/>
                <w:sz w:val="12"/>
                <w:szCs w:val="12"/>
                <w:color w:val="auto"/>
              </w:rPr>
              <w:t>Henry A. Fernandez</w:t>
            </w:r>
          </w:p>
        </w:tc>
        <w:tc>
          <w:tcPr>
            <w:tcW w:w="800" w:type="dxa"/>
            <w:vAlign w:val="bottom"/>
          </w:tcPr>
          <w:p>
            <w:pPr>
              <w:spacing w:after="0"/>
              <w:rPr>
                <w:sz w:val="24"/>
                <w:szCs w:val="24"/>
                <w:color w:val="auto"/>
              </w:rPr>
            </w:pPr>
          </w:p>
        </w:tc>
        <w:tc>
          <w:tcPr>
            <w:tcW w:w="720" w:type="dxa"/>
            <w:vAlign w:val="bottom"/>
            <w:gridSpan w:val="2"/>
          </w:tcPr>
          <w:p>
            <w:pPr>
              <w:ind w:left="520"/>
              <w:spacing w:after="0"/>
              <w:rPr>
                <w:sz w:val="20"/>
                <w:szCs w:val="20"/>
                <w:color w:val="auto"/>
              </w:rPr>
            </w:pPr>
            <w:r>
              <w:rPr>
                <w:rFonts w:ascii="Arial" w:cs="Arial" w:eastAsia="Arial" w:hAnsi="Arial"/>
                <w:sz w:val="18"/>
                <w:szCs w:val="18"/>
                <w:color w:val="auto"/>
              </w:rPr>
              <w:t>o</w:t>
            </w:r>
          </w:p>
        </w:tc>
        <w:tc>
          <w:tcPr>
            <w:tcW w:w="540" w:type="dxa"/>
            <w:vAlign w:val="bottom"/>
          </w:tcPr>
          <w:p>
            <w:pPr>
              <w:ind w:left="240"/>
              <w:spacing w:after="0"/>
              <w:rPr>
                <w:sz w:val="20"/>
                <w:szCs w:val="20"/>
                <w:color w:val="auto"/>
              </w:rPr>
            </w:pPr>
            <w:r>
              <w:rPr>
                <w:rFonts w:ascii="Arial" w:cs="Arial" w:eastAsia="Arial" w:hAnsi="Arial"/>
                <w:sz w:val="18"/>
                <w:szCs w:val="18"/>
                <w:color w:val="auto"/>
              </w:rPr>
              <w:t>o</w:t>
            </w:r>
          </w:p>
        </w:tc>
        <w:tc>
          <w:tcPr>
            <w:tcW w:w="700" w:type="dxa"/>
            <w:vAlign w:val="bottom"/>
          </w:tcPr>
          <w:p>
            <w:pPr>
              <w:ind w:left="240"/>
              <w:spacing w:after="0"/>
              <w:rPr>
                <w:sz w:val="20"/>
                <w:szCs w:val="20"/>
                <w:color w:val="auto"/>
              </w:rPr>
            </w:pPr>
            <w:r>
              <w:rPr>
                <w:rFonts w:ascii="Arial" w:cs="Arial" w:eastAsia="Arial" w:hAnsi="Arial"/>
                <w:sz w:val="18"/>
                <w:szCs w:val="18"/>
                <w:color w:val="auto"/>
              </w:rPr>
              <w:t>o</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vMerge w:val="restart"/>
          </w:tcPr>
          <w:p>
            <w:pPr>
              <w:ind w:left="300"/>
              <w:spacing w:after="0"/>
              <w:rPr>
                <w:sz w:val="20"/>
                <w:szCs w:val="20"/>
                <w:color w:val="auto"/>
              </w:rPr>
            </w:pPr>
            <w:r>
              <w:rPr>
                <w:rFonts w:ascii="Arial" w:cs="Arial" w:eastAsia="Arial" w:hAnsi="Arial"/>
                <w:sz w:val="12"/>
                <w:szCs w:val="12"/>
                <w:color w:val="auto"/>
              </w:rPr>
              <w:t>1b.</w:t>
            </w:r>
          </w:p>
        </w:tc>
        <w:tc>
          <w:tcPr>
            <w:tcW w:w="2080" w:type="dxa"/>
            <w:vAlign w:val="bottom"/>
            <w:vMerge w:val="restart"/>
          </w:tcPr>
          <w:p>
            <w:pPr>
              <w:ind w:left="100"/>
              <w:spacing w:after="0"/>
              <w:rPr>
                <w:sz w:val="20"/>
                <w:szCs w:val="20"/>
                <w:color w:val="auto"/>
              </w:rPr>
            </w:pPr>
            <w:r>
              <w:rPr>
                <w:rFonts w:ascii="Arial" w:cs="Arial" w:eastAsia="Arial" w:hAnsi="Arial"/>
                <w:sz w:val="12"/>
                <w:szCs w:val="12"/>
                <w:color w:val="auto"/>
              </w:rPr>
              <w:t>Robert G. Ashe</w:t>
            </w:r>
          </w:p>
        </w:tc>
        <w:tc>
          <w:tcPr>
            <w:tcW w:w="800" w:type="dxa"/>
            <w:vAlign w:val="bottom"/>
          </w:tcPr>
          <w:p>
            <w:pPr>
              <w:spacing w:after="0"/>
              <w:rPr>
                <w:sz w:val="13"/>
                <w:szCs w:val="13"/>
                <w:color w:val="auto"/>
              </w:rPr>
            </w:pPr>
          </w:p>
        </w:tc>
        <w:tc>
          <w:tcPr>
            <w:tcW w:w="720" w:type="dxa"/>
            <w:vAlign w:val="bottom"/>
            <w:gridSpan w:val="2"/>
            <w:vMerge w:val="restart"/>
          </w:tcPr>
          <w:p>
            <w:pPr>
              <w:ind w:left="560"/>
              <w:spacing w:after="0"/>
              <w:rPr>
                <w:sz w:val="20"/>
                <w:szCs w:val="20"/>
                <w:color w:val="auto"/>
              </w:rPr>
            </w:pPr>
            <w:r>
              <w:rPr>
                <w:rFonts w:ascii="Arial" w:cs="Arial" w:eastAsia="Arial" w:hAnsi="Arial"/>
                <w:sz w:val="18"/>
                <w:szCs w:val="18"/>
                <w:color w:val="auto"/>
              </w:rPr>
              <w:t>o</w:t>
            </w:r>
          </w:p>
        </w:tc>
        <w:tc>
          <w:tcPr>
            <w:tcW w:w="540" w:type="dxa"/>
            <w:vAlign w:val="bottom"/>
            <w:vMerge w:val="restart"/>
          </w:tcPr>
          <w:p>
            <w:pPr>
              <w:ind w:left="240"/>
              <w:spacing w:after="0"/>
              <w:rPr>
                <w:sz w:val="20"/>
                <w:szCs w:val="20"/>
                <w:color w:val="auto"/>
              </w:rPr>
            </w:pPr>
            <w:r>
              <w:rPr>
                <w:rFonts w:ascii="Arial" w:cs="Arial" w:eastAsia="Arial" w:hAnsi="Arial"/>
                <w:sz w:val="18"/>
                <w:szCs w:val="18"/>
                <w:color w:val="auto"/>
              </w:rPr>
              <w:t>o</w:t>
            </w:r>
          </w:p>
        </w:tc>
        <w:tc>
          <w:tcPr>
            <w:tcW w:w="700" w:type="dxa"/>
            <w:vAlign w:val="bottom"/>
            <w:vMerge w:val="restart"/>
          </w:tcPr>
          <w:p>
            <w:pPr>
              <w:ind w:left="240"/>
              <w:spacing w:after="0"/>
              <w:rPr>
                <w:sz w:val="20"/>
                <w:szCs w:val="20"/>
                <w:color w:val="auto"/>
              </w:rPr>
            </w:pPr>
            <w:r>
              <w:rPr>
                <w:rFonts w:ascii="Arial" w:cs="Arial" w:eastAsia="Arial" w:hAnsi="Arial"/>
                <w:sz w:val="18"/>
                <w:szCs w:val="18"/>
                <w:color w:val="auto"/>
              </w:rPr>
              <w:t>o</w:t>
            </w:r>
          </w:p>
        </w:tc>
        <w:tc>
          <w:tcPr>
            <w:tcW w:w="40" w:type="dxa"/>
            <w:vAlign w:val="bottom"/>
          </w:tcPr>
          <w:p>
            <w:pPr>
              <w:spacing w:after="0"/>
              <w:rPr>
                <w:sz w:val="13"/>
                <w:szCs w:val="13"/>
                <w:color w:val="auto"/>
              </w:rPr>
            </w:pPr>
          </w:p>
        </w:tc>
        <w:tc>
          <w:tcPr>
            <w:tcW w:w="2860" w:type="dxa"/>
            <w:vAlign w:val="bottom"/>
            <w:gridSpan w:val="2"/>
          </w:tcPr>
          <w:p>
            <w:pPr>
              <w:ind w:left="180"/>
              <w:spacing w:after="0"/>
              <w:rPr>
                <w:sz w:val="20"/>
                <w:szCs w:val="20"/>
                <w:color w:val="auto"/>
              </w:rPr>
            </w:pPr>
            <w:r>
              <w:rPr>
                <w:rFonts w:ascii="Arial" w:cs="Arial" w:eastAsia="Arial" w:hAnsi="Arial"/>
                <w:sz w:val="12"/>
                <w:szCs w:val="12"/>
                <w:b w:val="1"/>
                <w:bCs w:val="1"/>
                <w:color w:val="auto"/>
              </w:rPr>
              <w:t>The Board of Directors recommends you</w:t>
            </w:r>
          </w:p>
        </w:tc>
        <w:tc>
          <w:tcPr>
            <w:tcW w:w="380" w:type="dxa"/>
            <w:vAlign w:val="bottom"/>
          </w:tcPr>
          <w:p>
            <w:pPr>
              <w:ind w:left="80"/>
              <w:spacing w:after="0"/>
              <w:rPr>
                <w:sz w:val="20"/>
                <w:szCs w:val="20"/>
                <w:color w:val="auto"/>
              </w:rPr>
            </w:pPr>
            <w:r>
              <w:rPr>
                <w:rFonts w:ascii="Arial" w:cs="Arial" w:eastAsia="Arial" w:hAnsi="Arial"/>
                <w:sz w:val="12"/>
                <w:szCs w:val="12"/>
                <w:b w:val="1"/>
                <w:bCs w:val="1"/>
                <w:color w:val="auto"/>
              </w:rPr>
              <w:t>vote</w:t>
            </w:r>
          </w:p>
        </w:tc>
        <w:tc>
          <w:tcPr>
            <w:tcW w:w="400" w:type="dxa"/>
            <w:vAlign w:val="bottom"/>
            <w:gridSpan w:val="2"/>
          </w:tcPr>
          <w:p>
            <w:pPr>
              <w:ind w:left="40"/>
              <w:spacing w:after="0"/>
              <w:rPr>
                <w:sz w:val="20"/>
                <w:szCs w:val="20"/>
                <w:color w:val="auto"/>
              </w:rPr>
            </w:pPr>
            <w:r>
              <w:rPr>
                <w:rFonts w:ascii="Arial" w:cs="Arial" w:eastAsia="Arial" w:hAnsi="Arial"/>
                <w:sz w:val="12"/>
                <w:szCs w:val="12"/>
                <w:b w:val="1"/>
                <w:bCs w:val="1"/>
                <w:color w:val="auto"/>
              </w:rPr>
              <w:t>FOR</w:t>
            </w:r>
          </w:p>
        </w:tc>
        <w:tc>
          <w:tcPr>
            <w:tcW w:w="400" w:type="dxa"/>
            <w:vAlign w:val="bottom"/>
          </w:tcPr>
          <w:p>
            <w:pPr>
              <w:jc w:val="right"/>
              <w:ind w:right="158"/>
              <w:spacing w:after="0"/>
              <w:rPr>
                <w:sz w:val="20"/>
                <w:szCs w:val="20"/>
                <w:color w:val="auto"/>
              </w:rPr>
            </w:pPr>
            <w:r>
              <w:rPr>
                <w:rFonts w:ascii="Arial" w:cs="Arial" w:eastAsia="Arial" w:hAnsi="Arial"/>
                <w:sz w:val="12"/>
                <w:szCs w:val="12"/>
                <w:b w:val="1"/>
                <w:bCs w:val="1"/>
                <w:color w:val="auto"/>
                <w:w w:val="88"/>
              </w:rPr>
              <w:t>the</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For</w:t>
            </w:r>
          </w:p>
        </w:tc>
        <w:tc>
          <w:tcPr>
            <w:tcW w:w="540" w:type="dxa"/>
            <w:vAlign w:val="bottom"/>
            <w:gridSpan w:val="2"/>
          </w:tcPr>
          <w:p>
            <w:pPr>
              <w:ind w:left="40"/>
              <w:spacing w:after="0"/>
              <w:rPr>
                <w:sz w:val="20"/>
                <w:szCs w:val="20"/>
                <w:color w:val="auto"/>
              </w:rPr>
            </w:pPr>
            <w:r>
              <w:rPr>
                <w:rFonts w:ascii="Arial" w:cs="Arial" w:eastAsia="Arial" w:hAnsi="Arial"/>
                <w:sz w:val="12"/>
                <w:szCs w:val="12"/>
                <w:b w:val="1"/>
                <w:bCs w:val="1"/>
                <w:color w:val="auto"/>
              </w:rPr>
              <w:t>Against</w:t>
            </w:r>
          </w:p>
        </w:tc>
        <w:tc>
          <w:tcPr>
            <w:tcW w:w="66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Abstain</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2080" w:type="dxa"/>
            <w:vAlign w:val="bottom"/>
            <w:vMerge w:val="continue"/>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860" w:type="dxa"/>
            <w:vAlign w:val="bottom"/>
            <w:gridSpan w:val="2"/>
          </w:tcPr>
          <w:p>
            <w:pPr>
              <w:ind w:left="180"/>
              <w:spacing w:after="0"/>
              <w:rPr>
                <w:sz w:val="20"/>
                <w:szCs w:val="20"/>
                <w:color w:val="auto"/>
              </w:rPr>
            </w:pPr>
            <w:r>
              <w:rPr>
                <w:rFonts w:ascii="Arial" w:cs="Arial" w:eastAsia="Arial" w:hAnsi="Arial"/>
                <w:sz w:val="12"/>
                <w:szCs w:val="12"/>
                <w:b w:val="1"/>
                <w:bCs w:val="1"/>
                <w:color w:val="auto"/>
              </w:rPr>
              <w:t>following proposal:</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vMerge w:val="restart"/>
          </w:tcPr>
          <w:p>
            <w:pPr>
              <w:ind w:left="300"/>
              <w:spacing w:after="0"/>
              <w:rPr>
                <w:sz w:val="20"/>
                <w:szCs w:val="20"/>
                <w:color w:val="auto"/>
              </w:rPr>
            </w:pPr>
            <w:r>
              <w:rPr>
                <w:rFonts w:ascii="Arial" w:cs="Arial" w:eastAsia="Arial" w:hAnsi="Arial"/>
                <w:sz w:val="12"/>
                <w:szCs w:val="12"/>
                <w:color w:val="auto"/>
              </w:rPr>
              <w:t>1c.</w:t>
            </w:r>
          </w:p>
        </w:tc>
        <w:tc>
          <w:tcPr>
            <w:tcW w:w="2080" w:type="dxa"/>
            <w:vAlign w:val="bottom"/>
            <w:vMerge w:val="restart"/>
          </w:tcPr>
          <w:p>
            <w:pPr>
              <w:ind w:left="80"/>
              <w:spacing w:after="0"/>
              <w:rPr>
                <w:sz w:val="20"/>
                <w:szCs w:val="20"/>
                <w:color w:val="auto"/>
              </w:rPr>
            </w:pPr>
            <w:r>
              <w:rPr>
                <w:rFonts w:ascii="Arial" w:cs="Arial" w:eastAsia="Arial" w:hAnsi="Arial"/>
                <w:sz w:val="12"/>
                <w:szCs w:val="12"/>
                <w:color w:val="auto"/>
              </w:rPr>
              <w:t>Wayne Edmunds</w:t>
            </w:r>
          </w:p>
        </w:tc>
        <w:tc>
          <w:tcPr>
            <w:tcW w:w="800" w:type="dxa"/>
            <w:vAlign w:val="bottom"/>
          </w:tcPr>
          <w:p>
            <w:pPr>
              <w:spacing w:after="0"/>
              <w:rPr>
                <w:sz w:val="19"/>
                <w:szCs w:val="19"/>
                <w:color w:val="auto"/>
              </w:rPr>
            </w:pPr>
          </w:p>
        </w:tc>
        <w:tc>
          <w:tcPr>
            <w:tcW w:w="720" w:type="dxa"/>
            <w:vAlign w:val="bottom"/>
            <w:gridSpan w:val="2"/>
            <w:vMerge w:val="restart"/>
          </w:tcPr>
          <w:p>
            <w:pPr>
              <w:ind w:left="560"/>
              <w:spacing w:after="0"/>
              <w:rPr>
                <w:sz w:val="20"/>
                <w:szCs w:val="20"/>
                <w:color w:val="auto"/>
              </w:rPr>
            </w:pPr>
            <w:r>
              <w:rPr>
                <w:rFonts w:ascii="Arial" w:cs="Arial" w:eastAsia="Arial" w:hAnsi="Arial"/>
                <w:sz w:val="18"/>
                <w:szCs w:val="18"/>
                <w:color w:val="auto"/>
              </w:rPr>
              <w:t>o</w:t>
            </w:r>
          </w:p>
        </w:tc>
        <w:tc>
          <w:tcPr>
            <w:tcW w:w="540" w:type="dxa"/>
            <w:vAlign w:val="bottom"/>
            <w:vMerge w:val="restart"/>
          </w:tcPr>
          <w:p>
            <w:pPr>
              <w:ind w:left="240"/>
              <w:spacing w:after="0"/>
              <w:rPr>
                <w:sz w:val="20"/>
                <w:szCs w:val="20"/>
                <w:color w:val="auto"/>
              </w:rPr>
            </w:pPr>
            <w:r>
              <w:rPr>
                <w:rFonts w:ascii="Arial" w:cs="Arial" w:eastAsia="Arial" w:hAnsi="Arial"/>
                <w:sz w:val="18"/>
                <w:szCs w:val="18"/>
                <w:color w:val="auto"/>
              </w:rPr>
              <w:t>o</w:t>
            </w:r>
          </w:p>
        </w:tc>
        <w:tc>
          <w:tcPr>
            <w:tcW w:w="700" w:type="dxa"/>
            <w:vAlign w:val="bottom"/>
            <w:vMerge w:val="restart"/>
          </w:tcPr>
          <w:p>
            <w:pPr>
              <w:ind w:left="240"/>
              <w:spacing w:after="0"/>
              <w:rPr>
                <w:sz w:val="20"/>
                <w:szCs w:val="20"/>
                <w:color w:val="auto"/>
              </w:rPr>
            </w:pPr>
            <w:r>
              <w:rPr>
                <w:rFonts w:ascii="Arial" w:cs="Arial" w:eastAsia="Arial" w:hAnsi="Arial"/>
                <w:sz w:val="18"/>
                <w:szCs w:val="18"/>
                <w:color w:val="auto"/>
              </w:rPr>
              <w:t>o</w:t>
            </w:r>
          </w:p>
        </w:tc>
        <w:tc>
          <w:tcPr>
            <w:tcW w:w="440" w:type="dxa"/>
            <w:vAlign w:val="bottom"/>
            <w:gridSpan w:val="2"/>
          </w:tcPr>
          <w:p>
            <w:pPr>
              <w:ind w:left="220"/>
              <w:spacing w:after="0"/>
              <w:rPr>
                <w:sz w:val="20"/>
                <w:szCs w:val="20"/>
                <w:color w:val="auto"/>
              </w:rPr>
            </w:pPr>
            <w:r>
              <w:rPr>
                <w:rFonts w:ascii="Arial" w:cs="Arial" w:eastAsia="Arial" w:hAnsi="Arial"/>
                <w:sz w:val="12"/>
                <w:szCs w:val="12"/>
                <w:color w:val="auto"/>
              </w:rPr>
              <w:t>2.</w:t>
            </w:r>
          </w:p>
        </w:tc>
        <w:tc>
          <w:tcPr>
            <w:tcW w:w="2460" w:type="dxa"/>
            <w:vAlign w:val="bottom"/>
          </w:tcPr>
          <w:p>
            <w:pPr>
              <w:ind w:left="100"/>
              <w:spacing w:after="0"/>
              <w:rPr>
                <w:sz w:val="20"/>
                <w:szCs w:val="20"/>
                <w:color w:val="auto"/>
              </w:rPr>
            </w:pPr>
            <w:r>
              <w:rPr>
                <w:rFonts w:ascii="Arial" w:cs="Arial" w:eastAsia="Arial" w:hAnsi="Arial"/>
                <w:sz w:val="12"/>
                <w:szCs w:val="12"/>
                <w:color w:val="auto"/>
              </w:rPr>
              <w:t>To   approve,   by   non-binding   vote,</w:t>
            </w:r>
          </w:p>
        </w:tc>
        <w:tc>
          <w:tcPr>
            <w:tcW w:w="380" w:type="dxa"/>
            <w:vAlign w:val="bottom"/>
          </w:tcPr>
          <w:p>
            <w:pPr>
              <w:ind w:left="100"/>
              <w:spacing w:after="0"/>
              <w:rPr>
                <w:sz w:val="20"/>
                <w:szCs w:val="20"/>
                <w:color w:val="auto"/>
              </w:rPr>
            </w:pPr>
            <w:r>
              <w:rPr>
                <w:rFonts w:ascii="Arial" w:cs="Arial" w:eastAsia="Arial" w:hAnsi="Arial"/>
                <w:sz w:val="12"/>
                <w:szCs w:val="12"/>
                <w:color w:val="auto"/>
              </w:rPr>
              <w:t>our</w:t>
            </w:r>
          </w:p>
        </w:tc>
        <w:tc>
          <w:tcPr>
            <w:tcW w:w="800" w:type="dxa"/>
            <w:vAlign w:val="bottom"/>
            <w:gridSpan w:val="3"/>
          </w:tcPr>
          <w:p>
            <w:pPr>
              <w:jc w:val="right"/>
              <w:ind w:right="158"/>
              <w:spacing w:after="0"/>
              <w:rPr>
                <w:sz w:val="20"/>
                <w:szCs w:val="20"/>
                <w:color w:val="auto"/>
              </w:rPr>
            </w:pPr>
            <w:r>
              <w:rPr>
                <w:rFonts w:ascii="Arial" w:cs="Arial" w:eastAsia="Arial" w:hAnsi="Arial"/>
                <w:sz w:val="12"/>
                <w:szCs w:val="12"/>
                <w:color w:val="auto"/>
              </w:rPr>
              <w:t>executive</w:t>
            </w:r>
          </w:p>
        </w:tc>
        <w:tc>
          <w:tcPr>
            <w:tcW w:w="280" w:type="dxa"/>
            <w:vAlign w:val="bottom"/>
            <w:vMerge w:val="restart"/>
          </w:tcPr>
          <w:p>
            <w:pPr>
              <w:jc w:val="center"/>
              <w:spacing w:after="0"/>
              <w:rPr>
                <w:sz w:val="20"/>
                <w:szCs w:val="20"/>
                <w:color w:val="auto"/>
              </w:rPr>
            </w:pPr>
            <w:r>
              <w:rPr>
                <w:rFonts w:ascii="Arial" w:cs="Arial" w:eastAsia="Arial" w:hAnsi="Arial"/>
                <w:sz w:val="18"/>
                <w:szCs w:val="18"/>
                <w:color w:val="auto"/>
                <w:w w:val="99"/>
              </w:rPr>
              <w:t>o</w:t>
            </w:r>
          </w:p>
        </w:tc>
        <w:tc>
          <w:tcPr>
            <w:tcW w:w="540" w:type="dxa"/>
            <w:vAlign w:val="bottom"/>
            <w:gridSpan w:val="2"/>
            <w:vMerge w:val="restart"/>
          </w:tcPr>
          <w:p>
            <w:pPr>
              <w:ind w:left="260"/>
              <w:spacing w:after="0"/>
              <w:rPr>
                <w:sz w:val="20"/>
                <w:szCs w:val="20"/>
                <w:color w:val="auto"/>
              </w:rPr>
            </w:pPr>
            <w:r>
              <w:rPr>
                <w:rFonts w:ascii="Arial" w:cs="Arial" w:eastAsia="Arial" w:hAnsi="Arial"/>
                <w:sz w:val="18"/>
                <w:szCs w:val="18"/>
                <w:color w:val="auto"/>
              </w:rPr>
              <w:t>o</w:t>
            </w:r>
          </w:p>
        </w:tc>
        <w:tc>
          <w:tcPr>
            <w:tcW w:w="660" w:type="dxa"/>
            <w:vAlign w:val="bottom"/>
            <w:tcBorders>
              <w:right w:val="single" w:sz="8" w:color="auto"/>
            </w:tcBorders>
            <w:gridSpan w:val="2"/>
            <w:vMerge w:val="restart"/>
          </w:tcPr>
          <w:p>
            <w:pPr>
              <w:ind w:left="260"/>
              <w:spacing w:after="0"/>
              <w:rPr>
                <w:sz w:val="20"/>
                <w:szCs w:val="20"/>
                <w:color w:val="auto"/>
              </w:rPr>
            </w:pPr>
            <w:r>
              <w:rPr>
                <w:rFonts w:ascii="Arial" w:cs="Arial" w:eastAsia="Arial" w:hAnsi="Arial"/>
                <w:sz w:val="18"/>
                <w:szCs w:val="18"/>
                <w:color w:val="auto"/>
              </w:rPr>
              <w:t>o</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40" w:type="dxa"/>
            <w:vAlign w:val="bottom"/>
            <w:tcBorders>
              <w:right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208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40" w:type="dxa"/>
            <w:vAlign w:val="bottom"/>
            <w:gridSpan w:val="4"/>
            <w:vMerge w:val="restart"/>
          </w:tcPr>
          <w:p>
            <w:pPr>
              <w:ind w:left="100"/>
              <w:spacing w:after="0"/>
              <w:rPr>
                <w:sz w:val="20"/>
                <w:szCs w:val="20"/>
                <w:color w:val="auto"/>
              </w:rPr>
            </w:pPr>
            <w:r>
              <w:rPr>
                <w:rFonts w:ascii="Arial" w:cs="Arial" w:eastAsia="Arial" w:hAnsi="Arial"/>
                <w:sz w:val="12"/>
                <w:szCs w:val="12"/>
                <w:color w:val="auto"/>
              </w:rPr>
              <w:t>compensation, as described in these proxy materials.</w:t>
            </w:r>
          </w:p>
        </w:tc>
        <w:tc>
          <w:tcPr>
            <w:tcW w:w="40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660" w:type="dxa"/>
            <w:vAlign w:val="bottom"/>
            <w:tcBorders>
              <w:right w:val="single" w:sz="8" w:color="auto"/>
            </w:tcBorders>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4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40" w:type="dxa"/>
            <w:vAlign w:val="bottom"/>
            <w:gridSpan w:val="4"/>
            <w:vMerge w:val="continue"/>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660" w:type="dxa"/>
            <w:vAlign w:val="bottom"/>
            <w:tcBorders>
              <w:right w:val="single" w:sz="8" w:color="auto"/>
            </w:tcBorders>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4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ind w:left="300"/>
              <w:spacing w:after="0"/>
              <w:rPr>
                <w:sz w:val="20"/>
                <w:szCs w:val="20"/>
                <w:color w:val="auto"/>
              </w:rPr>
            </w:pPr>
            <w:r>
              <w:rPr>
                <w:rFonts w:ascii="Arial" w:cs="Arial" w:eastAsia="Arial" w:hAnsi="Arial"/>
                <w:sz w:val="12"/>
                <w:szCs w:val="12"/>
                <w:color w:val="auto"/>
              </w:rPr>
              <w:t>1d.</w:t>
            </w:r>
          </w:p>
        </w:tc>
        <w:tc>
          <w:tcPr>
            <w:tcW w:w="2080" w:type="dxa"/>
            <w:vAlign w:val="bottom"/>
          </w:tcPr>
          <w:p>
            <w:pPr>
              <w:ind w:left="100"/>
              <w:spacing w:after="0"/>
              <w:rPr>
                <w:sz w:val="20"/>
                <w:szCs w:val="20"/>
                <w:color w:val="auto"/>
              </w:rPr>
            </w:pPr>
            <w:r>
              <w:rPr>
                <w:rFonts w:ascii="Arial" w:cs="Arial" w:eastAsia="Arial" w:hAnsi="Arial"/>
                <w:sz w:val="12"/>
                <w:szCs w:val="12"/>
                <w:color w:val="auto"/>
              </w:rPr>
              <w:t>Catherine R. Kinney</w:t>
            </w:r>
          </w:p>
        </w:tc>
        <w:tc>
          <w:tcPr>
            <w:tcW w:w="800" w:type="dxa"/>
            <w:vAlign w:val="bottom"/>
          </w:tcPr>
          <w:p>
            <w:pPr>
              <w:spacing w:after="0"/>
              <w:rPr>
                <w:sz w:val="21"/>
                <w:szCs w:val="21"/>
                <w:color w:val="auto"/>
              </w:rPr>
            </w:pPr>
          </w:p>
        </w:tc>
        <w:tc>
          <w:tcPr>
            <w:tcW w:w="720" w:type="dxa"/>
            <w:vAlign w:val="bottom"/>
            <w:gridSpan w:val="2"/>
          </w:tcPr>
          <w:p>
            <w:pPr>
              <w:ind w:left="560"/>
              <w:spacing w:after="0"/>
              <w:rPr>
                <w:sz w:val="20"/>
                <w:szCs w:val="20"/>
                <w:color w:val="auto"/>
              </w:rPr>
            </w:pPr>
            <w:r>
              <w:rPr>
                <w:rFonts w:ascii="Arial" w:cs="Arial" w:eastAsia="Arial" w:hAnsi="Arial"/>
                <w:sz w:val="18"/>
                <w:szCs w:val="18"/>
                <w:color w:val="auto"/>
              </w:rPr>
              <w:t>o</w:t>
            </w:r>
          </w:p>
        </w:tc>
        <w:tc>
          <w:tcPr>
            <w:tcW w:w="540" w:type="dxa"/>
            <w:vAlign w:val="bottom"/>
          </w:tcPr>
          <w:p>
            <w:pPr>
              <w:ind w:left="240"/>
              <w:spacing w:after="0"/>
              <w:rPr>
                <w:sz w:val="20"/>
                <w:szCs w:val="20"/>
                <w:color w:val="auto"/>
              </w:rPr>
            </w:pPr>
            <w:r>
              <w:rPr>
                <w:rFonts w:ascii="Arial" w:cs="Arial" w:eastAsia="Arial" w:hAnsi="Arial"/>
                <w:sz w:val="18"/>
                <w:szCs w:val="18"/>
                <w:color w:val="auto"/>
              </w:rPr>
              <w:t>o</w:t>
            </w:r>
          </w:p>
        </w:tc>
        <w:tc>
          <w:tcPr>
            <w:tcW w:w="700" w:type="dxa"/>
            <w:vAlign w:val="bottom"/>
          </w:tcPr>
          <w:p>
            <w:pPr>
              <w:ind w:left="240"/>
              <w:spacing w:after="0"/>
              <w:rPr>
                <w:sz w:val="20"/>
                <w:szCs w:val="20"/>
                <w:color w:val="auto"/>
              </w:rPr>
            </w:pPr>
            <w:r>
              <w:rPr>
                <w:rFonts w:ascii="Arial" w:cs="Arial" w:eastAsia="Arial" w:hAnsi="Arial"/>
                <w:sz w:val="18"/>
                <w:szCs w:val="18"/>
                <w:color w:val="auto"/>
              </w:rPr>
              <w:t>o</w:t>
            </w:r>
          </w:p>
        </w:tc>
        <w:tc>
          <w:tcPr>
            <w:tcW w:w="40" w:type="dxa"/>
            <w:vAlign w:val="bottom"/>
          </w:tcPr>
          <w:p>
            <w:pPr>
              <w:spacing w:after="0"/>
              <w:rPr>
                <w:sz w:val="21"/>
                <w:szCs w:val="21"/>
                <w:color w:val="auto"/>
              </w:rPr>
            </w:pPr>
          </w:p>
        </w:tc>
        <w:tc>
          <w:tcPr>
            <w:tcW w:w="2860" w:type="dxa"/>
            <w:vAlign w:val="bottom"/>
            <w:gridSpan w:val="2"/>
          </w:tcPr>
          <w:p>
            <w:pPr>
              <w:ind w:left="180"/>
              <w:spacing w:after="0"/>
              <w:rPr>
                <w:sz w:val="20"/>
                <w:szCs w:val="20"/>
                <w:color w:val="auto"/>
              </w:rPr>
            </w:pPr>
            <w:r>
              <w:rPr>
                <w:rFonts w:ascii="Arial" w:cs="Arial" w:eastAsia="Arial" w:hAnsi="Arial"/>
                <w:sz w:val="12"/>
                <w:szCs w:val="12"/>
                <w:b w:val="1"/>
                <w:bCs w:val="1"/>
                <w:color w:val="auto"/>
              </w:rPr>
              <w:t>The Board of Directors recommends you</w:t>
            </w:r>
          </w:p>
        </w:tc>
        <w:tc>
          <w:tcPr>
            <w:tcW w:w="380" w:type="dxa"/>
            <w:vAlign w:val="bottom"/>
          </w:tcPr>
          <w:p>
            <w:pPr>
              <w:ind w:left="80"/>
              <w:spacing w:after="0"/>
              <w:rPr>
                <w:sz w:val="20"/>
                <w:szCs w:val="20"/>
                <w:color w:val="auto"/>
              </w:rPr>
            </w:pPr>
            <w:r>
              <w:rPr>
                <w:rFonts w:ascii="Arial" w:cs="Arial" w:eastAsia="Arial" w:hAnsi="Arial"/>
                <w:sz w:val="12"/>
                <w:szCs w:val="12"/>
                <w:b w:val="1"/>
                <w:bCs w:val="1"/>
                <w:color w:val="auto"/>
              </w:rPr>
              <w:t>vote</w:t>
            </w:r>
          </w:p>
        </w:tc>
        <w:tc>
          <w:tcPr>
            <w:tcW w:w="400" w:type="dxa"/>
            <w:vAlign w:val="bottom"/>
            <w:gridSpan w:val="2"/>
          </w:tcPr>
          <w:p>
            <w:pPr>
              <w:ind w:left="40"/>
              <w:spacing w:after="0"/>
              <w:rPr>
                <w:sz w:val="20"/>
                <w:szCs w:val="20"/>
                <w:color w:val="auto"/>
              </w:rPr>
            </w:pPr>
            <w:r>
              <w:rPr>
                <w:rFonts w:ascii="Arial" w:cs="Arial" w:eastAsia="Arial" w:hAnsi="Arial"/>
                <w:sz w:val="12"/>
                <w:szCs w:val="12"/>
                <w:b w:val="1"/>
                <w:bCs w:val="1"/>
                <w:color w:val="auto"/>
              </w:rPr>
              <w:t>FOR</w:t>
            </w:r>
          </w:p>
        </w:tc>
        <w:tc>
          <w:tcPr>
            <w:tcW w:w="400" w:type="dxa"/>
            <w:vAlign w:val="bottom"/>
          </w:tcPr>
          <w:p>
            <w:pPr>
              <w:jc w:val="right"/>
              <w:ind w:right="158"/>
              <w:spacing w:after="0"/>
              <w:rPr>
                <w:sz w:val="20"/>
                <w:szCs w:val="20"/>
                <w:color w:val="auto"/>
              </w:rPr>
            </w:pPr>
            <w:r>
              <w:rPr>
                <w:rFonts w:ascii="Arial" w:cs="Arial" w:eastAsia="Arial" w:hAnsi="Arial"/>
                <w:sz w:val="12"/>
                <w:szCs w:val="12"/>
                <w:b w:val="1"/>
                <w:bCs w:val="1"/>
                <w:color w:val="auto"/>
                <w:w w:val="88"/>
              </w:rPr>
              <w:t>the</w:t>
            </w: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4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60" w:type="dxa"/>
            <w:vAlign w:val="bottom"/>
            <w:gridSpan w:val="2"/>
          </w:tcPr>
          <w:p>
            <w:pPr>
              <w:ind w:left="180"/>
              <w:spacing w:after="0"/>
              <w:rPr>
                <w:sz w:val="20"/>
                <w:szCs w:val="20"/>
                <w:color w:val="auto"/>
              </w:rPr>
            </w:pPr>
            <w:r>
              <w:rPr>
                <w:rFonts w:ascii="Arial" w:cs="Arial" w:eastAsia="Arial" w:hAnsi="Arial"/>
                <w:sz w:val="12"/>
                <w:szCs w:val="12"/>
                <w:b w:val="1"/>
                <w:bCs w:val="1"/>
                <w:color w:val="auto"/>
              </w:rPr>
              <w:t>following proposal:</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ind w:left="300"/>
              <w:spacing w:after="0"/>
              <w:rPr>
                <w:sz w:val="20"/>
                <w:szCs w:val="20"/>
                <w:color w:val="auto"/>
              </w:rPr>
            </w:pPr>
            <w:r>
              <w:rPr>
                <w:rFonts w:ascii="Arial" w:cs="Arial" w:eastAsia="Arial" w:hAnsi="Arial"/>
                <w:sz w:val="12"/>
                <w:szCs w:val="12"/>
                <w:color w:val="auto"/>
              </w:rPr>
              <w:t>1e.</w:t>
            </w:r>
          </w:p>
        </w:tc>
        <w:tc>
          <w:tcPr>
            <w:tcW w:w="2080" w:type="dxa"/>
            <w:vAlign w:val="bottom"/>
          </w:tcPr>
          <w:p>
            <w:pPr>
              <w:ind w:left="100"/>
              <w:spacing w:after="0"/>
              <w:rPr>
                <w:sz w:val="20"/>
                <w:szCs w:val="20"/>
                <w:color w:val="auto"/>
              </w:rPr>
            </w:pPr>
            <w:r>
              <w:rPr>
                <w:rFonts w:ascii="Arial" w:cs="Arial" w:eastAsia="Arial" w:hAnsi="Arial"/>
                <w:sz w:val="12"/>
                <w:szCs w:val="12"/>
                <w:color w:val="auto"/>
              </w:rPr>
              <w:t>Jacques P. Perold</w:t>
            </w:r>
          </w:p>
        </w:tc>
        <w:tc>
          <w:tcPr>
            <w:tcW w:w="800" w:type="dxa"/>
            <w:vAlign w:val="bottom"/>
          </w:tcPr>
          <w:p>
            <w:pPr>
              <w:spacing w:after="0"/>
              <w:rPr>
                <w:sz w:val="20"/>
                <w:szCs w:val="20"/>
                <w:color w:val="auto"/>
              </w:rPr>
            </w:pPr>
          </w:p>
        </w:tc>
        <w:tc>
          <w:tcPr>
            <w:tcW w:w="720" w:type="dxa"/>
            <w:vAlign w:val="bottom"/>
            <w:gridSpan w:val="2"/>
          </w:tcPr>
          <w:p>
            <w:pPr>
              <w:ind w:left="560"/>
              <w:spacing w:after="0"/>
              <w:rPr>
                <w:sz w:val="20"/>
                <w:szCs w:val="20"/>
                <w:color w:val="auto"/>
              </w:rPr>
            </w:pPr>
            <w:r>
              <w:rPr>
                <w:rFonts w:ascii="Arial" w:cs="Arial" w:eastAsia="Arial" w:hAnsi="Arial"/>
                <w:sz w:val="18"/>
                <w:szCs w:val="18"/>
                <w:color w:val="auto"/>
              </w:rPr>
              <w:t>o</w:t>
            </w:r>
          </w:p>
        </w:tc>
        <w:tc>
          <w:tcPr>
            <w:tcW w:w="540" w:type="dxa"/>
            <w:vAlign w:val="bottom"/>
          </w:tcPr>
          <w:p>
            <w:pPr>
              <w:ind w:left="240"/>
              <w:spacing w:after="0"/>
              <w:rPr>
                <w:sz w:val="20"/>
                <w:szCs w:val="20"/>
                <w:color w:val="auto"/>
              </w:rPr>
            </w:pPr>
            <w:r>
              <w:rPr>
                <w:rFonts w:ascii="Arial" w:cs="Arial" w:eastAsia="Arial" w:hAnsi="Arial"/>
                <w:sz w:val="18"/>
                <w:szCs w:val="18"/>
                <w:color w:val="auto"/>
              </w:rPr>
              <w:t>o</w:t>
            </w:r>
          </w:p>
        </w:tc>
        <w:tc>
          <w:tcPr>
            <w:tcW w:w="700" w:type="dxa"/>
            <w:vAlign w:val="bottom"/>
          </w:tcPr>
          <w:p>
            <w:pPr>
              <w:ind w:left="240"/>
              <w:spacing w:after="0"/>
              <w:rPr>
                <w:sz w:val="20"/>
                <w:szCs w:val="20"/>
                <w:color w:val="auto"/>
              </w:rPr>
            </w:pPr>
            <w:r>
              <w:rPr>
                <w:rFonts w:ascii="Arial" w:cs="Arial" w:eastAsia="Arial" w:hAnsi="Arial"/>
                <w:sz w:val="18"/>
                <w:szCs w:val="18"/>
                <w:color w:val="auto"/>
              </w:rPr>
              <w:t>o</w:t>
            </w:r>
          </w:p>
        </w:tc>
        <w:tc>
          <w:tcPr>
            <w:tcW w:w="440" w:type="dxa"/>
            <w:vAlign w:val="bottom"/>
            <w:gridSpan w:val="2"/>
          </w:tcPr>
          <w:p>
            <w:pPr>
              <w:ind w:left="220"/>
              <w:spacing w:after="0"/>
              <w:rPr>
                <w:sz w:val="20"/>
                <w:szCs w:val="20"/>
                <w:color w:val="auto"/>
              </w:rPr>
            </w:pPr>
            <w:r>
              <w:rPr>
                <w:rFonts w:ascii="Arial" w:cs="Arial" w:eastAsia="Arial" w:hAnsi="Arial"/>
                <w:sz w:val="12"/>
                <w:szCs w:val="12"/>
                <w:color w:val="auto"/>
              </w:rPr>
              <w:t>3.</w:t>
            </w:r>
          </w:p>
        </w:tc>
        <w:tc>
          <w:tcPr>
            <w:tcW w:w="3640" w:type="dxa"/>
            <w:vAlign w:val="bottom"/>
            <w:gridSpan w:val="5"/>
          </w:tcPr>
          <w:p>
            <w:pPr>
              <w:ind w:left="100"/>
              <w:spacing w:after="0"/>
              <w:rPr>
                <w:sz w:val="20"/>
                <w:szCs w:val="20"/>
                <w:color w:val="auto"/>
              </w:rPr>
            </w:pPr>
            <w:r>
              <w:rPr>
                <w:rFonts w:ascii="Arial" w:cs="Arial" w:eastAsia="Arial" w:hAnsi="Arial"/>
                <w:sz w:val="12"/>
                <w:szCs w:val="12"/>
                <w:color w:val="auto"/>
              </w:rPr>
              <w:t>To ratify the appointment of PricewaterhouseCoopers LLP</w:t>
            </w:r>
          </w:p>
        </w:tc>
        <w:tc>
          <w:tcPr>
            <w:tcW w:w="280" w:type="dxa"/>
            <w:vAlign w:val="bottom"/>
            <w:vMerge w:val="restart"/>
          </w:tcPr>
          <w:p>
            <w:pPr>
              <w:jc w:val="center"/>
              <w:spacing w:after="0"/>
              <w:rPr>
                <w:sz w:val="20"/>
                <w:szCs w:val="20"/>
                <w:color w:val="auto"/>
              </w:rPr>
            </w:pPr>
            <w:r>
              <w:rPr>
                <w:rFonts w:ascii="Arial" w:cs="Arial" w:eastAsia="Arial" w:hAnsi="Arial"/>
                <w:sz w:val="18"/>
                <w:szCs w:val="18"/>
                <w:color w:val="auto"/>
                <w:w w:val="99"/>
              </w:rPr>
              <w:t>o</w:t>
            </w:r>
          </w:p>
        </w:tc>
        <w:tc>
          <w:tcPr>
            <w:tcW w:w="540" w:type="dxa"/>
            <w:vAlign w:val="bottom"/>
            <w:gridSpan w:val="2"/>
            <w:vMerge w:val="restart"/>
          </w:tcPr>
          <w:p>
            <w:pPr>
              <w:ind w:left="260"/>
              <w:spacing w:after="0"/>
              <w:rPr>
                <w:sz w:val="20"/>
                <w:szCs w:val="20"/>
                <w:color w:val="auto"/>
              </w:rPr>
            </w:pPr>
            <w:r>
              <w:rPr>
                <w:rFonts w:ascii="Arial" w:cs="Arial" w:eastAsia="Arial" w:hAnsi="Arial"/>
                <w:sz w:val="18"/>
                <w:szCs w:val="18"/>
                <w:color w:val="auto"/>
              </w:rPr>
              <w:t>o</w:t>
            </w:r>
          </w:p>
        </w:tc>
        <w:tc>
          <w:tcPr>
            <w:tcW w:w="660" w:type="dxa"/>
            <w:vAlign w:val="bottom"/>
            <w:tcBorders>
              <w:right w:val="single" w:sz="8" w:color="auto"/>
            </w:tcBorders>
            <w:gridSpan w:val="2"/>
            <w:vMerge w:val="restart"/>
          </w:tcPr>
          <w:p>
            <w:pPr>
              <w:ind w:left="260"/>
              <w:spacing w:after="0"/>
              <w:rPr>
                <w:sz w:val="20"/>
                <w:szCs w:val="20"/>
                <w:color w:val="auto"/>
              </w:rPr>
            </w:pPr>
            <w:r>
              <w:rPr>
                <w:rFonts w:ascii="Arial" w:cs="Arial" w:eastAsia="Arial" w:hAnsi="Arial"/>
                <w:sz w:val="18"/>
                <w:szCs w:val="18"/>
                <w:color w:val="auto"/>
              </w:rPr>
              <w:t>o</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
        </w:trPr>
        <w:tc>
          <w:tcPr>
            <w:tcW w:w="40" w:type="dxa"/>
            <w:vAlign w:val="bottom"/>
            <w:tcBorders>
              <w:right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60" w:type="dxa"/>
            <w:vAlign w:val="bottom"/>
            <w:vMerge w:val="restart"/>
          </w:tcPr>
          <w:p>
            <w:pPr>
              <w:ind w:left="100"/>
              <w:spacing w:after="0"/>
              <w:rPr>
                <w:sz w:val="20"/>
                <w:szCs w:val="20"/>
                <w:color w:val="auto"/>
              </w:rPr>
            </w:pPr>
            <w:r>
              <w:rPr>
                <w:rFonts w:ascii="Arial" w:cs="Arial" w:eastAsia="Arial" w:hAnsi="Arial"/>
                <w:sz w:val="12"/>
                <w:szCs w:val="12"/>
                <w:color w:val="auto"/>
              </w:rPr>
              <w:t>as independent auditor.</w:t>
            </w: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660" w:type="dxa"/>
            <w:vAlign w:val="bottom"/>
            <w:tcBorders>
              <w:right w:val="single" w:sz="8" w:color="auto"/>
            </w:tcBorders>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40" w:type="dxa"/>
            <w:vAlign w:val="bottom"/>
            <w:tcBorders>
              <w:right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vMerge w:val="restart"/>
          </w:tcPr>
          <w:p>
            <w:pPr>
              <w:ind w:left="300"/>
              <w:spacing w:after="0"/>
              <w:rPr>
                <w:sz w:val="20"/>
                <w:szCs w:val="20"/>
                <w:color w:val="auto"/>
              </w:rPr>
            </w:pPr>
            <w:r>
              <w:rPr>
                <w:rFonts w:ascii="Arial" w:cs="Arial" w:eastAsia="Arial" w:hAnsi="Arial"/>
                <w:sz w:val="12"/>
                <w:szCs w:val="12"/>
                <w:color w:val="auto"/>
              </w:rPr>
              <w:t>1f.</w:t>
            </w:r>
          </w:p>
        </w:tc>
        <w:tc>
          <w:tcPr>
            <w:tcW w:w="2080" w:type="dxa"/>
            <w:vAlign w:val="bottom"/>
            <w:vMerge w:val="restart"/>
          </w:tcPr>
          <w:p>
            <w:pPr>
              <w:ind w:left="60"/>
              <w:spacing w:after="0"/>
              <w:rPr>
                <w:sz w:val="20"/>
                <w:szCs w:val="20"/>
                <w:color w:val="auto"/>
              </w:rPr>
            </w:pPr>
            <w:r>
              <w:rPr>
                <w:rFonts w:ascii="Arial" w:cs="Arial" w:eastAsia="Arial" w:hAnsi="Arial"/>
                <w:sz w:val="12"/>
                <w:szCs w:val="12"/>
                <w:color w:val="auto"/>
              </w:rPr>
              <w:t>Sandy C. Rattray</w:t>
            </w:r>
          </w:p>
        </w:tc>
        <w:tc>
          <w:tcPr>
            <w:tcW w:w="800" w:type="dxa"/>
            <w:vAlign w:val="bottom"/>
          </w:tcPr>
          <w:p>
            <w:pPr>
              <w:spacing w:after="0"/>
              <w:rPr>
                <w:sz w:val="5"/>
                <w:szCs w:val="5"/>
                <w:color w:val="auto"/>
              </w:rPr>
            </w:pPr>
          </w:p>
        </w:tc>
        <w:tc>
          <w:tcPr>
            <w:tcW w:w="720" w:type="dxa"/>
            <w:vAlign w:val="bottom"/>
            <w:gridSpan w:val="2"/>
            <w:vMerge w:val="restart"/>
          </w:tcPr>
          <w:p>
            <w:pPr>
              <w:ind w:left="560"/>
              <w:spacing w:after="0"/>
              <w:rPr>
                <w:sz w:val="20"/>
                <w:szCs w:val="20"/>
                <w:color w:val="auto"/>
              </w:rPr>
            </w:pPr>
            <w:r>
              <w:rPr>
                <w:rFonts w:ascii="Arial" w:cs="Arial" w:eastAsia="Arial" w:hAnsi="Arial"/>
                <w:sz w:val="18"/>
                <w:szCs w:val="18"/>
                <w:color w:val="auto"/>
              </w:rPr>
              <w:t>o</w:t>
            </w:r>
          </w:p>
        </w:tc>
        <w:tc>
          <w:tcPr>
            <w:tcW w:w="540" w:type="dxa"/>
            <w:vAlign w:val="bottom"/>
            <w:vMerge w:val="restart"/>
          </w:tcPr>
          <w:p>
            <w:pPr>
              <w:ind w:left="240"/>
              <w:spacing w:after="0"/>
              <w:rPr>
                <w:sz w:val="20"/>
                <w:szCs w:val="20"/>
                <w:color w:val="auto"/>
              </w:rPr>
            </w:pPr>
            <w:r>
              <w:rPr>
                <w:rFonts w:ascii="Arial" w:cs="Arial" w:eastAsia="Arial" w:hAnsi="Arial"/>
                <w:sz w:val="18"/>
                <w:szCs w:val="18"/>
                <w:color w:val="auto"/>
              </w:rPr>
              <w:t>o</w:t>
            </w:r>
          </w:p>
        </w:tc>
        <w:tc>
          <w:tcPr>
            <w:tcW w:w="700" w:type="dxa"/>
            <w:vAlign w:val="bottom"/>
            <w:vMerge w:val="restart"/>
          </w:tcPr>
          <w:p>
            <w:pPr>
              <w:ind w:left="240"/>
              <w:spacing w:after="0"/>
              <w:rPr>
                <w:sz w:val="20"/>
                <w:szCs w:val="20"/>
                <w:color w:val="auto"/>
              </w:rPr>
            </w:pPr>
            <w:r>
              <w:rPr>
                <w:rFonts w:ascii="Arial" w:cs="Arial" w:eastAsia="Arial" w:hAnsi="Arial"/>
                <w:sz w:val="18"/>
                <w:szCs w:val="18"/>
                <w:color w:val="auto"/>
              </w:rPr>
              <w:t>o</w:t>
            </w: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6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208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4040" w:type="dxa"/>
            <w:vAlign w:val="bottom"/>
            <w:gridSpan w:val="6"/>
            <w:vMerge w:val="restart"/>
          </w:tcPr>
          <w:p>
            <w:pPr>
              <w:ind w:left="180"/>
              <w:spacing w:after="0"/>
              <w:rPr>
                <w:sz w:val="20"/>
                <w:szCs w:val="20"/>
                <w:color w:val="auto"/>
              </w:rPr>
            </w:pPr>
            <w:r>
              <w:rPr>
                <w:rFonts w:ascii="Arial" w:cs="Arial" w:eastAsia="Arial" w:hAnsi="Arial"/>
                <w:sz w:val="12"/>
                <w:szCs w:val="12"/>
                <w:b w:val="1"/>
                <w:bCs w:val="1"/>
                <w:color w:val="auto"/>
              </w:rPr>
              <w:t xml:space="preserve">NOTE: </w:t>
            </w:r>
            <w:r>
              <w:rPr>
                <w:rFonts w:ascii="Arial" w:cs="Arial" w:eastAsia="Arial" w:hAnsi="Arial"/>
                <w:sz w:val="12"/>
                <w:szCs w:val="12"/>
                <w:color w:val="auto"/>
              </w:rPr>
              <w:t>Such other business as may properly come before the</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40" w:type="dxa"/>
            <w:vAlign w:val="bottom"/>
            <w:tcBorders>
              <w:right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40" w:type="dxa"/>
            <w:vAlign w:val="bottom"/>
            <w:gridSpan w:val="6"/>
            <w:vMerge w:val="continue"/>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4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vMerge w:val="restart"/>
          </w:tcPr>
          <w:p>
            <w:pPr>
              <w:ind w:left="300"/>
              <w:spacing w:after="0"/>
              <w:rPr>
                <w:sz w:val="20"/>
                <w:szCs w:val="20"/>
                <w:color w:val="auto"/>
              </w:rPr>
            </w:pPr>
            <w:r>
              <w:rPr>
                <w:rFonts w:ascii="Arial" w:cs="Arial" w:eastAsia="Arial" w:hAnsi="Arial"/>
                <w:sz w:val="12"/>
                <w:szCs w:val="12"/>
                <w:color w:val="auto"/>
              </w:rPr>
              <w:t>1g.</w:t>
            </w:r>
          </w:p>
        </w:tc>
        <w:tc>
          <w:tcPr>
            <w:tcW w:w="2080" w:type="dxa"/>
            <w:vAlign w:val="bottom"/>
            <w:vMerge w:val="restart"/>
          </w:tcPr>
          <w:p>
            <w:pPr>
              <w:ind w:left="100"/>
              <w:spacing w:after="0"/>
              <w:rPr>
                <w:sz w:val="20"/>
                <w:szCs w:val="20"/>
                <w:color w:val="auto"/>
              </w:rPr>
            </w:pPr>
            <w:r>
              <w:rPr>
                <w:rFonts w:ascii="Arial" w:cs="Arial" w:eastAsia="Arial" w:hAnsi="Arial"/>
                <w:sz w:val="12"/>
                <w:szCs w:val="12"/>
                <w:color w:val="auto"/>
              </w:rPr>
              <w:t>Linda H. Riefler</w:t>
            </w:r>
          </w:p>
        </w:tc>
        <w:tc>
          <w:tcPr>
            <w:tcW w:w="800" w:type="dxa"/>
            <w:vAlign w:val="bottom"/>
          </w:tcPr>
          <w:p>
            <w:pPr>
              <w:spacing w:after="0"/>
              <w:rPr>
                <w:sz w:val="12"/>
                <w:szCs w:val="12"/>
                <w:color w:val="auto"/>
              </w:rPr>
            </w:pPr>
          </w:p>
        </w:tc>
        <w:tc>
          <w:tcPr>
            <w:tcW w:w="720" w:type="dxa"/>
            <w:vAlign w:val="bottom"/>
            <w:gridSpan w:val="2"/>
            <w:vMerge w:val="restart"/>
          </w:tcPr>
          <w:p>
            <w:pPr>
              <w:ind w:left="560"/>
              <w:spacing w:after="0"/>
              <w:rPr>
                <w:sz w:val="20"/>
                <w:szCs w:val="20"/>
                <w:color w:val="auto"/>
              </w:rPr>
            </w:pPr>
            <w:r>
              <w:rPr>
                <w:rFonts w:ascii="Arial" w:cs="Arial" w:eastAsia="Arial" w:hAnsi="Arial"/>
                <w:sz w:val="18"/>
                <w:szCs w:val="18"/>
                <w:color w:val="auto"/>
              </w:rPr>
              <w:t>o</w:t>
            </w:r>
          </w:p>
        </w:tc>
        <w:tc>
          <w:tcPr>
            <w:tcW w:w="540" w:type="dxa"/>
            <w:vAlign w:val="bottom"/>
            <w:vMerge w:val="restart"/>
          </w:tcPr>
          <w:p>
            <w:pPr>
              <w:ind w:left="240"/>
              <w:spacing w:after="0"/>
              <w:rPr>
                <w:sz w:val="20"/>
                <w:szCs w:val="20"/>
                <w:color w:val="auto"/>
              </w:rPr>
            </w:pPr>
            <w:r>
              <w:rPr>
                <w:rFonts w:ascii="Arial" w:cs="Arial" w:eastAsia="Arial" w:hAnsi="Arial"/>
                <w:sz w:val="18"/>
                <w:szCs w:val="18"/>
                <w:color w:val="auto"/>
              </w:rPr>
              <w:t>o</w:t>
            </w:r>
          </w:p>
        </w:tc>
        <w:tc>
          <w:tcPr>
            <w:tcW w:w="700" w:type="dxa"/>
            <w:vAlign w:val="bottom"/>
            <w:vMerge w:val="restart"/>
          </w:tcPr>
          <w:p>
            <w:pPr>
              <w:ind w:left="240"/>
              <w:spacing w:after="0"/>
              <w:rPr>
                <w:sz w:val="20"/>
                <w:szCs w:val="20"/>
                <w:color w:val="auto"/>
              </w:rPr>
            </w:pPr>
            <w:r>
              <w:rPr>
                <w:rFonts w:ascii="Arial" w:cs="Arial" w:eastAsia="Arial" w:hAnsi="Arial"/>
                <w:sz w:val="18"/>
                <w:szCs w:val="18"/>
                <w:color w:val="auto"/>
              </w:rPr>
              <w:t>o</w:t>
            </w:r>
          </w:p>
        </w:tc>
        <w:tc>
          <w:tcPr>
            <w:tcW w:w="40" w:type="dxa"/>
            <w:vAlign w:val="bottom"/>
          </w:tcPr>
          <w:p>
            <w:pPr>
              <w:spacing w:after="0"/>
              <w:rPr>
                <w:sz w:val="12"/>
                <w:szCs w:val="12"/>
                <w:color w:val="auto"/>
              </w:rPr>
            </w:pPr>
          </w:p>
        </w:tc>
        <w:tc>
          <w:tcPr>
            <w:tcW w:w="2860" w:type="dxa"/>
            <w:vAlign w:val="bottom"/>
            <w:gridSpan w:val="2"/>
          </w:tcPr>
          <w:p>
            <w:pPr>
              <w:ind w:left="180"/>
              <w:spacing w:after="0"/>
              <w:rPr>
                <w:sz w:val="20"/>
                <w:szCs w:val="20"/>
                <w:color w:val="auto"/>
              </w:rPr>
            </w:pPr>
            <w:r>
              <w:rPr>
                <w:rFonts w:ascii="Arial" w:cs="Arial" w:eastAsia="Arial" w:hAnsi="Arial"/>
                <w:sz w:val="12"/>
                <w:szCs w:val="12"/>
                <w:color w:val="auto"/>
              </w:rPr>
              <w:t>meeting or any adjournment thereof.</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08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4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ind w:left="300"/>
              <w:spacing w:after="0"/>
              <w:rPr>
                <w:sz w:val="20"/>
                <w:szCs w:val="20"/>
                <w:color w:val="auto"/>
              </w:rPr>
            </w:pPr>
            <w:r>
              <w:rPr>
                <w:rFonts w:ascii="Arial" w:cs="Arial" w:eastAsia="Arial" w:hAnsi="Arial"/>
                <w:sz w:val="12"/>
                <w:szCs w:val="12"/>
                <w:color w:val="auto"/>
              </w:rPr>
              <w:t>1h.</w:t>
            </w:r>
          </w:p>
        </w:tc>
        <w:tc>
          <w:tcPr>
            <w:tcW w:w="2080" w:type="dxa"/>
            <w:vAlign w:val="bottom"/>
          </w:tcPr>
          <w:p>
            <w:pPr>
              <w:ind w:left="100"/>
              <w:spacing w:after="0"/>
              <w:rPr>
                <w:sz w:val="20"/>
                <w:szCs w:val="20"/>
                <w:color w:val="auto"/>
              </w:rPr>
            </w:pPr>
            <w:r>
              <w:rPr>
                <w:rFonts w:ascii="Arial" w:cs="Arial" w:eastAsia="Arial" w:hAnsi="Arial"/>
                <w:sz w:val="12"/>
                <w:szCs w:val="12"/>
                <w:color w:val="auto"/>
              </w:rPr>
              <w:t>Marcus L. Smith</w:t>
            </w:r>
          </w:p>
        </w:tc>
        <w:tc>
          <w:tcPr>
            <w:tcW w:w="800" w:type="dxa"/>
            <w:vAlign w:val="bottom"/>
          </w:tcPr>
          <w:p>
            <w:pPr>
              <w:spacing w:after="0"/>
              <w:rPr>
                <w:sz w:val="24"/>
                <w:szCs w:val="24"/>
                <w:color w:val="auto"/>
              </w:rPr>
            </w:pPr>
          </w:p>
        </w:tc>
        <w:tc>
          <w:tcPr>
            <w:tcW w:w="720" w:type="dxa"/>
            <w:vAlign w:val="bottom"/>
            <w:gridSpan w:val="2"/>
          </w:tcPr>
          <w:p>
            <w:pPr>
              <w:ind w:left="560"/>
              <w:spacing w:after="0"/>
              <w:rPr>
                <w:sz w:val="20"/>
                <w:szCs w:val="20"/>
                <w:color w:val="auto"/>
              </w:rPr>
            </w:pPr>
            <w:r>
              <w:rPr>
                <w:rFonts w:ascii="Arial" w:cs="Arial" w:eastAsia="Arial" w:hAnsi="Arial"/>
                <w:sz w:val="18"/>
                <w:szCs w:val="18"/>
                <w:color w:val="auto"/>
              </w:rPr>
              <w:t>o</w:t>
            </w:r>
          </w:p>
        </w:tc>
        <w:tc>
          <w:tcPr>
            <w:tcW w:w="540" w:type="dxa"/>
            <w:vAlign w:val="bottom"/>
          </w:tcPr>
          <w:p>
            <w:pPr>
              <w:ind w:left="240"/>
              <w:spacing w:after="0"/>
              <w:rPr>
                <w:sz w:val="20"/>
                <w:szCs w:val="20"/>
                <w:color w:val="auto"/>
              </w:rPr>
            </w:pPr>
            <w:r>
              <w:rPr>
                <w:rFonts w:ascii="Arial" w:cs="Arial" w:eastAsia="Arial" w:hAnsi="Arial"/>
                <w:sz w:val="18"/>
                <w:szCs w:val="18"/>
                <w:color w:val="auto"/>
              </w:rPr>
              <w:t>o</w:t>
            </w:r>
          </w:p>
        </w:tc>
        <w:tc>
          <w:tcPr>
            <w:tcW w:w="700" w:type="dxa"/>
            <w:vAlign w:val="bottom"/>
          </w:tcPr>
          <w:p>
            <w:pPr>
              <w:ind w:left="240"/>
              <w:spacing w:after="0"/>
              <w:rPr>
                <w:sz w:val="20"/>
                <w:szCs w:val="20"/>
                <w:color w:val="auto"/>
              </w:rPr>
            </w:pPr>
            <w:r>
              <w:rPr>
                <w:rFonts w:ascii="Arial" w:cs="Arial" w:eastAsia="Arial" w:hAnsi="Arial"/>
                <w:sz w:val="18"/>
                <w:szCs w:val="18"/>
                <w:color w:val="auto"/>
              </w:rPr>
              <w:t>o</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4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ind w:left="300"/>
              <w:spacing w:after="0"/>
              <w:rPr>
                <w:sz w:val="20"/>
                <w:szCs w:val="20"/>
                <w:color w:val="auto"/>
              </w:rPr>
            </w:pPr>
            <w:r>
              <w:rPr>
                <w:rFonts w:ascii="Arial" w:cs="Arial" w:eastAsia="Arial" w:hAnsi="Arial"/>
                <w:sz w:val="12"/>
                <w:szCs w:val="12"/>
                <w:color w:val="auto"/>
              </w:rPr>
              <w:t>1i.</w:t>
            </w:r>
          </w:p>
        </w:tc>
        <w:tc>
          <w:tcPr>
            <w:tcW w:w="2080" w:type="dxa"/>
            <w:vAlign w:val="bottom"/>
          </w:tcPr>
          <w:p>
            <w:pPr>
              <w:ind w:left="40"/>
              <w:spacing w:after="0"/>
              <w:rPr>
                <w:sz w:val="20"/>
                <w:szCs w:val="20"/>
                <w:color w:val="auto"/>
              </w:rPr>
            </w:pPr>
            <w:r>
              <w:rPr>
                <w:rFonts w:ascii="Arial" w:cs="Arial" w:eastAsia="Arial" w:hAnsi="Arial"/>
                <w:sz w:val="12"/>
                <w:szCs w:val="12"/>
                <w:color w:val="auto"/>
              </w:rPr>
              <w:t>Rajat Taneja</w:t>
            </w:r>
          </w:p>
        </w:tc>
        <w:tc>
          <w:tcPr>
            <w:tcW w:w="800" w:type="dxa"/>
            <w:vAlign w:val="bottom"/>
          </w:tcPr>
          <w:p>
            <w:pPr>
              <w:spacing w:after="0"/>
              <w:rPr>
                <w:sz w:val="24"/>
                <w:szCs w:val="24"/>
                <w:color w:val="auto"/>
              </w:rPr>
            </w:pPr>
          </w:p>
        </w:tc>
        <w:tc>
          <w:tcPr>
            <w:tcW w:w="720" w:type="dxa"/>
            <w:vAlign w:val="bottom"/>
            <w:gridSpan w:val="2"/>
          </w:tcPr>
          <w:p>
            <w:pPr>
              <w:ind w:left="560"/>
              <w:spacing w:after="0"/>
              <w:rPr>
                <w:sz w:val="20"/>
                <w:szCs w:val="20"/>
                <w:color w:val="auto"/>
              </w:rPr>
            </w:pPr>
            <w:r>
              <w:rPr>
                <w:rFonts w:ascii="Arial" w:cs="Arial" w:eastAsia="Arial" w:hAnsi="Arial"/>
                <w:sz w:val="18"/>
                <w:szCs w:val="18"/>
                <w:color w:val="auto"/>
              </w:rPr>
              <w:t>o</w:t>
            </w:r>
          </w:p>
        </w:tc>
        <w:tc>
          <w:tcPr>
            <w:tcW w:w="540" w:type="dxa"/>
            <w:vAlign w:val="bottom"/>
          </w:tcPr>
          <w:p>
            <w:pPr>
              <w:ind w:left="240"/>
              <w:spacing w:after="0"/>
              <w:rPr>
                <w:sz w:val="20"/>
                <w:szCs w:val="20"/>
                <w:color w:val="auto"/>
              </w:rPr>
            </w:pPr>
            <w:r>
              <w:rPr>
                <w:rFonts w:ascii="Arial" w:cs="Arial" w:eastAsia="Arial" w:hAnsi="Arial"/>
                <w:sz w:val="18"/>
                <w:szCs w:val="18"/>
                <w:color w:val="auto"/>
              </w:rPr>
              <w:t>o</w:t>
            </w:r>
          </w:p>
        </w:tc>
        <w:tc>
          <w:tcPr>
            <w:tcW w:w="700" w:type="dxa"/>
            <w:vAlign w:val="bottom"/>
          </w:tcPr>
          <w:p>
            <w:pPr>
              <w:ind w:left="240"/>
              <w:spacing w:after="0"/>
              <w:rPr>
                <w:sz w:val="20"/>
                <w:szCs w:val="20"/>
                <w:color w:val="auto"/>
              </w:rPr>
            </w:pPr>
            <w:r>
              <w:rPr>
                <w:rFonts w:ascii="Arial" w:cs="Arial" w:eastAsia="Arial" w:hAnsi="Arial"/>
                <w:sz w:val="18"/>
                <w:szCs w:val="18"/>
                <w:color w:val="auto"/>
              </w:rPr>
              <w:t>o</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4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ind w:left="300"/>
              <w:spacing w:after="0"/>
              <w:rPr>
                <w:sz w:val="20"/>
                <w:szCs w:val="20"/>
                <w:color w:val="auto"/>
              </w:rPr>
            </w:pPr>
            <w:r>
              <w:rPr>
                <w:rFonts w:ascii="Arial" w:cs="Arial" w:eastAsia="Arial" w:hAnsi="Arial"/>
                <w:sz w:val="12"/>
                <w:szCs w:val="12"/>
                <w:color w:val="auto"/>
              </w:rPr>
              <w:t>1j.</w:t>
            </w:r>
          </w:p>
        </w:tc>
        <w:tc>
          <w:tcPr>
            <w:tcW w:w="2080" w:type="dxa"/>
            <w:vAlign w:val="bottom"/>
          </w:tcPr>
          <w:p>
            <w:pPr>
              <w:ind w:left="40"/>
              <w:spacing w:after="0"/>
              <w:rPr>
                <w:sz w:val="20"/>
                <w:szCs w:val="20"/>
                <w:color w:val="auto"/>
              </w:rPr>
            </w:pPr>
            <w:r>
              <w:rPr>
                <w:rFonts w:ascii="Arial" w:cs="Arial" w:eastAsia="Arial" w:hAnsi="Arial"/>
                <w:sz w:val="12"/>
                <w:szCs w:val="12"/>
                <w:color w:val="auto"/>
              </w:rPr>
              <w:t>Paula Volent</w:t>
            </w:r>
          </w:p>
        </w:tc>
        <w:tc>
          <w:tcPr>
            <w:tcW w:w="800" w:type="dxa"/>
            <w:vAlign w:val="bottom"/>
          </w:tcPr>
          <w:p>
            <w:pPr>
              <w:spacing w:after="0"/>
              <w:rPr>
                <w:sz w:val="24"/>
                <w:szCs w:val="24"/>
                <w:color w:val="auto"/>
              </w:rPr>
            </w:pPr>
          </w:p>
        </w:tc>
        <w:tc>
          <w:tcPr>
            <w:tcW w:w="720" w:type="dxa"/>
            <w:vAlign w:val="bottom"/>
            <w:gridSpan w:val="2"/>
          </w:tcPr>
          <w:p>
            <w:pPr>
              <w:ind w:left="560"/>
              <w:spacing w:after="0"/>
              <w:rPr>
                <w:sz w:val="20"/>
                <w:szCs w:val="20"/>
                <w:color w:val="auto"/>
              </w:rPr>
            </w:pPr>
            <w:r>
              <w:rPr>
                <w:rFonts w:ascii="Arial" w:cs="Arial" w:eastAsia="Arial" w:hAnsi="Arial"/>
                <w:sz w:val="18"/>
                <w:szCs w:val="18"/>
                <w:color w:val="auto"/>
              </w:rPr>
              <w:t>o</w:t>
            </w:r>
          </w:p>
        </w:tc>
        <w:tc>
          <w:tcPr>
            <w:tcW w:w="540" w:type="dxa"/>
            <w:vAlign w:val="bottom"/>
          </w:tcPr>
          <w:p>
            <w:pPr>
              <w:ind w:left="240"/>
              <w:spacing w:after="0"/>
              <w:rPr>
                <w:sz w:val="20"/>
                <w:szCs w:val="20"/>
                <w:color w:val="auto"/>
              </w:rPr>
            </w:pPr>
            <w:r>
              <w:rPr>
                <w:rFonts w:ascii="Arial" w:cs="Arial" w:eastAsia="Arial" w:hAnsi="Arial"/>
                <w:sz w:val="18"/>
                <w:szCs w:val="18"/>
                <w:color w:val="auto"/>
              </w:rPr>
              <w:t>o</w:t>
            </w:r>
          </w:p>
        </w:tc>
        <w:tc>
          <w:tcPr>
            <w:tcW w:w="700" w:type="dxa"/>
            <w:vAlign w:val="bottom"/>
          </w:tcPr>
          <w:p>
            <w:pPr>
              <w:ind w:left="240"/>
              <w:spacing w:after="0"/>
              <w:rPr>
                <w:sz w:val="20"/>
                <w:szCs w:val="20"/>
                <w:color w:val="auto"/>
              </w:rPr>
            </w:pPr>
            <w:r>
              <w:rPr>
                <w:rFonts w:ascii="Arial" w:cs="Arial" w:eastAsia="Arial" w:hAnsi="Arial"/>
                <w:sz w:val="18"/>
                <w:szCs w:val="18"/>
                <w:color w:val="auto"/>
              </w:rPr>
              <w:t>o</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2"/>
        </w:trPr>
        <w:tc>
          <w:tcPr>
            <w:tcW w:w="40" w:type="dxa"/>
            <w:vAlign w:val="bottom"/>
            <w:tcBorders>
              <w:right w:val="single" w:sz="8" w:color="auto"/>
            </w:tcBorders>
          </w:tcPr>
          <w:p>
            <w:pPr>
              <w:spacing w:after="0"/>
              <w:rPr>
                <w:sz w:val="24"/>
                <w:szCs w:val="24"/>
                <w:color w:val="auto"/>
              </w:rPr>
            </w:pPr>
          </w:p>
        </w:tc>
        <w:tc>
          <w:tcPr>
            <w:tcW w:w="9320" w:type="dxa"/>
            <w:vAlign w:val="bottom"/>
            <w:gridSpan w:val="14"/>
          </w:tcPr>
          <w:p>
            <w:pPr>
              <w:ind w:left="260"/>
              <w:spacing w:after="0"/>
              <w:rPr>
                <w:sz w:val="20"/>
                <w:szCs w:val="20"/>
                <w:color w:val="auto"/>
              </w:rPr>
            </w:pPr>
            <w:r>
              <w:rPr>
                <w:rFonts w:ascii="Arial" w:cs="Arial" w:eastAsia="Arial" w:hAnsi="Arial"/>
                <w:sz w:val="12"/>
                <w:szCs w:val="12"/>
                <w:color w:val="auto"/>
              </w:rPr>
              <w:t>Please sign exactly as your name(s) appear(s) hereon. When signing as attorney, executor, administrator, or other fiduciary, please give full title as such. Joint</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 w:type="dxa"/>
            <w:vAlign w:val="bottom"/>
            <w:tcBorders>
              <w:right w:val="single" w:sz="8" w:color="auto"/>
            </w:tcBorders>
          </w:tcPr>
          <w:p>
            <w:pPr>
              <w:spacing w:after="0"/>
              <w:rPr>
                <w:sz w:val="12"/>
                <w:szCs w:val="12"/>
                <w:color w:val="auto"/>
              </w:rPr>
            </w:pPr>
          </w:p>
        </w:tc>
        <w:tc>
          <w:tcPr>
            <w:tcW w:w="9320" w:type="dxa"/>
            <w:vAlign w:val="bottom"/>
            <w:gridSpan w:val="14"/>
          </w:tcPr>
          <w:p>
            <w:pPr>
              <w:ind w:left="260"/>
              <w:spacing w:after="0"/>
              <w:rPr>
                <w:sz w:val="20"/>
                <w:szCs w:val="20"/>
                <w:color w:val="auto"/>
              </w:rPr>
            </w:pPr>
            <w:r>
              <w:rPr>
                <w:rFonts w:ascii="Arial" w:cs="Arial" w:eastAsia="Arial" w:hAnsi="Arial"/>
                <w:sz w:val="12"/>
                <w:szCs w:val="12"/>
                <w:color w:val="auto"/>
              </w:rPr>
              <w:t>owners should each sign personally. All holders must sign. If a corporation or partnership, please sign in full corporate or partnership name by authorized officer.</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600" w:type="dxa"/>
            <w:vAlign w:val="bottom"/>
            <w:tcBorders>
              <w:bottom w:val="single" w:sz="8" w:color="auto"/>
            </w:tcBorders>
            <w:gridSpan w:val="2"/>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860" w:type="dxa"/>
            <w:vAlign w:val="bottom"/>
            <w:tcBorders>
              <w:bottom w:val="single" w:sz="8" w:color="auto"/>
            </w:tcBorders>
            <w:gridSpan w:val="2"/>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8"/>
        </w:trPr>
        <w:tc>
          <w:tcPr>
            <w:tcW w:w="40" w:type="dxa"/>
            <w:vAlign w:val="bottom"/>
            <w:tcBorders>
              <w:right w:val="single" w:sz="8" w:color="auto"/>
            </w:tcBorders>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2600" w:type="dxa"/>
            <w:vAlign w:val="bottom"/>
            <w:tcBorders>
              <w:bottom w:val="single" w:sz="8" w:color="auto"/>
            </w:tcBorders>
            <w:gridSpan w:val="2"/>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2860" w:type="dxa"/>
            <w:vAlign w:val="bottom"/>
            <w:tcBorders>
              <w:bottom w:val="single" w:sz="8" w:color="auto"/>
            </w:tcBorders>
            <w:gridSpan w:val="2"/>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0" w:type="dxa"/>
            <w:vAlign w:val="bottom"/>
            <w:tcBorders>
              <w:right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Signature [PLEASE SIGN WITHIN BOX]</w:t>
            </w:r>
          </w:p>
        </w:tc>
        <w:tc>
          <w:tcPr>
            <w:tcW w:w="1460" w:type="dxa"/>
            <w:vAlign w:val="bottom"/>
            <w:tcBorders>
              <w:bottom w:val="single" w:sz="8" w:color="auto"/>
            </w:tcBorders>
            <w:gridSpan w:val="2"/>
          </w:tcPr>
          <w:p>
            <w:pPr>
              <w:ind w:left="780"/>
              <w:spacing w:after="0"/>
              <w:rPr>
                <w:sz w:val="20"/>
                <w:szCs w:val="20"/>
                <w:color w:val="auto"/>
              </w:rPr>
            </w:pPr>
            <w:r>
              <w:rPr>
                <w:rFonts w:ascii="Arial" w:cs="Arial" w:eastAsia="Arial" w:hAnsi="Arial"/>
                <w:sz w:val="12"/>
                <w:szCs w:val="12"/>
                <w:color w:val="auto"/>
              </w:rPr>
              <w:t>Date</w:t>
            </w: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Signature (Joint Owners)</w:t>
            </w:r>
          </w:p>
        </w:tc>
        <w:tc>
          <w:tcPr>
            <w:tcW w:w="3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tcPr>
          <w:p>
            <w:pPr>
              <w:ind w:left="120"/>
              <w:spacing w:after="0"/>
              <w:rPr>
                <w:sz w:val="20"/>
                <w:szCs w:val="20"/>
                <w:color w:val="auto"/>
              </w:rPr>
            </w:pPr>
            <w:r>
              <w:rPr>
                <w:rFonts w:ascii="Arial" w:cs="Arial" w:eastAsia="Arial" w:hAnsi="Arial"/>
                <w:sz w:val="12"/>
                <w:szCs w:val="12"/>
                <w:color w:val="auto"/>
              </w:rPr>
              <w:t>Date</w:t>
            </w:r>
          </w:p>
        </w:tc>
        <w:tc>
          <w:tcPr>
            <w:tcW w:w="4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520" w:type="dxa"/>
            <w:vAlign w:val="bottom"/>
            <w:tcBorders>
              <w:bottom w:val="single" w:sz="8" w:color="808080"/>
            </w:tcBorders>
          </w:tcPr>
          <w:p>
            <w:pPr>
              <w:spacing w:after="0"/>
              <w:rPr>
                <w:sz w:val="18"/>
                <w:szCs w:val="18"/>
                <w:color w:val="auto"/>
              </w:rPr>
            </w:pPr>
          </w:p>
        </w:tc>
        <w:tc>
          <w:tcPr>
            <w:tcW w:w="208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54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246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-4205605</wp:posOffset>
            </wp:positionV>
            <wp:extent cx="7158990" cy="336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8990" cy="33655"/>
                    </a:xfrm>
                    <a:prstGeom prst="rect">
                      <a:avLst/>
                    </a:prstGeom>
                    <a:noFill/>
                  </pic:spPr>
                </pic:pic>
              </a:graphicData>
            </a:graphic>
          </wp:anchor>
        </w:drawing>
        <w:drawing>
          <wp:anchor simplePos="0" relativeHeight="251657728" behindDoc="1" locked="0" layoutInCell="0" allowOverlap="1">
            <wp:simplePos x="0" y="0"/>
            <wp:positionH relativeFrom="column">
              <wp:posOffset>7144385</wp:posOffset>
            </wp:positionH>
            <wp:positionV relativeFrom="paragraph">
              <wp:posOffset>-13970</wp:posOffset>
            </wp:positionV>
            <wp:extent cx="1270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20" w:name="page121"/>
    <w:bookmarkEnd w:id="120"/>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16"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The Notice and Proxy Statement and Annual Report on Form 10-K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D66836-P67779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29145" cy="39833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29145" cy="3983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59"/>
        <w:spacing w:after="0"/>
        <w:rPr>
          <w:sz w:val="20"/>
          <w:szCs w:val="20"/>
          <w:color w:val="auto"/>
        </w:rPr>
      </w:pPr>
      <w:r>
        <w:rPr>
          <w:rFonts w:ascii="Arial" w:cs="Arial" w:eastAsia="Arial" w:hAnsi="Arial"/>
          <w:sz w:val="20"/>
          <w:szCs w:val="20"/>
          <w:color w:val="auto"/>
        </w:rPr>
        <w:t>MSCI INC.</w:t>
      </w:r>
    </w:p>
    <w:p>
      <w:pPr>
        <w:jc w:val="center"/>
        <w:ind w:right="-359"/>
        <w:spacing w:after="0"/>
        <w:rPr>
          <w:sz w:val="20"/>
          <w:szCs w:val="20"/>
          <w:color w:val="auto"/>
        </w:rPr>
      </w:pPr>
      <w:r>
        <w:rPr>
          <w:rFonts w:ascii="Arial" w:cs="Arial" w:eastAsia="Arial" w:hAnsi="Arial"/>
          <w:sz w:val="20"/>
          <w:szCs w:val="20"/>
          <w:color w:val="auto"/>
        </w:rPr>
        <w:t>Annual Meeting of Shareholders April 26, 2022 2:30 P.M. Eastern Time</w:t>
      </w:r>
    </w:p>
    <w:p>
      <w:pPr>
        <w:spacing w:after="0" w:line="166" w:lineRule="exact"/>
        <w:rPr>
          <w:sz w:val="20"/>
          <w:szCs w:val="20"/>
          <w:color w:val="auto"/>
        </w:rPr>
      </w:pPr>
    </w:p>
    <w:p>
      <w:pPr>
        <w:jc w:val="both"/>
        <w:ind w:left="560" w:right="200"/>
        <w:spacing w:after="0" w:line="238" w:lineRule="auto"/>
        <w:rPr>
          <w:sz w:val="20"/>
          <w:szCs w:val="20"/>
          <w:color w:val="auto"/>
        </w:rPr>
      </w:pPr>
      <w:r>
        <w:rPr>
          <w:rFonts w:ascii="Arial" w:cs="Arial" w:eastAsia="Arial" w:hAnsi="Arial"/>
          <w:sz w:val="18"/>
          <w:szCs w:val="18"/>
          <w:b w:val="1"/>
          <w:bCs w:val="1"/>
          <w:color w:val="auto"/>
        </w:rPr>
        <w:t xml:space="preserve">This proxy is solicited by the Board of Directors of MSCI Inc. </w:t>
      </w:r>
      <w:r>
        <w:rPr>
          <w:rFonts w:ascii="Arial" w:cs="Arial" w:eastAsia="Arial" w:hAnsi="Arial"/>
          <w:sz w:val="18"/>
          <w:szCs w:val="18"/>
          <w:color w:val="auto"/>
        </w:rPr>
        <w:t>The undersigned hereby appoints each of Cecilia Aza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Robert J. Gutowski as proxies of the undersigned, each with full power of substitution, to represent the undersigned and to vote as designated on the reverse side of this proxy card all of the shares of common stock of MSCI Inc. that the undersigned is entitled to vote at the Annual Meeting of Shareholders of MSCI Inc. to be held live via the Internet on April 26, 2022, at 2:30 P.M. Eastern Time, and at any adjournments or postponements thereof, upon all matters that may properly come before the meeting. You can virtually attend the meeting online by visiting www.virtualshareholdermeeting.com/MSCI2022. </w:t>
      </w:r>
      <w:r>
        <w:rPr>
          <w:rFonts w:ascii="Arial" w:cs="Arial" w:eastAsia="Arial" w:hAnsi="Arial"/>
          <w:sz w:val="18"/>
          <w:szCs w:val="18"/>
          <w:b w:val="1"/>
          <w:bCs w:val="1"/>
          <w:color w:val="auto"/>
        </w:rPr>
        <w:t>If no such direction is</w:t>
      </w:r>
      <w:r>
        <w:rPr>
          <w:rFonts w:ascii="Arial" w:cs="Arial" w:eastAsia="Arial" w:hAnsi="Arial"/>
          <w:sz w:val="18"/>
          <w:szCs w:val="18"/>
          <w:color w:val="auto"/>
        </w:rPr>
        <w:t xml:space="preserve"> </w:t>
      </w:r>
      <w:r>
        <w:rPr>
          <w:rFonts w:ascii="Arial" w:cs="Arial" w:eastAsia="Arial" w:hAnsi="Arial"/>
          <w:sz w:val="18"/>
          <w:szCs w:val="18"/>
          <w:b w:val="1"/>
          <w:bCs w:val="1"/>
          <w:color w:val="auto"/>
        </w:rPr>
        <w:t>made, the proxy will be voted in accordance with the Board of Directors’ recommendations.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782320</wp:posOffset>
            </wp:positionV>
            <wp:extent cx="7154545" cy="209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sectPr>
      <w:pgSz w:w="11900" w:h="16838" w:orient="portrait"/>
      <w:cols w:equalWidth="0" w:num="1">
        <w:col w:w="10880"/>
      </w:cols>
      <w:pgMar w:left="320" w:top="121"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0B6DF70"/>
    <w:multiLevelType w:val="hybridMultilevel"/>
    <w:lvl w:ilvl="0">
      <w:lvlJc w:val="left"/>
      <w:lvlText w:val="☐"/>
      <w:numFmt w:val="bullet"/>
      <w:start w:val="1"/>
    </w:lvl>
  </w:abstractNum>
  <w:abstractNum w:abstractNumId="1">
    <w:nsid w:val="6A5EE64"/>
    <w:multiLevelType w:val="hybridMultilevel"/>
    <w:lvl w:ilvl="0">
      <w:lvlJc w:val="left"/>
      <w:lvlText w:val="☑"/>
      <w:numFmt w:val="bullet"/>
      <w:start w:val="1"/>
    </w:lvl>
  </w:abstractNum>
  <w:abstractNum w:abstractNumId="2">
    <w:nsid w:val="14330624"/>
    <w:multiLevelType w:val="hybridMultilevel"/>
    <w:lvl w:ilvl="0">
      <w:lvlJc w:val="left"/>
      <w:lvlText w:val="☐"/>
      <w:numFmt w:val="bullet"/>
      <w:start w:val="1"/>
    </w:lvl>
  </w:abstractNum>
  <w:abstractNum w:abstractNumId="3">
    <w:nsid w:val="7FFFCA11"/>
    <w:multiLevelType w:val="hybridMultilevel"/>
    <w:lvl w:ilvl="0">
      <w:lvlJc w:val="left"/>
      <w:lvlText w:val="1"/>
      <w:numFmt w:val="bullet"/>
      <w:start w:val="1"/>
    </w:lvl>
  </w:abstractNum>
  <w:abstractNum w:abstractNumId="4">
    <w:nsid w:val="1A27709E"/>
    <w:multiLevelType w:val="hybridMultilevel"/>
    <w:lvl w:ilvl="0">
      <w:lvlJc w:val="left"/>
      <w:lvlText w:val="4"/>
      <w:numFmt w:val="bullet"/>
      <w:start w:val="1"/>
    </w:lvl>
  </w:abstractNum>
  <w:abstractNum w:abstractNumId="5">
    <w:nsid w:val="71EA1109"/>
    <w:multiLevelType w:val="hybridMultilevel"/>
    <w:lvl w:ilvl="0">
      <w:lvlJc w:val="left"/>
      <w:lvlText w:val="6"/>
      <w:numFmt w:val="bullet"/>
      <w:start w:val="1"/>
    </w:lvl>
  </w:abstractNum>
  <w:abstractNum w:abstractNumId="6">
    <w:nsid w:val="100F59DC"/>
    <w:multiLevelType w:val="hybridMultilevel"/>
    <w:lvl w:ilvl="0">
      <w:lvlJc w:val="left"/>
      <w:lvlText w:val="%1"/>
      <w:numFmt w:val="decimal"/>
      <w:start w:val="21"/>
    </w:lvl>
  </w:abstractNum>
  <w:abstractNum w:abstractNumId="7">
    <w:nsid w:val="7FB7E0AA"/>
    <w:multiLevelType w:val="hybridMultilevel"/>
    <w:lvl w:ilvl="0">
      <w:lvlJc w:val="left"/>
      <w:lvlText w:val="%1"/>
      <w:numFmt w:val="decimal"/>
      <w:start w:val="23"/>
    </w:lvl>
  </w:abstractNum>
  <w:abstractNum w:abstractNumId="8">
    <w:nsid w:val="6EB5BD4"/>
    <w:multiLevelType w:val="hybridMultilevel"/>
    <w:lvl w:ilvl="0">
      <w:lvlJc w:val="left"/>
      <w:lvlText w:val="%1"/>
      <w:numFmt w:val="decimal"/>
      <w:start w:val="29"/>
    </w:lvl>
  </w:abstractNum>
  <w:abstractNum w:abstractNumId="9">
    <w:nsid w:val="6F6DD9AC"/>
    <w:multiLevelType w:val="hybridMultilevel"/>
    <w:lvl w:ilvl="0">
      <w:lvlJc w:val="left"/>
      <w:lvlText w:val="%1"/>
      <w:numFmt w:val="decimal"/>
      <w:start w:val="32"/>
    </w:lvl>
  </w:abstractNum>
  <w:abstractNum w:abstractNumId="10">
    <w:nsid w:val="94211F2"/>
    <w:multiLevelType w:val="hybridMultilevel"/>
    <w:lvl w:ilvl="0">
      <w:lvlJc w:val="left"/>
      <w:lvlText w:val="%1"/>
      <w:numFmt w:val="decimal"/>
      <w:start w:val="38"/>
    </w:lvl>
  </w:abstractNum>
  <w:abstractNum w:abstractNumId="11">
    <w:nsid w:val="885E1B"/>
    <w:multiLevelType w:val="hybridMultilevel"/>
    <w:lvl w:ilvl="0">
      <w:lvlJc w:val="left"/>
      <w:lvlText w:val="%1"/>
      <w:numFmt w:val="decimal"/>
      <w:start w:val="41"/>
    </w:lvl>
  </w:abstractNum>
  <w:abstractNum w:abstractNumId="12">
    <w:nsid w:val="76272110"/>
    <w:multiLevelType w:val="hybridMultilevel"/>
    <w:lvl w:ilvl="0">
      <w:lvlJc w:val="left"/>
      <w:lvlText w:val="%1"/>
      <w:numFmt w:val="decimal"/>
      <w:start w:val="45"/>
    </w:lvl>
  </w:abstractNum>
  <w:abstractNum w:abstractNumId="13">
    <w:nsid w:val="4C04A8AF"/>
    <w:multiLevelType w:val="hybridMultilevel"/>
    <w:lvl w:ilvl="0">
      <w:lvlJc w:val="left"/>
      <w:lvlText w:val="%1"/>
      <w:numFmt w:val="decimal"/>
      <w:start w:val="48"/>
    </w:lvl>
  </w:abstractNum>
  <w:abstractNum w:abstractNumId="14">
    <w:nsid w:val="1716703B"/>
    <w:multiLevelType w:val="hybridMultilevel"/>
    <w:lvl w:ilvl="0">
      <w:lvlJc w:val="left"/>
      <w:lvlText w:val="%1"/>
      <w:numFmt w:val="decimal"/>
      <w:start w:val="51"/>
    </w:lvl>
  </w:abstractNum>
  <w:abstractNum w:abstractNumId="15">
    <w:nsid w:val="14E17E33"/>
    <w:multiLevelType w:val="hybridMultilevel"/>
    <w:lvl w:ilvl="0">
      <w:lvlJc w:val="left"/>
      <w:lvlText w:val="%1"/>
      <w:numFmt w:val="decimal"/>
      <w:start w:val="57"/>
    </w:lvl>
  </w:abstractNum>
  <w:abstractNum w:abstractNumId="16">
    <w:nsid w:val="3222E7CD"/>
    <w:multiLevelType w:val="hybridMultilevel"/>
    <w:lvl w:ilvl="0">
      <w:lvlJc w:val="left"/>
      <w:lvlText w:val="%1"/>
      <w:numFmt w:val="decimal"/>
      <w:start w:val="63"/>
    </w:lvl>
  </w:abstractNum>
  <w:abstractNum w:abstractNumId="17">
    <w:nsid w:val="74DE0EE3"/>
    <w:multiLevelType w:val="hybridMultilevel"/>
    <w:lvl w:ilvl="0">
      <w:lvlJc w:val="left"/>
      <w:lvlText w:val="%1"/>
      <w:numFmt w:val="decimal"/>
      <w:start w:val="69"/>
    </w:lvl>
  </w:abstractNum>
  <w:abstractNum w:abstractNumId="18">
    <w:nsid w:val="68EBC550"/>
    <w:multiLevelType w:val="hybridMultilevel"/>
    <w:lvl w:ilvl="0">
      <w:lvlJc w:val="left"/>
      <w:lvlText w:val="%1"/>
      <w:numFmt w:val="decimal"/>
      <w:start w:val="84"/>
    </w:lvl>
  </w:abstractNum>
  <w:abstractNum w:abstractNumId="19">
    <w:nsid w:val="2DF6D648"/>
    <w:multiLevelType w:val="hybridMultilevel"/>
    <w:lvl w:ilvl="0">
      <w:lvlJc w:val="left"/>
      <w:lvlText w:val="%1"/>
      <w:numFmt w:val="decimal"/>
      <w:start w:val="85"/>
    </w:lvl>
  </w:abstractNum>
  <w:abstractNum w:abstractNumId="20">
    <w:nsid w:val="46B7D447"/>
    <w:multiLevelType w:val="hybridMultilevel"/>
    <w:lvl w:ilvl="0">
      <w:lvlJc w:val="left"/>
      <w:lvlText w:val="%1"/>
      <w:numFmt w:val="decimal"/>
      <w:start w:val="96"/>
    </w:lvl>
  </w:abstractNum>
  <w:abstractNum w:abstractNumId="21">
    <w:nsid w:val="4A2AC315"/>
    <w:multiLevelType w:val="hybridMultilevel"/>
    <w:lvl w:ilvl="0">
      <w:lvlJc w:val="left"/>
      <w:lvlText w:val="%1"/>
      <w:numFmt w:val="decimal"/>
      <w:start w:val="96"/>
    </w:lvl>
  </w:abstractNum>
  <w:abstractNum w:abstractNumId="22">
    <w:nsid w:val="39EE015C"/>
    <w:multiLevelType w:val="hybridMultilevel"/>
    <w:lvl w:ilvl="0">
      <w:lvlJc w:val="left"/>
      <w:lvlText w:val="%1"/>
      <w:numFmt w:val="decimal"/>
      <w:start w:val="100"/>
    </w:lvl>
  </w:abstractNum>
  <w:abstractNum w:abstractNumId="23">
    <w:nsid w:val="57FC4FBB"/>
    <w:multiLevelType w:val="hybridMultilevel"/>
    <w:lvl w:ilvl="0">
      <w:lvlJc w:val="left"/>
      <w:lvlText w:val="%1"/>
      <w:numFmt w:val="decimal"/>
      <w:start w:val="102"/>
    </w:lvl>
  </w:abstractNum>
  <w:abstractNum w:abstractNumId="24">
    <w:nsid w:val="CC1016F"/>
    <w:multiLevelType w:val="hybridMultilevel"/>
    <w:lvl w:ilvl="0">
      <w:lvlJc w:val="left"/>
      <w:lvlText w:val="%1"/>
      <w:numFmt w:val="decimal"/>
      <w:start w:val="102"/>
    </w:lvl>
  </w:abstractNum>
  <w:abstractNum w:abstractNumId="25">
    <w:nsid w:val="43F18422"/>
    <w:multiLevelType w:val="hybridMultilevel"/>
    <w:lvl w:ilvl="0">
      <w:lvlJc w:val="left"/>
      <w:lvlText w:val="%1"/>
      <w:numFmt w:val="decimal"/>
      <w:start w:val="103"/>
    </w:lvl>
  </w:abstractNum>
  <w:abstractNum w:abstractNumId="26">
    <w:nsid w:val="60EF0119"/>
    <w:multiLevelType w:val="hybridMultilevel"/>
    <w:lvl w:ilvl="0">
      <w:lvlJc w:val="left"/>
      <w:lvlText w:val="8"/>
      <w:numFmt w:val="bullet"/>
      <w:start w:val="1"/>
    </w:lvl>
  </w:abstractNum>
  <w:abstractNum w:abstractNumId="27">
    <w:nsid w:val="26F324BA"/>
    <w:multiLevelType w:val="hybridMultilevel"/>
    <w:lvl w:ilvl="0">
      <w:lvlJc w:val="left"/>
      <w:lvlText w:val="*"/>
      <w:numFmt w:val="bullet"/>
      <w:start w:val="1"/>
    </w:lvl>
  </w:abstractNum>
  <w:abstractNum w:abstractNumId="28">
    <w:nsid w:val="7F01579B"/>
    <w:multiLevelType w:val="hybridMultilevel"/>
    <w:lvl w:ilvl="0">
      <w:lvlJc w:val="left"/>
      <w:lvlText w:val="(%1)"/>
      <w:numFmt w:val="decimal"/>
      <w:start w:val="1"/>
    </w:lvl>
  </w:abstractNum>
  <w:abstractNum w:abstractNumId="29">
    <w:nsid w:val="49DA307D"/>
    <w:multiLevelType w:val="hybridMultilevel"/>
    <w:lvl w:ilvl="0">
      <w:lvlJc w:val="left"/>
      <w:lvlText w:val="●"/>
      <w:numFmt w:val="bullet"/>
      <w:start w:val="1"/>
    </w:lvl>
  </w:abstractNum>
  <w:abstractNum w:abstractNumId="30">
    <w:nsid w:val="7055A5F5"/>
    <w:multiLevelType w:val="hybridMultilevel"/>
    <w:lvl w:ilvl="0">
      <w:lvlJc w:val="left"/>
      <w:lvlText w:val="●"/>
      <w:numFmt w:val="bullet"/>
      <w:start w:val="1"/>
    </w:lvl>
    <w:lvl w:ilvl="1">
      <w:lvlJc w:val="left"/>
      <w:lvlText w:val="●"/>
      <w:numFmt w:val="bullet"/>
      <w:start w:val="1"/>
    </w:lvl>
  </w:abstractNum>
  <w:abstractNum w:abstractNumId="31">
    <w:nsid w:val="5FB8370B"/>
    <w:multiLevelType w:val="hybridMultilevel"/>
    <w:lvl w:ilvl="0">
      <w:lvlJc w:val="left"/>
      <w:lvlText w:val="●"/>
      <w:numFmt w:val="bullet"/>
      <w:start w:val="1"/>
    </w:lvl>
    <w:lvl w:ilvl="1">
      <w:lvlJc w:val="left"/>
      <w:lvlText w:val="●"/>
      <w:numFmt w:val="bullet"/>
      <w:start w:val="1"/>
    </w:lvl>
  </w:abstractNum>
  <w:abstractNum w:abstractNumId="32">
    <w:nsid w:val="50801EE1"/>
    <w:multiLevelType w:val="hybridMultilevel"/>
    <w:lvl w:ilvl="0">
      <w:lvlJc w:val="left"/>
      <w:lvlText w:val="●"/>
      <w:numFmt w:val="bullet"/>
      <w:start w:val="1"/>
    </w:lvl>
    <w:lvl w:ilvl="1">
      <w:lvlJc w:val="left"/>
      <w:lvlText w:val="●"/>
      <w:numFmt w:val="bullet"/>
      <w:start w:val="1"/>
    </w:lvl>
  </w:abstractNum>
  <w:abstractNum w:abstractNumId="33">
    <w:nsid w:val="488AC1A"/>
    <w:multiLevelType w:val="hybridMultilevel"/>
    <w:lvl w:ilvl="0">
      <w:lvlJc w:val="left"/>
      <w:lvlText w:val="●"/>
      <w:numFmt w:val="bullet"/>
      <w:start w:val="1"/>
    </w:lvl>
    <w:lvl w:ilvl="1">
      <w:lvlJc w:val="left"/>
      <w:lvlText w:val="●"/>
      <w:numFmt w:val="bullet"/>
      <w:start w:val="1"/>
    </w:lvl>
  </w:abstractNum>
  <w:abstractNum w:abstractNumId="34">
    <w:nsid w:val="5FB8011C"/>
    <w:multiLevelType w:val="hybridMultilevel"/>
    <w:lvl w:ilvl="0">
      <w:lvlJc w:val="left"/>
      <w:lvlText w:val="●"/>
      <w:numFmt w:val="bullet"/>
      <w:start w:val="1"/>
    </w:lvl>
    <w:lvl w:ilvl="1">
      <w:lvlJc w:val="left"/>
      <w:lvlText w:val="●"/>
      <w:numFmt w:val="bullet"/>
      <w:start w:val="1"/>
    </w:lvl>
  </w:abstractNum>
  <w:abstractNum w:abstractNumId="35">
    <w:nsid w:val="6AA78F7F"/>
    <w:multiLevelType w:val="hybridMultilevel"/>
    <w:lvl w:ilvl="0">
      <w:lvlJc w:val="left"/>
      <w:lvlText w:val="●"/>
      <w:numFmt w:val="bullet"/>
      <w:start w:val="1"/>
    </w:lvl>
    <w:lvl w:ilvl="1">
      <w:lvlJc w:val="left"/>
      <w:lvlText w:val="●"/>
      <w:numFmt w:val="bullet"/>
      <w:start w:val="1"/>
    </w:lvl>
  </w:abstractNum>
  <w:abstractNum w:abstractNumId="36">
    <w:nsid w:val="7672BD23"/>
    <w:multiLevelType w:val="hybridMultilevel"/>
    <w:lvl w:ilvl="0">
      <w:lvlJc w:val="left"/>
      <w:lvlText w:val="●"/>
      <w:numFmt w:val="bullet"/>
      <w:start w:val="1"/>
    </w:lvl>
    <w:lvl w:ilvl="1">
      <w:lvlJc w:val="left"/>
      <w:lvlText w:val="●"/>
      <w:numFmt w:val="bullet"/>
      <w:start w:val="1"/>
    </w:lvl>
  </w:abstractNum>
  <w:abstractNum w:abstractNumId="37">
    <w:nsid w:val="6FC75AF8"/>
    <w:multiLevelType w:val="hybridMultilevel"/>
    <w:lvl w:ilvl="0">
      <w:lvlJc w:val="left"/>
      <w:lvlText w:val="●"/>
      <w:numFmt w:val="bullet"/>
      <w:start w:val="1"/>
    </w:lvl>
    <w:lvl w:ilvl="1">
      <w:lvlJc w:val="left"/>
      <w:lvlText w:val="●"/>
      <w:numFmt w:val="bullet"/>
      <w:start w:val="1"/>
    </w:lvl>
  </w:abstractNum>
  <w:abstractNum w:abstractNumId="38">
    <w:nsid w:val="6A5F7029"/>
    <w:multiLevelType w:val="hybridMultilevel"/>
    <w:lvl w:ilvl="0">
      <w:lvlJc w:val="left"/>
      <w:lvlText w:val="●"/>
      <w:numFmt w:val="bullet"/>
      <w:start w:val="1"/>
    </w:lvl>
  </w:abstractNum>
  <w:abstractNum w:abstractNumId="39">
    <w:nsid w:val="7D5E18F8"/>
    <w:multiLevelType w:val="hybridMultilevel"/>
    <w:lvl w:ilvl="0">
      <w:lvlJc w:val="left"/>
      <w:lvlText w:val="●"/>
      <w:numFmt w:val="bullet"/>
      <w:start w:val="1"/>
    </w:lvl>
  </w:abstractNum>
  <w:abstractNum w:abstractNumId="40">
    <w:nsid w:val="5F3534A4"/>
    <w:multiLevelType w:val="hybridMultilevel"/>
    <w:lvl w:ilvl="0">
      <w:lvlJc w:val="left"/>
      <w:lvlText w:val="●"/>
      <w:numFmt w:val="bullet"/>
      <w:start w:val="1"/>
    </w:lvl>
  </w:abstractNum>
  <w:abstractNum w:abstractNumId="41">
    <w:nsid w:val="73A1821B"/>
    <w:multiLevelType w:val="hybridMultilevel"/>
    <w:lvl w:ilvl="0">
      <w:lvlJc w:val="left"/>
      <w:lvlText w:val="●"/>
      <w:numFmt w:val="bullet"/>
      <w:start w:val="1"/>
    </w:lvl>
  </w:abstractNum>
  <w:abstractNum w:abstractNumId="42">
    <w:nsid w:val="7DE67713"/>
    <w:multiLevelType w:val="hybridMultilevel"/>
    <w:lvl w:ilvl="0">
      <w:lvlJc w:val="left"/>
      <w:lvlText w:val="●"/>
      <w:numFmt w:val="bullet"/>
      <w:start w:val="1"/>
    </w:lvl>
  </w:abstractNum>
  <w:abstractNum w:abstractNumId="43">
    <w:nsid w:val="555C55B5"/>
    <w:multiLevelType w:val="hybridMultilevel"/>
    <w:lvl w:ilvl="0">
      <w:lvlJc w:val="left"/>
      <w:lvlText w:val="●"/>
      <w:numFmt w:val="bullet"/>
      <w:start w:val="1"/>
    </w:lvl>
    <w:lvl w:ilvl="1">
      <w:lvlJc w:val="left"/>
      <w:lvlText w:val="●"/>
      <w:numFmt w:val="bullet"/>
      <w:start w:val="1"/>
    </w:lvl>
  </w:abstractNum>
  <w:abstractNum w:abstractNumId="44">
    <w:nsid w:val="3FA62ACA"/>
    <w:multiLevelType w:val="hybridMultilevel"/>
    <w:lvl w:ilvl="0">
      <w:lvlJc w:val="left"/>
      <w:lvlText w:val="●"/>
      <w:numFmt w:val="bullet"/>
      <w:start w:val="1"/>
    </w:lvl>
  </w:abstractNum>
  <w:abstractNum w:abstractNumId="45">
    <w:nsid w:val="14FCE74E"/>
    <w:multiLevelType w:val="hybridMultilevel"/>
    <w:lvl w:ilvl="0">
      <w:lvlJc w:val="left"/>
      <w:lvlText w:val="●"/>
      <w:numFmt w:val="bullet"/>
      <w:start w:val="1"/>
    </w:lvl>
  </w:abstractNum>
  <w:abstractNum w:abstractNumId="46">
    <w:nsid w:val="6A3DD3E8"/>
    <w:multiLevelType w:val="hybridMultilevel"/>
    <w:lvl w:ilvl="0">
      <w:lvlJc w:val="left"/>
      <w:lvlText w:val="●"/>
      <w:numFmt w:val="bullet"/>
      <w:start w:val="1"/>
    </w:lvl>
  </w:abstractNum>
  <w:abstractNum w:abstractNumId="47">
    <w:nsid w:val="71C91298"/>
    <w:multiLevelType w:val="hybridMultilevel"/>
    <w:lvl w:ilvl="0">
      <w:lvlJc w:val="left"/>
      <w:lvlText w:val="●"/>
      <w:numFmt w:val="bullet"/>
      <w:start w:val="1"/>
    </w:lvl>
  </w:abstractNum>
  <w:abstractNum w:abstractNumId="48">
    <w:nsid w:val="9DAF632"/>
    <w:multiLevelType w:val="hybridMultilevel"/>
    <w:lvl w:ilvl="0">
      <w:lvlJc w:val="left"/>
      <w:lvlText w:val="●"/>
      <w:numFmt w:val="bullet"/>
      <w:start w:val="1"/>
    </w:lvl>
  </w:abstractNum>
  <w:abstractNum w:abstractNumId="49">
    <w:nsid w:val="53299938"/>
    <w:multiLevelType w:val="hybridMultilevel"/>
    <w:lvl w:ilvl="0">
      <w:lvlJc w:val="left"/>
      <w:lvlText w:val="●"/>
      <w:numFmt w:val="bullet"/>
      <w:start w:val="1"/>
    </w:lvl>
  </w:abstractNum>
  <w:abstractNum w:abstractNumId="50">
    <w:nsid w:val="1FBFE8E0"/>
    <w:multiLevelType w:val="hybridMultilevel"/>
    <w:lvl w:ilvl="0">
      <w:lvlJc w:val="left"/>
      <w:lvlText w:val="●"/>
      <w:numFmt w:val="bullet"/>
      <w:start w:val="1"/>
    </w:lvl>
  </w:abstractNum>
  <w:abstractNum w:abstractNumId="51">
    <w:nsid w:val="5092CA79"/>
    <w:multiLevelType w:val="hybridMultilevel"/>
    <w:lvl w:ilvl="0">
      <w:lvlJc w:val="left"/>
      <w:lvlText w:val="●"/>
      <w:numFmt w:val="bullet"/>
      <w:start w:val="1"/>
    </w:lvl>
  </w:abstractNum>
  <w:abstractNum w:abstractNumId="52">
    <w:nsid w:val="1D545C4D"/>
    <w:multiLevelType w:val="hybridMultilevel"/>
    <w:lvl w:ilvl="0">
      <w:lvlJc w:val="left"/>
      <w:lvlText w:val="●"/>
      <w:numFmt w:val="bullet"/>
      <w:start w:val="1"/>
    </w:lvl>
  </w:abstractNum>
  <w:abstractNum w:abstractNumId="53">
    <w:nsid w:val="59ADEA3D"/>
    <w:multiLevelType w:val="hybridMultilevel"/>
    <w:lvl w:ilvl="0">
      <w:lvlJc w:val="left"/>
      <w:lvlText w:val="●"/>
      <w:numFmt w:val="bullet"/>
      <w:start w:val="1"/>
    </w:lvl>
  </w:abstractNum>
  <w:abstractNum w:abstractNumId="54">
    <w:nsid w:val="288F1A34"/>
    <w:multiLevelType w:val="hybridMultilevel"/>
    <w:lvl w:ilvl="0">
      <w:lvlJc w:val="left"/>
      <w:lvlText w:val="●"/>
      <w:numFmt w:val="bullet"/>
      <w:start w:val="1"/>
    </w:lvl>
  </w:abstractNum>
  <w:abstractNum w:abstractNumId="55">
    <w:nsid w:val="2A155DBC"/>
    <w:multiLevelType w:val="hybridMultilevel"/>
    <w:lvl w:ilvl="0">
      <w:lvlJc w:val="left"/>
      <w:lvlText w:val="%1."/>
      <w:numFmt w:val="upperLetter"/>
      <w:start w:val="3"/>
    </w:lvl>
  </w:abstractNum>
  <w:abstractNum w:abstractNumId="56">
    <w:nsid w:val="1D9F6E5F"/>
    <w:multiLevelType w:val="hybridMultilevel"/>
    <w:lvl w:ilvl="0">
      <w:lvlJc w:val="left"/>
      <w:lvlText w:val="●"/>
      <w:numFmt w:val="bullet"/>
      <w:start w:val="1"/>
    </w:lvl>
  </w:abstractNum>
  <w:abstractNum w:abstractNumId="57">
    <w:nsid w:val="97E1B4E"/>
    <w:multiLevelType w:val="hybridMultilevel"/>
    <w:lvl w:ilvl="0">
      <w:lvlJc w:val="left"/>
      <w:lvlText w:val="●"/>
      <w:numFmt w:val="bullet"/>
      <w:start w:val="1"/>
    </w:lvl>
  </w:abstractNum>
  <w:abstractNum w:abstractNumId="58">
    <w:nsid w:val="51088277"/>
    <w:multiLevelType w:val="hybridMultilevel"/>
    <w:lvl w:ilvl="0">
      <w:lvlJc w:val="left"/>
      <w:lvlText w:val="●"/>
      <w:numFmt w:val="bullet"/>
      <w:start w:val="1"/>
    </w:lvl>
  </w:abstractNum>
  <w:abstractNum w:abstractNumId="59">
    <w:nsid w:val="1CA0C5FA"/>
    <w:multiLevelType w:val="hybridMultilevel"/>
    <w:lvl w:ilvl="0">
      <w:lvlJc w:val="left"/>
      <w:lvlText w:val="●"/>
      <w:numFmt w:val="bullet"/>
      <w:start w:val="1"/>
    </w:lvl>
  </w:abstractNum>
  <w:abstractNum w:abstractNumId="60">
    <w:nsid w:val="53584BCB"/>
    <w:multiLevelType w:val="hybridMultilevel"/>
    <w:lvl w:ilvl="0">
      <w:lvlJc w:val="left"/>
      <w:lvlText w:val="●"/>
      <w:numFmt w:val="bullet"/>
      <w:start w:val="1"/>
    </w:lvl>
  </w:abstractNum>
  <w:abstractNum w:abstractNumId="61">
    <w:nsid w:val="415E286C"/>
    <w:multiLevelType w:val="hybridMultilevel"/>
    <w:lvl w:ilvl="0">
      <w:lvlJc w:val="left"/>
      <w:lvlText w:val="●"/>
      <w:numFmt w:val="bullet"/>
      <w:start w:val="1"/>
    </w:lvl>
  </w:abstractNum>
  <w:abstractNum w:abstractNumId="62">
    <w:nsid w:val="7C58FD05"/>
    <w:multiLevelType w:val="hybridMultilevel"/>
    <w:lvl w:ilvl="0">
      <w:lvlJc w:val="left"/>
      <w:lvlText w:val="●"/>
      <w:numFmt w:val="bullet"/>
      <w:start w:val="1"/>
    </w:lvl>
  </w:abstractNum>
  <w:abstractNum w:abstractNumId="63">
    <w:nsid w:val="23D86AAC"/>
    <w:multiLevelType w:val="hybridMultilevel"/>
    <w:lvl w:ilvl="0">
      <w:lvlJc w:val="left"/>
      <w:lvlText w:val="●"/>
      <w:numFmt w:val="bullet"/>
      <w:start w:val="1"/>
    </w:lvl>
  </w:abstractNum>
  <w:abstractNum w:abstractNumId="64">
    <w:nsid w:val="45E6D486"/>
    <w:multiLevelType w:val="hybridMultilevel"/>
    <w:lvl w:ilvl="0">
      <w:lvlJc w:val="left"/>
      <w:lvlText w:val="●"/>
      <w:numFmt w:val="bullet"/>
      <w:start w:val="1"/>
    </w:lvl>
  </w:abstractNum>
  <w:abstractNum w:abstractNumId="65">
    <w:nsid w:val="5C10FE21"/>
    <w:multiLevelType w:val="hybridMultilevel"/>
    <w:lvl w:ilvl="0">
      <w:lvlJc w:val="left"/>
      <w:lvlText w:val="●"/>
      <w:numFmt w:val="bullet"/>
      <w:start w:val="1"/>
    </w:lvl>
  </w:abstractNum>
  <w:abstractNum w:abstractNumId="66">
    <w:nsid w:val="E7FFA2B"/>
    <w:multiLevelType w:val="hybridMultilevel"/>
    <w:lvl w:ilvl="0">
      <w:lvlJc w:val="left"/>
      <w:lvlText w:val="●"/>
      <w:numFmt w:val="bullet"/>
      <w:start w:val="1"/>
    </w:lvl>
  </w:abstractNum>
  <w:abstractNum w:abstractNumId="67">
    <w:nsid w:val="3C5991AA"/>
    <w:multiLevelType w:val="hybridMultilevel"/>
    <w:lvl w:ilvl="0">
      <w:lvlJc w:val="left"/>
      <w:lvlText w:val="●"/>
      <w:numFmt w:val="bullet"/>
      <w:start w:val="1"/>
    </w:lvl>
  </w:abstractNum>
  <w:abstractNum w:abstractNumId="68">
    <w:nsid w:val="4BD8591A"/>
    <w:multiLevelType w:val="hybridMultilevel"/>
    <w:lvl w:ilvl="0">
      <w:lvlJc w:val="left"/>
      <w:lvlText w:val="●"/>
      <w:numFmt w:val="bullet"/>
      <w:start w:val="1"/>
    </w:lvl>
  </w:abstractNum>
  <w:abstractNum w:abstractNumId="69">
    <w:nsid w:val="78DF6A55"/>
    <w:multiLevelType w:val="hybridMultilevel"/>
    <w:lvl w:ilvl="0">
      <w:lvlJc w:val="left"/>
      <w:lvlText w:val="●"/>
      <w:numFmt w:val="bullet"/>
      <w:start w:val="1"/>
    </w:lvl>
  </w:abstractNum>
  <w:abstractNum w:abstractNumId="70">
    <w:nsid w:val="39B7AAA2"/>
    <w:multiLevelType w:val="hybridMultilevel"/>
    <w:lvl w:ilvl="0">
      <w:lvlJc w:val="left"/>
      <w:lvlText w:val="*"/>
      <w:numFmt w:val="bullet"/>
      <w:start w:val="1"/>
    </w:lvl>
  </w:abstractNum>
  <w:abstractNum w:abstractNumId="71">
    <w:nsid w:val="2B0D8DBE"/>
    <w:multiLevelType w:val="hybridMultilevel"/>
    <w:lvl w:ilvl="0">
      <w:lvlJc w:val="left"/>
      <w:lvlText w:val="+"/>
      <w:numFmt w:val="bullet"/>
      <w:start w:val="1"/>
    </w:lvl>
  </w:abstractNum>
  <w:abstractNum w:abstractNumId="72">
    <w:nsid w:val="6C80EC70"/>
    <w:multiLevelType w:val="hybridMultilevel"/>
    <w:lvl w:ilvl="0">
      <w:lvlJc w:val="left"/>
      <w:lvlText w:val="●"/>
      <w:numFmt w:val="bullet"/>
      <w:start w:val="1"/>
    </w:lvl>
    <w:lvl w:ilvl="1">
      <w:lvlJc w:val="left"/>
      <w:lvlText w:val="●"/>
      <w:numFmt w:val="bullet"/>
      <w:start w:val="1"/>
    </w:lvl>
  </w:abstractNum>
  <w:abstractNum w:abstractNumId="73">
    <w:nsid w:val="379E21B5"/>
    <w:multiLevelType w:val="hybridMultilevel"/>
    <w:lvl w:ilvl="0">
      <w:lvlJc w:val="left"/>
      <w:lvlText w:val="●"/>
      <w:numFmt w:val="bullet"/>
      <w:start w:val="1"/>
    </w:lvl>
  </w:abstractNum>
  <w:abstractNum w:abstractNumId="74">
    <w:nsid w:val="69E373"/>
    <w:multiLevelType w:val="hybridMultilevel"/>
    <w:lvl w:ilvl="0">
      <w:lvlJc w:val="left"/>
      <w:lvlText w:val="●"/>
      <w:numFmt w:val="bullet"/>
      <w:start w:val="1"/>
    </w:lvl>
  </w:abstractNum>
  <w:abstractNum w:abstractNumId="75">
    <w:nsid w:val="2C27173B"/>
    <w:multiLevelType w:val="hybridMultilevel"/>
    <w:lvl w:ilvl="0">
      <w:lvlJc w:val="left"/>
      <w:lvlText w:val="(%1)"/>
      <w:numFmt w:val="decimal"/>
      <w:start w:val="1"/>
    </w:lvl>
  </w:abstractNum>
  <w:abstractNum w:abstractNumId="76">
    <w:nsid w:val="4C9B0904"/>
    <w:multiLevelType w:val="hybridMultilevel"/>
    <w:lvl w:ilvl="0">
      <w:lvlJc w:val="left"/>
      <w:lvlText w:val="(%1)"/>
      <w:numFmt w:val="decimal"/>
      <w:start w:val="1"/>
    </w:lvl>
  </w:abstractNum>
  <w:abstractNum w:abstractNumId="77">
    <w:nsid w:val="6AA7B75C"/>
    <w:multiLevelType w:val="hybridMultilevel"/>
    <w:lvl w:ilvl="0">
      <w:lvlJc w:val="left"/>
      <w:lvlText w:val="*"/>
      <w:numFmt w:val="bullet"/>
      <w:start w:val="1"/>
    </w:lvl>
  </w:abstractNum>
  <w:abstractNum w:abstractNumId="78">
    <w:nsid w:val="1DF029D3"/>
    <w:multiLevelType w:val="hybridMultilevel"/>
    <w:lvl w:ilvl="0">
      <w:lvlJc w:val="left"/>
      <w:lvlText w:val="(%1)"/>
      <w:numFmt w:val="decimal"/>
      <w:start w:val="1"/>
    </w:lvl>
  </w:abstractNum>
  <w:abstractNum w:abstractNumId="79">
    <w:nsid w:val="5675FF36"/>
    <w:multiLevelType w:val="hybridMultilevel"/>
    <w:lvl w:ilvl="0">
      <w:lvlJc w:val="left"/>
      <w:lvlText w:val="(%1)"/>
      <w:numFmt w:val="decimal"/>
      <w:start w:val="2"/>
    </w:lvl>
  </w:abstractNum>
  <w:abstractNum w:abstractNumId="80">
    <w:nsid w:val="3DD15094"/>
    <w:multiLevelType w:val="hybridMultilevel"/>
    <w:lvl w:ilvl="0">
      <w:lvlJc w:val="left"/>
      <w:lvlText w:val="(%1)"/>
      <w:numFmt w:val="decimal"/>
      <w:start w:val="3"/>
    </w:lvl>
  </w:abstractNum>
  <w:abstractNum w:abstractNumId="81">
    <w:nsid w:val="3DB012B3"/>
    <w:multiLevelType w:val="hybridMultilevel"/>
    <w:lvl w:ilvl="0">
      <w:lvlJc w:val="left"/>
      <w:lvlText w:val="(%1)"/>
      <w:numFmt w:val="decimal"/>
      <w:start w:val="6"/>
    </w:lvl>
  </w:abstractNum>
  <w:abstractNum w:abstractNumId="82">
    <w:nsid w:val="2708C9AF"/>
    <w:multiLevelType w:val="hybridMultilevel"/>
    <w:lvl w:ilvl="0">
      <w:lvlJc w:val="left"/>
      <w:lvlText w:val="(%1)"/>
      <w:numFmt w:val="decimal"/>
      <w:start w:val="1"/>
    </w:lvl>
  </w:abstractNum>
  <w:abstractNum w:abstractNumId="83">
    <w:nsid w:val="5B25ACE2"/>
    <w:multiLevelType w:val="hybridMultilevel"/>
    <w:lvl w:ilvl="0">
      <w:lvlJc w:val="left"/>
      <w:lvlText w:val="%1"/>
      <w:numFmt w:val="decimal"/>
      <w:start w:val="57"/>
    </w:lvl>
  </w:abstractNum>
  <w:abstractNum w:abstractNumId="84">
    <w:nsid w:val="175DFCF0"/>
    <w:multiLevelType w:val="hybridMultilevel"/>
    <w:lvl w:ilvl="0">
      <w:lvlJc w:val="left"/>
      <w:lvlText w:val="%1"/>
      <w:numFmt w:val="decimal"/>
      <w:start w:val="58"/>
    </w:lvl>
  </w:abstractNum>
  <w:abstractNum w:abstractNumId="85">
    <w:nsid w:val="4F97E3E4"/>
    <w:multiLevelType w:val="hybridMultilevel"/>
    <w:lvl w:ilvl="0">
      <w:lvlJc w:val="left"/>
      <w:lvlText w:val="%1"/>
      <w:numFmt w:val="decimal"/>
      <w:start w:val="60"/>
    </w:lvl>
  </w:abstractNum>
  <w:abstractNum w:abstractNumId="86">
    <w:nsid w:val="53B0A9E"/>
    <w:multiLevelType w:val="hybridMultilevel"/>
    <w:lvl w:ilvl="0">
      <w:lvlJc w:val="left"/>
      <w:lvlText w:val="%1"/>
      <w:numFmt w:val="decimal"/>
      <w:start w:val="63"/>
    </w:lvl>
  </w:abstractNum>
  <w:abstractNum w:abstractNumId="87">
    <w:nsid w:val="34FD6B4F"/>
    <w:multiLevelType w:val="hybridMultilevel"/>
    <w:lvl w:ilvl="0">
      <w:lvlJc w:val="left"/>
      <w:lvlText w:val="%1"/>
      <w:numFmt w:val="decimal"/>
      <w:start w:val="69"/>
    </w:lvl>
  </w:abstractNum>
  <w:abstractNum w:abstractNumId="88">
    <w:nsid w:val="5915FF32"/>
    <w:multiLevelType w:val="hybridMultilevel"/>
    <w:lvl w:ilvl="0">
      <w:lvlJc w:val="left"/>
      <w:lvlText w:val="%1"/>
      <w:numFmt w:val="decimal"/>
      <w:start w:val="70"/>
    </w:lvl>
  </w:abstractNum>
  <w:abstractNum w:abstractNumId="89">
    <w:nsid w:val="56438D15"/>
    <w:multiLevelType w:val="hybridMultilevel"/>
    <w:lvl w:ilvl="0">
      <w:lvlJc w:val="left"/>
      <w:lvlText w:val="%1"/>
      <w:numFmt w:val="decimal"/>
      <w:start w:val="83"/>
    </w:lvl>
  </w:abstractNum>
  <w:abstractNum w:abstractNumId="90">
    <w:nsid w:val="519E3149"/>
    <w:multiLevelType w:val="hybridMultilevel"/>
    <w:lvl w:ilvl="0">
      <w:lvlJc w:val="left"/>
      <w:lvlText w:val="%1"/>
      <w:numFmt w:val="decimal"/>
      <w:start w:val="85"/>
    </w:lvl>
  </w:abstractNum>
  <w:abstractNum w:abstractNumId="91">
    <w:nsid w:val="2C6E4AFD"/>
    <w:multiLevelType w:val="hybridMultilevel"/>
    <w:lvl w:ilvl="0">
      <w:lvlJc w:val="left"/>
      <w:lvlText w:val="%1"/>
      <w:numFmt w:val="decimal"/>
      <w:start w:val="87"/>
    </w:lvl>
  </w:abstractNum>
  <w:abstractNum w:abstractNumId="92">
    <w:nsid w:val="17A1B582"/>
    <w:multiLevelType w:val="hybridMultilevel"/>
    <w:lvl w:ilvl="0">
      <w:lvlJc w:val="left"/>
      <w:lvlText w:val="%1"/>
      <w:numFmt w:val="decimal"/>
      <w:start w:val="91"/>
    </w:lvl>
  </w:abstractNum>
  <w:abstractNum w:abstractNumId="93">
    <w:nsid w:val="4DF72E4E"/>
    <w:multiLevelType w:val="hybridMultilevel"/>
    <w:lvl w:ilvl="0">
      <w:lvlJc w:val="left"/>
      <w:lvlText w:val="%1"/>
      <w:numFmt w:val="decimal"/>
      <w:start w:val="91"/>
    </w:lvl>
  </w:abstractNum>
  <w:abstractNum w:abstractNumId="94">
    <w:nsid w:val="5046B5A9"/>
    <w:multiLevelType w:val="hybridMultilevel"/>
    <w:lvl w:ilvl="0">
      <w:lvlJc w:val="left"/>
      <w:lvlText w:val="%1"/>
      <w:numFmt w:val="decimal"/>
      <w:start w:val="94"/>
    </w:lvl>
  </w:abstractNum>
  <w:abstractNum w:abstractNumId="95">
    <w:nsid w:val="5D888A08"/>
    <w:multiLevelType w:val="hybridMultilevel"/>
    <w:lvl w:ilvl="0">
      <w:lvlJc w:val="left"/>
      <w:lvlText w:val="(%1)"/>
      <w:numFmt w:val="decimal"/>
      <w:start w:val="1"/>
    </w:lvl>
  </w:abstractNum>
  <w:abstractNum w:abstractNumId="96">
    <w:nsid w:val="2A082C70"/>
    <w:multiLevelType w:val="hybridMultilevel"/>
    <w:lvl w:ilvl="0">
      <w:lvlJc w:val="left"/>
      <w:lvlText w:val="●"/>
      <w:numFmt w:val="bullet"/>
      <w:start w:val="1"/>
    </w:lvl>
  </w:abstractNum>
  <w:abstractNum w:abstractNumId="97">
    <w:nsid w:val="5EC6AFD4"/>
    <w:multiLevelType w:val="hybridMultilevel"/>
    <w:lvl w:ilvl="0">
      <w:lvlJc w:val="left"/>
      <w:lvlText w:val="●"/>
      <w:numFmt w:val="bullet"/>
      <w:start w:val="1"/>
    </w:lvl>
  </w:abstractNum>
  <w:abstractNum w:abstractNumId="98">
    <w:nsid w:val="19E21BB2"/>
    <w:multiLevelType w:val="hybridMultilevel"/>
    <w:lvl w:ilvl="0">
      <w:lvlJc w:val="left"/>
      <w:lvlText w:val="●"/>
      <w:numFmt w:val="bullet"/>
      <w:start w:val="1"/>
    </w:lvl>
  </w:abstractNum>
  <w:abstractNum w:abstractNumId="99">
    <w:nsid w:val="75E0858A"/>
    <w:multiLevelType w:val="hybridMultilevel"/>
    <w:lvl w:ilvl="0">
      <w:lvlJc w:val="left"/>
      <w:lvlText w:val="●"/>
      <w:numFmt w:val="bullet"/>
      <w:start w:val="1"/>
    </w:lvl>
  </w:abstractNum>
  <w:abstractNum w:abstractNumId="100">
    <w:nsid w:val="57A61A29"/>
    <w:multiLevelType w:val="hybridMultilevel"/>
    <w:lvl w:ilvl="0">
      <w:lvlJc w:val="left"/>
      <w:lvlText w:val="●"/>
      <w:numFmt w:val="bullet"/>
      <w:start w:val="1"/>
    </w:lvl>
  </w:abstractNum>
  <w:abstractNum w:abstractNumId="101">
    <w:nsid w:val="5399C654"/>
    <w:multiLevelType w:val="hybridMultilevel"/>
    <w:lvl w:ilvl="0">
      <w:lvlJc w:val="left"/>
      <w:lvlText w:val="●"/>
      <w:numFmt w:val="bullet"/>
      <w:start w:val="1"/>
    </w:lvl>
  </w:abstractNum>
  <w:abstractNum w:abstractNumId="102">
    <w:nsid w:val="20EE1348"/>
    <w:multiLevelType w:val="hybridMultilevel"/>
    <w:lvl w:ilvl="0">
      <w:lvlJc w:val="left"/>
      <w:lvlText w:val="●"/>
      <w:numFmt w:val="bullet"/>
      <w:start w:val="1"/>
    </w:lvl>
  </w:abstractNum>
  <w:abstractNum w:abstractNumId="103">
    <w:nsid w:val="4427069A"/>
    <w:multiLevelType w:val="hybridMultilevel"/>
    <w:lvl w:ilvl="0">
      <w:lvlJc w:val="left"/>
      <w:lvlText w:val="●"/>
      <w:numFmt w:val="bullet"/>
      <w:start w:val="1"/>
    </w:lvl>
  </w:abstractNum>
  <w:abstractNum w:abstractNumId="104">
    <w:nsid w:val="B37E80A"/>
    <w:multiLevelType w:val="hybridMultilevel"/>
    <w:lvl w:ilvl="0">
      <w:lvlJc w:val="left"/>
      <w:lvlText w:val="●"/>
      <w:numFmt w:val="bullet"/>
      <w:start w:val="1"/>
    </w:lvl>
  </w:abstractNum>
  <w:abstractNum w:abstractNumId="105">
    <w:nsid w:val="2157F6BC"/>
    <w:multiLevelType w:val="hybridMultilevel"/>
    <w:lvl w:ilvl="0">
      <w:lvlJc w:val="left"/>
      <w:lvlText w:val="●"/>
      <w:numFmt w:val="bullet"/>
      <w:start w:val="1"/>
    </w:lvl>
  </w:abstractNum>
  <w:abstractNum w:abstractNumId="106">
    <w:nsid w:val="704E1DD5"/>
    <w:multiLevelType w:val="hybridMultilevel"/>
    <w:lvl w:ilvl="0">
      <w:lvlJc w:val="left"/>
      <w:lvlText w:val="●"/>
      <w:numFmt w:val="bullet"/>
      <w:start w:val="1"/>
    </w:lvl>
    <w:lvl w:ilvl="1">
      <w:lvlJc w:val="left"/>
      <w:lvlText w:val="●"/>
      <w:numFmt w:val="bullet"/>
      <w:start w:val="1"/>
    </w:lvl>
  </w:abstractNum>
  <w:abstractNum w:abstractNumId="107">
    <w:nsid w:val="57D2F10E"/>
    <w:multiLevelType w:val="hybridMultilevel"/>
    <w:lvl w:ilvl="0">
      <w:lvlJc w:val="left"/>
      <w:lvlText w:val="●"/>
      <w:numFmt w:val="bullet"/>
      <w:start w:val="1"/>
    </w:lvl>
  </w:abstractNum>
  <w:abstractNum w:abstractNumId="108">
    <w:nsid w:val="BFFAE18"/>
    <w:multiLevelType w:val="hybridMultilevel"/>
    <w:lvl w:ilvl="0">
      <w:lvlJc w:val="left"/>
      <w:lvlText w:val="●"/>
      <w:numFmt w:val="bullet"/>
      <w:start w:val="1"/>
    </w:lvl>
  </w:abstractNum>
  <w:abstractNum w:abstractNumId="109">
    <w:nsid w:val="E3E47A8"/>
    <w:multiLevelType w:val="hybridMultilevel"/>
    <w:lvl w:ilvl="0">
      <w:lvlJc w:val="left"/>
      <w:lvlText w:val="●"/>
      <w:numFmt w:val="bullet"/>
      <w:start w:val="1"/>
    </w:lvl>
  </w:abstractNum>
  <w:abstractNum w:abstractNumId="110">
    <w:nsid w:val="2E48F044"/>
    <w:multiLevelType w:val="hybridMultilevel"/>
    <w:lvl w:ilvl="0">
      <w:lvlJc w:val="left"/>
      <w:lvlText w:val="●"/>
      <w:numFmt w:val="bullet"/>
      <w:start w:val="1"/>
    </w:lvl>
  </w:abstractNum>
  <w:abstractNum w:abstractNumId="111">
    <w:nsid w:val="49D0FEAC"/>
    <w:multiLevelType w:val="hybridMultilevel"/>
    <w:lvl w:ilvl="0">
      <w:lvlJc w:val="left"/>
      <w:lvlText w:val="●"/>
      <w:numFmt w:val="bullet"/>
      <w:start w:val="1"/>
    </w:lvl>
  </w:abstractNum>
  <w:abstractNum w:abstractNumId="112">
    <w:nsid w:val="4BEE5A5B"/>
    <w:multiLevelType w:val="hybridMultilevel"/>
    <w:lvl w:ilvl="0">
      <w:lvlJc w:val="left"/>
      <w:lvlText w:val="(%1)"/>
      <w:numFmt w:val="decimal"/>
      <w:start w:val="1"/>
    </w:lvl>
  </w:abstractNum>
  <w:abstractNum w:abstractNumId="113">
    <w:nsid w:val="5551B9F3"/>
    <w:multiLevelType w:val="hybridMultilevel"/>
    <w:lvl w:ilvl="0">
      <w:lvlJc w:val="left"/>
      <w:lvlText w:val="(%1)"/>
      <w:numFmt w:val="decimal"/>
      <w:start w:val="1"/>
    </w:lvl>
  </w:abstractNum>
  <w:abstractNum w:abstractNumId="114">
    <w:nsid w:val="24F6AB8E"/>
    <w:multiLevelType w:val="hybridMultilevel"/>
    <w:lvl w:ilvl="0">
      <w:lvlJc w:val="left"/>
      <w:lvlText w:val="(%1)"/>
      <w:numFmt w:val="decimal"/>
      <w:start w:val="1"/>
    </w:lvl>
  </w:abstractNum>
  <w:abstractNum w:abstractNumId="115">
    <w:nsid w:val="634C574C"/>
    <w:multiLevelType w:val="hybridMultilevel"/>
    <w:lvl w:ilvl="0">
      <w:lvlJc w:val="left"/>
      <w:lvlText w:val="(%1)"/>
      <w:numFmt w:val="decimal"/>
      <w:start w:val="1"/>
    </w:lvl>
  </w:abstractNum>
  <w:abstractNum w:abstractNumId="116">
    <w:nsid w:val="24E99DD7"/>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17">
    <w:nsid w:val="2A31B62D"/>
    <w:multiLevelType w:val="hybridMultilevel"/>
    <w:lvl w:ilvl="0">
      <w:lvlJc w:val="left"/>
      <w:lvlText w:val="*"/>
      <w:numFmt w:val="bullet"/>
      <w:start w:val="1"/>
    </w:lvl>
  </w:abstractNum>
  <w:abstractNum w:abstractNumId="118">
    <w:nsid w:val="1849C29B"/>
    <w:multiLevelType w:val="hybridMultilevel"/>
    <w:lvl w:ilvl="0">
      <w:lvlJc w:val="left"/>
      <w:lvlText w:val="●"/>
      <w:numFmt w:val="bullet"/>
      <w:start w:val="1"/>
    </w:lvl>
    <w:lvl w:ilvl="1">
      <w:lvlJc w:val="left"/>
      <w:lvlText w:val="●"/>
      <w:numFmt w:val="bullet"/>
      <w:start w:val="1"/>
    </w:lvl>
  </w:abstractNum>
  <w:abstractNum w:abstractNumId="119">
    <w:nsid w:val="7DFF9D09"/>
    <w:multiLevelType w:val="hybridMultilevel"/>
    <w:lvl w:ilvl="0">
      <w:lvlJc w:val="left"/>
      <w:lvlText w:val="●"/>
      <w:numFmt w:val="bullet"/>
      <w:start w:val="1"/>
    </w:lvl>
    <w:lvl w:ilvl="1">
      <w:lvlJc w:val="left"/>
      <w:lvlText w:val="●"/>
      <w:numFmt w:val="bullet"/>
      <w:start w:val="1"/>
    </w:lvl>
  </w:abstractNum>
  <w:abstractNum w:abstractNumId="120">
    <w:nsid w:val="754342"/>
    <w:multiLevelType w:val="hybridMultilevel"/>
    <w:lvl w:ilvl="0">
      <w:lvlJc w:val="left"/>
      <w:lvlText w:val="●"/>
      <w:numFmt w:val="bullet"/>
      <w:start w:val="1"/>
    </w:lvl>
    <w:lvl w:ilvl="1">
      <w:lvlJc w:val="left"/>
      <w:lvlText w:val="●"/>
      <w:numFmt w:val="bullet"/>
      <w:start w:val="1"/>
    </w:lvl>
  </w:abstractNum>
  <w:abstractNum w:abstractNumId="121">
    <w:nsid w:val="69E7F3E5"/>
    <w:multiLevelType w:val="hybridMultilevel"/>
    <w:lvl w:ilvl="0">
      <w:lvlJc w:val="left"/>
      <w:lvlText w:val="●"/>
      <w:numFmt w:val="bullet"/>
      <w:start w:val="1"/>
    </w:lvl>
  </w:abstractNum>
  <w:abstractNum w:abstractNumId="122">
    <w:nsid w:val="2A6DE806"/>
    <w:multiLevelType w:val="hybridMultilevel"/>
    <w:lvl w:ilvl="0">
      <w:lvlJc w:val="left"/>
      <w:lvlText w:val="●"/>
      <w:numFmt w:val="bullet"/>
      <w:start w:val="1"/>
    </w:lvl>
  </w:abstractNum>
  <w:abstractNum w:abstractNumId="123">
    <w:nsid w:val="1816F8C4"/>
    <w:multiLevelType w:val="hybridMultilevel"/>
    <w:lvl w:ilvl="0">
      <w:lvlJc w:val="left"/>
      <w:lvlText w:val="(%1)"/>
      <w:numFmt w:val="decimal"/>
      <w:start w:val="1"/>
    </w:lvl>
  </w:abstractNum>
  <w:abstractNum w:abstractNumId="124">
    <w:nsid w:val="37DF2233"/>
    <w:multiLevelType w:val="hybridMultilevel"/>
    <w:lvl w:ilvl="0">
      <w:lvlJc w:val="left"/>
      <w:lvlText w:val="(%1)"/>
      <w:numFmt w:val="decimal"/>
      <w:start w:val="1"/>
    </w:lvl>
  </w:abstractNum>
  <w:abstractNum w:abstractNumId="125">
    <w:nsid w:val="7AB49DAF"/>
    <w:multiLevelType w:val="hybridMultilevel"/>
    <w:lvl w:ilvl="0">
      <w:lvlJc w:val="left"/>
      <w:lvlText w:val="(%1)"/>
      <w:numFmt w:val="decimal"/>
      <w:start w:val="1"/>
    </w:lvl>
  </w:abstractNum>
  <w:abstractNum w:abstractNumId="126">
    <w:nsid w:val="759F82CD"/>
    <w:multiLevelType w:val="hybridMultilevel"/>
    <w:lvl w:ilvl="0">
      <w:lvlJc w:val="left"/>
      <w:lvlText w:val="●"/>
      <w:numFmt w:val="bullet"/>
      <w:start w:val="1"/>
    </w:lvl>
  </w:abstractNum>
  <w:abstractNum w:abstractNumId="127">
    <w:nsid w:val="61E74EA3"/>
    <w:multiLevelType w:val="hybridMultilevel"/>
    <w:lvl w:ilvl="0">
      <w:lvlJc w:val="left"/>
      <w:lvlText w:val="●"/>
      <w:numFmt w:val="bullet"/>
      <w:start w:val="1"/>
    </w:lvl>
  </w:abstractNum>
  <w:abstractNum w:abstractNumId="128">
    <w:nsid w:val="597B4D84"/>
    <w:multiLevelType w:val="hybridMultilevel"/>
    <w:lvl w:ilvl="0">
      <w:lvlJc w:val="left"/>
      <w:lvlText w:val="(%1)"/>
      <w:numFmt w:val="decimal"/>
      <w:start w:val="1"/>
    </w:lvl>
  </w:abstractNum>
  <w:abstractNum w:abstractNumId="129">
    <w:nsid w:val="F819E7F"/>
    <w:multiLevelType w:val="hybridMultilevel"/>
    <w:lvl w:ilvl="0">
      <w:lvlJc w:val="left"/>
      <w:lvlText w:val="(%1)"/>
      <w:numFmt w:val="decimal"/>
      <w:start w:val="3"/>
    </w:lvl>
  </w:abstractNum>
  <w:abstractNum w:abstractNumId="130">
    <w:nsid w:val="57C7D42D"/>
    <w:multiLevelType w:val="hybridMultilevel"/>
    <w:lvl w:ilvl="0">
      <w:lvlJc w:val="left"/>
      <w:lvlText w:val="%1"/>
      <w:numFmt w:val="decimal"/>
      <w:start w:val="1"/>
    </w:lvl>
    <w:lvl w:ilvl="1">
      <w:lvlJc w:val="left"/>
      <w:lvlText w:val="%2"/>
      <w:numFmt w:val="decimal"/>
      <w:start w:val="88"/>
    </w:lvl>
  </w:abstractNum>
  <w:abstractNum w:abstractNumId="131">
    <w:nsid w:val="312167AD"/>
    <w:multiLevelType w:val="hybridMultilevel"/>
    <w:lvl w:ilvl="0">
      <w:lvlJc w:val="left"/>
      <w:lvlText w:val="(%1)"/>
      <w:numFmt w:val="decimal"/>
      <w:start w:val="6"/>
    </w:lvl>
    <w:lvl w:ilvl="1">
      <w:lvlJc w:val="left"/>
      <w:lvlText w:val="%2"/>
      <w:numFmt w:val="decimal"/>
      <w:start w:val="1"/>
    </w:lvl>
  </w:abstractNum>
  <w:abstractNum w:abstractNumId="132">
    <w:nsid w:val="631B64D4"/>
    <w:multiLevelType w:val="hybridMultilevel"/>
    <w:lvl w:ilvl="0">
      <w:lvlJc w:val="left"/>
      <w:lvlText w:val="(%1)"/>
      <w:numFmt w:val="decimal"/>
      <w:start w:val="1"/>
    </w:lvl>
  </w:abstractNum>
  <w:abstractNum w:abstractNumId="133">
    <w:nsid w:val="78B5E776"/>
    <w:multiLevelType w:val="hybridMultilevel"/>
    <w:lvl w:ilvl="0">
      <w:lvlJc w:val="left"/>
      <w:lvlText w:val="(%1)"/>
      <w:numFmt w:val="decimal"/>
      <w:start w:val="3"/>
    </w:lvl>
  </w:abstractNum>
  <w:abstractNum w:abstractNumId="134">
    <w:nsid w:val="75486E47"/>
    <w:multiLevelType w:val="hybridMultilevel"/>
    <w:lvl w:ilvl="0">
      <w:lvlJc w:val="left"/>
      <w:lvlText w:val="(%1)"/>
      <w:numFmt w:val="decimal"/>
      <w:start w:val="1"/>
    </w:lvl>
  </w:abstractNum>
  <w:abstractNum w:abstractNumId="135">
    <w:nsid w:val="6E534CDE"/>
    <w:multiLevelType w:val="hybridMultilevel"/>
    <w:lvl w:ilvl="0">
      <w:lvlJc w:val="left"/>
      <w:lvlText w:val="(%1)"/>
      <w:numFmt w:val="decimal"/>
      <w:start w:val="2"/>
    </w:lvl>
  </w:abstractNum>
  <w:abstractNum w:abstractNumId="136">
    <w:nsid w:val="1A0DDE32"/>
    <w:multiLevelType w:val="hybridMultilevel"/>
    <w:lvl w:ilvl="0">
      <w:lvlJc w:val="left"/>
      <w:lvlText w:val="(%1)"/>
      <w:numFmt w:val="decimal"/>
      <w:start w:val="1"/>
    </w:lvl>
  </w:abstractNum>
  <w:abstractNum w:abstractNumId="137">
    <w:nsid w:val="65968C1C"/>
    <w:multiLevelType w:val="hybridMultilevel"/>
    <w:lvl w:ilvl="0">
      <w:lvlJc w:val="left"/>
      <w:lvlText w:val="(%1)"/>
      <w:numFmt w:val="decimal"/>
      <w:start w:val="1"/>
    </w:lvl>
  </w:abstractNum>
  <w:abstractNum w:abstractNumId="138">
    <w:nsid w:val="46263DEC"/>
    <w:multiLevelType w:val="hybridMultilevel"/>
    <w:lvl w:ilvl="0">
      <w:lvlJc w:val="left"/>
      <w:lvlText w:val="●"/>
      <w:numFmt w:val="bullet"/>
      <w:start w:val="1"/>
    </w:lvl>
  </w:abstractNum>
  <w:abstractNum w:abstractNumId="139">
    <w:nsid w:val="260D8C4A"/>
    <w:multiLevelType w:val="hybridMultilevel"/>
    <w:lvl w:ilvl="0">
      <w:lvlJc w:val="left"/>
      <w:lvlText w:val="●"/>
      <w:numFmt w:val="bullet"/>
      <w:start w:val="1"/>
    </w:lvl>
  </w:abstractNum>
  <w:abstractNum w:abstractNumId="140">
    <w:nsid w:val="73D4D3C4"/>
    <w:multiLevelType w:val="hybridMultilevel"/>
    <w:lvl w:ilvl="0">
      <w:lvlJc w:val="left"/>
      <w:lvlText w:val="●"/>
      <w:numFmt w:val="bullet"/>
      <w:start w:val="1"/>
    </w:lvl>
  </w:abstractNum>
  <w:abstractNum w:abstractNumId="141">
    <w:nsid w:val="746F2E30"/>
    <w:multiLevelType w:val="hybridMultilevel"/>
    <w:lvl w:ilvl="0">
      <w:lvlJc w:val="left"/>
      <w:lvlText w:val="●"/>
      <w:numFmt w:val="bullet"/>
      <w:start w:val="1"/>
    </w:lvl>
  </w:abstractNum>
  <w:abstractNum w:abstractNumId="142">
    <w:nsid w:val="6FDE8AF6"/>
    <w:multiLevelType w:val="hybridMultilevel"/>
    <w:lvl w:ilvl="0">
      <w:lvlJc w:val="left"/>
      <w:lvlText w:val="●"/>
      <w:numFmt w:val="bullet"/>
      <w:start w:val="1"/>
    </w:lvl>
  </w:abstractNum>
  <w:abstractNum w:abstractNumId="143">
    <w:nsid w:val="3FC32E20"/>
    <w:multiLevelType w:val="hybridMultilevel"/>
    <w:lvl w:ilvl="0">
      <w:lvlJc w:val="left"/>
      <w:lvlText w:val="●"/>
      <w:numFmt w:val="bullet"/>
      <w:start w:val="1"/>
    </w:lvl>
  </w:abstractNum>
  <w:abstractNum w:abstractNumId="144">
    <w:nsid w:val="49C0E823"/>
    <w:multiLevelType w:val="hybridMultilevel"/>
    <w:lvl w:ilvl="0">
      <w:lvlJc w:val="left"/>
      <w:lvlText w:val="(%1)"/>
      <w:numFmt w:val="decimal"/>
      <w:start w:val="1"/>
    </w:lvl>
    <w:lvl w:ilvl="1">
      <w:lvlJc w:val="left"/>
      <w:lvlText w:val="(%2)"/>
      <w:numFmt w:val="decimal"/>
      <w:start w:val="5"/>
    </w:lvl>
  </w:abstractNum>
  <w:abstractNum w:abstractNumId="145">
    <w:nsid w:val="14D53685"/>
    <w:multiLevelType w:val="hybridMultilevel"/>
    <w:lvl w:ilvl="0">
      <w:lvlJc w:val="left"/>
      <w:lvlText w:val="(%1)"/>
      <w:numFmt w:val="decimal"/>
      <w:start w:val="6"/>
    </w:lvl>
  </w:abstractNum>
  <w:abstractNum w:abstractNumId="146">
    <w:nsid w:val="230F856C"/>
    <w:multiLevelType w:val="hybridMultilevel"/>
    <w:lvl w:ilvl="0">
      <w:lvlJc w:val="left"/>
      <w:lvlText w:val="●"/>
      <w:numFmt w:val="bullet"/>
      <w:start w:val="1"/>
    </w:lvl>
  </w:abstractNum>
  <w:abstractNum w:abstractNumId="147">
    <w:nsid w:val="6EAA85FB"/>
    <w:multiLevelType w:val="hybridMultilevel"/>
    <w:lvl w:ilvl="0">
      <w:lvlJc w:val="left"/>
      <w:lvlText w:val="(%1)"/>
      <w:numFmt w:val="decimal"/>
      <w:start w:val="1"/>
    </w:lvl>
  </w:abstractNum>
  <w:abstractNum w:abstractNumId="148">
    <w:nsid w:val="3F06ECB2"/>
    <w:multiLevelType w:val="hybridMultilevel"/>
    <w:lvl w:ilvl="0">
      <w:lvlJc w:val="left"/>
      <w:lvlText w:val="●"/>
      <w:numFmt w:val="bullet"/>
      <w:start w:val="1"/>
    </w:lvl>
  </w:abstractNum>
  <w:abstractNum w:abstractNumId="149">
    <w:nsid w:val="3B594807"/>
    <w:multiLevelType w:val="hybridMultilevel"/>
    <w:lvl w:ilvl="0">
      <w:lvlJc w:val="left"/>
      <w:lvlText w:val="(%1)"/>
      <w:numFmt w:val="decimal"/>
      <w:start w:val="1"/>
    </w:lvl>
  </w:abstractNum>
  <w:abstractNum w:abstractNumId="150">
    <w:nsid w:val="6CAA2304"/>
    <w:multiLevelType w:val="hybridMultilevel"/>
    <w:lvl w:ilvl="0">
      <w:lvlJc w:val="left"/>
      <w:lvlText w:val="(%1)"/>
      <w:numFmt w:val="decimal"/>
      <w:start w:val="3"/>
    </w:lvl>
  </w:abstractNum>
  <w:abstractNum w:abstractNumId="151">
    <w:nsid w:val="3F7C2FF4"/>
    <w:multiLevelType w:val="hybridMultilevel"/>
    <w:lvl w:ilvl="0">
      <w:lvlJc w:val="left"/>
      <w:lvlText w:val="(%1)"/>
      <w:numFmt w:val="decimal"/>
      <w:start w:val="1"/>
    </w:lvl>
  </w:abstractNum>
  <w:abstractNum w:abstractNumId="152">
    <w:nsid w:val="25413BEC"/>
    <w:multiLevelType w:val="hybridMultilevel"/>
    <w:lvl w:ilvl="0">
      <w:lvlJc w:val="left"/>
      <w:lvlText w:val="*"/>
      <w:numFmt w:val="bullet"/>
      <w:start w:val="1"/>
    </w:lvl>
  </w:abstractNum>
  <w:abstractNum w:abstractNumId="153">
    <w:nsid w:val="17180B0B"/>
    <w:multiLevelType w:val="hybridMultilevel"/>
    <w:lvl w:ilvl="0">
      <w:lvlJc w:val="left"/>
      <w:lvlText w:val="2"/>
      <w:numFmt w:val="bullet"/>
      <w:start w:val="1"/>
    </w:lvl>
  </w:abstractNum>
  <w:abstractNum w:abstractNumId="154">
    <w:nsid w:val="579328B9"/>
    <w:multiLevelType w:val="hybridMultilevel"/>
    <w:lvl w:ilvl="0">
      <w:lvlJc w:val="left"/>
      <w:lvlText w:val="●"/>
      <w:numFmt w:val="bullet"/>
      <w:start w:val="1"/>
    </w:lvl>
  </w:abstractNum>
  <w:abstractNum w:abstractNumId="155">
    <w:nsid w:val="5D205E20"/>
    <w:multiLevelType w:val="hybridMultilevel"/>
    <w:lvl w:ilvl="0">
      <w:lvlJc w:val="left"/>
      <w:lvlText w:val="●"/>
      <w:numFmt w:val="bullet"/>
      <w:start w:val="1"/>
    </w:lvl>
  </w:abstractNum>
  <w:abstractNum w:abstractNumId="156">
    <w:nsid w:val="11CCA8BA"/>
    <w:multiLevelType w:val="hybridMultilevel"/>
    <w:lvl w:ilvl="0">
      <w:lvlJc w:val="left"/>
      <w:lvlText w:val="●"/>
      <w:numFmt w:val="bullet"/>
      <w:start w:val="1"/>
    </w:lvl>
  </w:abstractNum>
  <w:abstractNum w:abstractNumId="157">
    <w:nsid w:val="4D32AB86"/>
    <w:multiLevelType w:val="hybridMultilevel"/>
    <w:lvl w:ilvl="0">
      <w:lvlJc w:val="left"/>
      <w:lvlText w:val="(%1)"/>
      <w:numFmt w:val="decimal"/>
      <w:start w:val="1"/>
    </w:lvl>
  </w:abstractNum>
  <w:abstractNum w:abstractNumId="158">
    <w:nsid w:val="3F07ACC3"/>
    <w:multiLevelType w:val="hybridMultilevel"/>
    <w:lvl w:ilvl="0">
      <w:lvlJc w:val="left"/>
      <w:lvlText w:val="(%1)"/>
      <w:numFmt w:val="decimal"/>
      <w:start w:val="1"/>
    </w:lvl>
  </w:abstractNum>
  <w:abstractNum w:abstractNumId="159">
    <w:nsid w:val="6B47F63E"/>
    <w:multiLevelType w:val="hybridMultilevel"/>
    <w:lvl w:ilvl="0">
      <w:lvlJc w:val="left"/>
      <w:lvlText w:val="(%1)"/>
      <w:numFmt w:val="decimal"/>
      <w:start w:val="1"/>
    </w:lvl>
  </w:abstractNum>
  <w:abstractNum w:abstractNumId="160">
    <w:nsid w:val="5CB44A0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jpe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jpe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jpe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jpe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2022-03-16T15:26:39Z</dcterms:created>
  <dcterms:modified xsi:type="dcterms:W3CDTF">2022-03-16T15:26:39Z</dcterms:modified>
</cp:coreProperties>
</file>