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8663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6394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Fernandez Henry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MSCI INC.</w:t>
      </w:r>
    </w:p>
    <w:p>
      <w:pPr>
        <w:spacing w:after="0" w:line="65" w:lineRule="exact"/>
        <w:rPr>
          <w:sz w:val="24"/>
          <w:szCs w:val="24"/>
          <w:color w:val="auto"/>
        </w:rPr>
      </w:pPr>
    </w:p>
    <w:p>
      <w:pPr>
        <w:ind w:left="120" w:right="180"/>
        <w:spacing w:after="0" w:line="283" w:lineRule="auto"/>
        <w:rPr>
          <w:sz w:val="20"/>
          <w:szCs w:val="20"/>
          <w:color w:val="auto"/>
        </w:rPr>
      </w:pPr>
      <w:r>
        <w:rPr>
          <w:rFonts w:ascii="Times New Roman" w:cs="Times New Roman" w:eastAsia="Times New Roman" w:hAnsi="Times New Roman"/>
          <w:sz w:val="17"/>
          <w:szCs w:val="17"/>
          <w:color w:val="0000FF"/>
        </w:rPr>
        <w:t>7 WORLD TRADE CENTER, 250 GREENWICH ST.</w:t>
      </w: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MSCI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MSCI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219"/>
        </w:trPr>
        <w:tc>
          <w:tcPr>
            <w:tcW w:w="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6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w w:val="95"/>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559.4</w:t>
            </w:r>
            <w:r>
              <w:rPr>
                <w:rFonts w:ascii="Times New Roman" w:cs="Times New Roman" w:eastAsia="Times New Roman" w:hAnsi="Times New Roman"/>
                <w:sz w:val="21"/>
                <w:szCs w:val="21"/>
                <w:color w:val="008000"/>
                <w:w w:val="99"/>
                <w:vertAlign w:val="superscript"/>
              </w:rPr>
              <w:t>(1)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1,728,081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240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560.28</w:t>
            </w:r>
            <w:r>
              <w:rPr>
                <w:rFonts w:ascii="Times New Roman" w:cs="Times New Roman" w:eastAsia="Times New Roman" w:hAnsi="Times New Roman"/>
                <w:sz w:val="21"/>
                <w:szCs w:val="21"/>
                <w:color w:val="008000"/>
                <w:w w:val="93"/>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1,728,321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9"/>
              </w:rPr>
              <w:t>1,238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561.56</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1,729,559</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9"/>
              </w:rPr>
              <w:t>1,122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562.47</w:t>
            </w:r>
            <w:r>
              <w:rPr>
                <w:rFonts w:ascii="Times New Roman" w:cs="Times New Roman" w:eastAsia="Times New Roman" w:hAnsi="Times New Roman"/>
                <w:sz w:val="21"/>
                <w:szCs w:val="21"/>
                <w:color w:val="008000"/>
                <w:w w:val="93"/>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1,730,681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563.39</w:t>
            </w:r>
            <w:r>
              <w:rPr>
                <w:rFonts w:ascii="Times New Roman" w:cs="Times New Roman" w:eastAsia="Times New Roman" w:hAnsi="Times New Roman"/>
                <w:sz w:val="21"/>
                <w:szCs w:val="21"/>
                <w:color w:val="008000"/>
                <w:w w:val="93"/>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1,731,481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564.42</w:t>
            </w:r>
            <w:r>
              <w:rPr>
                <w:rFonts w:ascii="Times New Roman" w:cs="Times New Roman" w:eastAsia="Times New Roman" w:hAnsi="Times New Roman"/>
                <w:sz w:val="21"/>
                <w:szCs w:val="21"/>
                <w:color w:val="008000"/>
                <w:w w:val="93"/>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1,731,881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565.17</w:t>
            </w:r>
            <w:r>
              <w:rPr>
                <w:rFonts w:ascii="Times New Roman" w:cs="Times New Roman" w:eastAsia="Times New Roman" w:hAnsi="Times New Roman"/>
                <w:sz w:val="21"/>
                <w:szCs w:val="21"/>
                <w:color w:val="008000"/>
                <w:w w:val="93"/>
                <w:vertAlign w:val="superscript"/>
              </w:rPr>
              <w:t>(7)</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1,731,961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Fernandez</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410,776</w:t>
            </w:r>
          </w:p>
        </w:tc>
        <w:tc>
          <w:tcPr>
            <w:tcW w:w="280" w:type="dxa"/>
            <w:vAlign w:val="bottom"/>
          </w:tcPr>
          <w:p>
            <w:pPr>
              <w:spacing w:after="0"/>
              <w:rPr>
                <w:sz w:val="18"/>
                <w:szCs w:val="18"/>
                <w:color w:val="auto"/>
              </w:rPr>
            </w:pPr>
          </w:p>
        </w:tc>
        <w:tc>
          <w:tcPr>
            <w:tcW w:w="6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Children's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15,400</w:t>
            </w:r>
          </w:p>
        </w:tc>
        <w:tc>
          <w:tcPr>
            <w:tcW w:w="280" w:type="dxa"/>
            <w:vAlign w:val="bottom"/>
          </w:tcPr>
          <w:p>
            <w:pPr>
              <w:spacing w:after="0"/>
              <w:rPr>
                <w:sz w:val="22"/>
                <w:szCs w:val="22"/>
                <w:color w:val="auto"/>
              </w:rPr>
            </w:pPr>
          </w:p>
        </w:tc>
        <w:tc>
          <w:tcPr>
            <w:tcW w:w="6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15,400</w:t>
            </w:r>
          </w:p>
        </w:tc>
        <w:tc>
          <w:tcPr>
            <w:tcW w:w="280" w:type="dxa"/>
            <w:vAlign w:val="bottom"/>
          </w:tcPr>
          <w:p>
            <w:pPr>
              <w:spacing w:after="0"/>
              <w:rPr>
                <w:sz w:val="22"/>
                <w:szCs w:val="22"/>
                <w:color w:val="auto"/>
              </w:rPr>
            </w:pPr>
          </w:p>
        </w:tc>
        <w:tc>
          <w:tcPr>
            <w:tcW w:w="62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15,400</w:t>
            </w:r>
          </w:p>
        </w:tc>
        <w:tc>
          <w:tcPr>
            <w:tcW w:w="280" w:type="dxa"/>
            <w:vAlign w:val="bottom"/>
          </w:tcPr>
          <w:p>
            <w:pPr>
              <w:spacing w:after="0"/>
              <w:rPr>
                <w:sz w:val="21"/>
                <w:szCs w:val="21"/>
                <w:color w:val="auto"/>
              </w:rPr>
            </w:pPr>
          </w:p>
        </w:tc>
        <w:tc>
          <w:tcPr>
            <w:tcW w:w="620" w:type="dxa"/>
            <w:vAlign w:val="bottom"/>
            <w:vMerge w:val="restart"/>
          </w:tcPr>
          <w:p>
            <w:pPr>
              <w:jc w:val="center"/>
              <w:ind w:right="326"/>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549.83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02/03/2025</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02/03/2032</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29,564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29,564</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common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Premium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36,846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jc w:val="center"/>
              <w:ind w:right="142"/>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1,000</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01/31/2030</w:t>
            </w: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01/31/2035</w:t>
            </w: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40"/>
              <w:spacing w:after="0" w:line="130" w:lineRule="exact"/>
              <w:rPr>
                <w:sz w:val="20"/>
                <w:szCs w:val="20"/>
                <w:color w:val="auto"/>
              </w:rPr>
            </w:pPr>
            <w:r>
              <w:rPr>
                <w:rFonts w:ascii="Times New Roman" w:cs="Times New Roman" w:eastAsia="Times New Roman" w:hAnsi="Times New Roman"/>
                <w:sz w:val="13"/>
                <w:szCs w:val="13"/>
                <w:color w:val="0000FF"/>
              </w:rPr>
              <w:t>36,846</w:t>
            </w:r>
          </w:p>
        </w:tc>
        <w:tc>
          <w:tcPr>
            <w:tcW w:w="62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3273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3273425"/>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Premium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40,780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1,100</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01/31/2030</w:t>
            </w:r>
          </w:p>
        </w:tc>
        <w:tc>
          <w:tcPr>
            <w:tcW w:w="72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01/31/2035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40,780</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Premium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44,920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1,200</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01/31/2030</w:t>
            </w:r>
          </w:p>
        </w:tc>
        <w:tc>
          <w:tcPr>
            <w:tcW w:w="72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01/31/2035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44,920</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554.52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02/02/2026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02/02/2033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42,193</w:t>
            </w:r>
          </w:p>
        </w:tc>
        <w:tc>
          <w:tcPr>
            <w:tcW w:w="700" w:type="dxa"/>
            <w:vAlign w:val="bottom"/>
          </w:tcPr>
          <w:p>
            <w:pPr>
              <w:spacing w:after="0"/>
              <w:rPr>
                <w:sz w:val="16"/>
                <w:szCs w:val="16"/>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42,193</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stock</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20" w:right="1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$558.85 to $559.83. The price reported above reflects the weighted average purchase price. The Reporting Person hereby undertakes to provide, upon request, to the SEC staff, the issuer or the security holders of the issuer full information regarding the number of shares and prices at which each transaction was effected.</w:t>
      </w:r>
    </w:p>
    <w:p>
      <w:pPr>
        <w:spacing w:after="0" w:line="15" w:lineRule="exact"/>
        <w:rPr>
          <w:rFonts w:ascii="Times New Roman" w:cs="Times New Roman" w:eastAsia="Times New Roman" w:hAnsi="Times New Roman"/>
          <w:sz w:val="13"/>
          <w:szCs w:val="13"/>
          <w:color w:val="008000"/>
        </w:rPr>
      </w:pPr>
    </w:p>
    <w:p>
      <w:pPr>
        <w:ind w:left="20" w:right="1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$559.90 to $560.75. The price reported above reflects the weighted average purchase price. The Reporting Person hereby undertakes to provide, upon request, to the SEC staff, the issuer or the security holders of the issuer full information regarding the number of shares and prices at which each transaction was effected.</w:t>
      </w:r>
    </w:p>
    <w:p>
      <w:pPr>
        <w:spacing w:after="0" w:line="15" w:lineRule="exact"/>
        <w:rPr>
          <w:rFonts w:ascii="Times New Roman" w:cs="Times New Roman" w:eastAsia="Times New Roman" w:hAnsi="Times New Roman"/>
          <w:sz w:val="13"/>
          <w:szCs w:val="13"/>
          <w:color w:val="008000"/>
        </w:rPr>
      </w:pPr>
    </w:p>
    <w:p>
      <w:pPr>
        <w:ind w:left="20" w:right="1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$560.91 to $561.88. The price reported above reflects the weighted average purchase price. The Reporting Person hereby undertakes to provide, upon request, to the SEC staff, the issuer or the security holders of the issuer full information regarding the number of shares and prices at which each transaction was effected.</w:t>
      </w:r>
    </w:p>
    <w:p>
      <w:pPr>
        <w:spacing w:after="0" w:line="15" w:lineRule="exact"/>
        <w:rPr>
          <w:rFonts w:ascii="Times New Roman" w:cs="Times New Roman" w:eastAsia="Times New Roman" w:hAnsi="Times New Roman"/>
          <w:sz w:val="13"/>
          <w:szCs w:val="13"/>
          <w:color w:val="008000"/>
        </w:rPr>
      </w:pPr>
    </w:p>
    <w:p>
      <w:pPr>
        <w:ind w:left="20" w:right="1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$562.01 to $562.96. The price reported above reflects the weighted average purchase price. The Reporting Person hereby undertakes to provide, upon request, to the SEC staff, the issuer or the security holders of the issuer full information regarding the number of shares and prices at which each transaction was effected.</w:t>
      </w:r>
    </w:p>
    <w:p>
      <w:pPr>
        <w:spacing w:after="0" w:line="15" w:lineRule="exact"/>
        <w:rPr>
          <w:rFonts w:ascii="Times New Roman" w:cs="Times New Roman" w:eastAsia="Times New Roman" w:hAnsi="Times New Roman"/>
          <w:sz w:val="13"/>
          <w:szCs w:val="13"/>
          <w:color w:val="008000"/>
        </w:rPr>
      </w:pPr>
    </w:p>
    <w:p>
      <w:pPr>
        <w:ind w:left="20" w:right="1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$563.03 to $563.90. The price reported above reflects the weighted average purchase price. The Reporting Person hereby undertakes to provide, upon request, to the SEC staff, the issuer or the security holders of the issuer full information regarding the number of shares and prices at which each transaction was effected.</w:t>
      </w:r>
    </w:p>
    <w:p>
      <w:pPr>
        <w:spacing w:after="0" w:line="15" w:lineRule="exact"/>
        <w:rPr>
          <w:rFonts w:ascii="Times New Roman" w:cs="Times New Roman" w:eastAsia="Times New Roman" w:hAnsi="Times New Roman"/>
          <w:sz w:val="13"/>
          <w:szCs w:val="13"/>
          <w:color w:val="008000"/>
        </w:rPr>
      </w:pPr>
    </w:p>
    <w:p>
      <w:pPr>
        <w:ind w:left="20" w:right="1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$564.12 to $564.74. The price reported above reflects the weighted average purchase price. The Reporting Person hereby undertakes to provide, upon request, to the SEC staff, the issuer or the security holders of the issuer full information regarding the number of shares and prices at which each transaction was effected.</w:t>
      </w:r>
    </w:p>
    <w:p>
      <w:pPr>
        <w:spacing w:after="0" w:line="15" w:lineRule="exact"/>
        <w:rPr>
          <w:rFonts w:ascii="Times New Roman" w:cs="Times New Roman" w:eastAsia="Times New Roman" w:hAnsi="Times New Roman"/>
          <w:sz w:val="13"/>
          <w:szCs w:val="13"/>
          <w:color w:val="008000"/>
        </w:rPr>
      </w:pPr>
    </w:p>
    <w:p>
      <w:pPr>
        <w:ind w:left="20" w:right="12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$565.16 to $565.17. The price reported above reflects the weighted average purchase price. The Reporting Person hereby undertakes to provide, upon request, to the SEC staff, the issuer or the security holders of the issuer full information regarding the number of shares and prices at which each transaction was effected.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Cecilia Aza, attorney-in-fact 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4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520" w:firstLine="3"/>
        <w:spacing w:after="0" w:line="339"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16750" TargetMode="External"/><Relationship Id="rId14" Type="http://schemas.openxmlformats.org/officeDocument/2006/relationships/hyperlink" Target="http://www.sec.gov/cgi-bin/browse-edgar?action=getcompany&amp;CIK=0001408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2026-05-18T15:20:58Z</dcterms:created>
  <dcterms:modified xsi:type="dcterms:W3CDTF">2026-05-18T15:20:58Z</dcterms:modified>
</cp:coreProperties>
</file>